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9.png" ContentType="image/png"/>
  <Override PartName="/word/media/rId222.png" ContentType="image/png"/>
  <Override PartName="/word/media/rId78.png" ContentType="image/png"/>
  <Override PartName="/word/media/rId98.png" ContentType="image/png"/>
  <Override PartName="/word/media/rId107.png" ContentType="image/png"/>
  <Override PartName="/word/media/rId91.png" ContentType="image/png"/>
  <Override PartName="/word/media/rId273.png" ContentType="image/png"/>
  <Override PartName="/word/media/rId182.png" ContentType="image/png"/>
  <Override PartName="/word/media/rId139.png" ContentType="image/png"/>
  <Override PartName="/word/media/rId159.png" ContentType="image/png"/>
  <Override PartName="/word/media/rId51.png" ContentType="image/png"/>
  <Override PartName="/word/media/rId244.png" ContentType="image/png"/>
  <Override PartName="/word/media/rId166.png" ContentType="image/png"/>
  <Override PartName="/word/media/rId228.png" ContentType="image/png"/>
  <Override PartName="/word/media/rId57.png" ContentType="image/png"/>
  <Override PartName="/word/media/rId150.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 Axiomas sobre las preferencias, función de utilidad y función de demanda marshalliana. La teoría de la preferencia revelada. Precios hedónicos.</w:t>
      </w:r>
    </w:p>
    <w:p>
      <w:pPr>
        <w:pStyle w:val="Author"/>
      </w:pPr>
      <w:r>
        <w:t xml:space="preserve">Víctor Gutiérrez Marcos</w:t>
      </w:r>
    </w:p>
    <w:p>
      <w:pPr>
        <w:pStyle w:val="Date"/>
      </w:pPr>
      <w:r>
        <w:t xml:space="preserve">Fecha de la última actualización: 10/10/2026</w:t>
      </w:r>
    </w:p>
    <w:bookmarkStart w:id="49" w:name="introducción"/>
    <w:p>
      <w:pPr>
        <w:pStyle w:val="Heading1"/>
      </w:pPr>
      <w:r>
        <w:t xml:space="preserve">Introducción</w:t>
      </w:r>
    </w:p>
    <w:p>
      <w:pPr>
        <w:numPr>
          <w:ilvl w:val="0"/>
          <w:numId w:val="1001"/>
        </w:numPr>
      </w:pPr>
      <w:r>
        <w:rPr>
          <w:b/>
          <w:bCs/>
          <w:i/>
          <w:iCs/>
        </w:rPr>
        <w:t xml:space="preserve">Enganche</w:t>
      </w:r>
      <w:r>
        <w:t xml:space="preserve">:</w:t>
      </w:r>
    </w:p>
    <w:p>
      <w:pPr>
        <w:numPr>
          <w:ilvl w:val="1"/>
          <w:numId w:val="1002"/>
        </w:numPr>
      </w:pPr>
      <w:r>
        <w:rPr>
          <w:smallCaps/>
        </w:rPr>
        <w:t xml:space="preserve">Alfred Marshall</w:t>
      </w:r>
      <w:r>
        <w:t xml:space="preserve">, en sus</w:t>
      </w:r>
      <w:r>
        <w:t xml:space="preserve"> </w:t>
      </w:r>
      <w:r>
        <w:rPr>
          <w:i/>
          <w:iCs/>
        </w:rPr>
        <w:t xml:space="preserve">Principios de Economía</w:t>
      </w:r>
      <w:r>
        <w:t xml:space="preserve"> </w:t>
      </w:r>
      <w:r>
        <w:t xml:space="preserve">(1890), define la economía como «el estudio de la humanidad en los asuntos ordinarios de la vida», que examina «la parte de la acción individual y social más estrechamente relacionada con la obtención y el uso de los requisitos materiales del bienestar».</w:t>
      </w:r>
      <w:r>
        <w:rPr>
          <w:rStyle w:val="FootnoteReference"/>
        </w:rPr>
        <w:footnoteReference w:id="20"/>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1"/>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2"/>
      </w:r>
      <w:r>
        <w:t xml:space="preserve"> </w:t>
      </w:r>
      <w:r>
        <w:t xml:space="preserve">examina el comportamiento de dos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3"/>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r>
        <w:rPr>
          <w:rStyle w:val="Referenciaatema"/>
        </w:rPr>
        <w:t xml:space="preserve">[ver tema 3.A.16]</w:t>
      </w:r>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rPr>
          <w:rStyle w:val="FootnoteReference"/>
        </w:rPr>
        <w:footnoteReference w:id="29"/>
      </w:r>
    </w:p>
    <w:p>
      <w:pPr>
        <w:numPr>
          <w:ilvl w:val="0"/>
          <w:numId w:val="1001"/>
        </w:numPr>
      </w:pPr>
      <w:r>
        <w:rPr>
          <w:b/>
          <w:bCs/>
          <w:i/>
          <w:iCs/>
        </w:rPr>
        <w:t xml:space="preserve">Contextualización</w:t>
      </w:r>
      <w:r>
        <w:t xml:space="preserve">:</w:t>
      </w:r>
    </w:p>
    <w:p>
      <w:pPr>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30"/>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t xml:space="preserve">En 1738,</w:t>
      </w:r>
      <w:r>
        <w:t xml:space="preserve"> </w:t>
      </w:r>
      <w:r>
        <w:rPr>
          <w:smallCaps/>
        </w:rPr>
        <w:t xml:space="preserve">Daniel Bernoulli</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r>
        <w:rPr>
          <w:rStyle w:val="Referenciaatema"/>
        </w:rPr>
        <w:t xml:space="preserve">[ver tema 3.A.10]</w:t>
      </w:r>
      <w:r>
        <w:t xml:space="preserve">.</w:t>
      </w:r>
      <w:r>
        <w:rPr>
          <w:rStyle w:val="FootnoteReference"/>
        </w:rPr>
        <w:footnoteReference w:id="31"/>
      </w:r>
    </w:p>
    <w:p>
      <w:pPr>
        <w:numPr>
          <w:ilvl w:val="2"/>
          <w:numId w:val="1006"/>
        </w:numPr>
      </w:pPr>
      <w:r>
        <w:t xml:space="preserve">En 1844,</w:t>
      </w:r>
      <w:r>
        <w:t xml:space="preserve"> </w:t>
      </w:r>
      <w:r>
        <w:rPr>
          <w:smallCaps/>
        </w:rPr>
        <w:t xml:space="preserve">Jules Dupuit</w:t>
      </w:r>
      <w:r>
        <w:t xml:space="preserve"> </w:t>
      </w:r>
      <w:r>
        <w:t xml:space="preserve">relaciona la demanda con la utilidad del consumidor e introduce el excedente del consumidor.</w:t>
      </w:r>
      <w:r>
        <w:rPr>
          <w:rStyle w:val="FootnoteReference"/>
        </w:rPr>
        <w:footnoteReference w:id="32"/>
      </w:r>
    </w:p>
    <w:p>
      <w:pPr>
        <w:numPr>
          <w:ilvl w:val="2"/>
          <w:numId w:val="1006"/>
        </w:numPr>
      </w:pPr>
      <w:r>
        <w:t xml:space="preserve">En 1854,</w:t>
      </w:r>
      <w:r>
        <w:t xml:space="preserve"> </w:t>
      </w:r>
      <w:r>
        <w:rPr>
          <w:smallCaps/>
        </w:rPr>
        <w:t xml:space="preserve">Hermann Heinrich Gossen</w:t>
      </w:r>
      <w:r>
        <w:t xml:space="preserve"> </w:t>
      </w:r>
      <w:r>
        <w:t xml:space="preserve">formula sus dos leyes:</w:t>
      </w:r>
      <w:r>
        <w:rPr>
          <w:rStyle w:val="FootnoteReference"/>
        </w:rPr>
        <w:footnoteReference w:id="33"/>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34" w:name="ley:gossen2"/>
      <w:bookmarkEnd w:id="34"/>
      <w:r>
        <w:t xml:space="preserve"> </w:t>
      </w:r>
      <w:r>
        <w:t xml:space="preserve">el individuo reparte su renta de modo que la última unidad monetaria gastada en cada bien le reporte la misma utilidad,</w:t>
      </w:r>
      <w:r>
        <w:t xml:space="preserve"> </w:t>
      </w:r>
      <m:oMath>
        <m:f>
          <m:fPr>
            <m:type m:val="bar"/>
          </m:fPr>
          <m:num>
            <m:r>
              <m:t>U</m:t>
            </m:r>
            <m:r>
              <m:t>M</m:t>
            </m:r>
            <m:sSub>
              <m:e>
                <m:r>
                  <m:t>g</m:t>
                </m:r>
              </m:e>
              <m:sub>
                <m:r>
                  <m:t>1</m:t>
                </m:r>
              </m:sub>
            </m:sSub>
          </m:num>
          <m:den>
            <m:sSub>
              <m:e>
                <m:r>
                  <m:t>p</m:t>
                </m:r>
              </m:e>
              <m:sub>
                <m:r>
                  <m:t>1</m:t>
                </m:r>
              </m:sub>
            </m:sSub>
          </m:den>
        </m:f>
        <m:r>
          <m:rPr>
            <m:sty m:val="p"/>
          </m:rPr>
          <m:t>=</m:t>
        </m:r>
        <m:r>
          <m:rPr>
            <m:sty m:val="p"/>
          </m:rPr>
          <m:t>…</m:t>
        </m:r>
        <m:r>
          <m:rPr>
            <m:sty m:val="p"/>
          </m:rPr>
          <m:t>=</m:t>
        </m:r>
        <m:f>
          <m:fPr>
            <m:type m:val="bar"/>
          </m:fPr>
          <m:num>
            <m:r>
              <m:t>U</m:t>
            </m:r>
            <m:r>
              <m:t>M</m:t>
            </m:r>
            <m:sSub>
              <m:e>
                <m: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setenta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rPr>
          <w:smallCaps/>
        </w:rPr>
        <w:t xml:space="preserve">Walras</w:t>
      </w:r>
      <w:r>
        <w:t xml:space="preserve"> </w:t>
      </w:r>
      <w:r>
        <w:t xml:space="preserve">(1874),</w:t>
      </w:r>
      <w:r>
        <w:rPr>
          <w:rStyle w:val="FootnoteReference"/>
        </w:rPr>
        <w:footnoteReference w:id="35"/>
      </w:r>
      <w:r>
        <w:t xml:space="preserve"> </w:t>
      </w:r>
      <w:r>
        <w:t xml:space="preserve">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A).</w:t>
      </w:r>
    </w:p>
    <w:p>
      <w:pPr>
        <w:numPr>
          <w:ilvl w:val="1"/>
          <w:numId w:val="1005"/>
        </w:numPr>
      </w:pPr>
      <w:r>
        <w:rPr>
          <w:smallCaps/>
        </w:rPr>
        <w:t xml:space="preserve">Francis Ysidro Edgeworth</w:t>
      </w:r>
      <w:r>
        <w:rPr>
          <w:rStyle w:val="FootnoteReference"/>
        </w:rPr>
        <w:footnoteReference w:id="36"/>
      </w:r>
      <w:r>
        <w:t xml:space="preserve"> </w:t>
      </w:r>
      <w:r>
        <w:t xml:space="preserve">(1881) define la utilidad como función de las cantidades de todos los bienes e idea las curvas de indiferencia.</w:t>
      </w:r>
      <w:r>
        <w:rPr>
          <w:rStyle w:val="FootnoteReference"/>
        </w:rPr>
        <w:footnoteReference w:id="38"/>
      </w:r>
      <w:r>
        <w:t xml:space="preserve"> </w:t>
      </w:r>
      <w:r>
        <w:rPr>
          <w:smallCaps/>
        </w:rPr>
        <w:t xml:space="preserve">Irving Fisher</w:t>
      </w:r>
      <w:r>
        <w:t xml:space="preserve"> </w:t>
      </w:r>
      <w:r>
        <w:t xml:space="preserve">(1892)</w:t>
      </w:r>
      <w:r>
        <w:rPr>
          <w:rStyle w:val="FootnoteReference"/>
        </w:rPr>
        <w:footnoteReference w:id="39"/>
      </w:r>
      <w:r>
        <w:t xml:space="preserve"> </w:t>
      </w:r>
      <w:r>
        <w:t xml:space="preserve">y, sobre todo,</w:t>
      </w:r>
      <w:r>
        <w:t xml:space="preserve"> </w:t>
      </w:r>
      <w:r>
        <w:rPr>
          <w:smallCaps/>
        </w:rPr>
        <w:t xml:space="preserve">Vilfredo Pareto</w:t>
      </w:r>
      <w:r>
        <w:t xml:space="preserve"> </w:t>
      </w:r>
      <w:r>
        <w:t xml:space="preserve">(1906)</w:t>
      </w:r>
      <w:r>
        <w:rPr>
          <w:rStyle w:val="FootnoteReference"/>
        </w:rPr>
        <w:footnoteReference w:id="40"/>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41"/>
      </w:r>
      <w:r>
        <w:t xml:space="preserve"> </w:t>
      </w:r>
      <w:r>
        <w:t xml:space="preserve">Hoy se acepta que solo importa la utilidad ordinal: la función de utilidad es un instrumento cómodo para representar una relación de preferencia.</w:t>
      </w:r>
    </w:p>
    <w:p>
      <w:pPr>
        <w:numPr>
          <w:ilvl w:val="1"/>
          <w:numId w:val="1005"/>
        </w:numPr>
      </w:pPr>
      <w:r>
        <w:rPr>
          <w:smallCaps/>
        </w:rPr>
        <w:t xml:space="preserve">Eugen Slutsky</w:t>
      </w:r>
      <w:r>
        <w:t xml:space="preserve"> </w:t>
      </w:r>
      <w:r>
        <w:t xml:space="preserve">(1915) descompone el efecto de un cambio de precio en efecto sustitución y efecto renta,</w:t>
      </w:r>
      <w:r>
        <w:rPr>
          <w:rStyle w:val="FootnoteReference"/>
        </w:rPr>
        <w:footnoteReference w:id="42"/>
      </w:r>
      <w:r>
        <w:t xml:space="preserve"> </w:t>
      </w:r>
      <w:r>
        <w:t xml:space="preserve">y</w:t>
      </w:r>
      <w:r>
        <w:t xml:space="preserve"> </w:t>
      </w:r>
      <w:r>
        <w:rPr>
          <w:smallCaps/>
        </w:rPr>
        <w:t xml:space="preserve">John Hicks</w:t>
      </w:r>
      <w:r>
        <w:t xml:space="preserve"> </w:t>
      </w:r>
      <w:r>
        <w:t xml:space="preserve">y</w:t>
      </w:r>
      <w:r>
        <w:t xml:space="preserve"> </w:t>
      </w:r>
      <w:r>
        <w:rPr>
          <w:smallCaps/>
        </w:rPr>
        <w:t xml:space="preserve">Roy Allen</w:t>
      </w:r>
      <w:r>
        <w:t xml:space="preserve"> </w:t>
      </w:r>
      <w:r>
        <w:t xml:space="preserve">(1934) reformulan la teoría del valor en términos puramente ordinales, con la relación marginal de sustitución en lugar de la utilidad marginal.</w:t>
      </w:r>
      <w:r>
        <w:rPr>
          <w:rStyle w:val="FootnoteReference"/>
        </w:rPr>
        <w:footnoteReference w:id="43"/>
      </w:r>
      <w:r>
        <w:t xml:space="preserve"> </w:t>
      </w:r>
      <w:r>
        <w:rPr>
          <w:smallCaps/>
        </w:rPr>
        <w:t xml:space="preserve">Gérard Debreu</w:t>
      </w:r>
      <w:r>
        <w:t xml:space="preserve"> </w:t>
      </w:r>
      <w:r>
        <w:t xml:space="preserve">(1959) le da su forma axiomática actual.</w:t>
      </w:r>
      <w:r>
        <w:rPr>
          <w:rStyle w:val="FootnoteReference"/>
        </w:rPr>
        <w:footnoteReference w:id="44"/>
      </w:r>
    </w:p>
    <w:p>
      <w:pPr>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rPr>
          <w:smallCaps/>
        </w:rPr>
        <w:t xml:space="preserve">Paul A. Samuelson</w:t>
      </w:r>
      <w:r>
        <w:t xml:space="preserve"> </w:t>
      </w:r>
      <w:r>
        <w:t xml:space="preserve">(1938, 1948)</w:t>
      </w:r>
      <w:r>
        <w:rPr>
          <w:rStyle w:val="FootnoteReference"/>
        </w:rPr>
        <w:footnoteReference w:id="45"/>
      </w:r>
      <w:r>
        <w:t xml:space="preserve"> </w:t>
      </w:r>
      <w:r>
        <w:t xml:space="preserve">y</w:t>
      </w:r>
      <w:r>
        <w:t xml:space="preserve"> </w:t>
      </w:r>
      <w:r>
        <w:rPr>
          <w:smallCaps/>
        </w:rPr>
        <w:t xml:space="preserve">Hendrik S. Houthakker</w:t>
      </w:r>
      <w:r>
        <w:t xml:space="preserve"> </w:t>
      </w:r>
      <w:r>
        <w:t xml:space="preserve">(1950),</w:t>
      </w:r>
      <w:r>
        <w:rPr>
          <w:rStyle w:val="FootnoteReference"/>
        </w:rPr>
        <w:footnoteReference w:id="46"/>
      </w:r>
      <w:r>
        <w:t xml:space="preserve"> </w:t>
      </w:r>
      <w:r>
        <w:t xml:space="preserve">que</w:t>
      </w:r>
      <w:r>
        <w:t xml:space="preserve"> </w:t>
      </w:r>
      <w:r>
        <w:rPr>
          <w:smallCaps/>
        </w:rPr>
        <w:t xml:space="preserve">Sydney Afriat</w:t>
      </w:r>
      <w:r>
        <w:t xml:space="preserve"> </w:t>
      </w:r>
      <w:r>
        <w:t xml:space="preserve">(1967) lleva a datos finitos;</w:t>
      </w:r>
      <w:r>
        <w:rPr>
          <w:rStyle w:val="FootnoteReference"/>
        </w:rPr>
        <w:footnoteReference w:id="47"/>
      </w:r>
      <w:r>
        <w:t xml:space="preserve"> </w:t>
      </w:r>
      <w:r>
        <w:t xml:space="preserve">el camino inverso, de la demanda a las preferencias por la vía de la integrabilidad (</w:t>
      </w:r>
      <w:r>
        <w:rPr>
          <w:smallCaps/>
        </w:rPr>
        <w:t xml:space="preserve">Antonelli</w:t>
      </w:r>
      <w:r>
        <w:t xml:space="preserve">, 1886;</w:t>
      </w:r>
      <w:r>
        <w:t xml:space="preserve"> </w:t>
      </w:r>
      <w:r>
        <w:rPr>
          <w:smallCaps/>
        </w:rPr>
        <w:t xml:space="preserve">Hurwicz</w:t>
      </w:r>
      <w:r>
        <w:t xml:space="preserve"> </w:t>
      </w:r>
      <w:r>
        <w:t xml:space="preserve">y</w:t>
      </w:r>
      <w:r>
        <w:t xml:space="preserve"> </w:t>
      </w:r>
      <w:r>
        <w:rPr>
          <w:smallCaps/>
        </w:rPr>
        <w:t xml:space="preserve">Uzawa</w:t>
      </w:r>
      <w:r>
        <w:t xml:space="preserve">, 1971;</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1976), se estudia junto a la dualidad</w:t>
      </w:r>
      <w:r>
        <w:t xml:space="preserve"> </w:t>
      </w:r>
      <w:r>
        <w:rPr>
          <w:rStyle w:val="Referenciaatema"/>
        </w:rPr>
        <w:t xml:space="preserve">[ver tema 3.A.9]</w:t>
      </w:r>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rPr>
          <w:smallCaps/>
        </w:rPr>
        <w:t xml:space="preserve">Gary Becker</w:t>
      </w:r>
      <w:r>
        <w:t xml:space="preserve"> </w:t>
      </w:r>
      <w:r>
        <w:t xml:space="preserve">(1965),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rPr>
          <w:smallCaps/>
        </w:rPr>
        <w:t xml:space="preserve">Andrew Court</w:t>
      </w:r>
      <w:r>
        <w:t xml:space="preserve"> </w:t>
      </w:r>
      <w:r>
        <w:t xml:space="preserve">(1939) acuña el término,</w:t>
      </w:r>
      <w:r>
        <w:t xml:space="preserve"> </w:t>
      </w:r>
      <w:r>
        <w:rPr>
          <w:smallCaps/>
        </w:rPr>
        <w:t xml:space="preserve">Zvi Griliches</w:t>
      </w:r>
      <w:r>
        <w:t xml:space="preserve"> </w:t>
      </w:r>
      <w:r>
        <w:t xml:space="preserve">(1961) lo convierte en un método para ajustar los índices de precios por calidad y</w:t>
      </w:r>
      <w:r>
        <w:t xml:space="preserve"> </w:t>
      </w:r>
      <w:r>
        <w:rPr>
          <w:smallCaps/>
        </w:rPr>
        <w:t xml:space="preserve">Sherwin Rosen</w:t>
      </w:r>
      <w:r>
        <w:t xml:space="preserve"> </w:t>
      </w:r>
      <w:r>
        <w:t xml:space="preserve">(1974) le da fundamento teórico.</w:t>
      </w:r>
      <w:r>
        <w:rPr>
          <w:rStyle w:val="FootnoteReference"/>
        </w:rPr>
        <w:footnoteReference w:id="48"/>
      </w:r>
    </w:p>
    <w:p>
      <w:pPr>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numPr>
          <w:ilvl w:val="0"/>
          <w:numId w:val="1001"/>
        </w:numPr>
      </w:pPr>
      <w:r>
        <w:rPr>
          <w:b/>
          <w:bCs/>
          <w:i/>
          <w:iCs/>
        </w:rPr>
        <w:t xml:space="preserve">Estructura</w:t>
      </w:r>
      <w:r>
        <w:t xml:space="preserve">: la exposición se organiza en tres partes.</w:t>
      </w:r>
    </w:p>
    <w:p>
      <w:pPr>
        <w:numPr>
          <w:ilvl w:val="1"/>
          <w:numId w:val="1010"/>
        </w:numPr>
      </w:pPr>
      <w:r>
        <w:rPr>
          <w:b/>
          <w:bCs/>
        </w:rPr>
        <w:t xml:space="preserve">I. La función de demanda</w:t>
      </w:r>
      <w:r>
        <w:t xml:space="preserve">: a partir de las preferencias y su representación mediante una función de utilidad (I.1) y de la restricción presupuestaria, obtendremos la demanda marshalliana individual (I.2) y estudiaremos en qué condiciones puede agregarse en una demanda de mercado (I.3).</w:t>
      </w:r>
    </w:p>
    <w:p>
      <w:pPr>
        <w:numPr>
          <w:ilvl w:val="1"/>
          <w:numId w:val="1010"/>
        </w:numPr>
      </w:pPr>
      <w:r>
        <w:rPr>
          <w:b/>
          <w:bCs/>
        </w:rPr>
        <w:t xml:space="preserve">II. Estática comparativa</w:t>
      </w:r>
      <w:r>
        <w:t xml:space="preserve">: analizaremos cómo responde la demanda a cambios en la renta (II.1), en el precio del propio bien (II.2) y en el de otros bienes (II.3), con la ecuación de</w:t>
      </w:r>
      <w:r>
        <w:t xml:space="preserve"> </w:t>
      </w:r>
      <w:r>
        <w:rPr>
          <w:smallCaps/>
        </w:rPr>
        <w:t xml:space="preserve">Slutsky</w:t>
      </w:r>
      <w:r>
        <w:t xml:space="preserve">.</w:t>
      </w:r>
    </w:p>
    <w:p>
      <w:pPr>
        <w:numPr>
          <w:ilvl w:val="1"/>
          <w:numId w:val="1010"/>
        </w:numPr>
      </w:pPr>
      <w:r>
        <w:rPr>
          <w:b/>
          <w:bCs/>
        </w:rPr>
        <w:t xml:space="preserve">III. Otros desarrollos</w:t>
      </w:r>
      <w:r>
        <w:t xml:space="preserve">: la teoría de la preferencia revelada, que parte de la conducta observada y no de preferencias inobservables (III.1); la producción doméstica, que introduce el tiempo y la «tecnología del consumo» (III.2), y los precios hedónicos, que valoran empíricamente los bienes por sus características (III.3).</w:t>
      </w:r>
    </w:p>
    <w:p>
      <w:pPr>
        <w:pStyle w:val="Esquema"/>
      </w:pPr>
      <w:r>
        <w:rPr>
          <w:b/>
          <w:bCs/>
        </w:rPr>
        <w:t xml:space="preserve">Esquema del tema. </w:t>
      </w:r>
      <w:r>
        <w:rPr>
          <w:b/>
          <w:bCs/>
        </w:rPr>
        <w:t xml:space="preserve">3.A.8. Teoría de la demanda del consumidor (I)</w:t>
      </w:r>
      <w:r>
        <w:br/>
      </w:r>
      <w:r>
        <w:t xml:space="preserve">Introducción</w:t>
      </w:r>
      <w:r>
        <w:br/>
      </w:r>
      <w:r>
        <w:t xml:space="preserve">I. La función de demanda</w:t>
      </w:r>
      <w:r>
        <w:br/>
      </w:r>
      <w:r>
        <w:t xml:space="preserve">1. Preferencias y función de utilidad (axiomas, Debreu, RMS)</w:t>
      </w:r>
      <w:r>
        <w:br/>
      </w:r>
      <w:r>
        <w:t xml:space="preserve">2. Restricción presupuestaria y demanda individual</w:t>
      </w:r>
      <w:r>
        <w:t xml:space="preserve"> </w:t>
      </w:r>
      <m:oMath>
        <m:r>
          <m:t>x</m:t>
        </m:r>
        <m:d>
          <m:dPr>
            <m:begChr m:val="("/>
            <m:sepChr m:val=""/>
            <m:endChr m:val=")"/>
            <m:grow/>
          </m:dPr>
          <m:e>
            <m:r>
              <m:t>p</m:t>
            </m:r>
            <m:r>
              <m:rPr>
                <m:sty m:val="p"/>
              </m:rPr>
              <m:t>,</m:t>
            </m:r>
            <m:bar>
              <m:barPr>
                <m:pos m:val="top"/>
              </m:barPr>
              <m:e>
                <m:r>
                  <m:t>W</m:t>
                </m:r>
              </m:e>
            </m:bar>
          </m:e>
        </m:d>
      </m:oMath>
      <w:r>
        <w:br/>
      </w:r>
      <w:r>
        <w:t xml:space="preserve">3. Agregación: Gorman y efecto renta nulo</w:t>
      </w:r>
      <w:r>
        <w:br/>
      </w:r>
      <w:r>
        <w:t xml:space="preserve">II. Estática comparativa</w:t>
      </w:r>
      <w:r>
        <w:br/>
      </w:r>
      <w:r>
        <w:t xml:space="preserve">1. Efecto renta (Engel)</w:t>
      </w:r>
      <w:r>
        <w:br/>
      </w:r>
      <w:r>
        <w:t xml:space="preserve">2. Efecto precio propio (Slutsky: ES + ER)</w:t>
      </w:r>
      <w:r>
        <w:br/>
      </w:r>
      <w:r>
        <w:t xml:space="preserve">3. Efecto precio cruzado (brutos y netos, Cournot)</w:t>
      </w:r>
      <w:r>
        <w:br/>
      </w:r>
      <w:r>
        <w:t xml:space="preserve">III. Otros desarrollos</w:t>
      </w:r>
      <w:r>
        <w:br/>
      </w:r>
      <w:r>
        <w:t xml:space="preserve">1. Preferencia revelada (Samuelson, Houthakker, Afriat)</w:t>
      </w:r>
      <w:r>
        <w:br/>
      </w:r>
      <w:r>
        <w:t xml:space="preserve">2. Producción doméstica (Becker)</w:t>
      </w:r>
      <w:r>
        <w:br/>
      </w:r>
      <w:r>
        <w:t xml:space="preserve">3. Precios hedónicos (Griliches, Rosen)</w:t>
      </w:r>
      <w:r>
        <w:br/>
      </w:r>
      <w:r>
        <w:t xml:space="preserve">Conclusión</w:t>
      </w:r>
    </w:p>
    <w:p>
      <w:pPr>
        <w:pStyle w:val="Notaalopositor"/>
      </w:pPr>
      <w:r>
        <w:rPr>
          <w:b/>
          <w:bCs/>
        </w:rPr>
        <w:t xml:space="preserve">Nota al opositor. </w:t>
      </w:r>
      <w:r>
        <w:t xml:space="preserve">La estructura sigue la propuesta que acompañó al cambio de título del tema en el temario de 2023: I. La función de demanda (preferencias y utilidad; restricción presupuestaria y demanda individual; agregación y efecto renta nulo); II. Estática comparativa (efecto renta, precio propio y precio cruzado); III. Otros desarrollos (preferencia revelada, producción doméstica y precios hedónicos). Conviene escribir este esquema en la pizarra al empezar.</w:t>
      </w:r>
    </w:p>
    <w:bookmarkEnd w:id="49"/>
    <w:bookmarkStart w:id="145" w:name="la-función-de-demanda"/>
    <w:p>
      <w:pPr>
        <w:pStyle w:val="Heading1"/>
      </w:pPr>
      <w:r>
        <w:t xml:space="preserve">I.</w:t>
      </w:r>
      <w:r>
        <w:t xml:space="preserve"> </w:t>
      </w:r>
      <w:r>
        <w:t xml:space="preserve">La función de demanda</w:t>
      </w:r>
    </w:p>
    <w:p>
      <w:pPr>
        <w:numPr>
          <w:ilvl w:val="0"/>
          <w:numId w:val="1011"/>
        </w:numPr>
      </w:pPr>
      <w:r>
        <w:t xml:space="preserve">La</w:t>
      </w:r>
      <w:r>
        <w:t xml:space="preserve"> </w:t>
      </w:r>
      <w:r>
        <w:rPr>
          <w:b/>
          <w:bCs/>
        </w:rPr>
        <w:t xml:space="preserve">teoría neoclásica ordinal</w:t>
      </w:r>
      <w:r>
        <w:t xml:space="preserve"> </w:t>
      </w:r>
      <w:r>
        <w:t xml:space="preserve">de la demanda parte de dos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50"/>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1 resume el camino que recorre este apartado.</w:t>
      </w:r>
    </w:p>
    <w:bookmarkStart w:id="54" w:name="fig:esquema-ingredientes"/>
    <w:p>
      <w:pPr>
        <w:pStyle w:val="ImageCaption"/>
      </w:pPr>
      <w:r>
        <w:t xml:space="preserve">Gráfico 1.–</w:t>
      </w:r>
      <w:r>
        <w:t xml:space="preserve"> </w:t>
      </w:r>
      <w:r>
        <w:t xml:space="preserve">De las preferencias a la demanda de mercado</w:t>
      </w:r>
    </w:p>
    <w:p>
      <w:pPr>
        <w:pStyle w:val="CaptionedFigure"/>
      </w:pPr>
      <w:r>
        <w:drawing>
          <wp:inline>
            <wp:extent cx="5969000" cy="2196661"/>
            <wp:effectExtent b="0" l="0" r="0" t="0"/>
            <wp:docPr descr="" title="" id="52" name="Picture"/>
            <a:graphic>
              <a:graphicData uri="http://schemas.openxmlformats.org/drawingml/2006/picture">
                <pic:pic>
                  <pic:nvPicPr>
                    <pic:cNvPr descr="C:\Users\vgutierrez\Documents\src\victorgutierrezmarcos.github.io-revision\oposicion\temario\fuentes\3A08\graficos/esquema-ingredientes.png" id="53" name="Picture"/>
                    <pic:cNvPicPr>
                      <a:picLocks noChangeArrowheads="1" noChangeAspect="1"/>
                    </pic:cNvPicPr>
                  </pic:nvPicPr>
                  <pic:blipFill>
                    <a:blip r:embed="rId51"/>
                    <a:stretch>
                      <a:fillRect/>
                    </a:stretch>
                  </pic:blipFill>
                  <pic:spPr bwMode="auto">
                    <a:xfrm>
                      <a:off x="0" y="0"/>
                      <a:ext cx="5969000" cy="2196661"/>
                    </a:xfrm>
                    <a:prstGeom prst="rect">
                      <a:avLst/>
                    </a:prstGeom>
                    <a:noFill/>
                    <a:ln w="9525">
                      <a:noFill/>
                      <a:headEnd/>
                      <a:tailEnd/>
                    </a:ln>
                  </pic:spPr>
                </pic:pic>
              </a:graphicData>
            </a:graphic>
          </wp:inline>
        </w:drawing>
      </w:r>
    </w:p>
    <w:bookmarkEnd w:id="54"/>
    <w:p>
      <w:pPr>
        <w:pStyle w:val="Piedeimagen"/>
      </w:pPr>
      <w:r>
        <w:t xml:space="preserve">Fuente: elaboración propia.</w:t>
      </w:r>
    </w:p>
    <w:p>
      <w:pPr>
        <w:numPr>
          <w:ilvl w:val="0"/>
          <w:numId w:val="1012"/>
        </w:numPr>
      </w:pPr>
      <w:r>
        <w:t xml:space="preserve">El análisis se apoya en estos</w:t>
      </w:r>
      <w:r>
        <w:t xml:space="preserve"> </w:t>
      </w:r>
      <w:r>
        <w:rPr>
          <w:b/>
          <w:bCs/>
        </w:rPr>
        <w:t xml:space="preserve">supuestos</w:t>
      </w:r>
      <w:r>
        <w:t xml:space="preserve">:</w:t>
      </w:r>
    </w:p>
    <w:p>
      <w:pPr>
        <w:numPr>
          <w:ilvl w:val="1"/>
          <w:numId w:val="1013"/>
        </w:numPr>
      </w:pPr>
      <w:r>
        <w:t xml:space="preserve">contexto estático y sin incertidumbre</w:t>
      </w:r>
      <w:r>
        <w:t xml:space="preserve"> </w:t>
      </w:r>
      <w:r>
        <w:rPr>
          <w:rStyle w:val="Referenciaatema"/>
        </w:rPr>
        <w:t xml:space="preserve">[ver tema 3.A.10]</w:t>
      </w:r>
      <w:r>
        <w:t xml:space="preserve">;</w:t>
      </w:r>
    </w:p>
    <w:p>
      <w:pPr>
        <w:numPr>
          <w:ilvl w:val="1"/>
          <w:numId w:val="1013"/>
        </w:numPr>
      </w:pPr>
      <w:r>
        <w:t xml:space="preserve">información perfecta sobre bienes y precios;</w:t>
      </w:r>
    </w:p>
    <w:p>
      <w:pPr>
        <w:numPr>
          <w:ilvl w:val="1"/>
          <w:numId w:val="1013"/>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3"/>
        </w:numPr>
      </w:pPr>
      <w:r>
        <w:t xml:space="preserve">la decisión de consumo se separa de la de oferta de trabajo</w:t>
      </w:r>
      <w:r>
        <w:t xml:space="preserve"> </w:t>
      </w:r>
      <w:r>
        <w:rPr>
          <w:rStyle w:val="Referenciaatema"/>
        </w:rPr>
        <w:t xml:space="preserve">[ver tema 3.A.25]</w:t>
      </w:r>
      <w:r>
        <w:t xml:space="preserve"> </w:t>
      </w:r>
      <w:r>
        <w:t xml:space="preserve">y de las decisiones intertemporales</w:t>
      </w:r>
      <w:r>
        <w:t xml:space="preserve"> </w:t>
      </w:r>
      <w:r>
        <w:rPr>
          <w:rStyle w:val="Referenciaatema"/>
        </w:rPr>
        <w:t xml:space="preserve">[ver tema 3.A.29]</w:t>
      </w:r>
      <w:r>
        <w:t xml:space="preserve">, y</w:t>
      </w:r>
    </w:p>
    <w:p>
      <w:pPr>
        <w:numPr>
          <w:ilvl w:val="1"/>
          <w:numId w:val="1013"/>
        </w:numPr>
      </w:pPr>
      <w:r>
        <w:t xml:space="preserve">los bienes son homogéneos: la utilidad depende solo de las cantidades consumidas de cada bien.</w:t>
      </w:r>
    </w:p>
    <w:bookmarkStart w:id="103" w:name="preferencias-y-funciones-de-utilidad"/>
    <w:p>
      <w:pPr>
        <w:pStyle w:val="Heading2"/>
      </w:pPr>
      <w:r>
        <w:t xml:space="preserve">I.1.</w:t>
      </w:r>
      <w:r>
        <w:t xml:space="preserve"> </w:t>
      </w:r>
      <w:r>
        <w:t xml:space="preserve">Preferencias y funciones de utilidad</w:t>
      </w:r>
    </w:p>
    <w:p>
      <w:pPr>
        <w:pStyle w:val="Notaalopositor"/>
      </w:pPr>
      <w:r>
        <w:rPr>
          <w:b/>
          <w:bCs/>
        </w:rPr>
        <w:t xml:space="preserve">Nota al opositor. </w:t>
      </w:r>
      <w:r>
        <w:t xml:space="preserve">En el cante: conjunto de elección, relación de preferencia, los siete axiomas con el teorema de</w:t>
      </w:r>
      <w:r>
        <w:t xml:space="preserve"> </w:t>
      </w:r>
      <w:r>
        <w:rPr>
          <w:smallCaps/>
        </w:rPr>
        <w:t xml:space="preserve">Debreu</w:t>
      </w:r>
      <w:r>
        <w:t xml:space="preserve">, la utilidad ordinal, las curvas de indiferencia, la RMS y la elasticidad de sustitución, nombrando los tres casos de la CES. Se dibuja el gráfico 3, añadiendo un axioma cada vez. Los cuatro casos de la relación binaria, las propiedades del conjunto de elección, la cuasiconcavidad en tres dimensiones y el detalle de la CES son de profundización.</w:t>
      </w:r>
    </w:p>
    <w:bookmarkStart w:id="56" w:name="conjunto-de-elección"/>
    <w:p>
      <w:pPr>
        <w:pStyle w:val="Heading3"/>
      </w:pPr>
      <w:r>
        <w:t xml:space="preserve">I.1.1.</w:t>
      </w:r>
      <w:r>
        <w:t xml:space="preserve"> </w:t>
      </w:r>
      <w:r>
        <w:t xml:space="preserve">Conjunto de elección</w:t>
      </w:r>
    </w:p>
    <w:p>
      <w:pPr>
        <w:numPr>
          <w:ilvl w:val="0"/>
          <w:numId w:val="1014"/>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r>
          <m:t>x</m:t>
        </m:r>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55"/>
      </w:r>
    </w:p>
    <w:p>
      <w:pPr>
        <w:numPr>
          <w:ilvl w:val="1"/>
          <w:numId w:val="1015"/>
        </w:numPr>
      </w:pPr>
      <m:oMath>
        <m:r>
          <m:t>S</m:t>
        </m:r>
      </m:oMath>
      <w:r>
        <w:t xml:space="preserve"> </w:t>
      </w:r>
      <w:r>
        <w:t xml:space="preserve">cumple unas propiedades mínimas:</w:t>
      </w:r>
    </w:p>
    <w:p>
      <w:pPr>
        <w:numPr>
          <w:ilvl w:val="2"/>
          <w:numId w:val="1016"/>
        </w:numPr>
      </w:pPr>
      <w:r>
        <w:t xml:space="preserve">es</w:t>
      </w:r>
      <w:r>
        <w:t xml:space="preserve"> </w:t>
      </w:r>
      <w:r>
        <w:rPr>
          <w:i/>
          <w:iCs/>
        </w:rPr>
        <w:t xml:space="preserve">no vacío</w:t>
      </w:r>
      <w:r>
        <w:t xml:space="preserve">;</w:t>
      </w:r>
    </w:p>
    <w:p>
      <w:pPr>
        <w:numPr>
          <w:ilvl w:val="2"/>
          <w:numId w:val="1016"/>
        </w:numPr>
      </w:pPr>
      <w:r>
        <w:t xml:space="preserve">es</w:t>
      </w:r>
      <w:r>
        <w:t xml:space="preserve"> </w:t>
      </w:r>
      <w:r>
        <w:rPr>
          <w:i/>
          <w:iCs/>
        </w:rPr>
        <w:t xml:space="preserve">cerrado</w:t>
      </w:r>
      <w:r>
        <w:t xml:space="preserve">: incluye su frontera, de modo que el límite de una sucesión de cestas factibles también es factible;</w:t>
      </w:r>
    </w:p>
    <w:p>
      <w:pPr>
        <w:numPr>
          <w:ilvl w:val="2"/>
          <w:numId w:val="1016"/>
        </w:numPr>
      </w:pPr>
      <w:r>
        <w:t xml:space="preserve">está</w:t>
      </w:r>
      <w:r>
        <w:t xml:space="preserve"> </w:t>
      </w:r>
      <w:r>
        <w:rPr>
          <w:i/>
          <w:iCs/>
        </w:rPr>
        <w:t xml:space="preserve">acotado inferiormente</w:t>
      </w:r>
      <w:r>
        <w:t xml:space="preserve"> </w:t>
      </w:r>
      <w:r>
        <w:t xml:space="preserve">por la cesta nula,</w:t>
      </w:r>
      <w:r>
        <w:t xml:space="preserve"> </w:t>
      </w:r>
      <m:oMath>
        <m:r>
          <m:t>0</m:t>
        </m:r>
        <m:r>
          <m:rPr>
            <m:sty m:val="p"/>
          </m:rPr>
          <m:t>∈</m:t>
        </m:r>
        <m:r>
          <m:t>S</m:t>
        </m:r>
      </m:oMath>
      <w:r>
        <w:t xml:space="preserve">: las cantidades consumidas nunca son negativas;</w:t>
      </w:r>
    </w:p>
    <w:p>
      <w:pPr>
        <w:numPr>
          <w:ilvl w:val="2"/>
          <w:numId w:val="1016"/>
        </w:numPr>
      </w:pPr>
      <w:r>
        <w:t xml:space="preserve">es</w:t>
      </w:r>
      <w:r>
        <w:t xml:space="preserve"> </w:t>
      </w:r>
      <w:r>
        <w:rPr>
          <w:i/>
          <w:iCs/>
        </w:rPr>
        <w:t xml:space="preserve">convexo</w:t>
      </w:r>
      <w:r>
        <w:t xml:space="preserve">: dadas dos cestas factibles, cualquier combinación convexa de ellas también lo es,</w:t>
      </w:r>
      <w:r>
        <w:t xml:space="preserve"> </w:t>
      </w:r>
      <m:oMath>
        <m:r>
          <m:t>λ</m:t>
        </m:r>
        <m:r>
          <m:t>x</m:t>
        </m:r>
        <m:r>
          <m:rPr>
            <m:sty m:val="p"/>
          </m:rPr>
          <m:t>′</m:t>
        </m:r>
        <m:r>
          <m:rPr>
            <m:sty m:val="p"/>
          </m:rPr>
          <m:t>+</m:t>
        </m:r>
        <m:d>
          <m:dPr>
            <m:begChr m:val="("/>
            <m:sepChr m:val=""/>
            <m:endChr m:val=")"/>
            <m:grow/>
          </m:dPr>
          <m:e>
            <m:r>
              <m:t>1</m:t>
            </m:r>
            <m:r>
              <m:rPr>
                <m:sty m:val="p"/>
              </m:rPr>
              <m:t>−</m:t>
            </m:r>
            <m:r>
              <m:t>λ</m:t>
            </m:r>
          </m:e>
        </m:d>
        <m:r>
          <m:t>x</m:t>
        </m:r>
        <m:r>
          <m:rPr>
            <m:sty m:val="p"/>
          </m:rPr>
          <m:t>″</m:t>
        </m:r>
        <m:r>
          <m:rPr>
            <m:sty m:val="p"/>
          </m:rPr>
          <m:t>∈</m:t>
        </m:r>
        <m:r>
          <m:t>S</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56"/>
    <w:bookmarkStart w:id="61" w:name="preferencias"/>
    <w:p>
      <w:pPr>
        <w:pStyle w:val="Heading3"/>
      </w:pPr>
      <w:r>
        <w:t xml:space="preserve">I.1.2.</w:t>
      </w:r>
      <w:r>
        <w:t xml:space="preserve"> </w:t>
      </w:r>
      <w:r>
        <w:t xml:space="preserve">Preferencias</w:t>
      </w:r>
    </w:p>
    <w:p>
      <w:pPr>
        <w:numPr>
          <w:ilvl w:val="0"/>
          <w:numId w:val="1017"/>
        </w:numPr>
      </w:pPr>
      <w:r>
        <w:t xml:space="preserve">El consumidor tiene unas</w:t>
      </w:r>
      <w:r>
        <w:t xml:space="preserve"> </w:t>
      </w:r>
      <w:r>
        <w:rPr>
          <w:b/>
          <w:bCs/>
        </w:rPr>
        <w:t xml:space="preserve">preferencias</w:t>
      </w:r>
      <w:r>
        <w:t xml:space="preserve">, una relación binaria que le permite escoger entre pares de alternativas del conjunto de elección. Escribimos</w:t>
      </w:r>
      <w:r>
        <w:t xml:space="preserve"> </w:t>
      </w:r>
      <m:oMath>
        <m:sSup>
          <m:e>
            <m:r>
              <m:t>x</m:t>
            </m:r>
          </m:e>
          <m:sup>
            <m:r>
              <m:t>0</m:t>
            </m:r>
          </m:sup>
        </m:sSup>
        <m:r>
          <m:rPr>
            <m:sty m:val="p"/>
          </m:rPr>
          <m:t>≽</m:t>
        </m:r>
        <m:sSup>
          <m:e>
            <m:r>
              <m:t>x</m:t>
            </m:r>
          </m:e>
          <m:sup>
            <m:r>
              <m:t>1</m:t>
            </m:r>
          </m:sup>
        </m:sSup>
      </m:oMath>
      <w:r>
        <w:t xml:space="preserve"> </w:t>
      </w:r>
      <w:r>
        <w:t xml:space="preserve">para indicar que</w:t>
      </w:r>
      <w:r>
        <w:t xml:space="preserve"> </w:t>
      </w:r>
      <m:oMath>
        <m:sSup>
          <m:e>
            <m:r>
              <m:t>x</m:t>
            </m:r>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r>
              <m:t>x</m:t>
            </m:r>
          </m:e>
          <m:sup>
            <m:r>
              <m:t>1</m:t>
            </m:r>
          </m:sup>
        </m:sSup>
      </m:oMath>
      <w:r>
        <w:t xml:space="preserve">.</w:t>
      </w:r>
    </w:p>
    <w:p>
      <w:pPr>
        <w:numPr>
          <w:ilvl w:val="1"/>
          <w:numId w:val="1018"/>
        </w:numPr>
      </w:pPr>
      <w:r>
        <w:t xml:space="preserve">De esta relación de preferencia débil se derivan las otras dos:</w:t>
      </w:r>
    </w:p>
    <w:p>
      <w:pPr>
        <w:numPr>
          <w:ilvl w:val="2"/>
          <w:numId w:val="1019"/>
        </w:numPr>
      </w:pPr>
      <w:r>
        <w:rPr>
          <w:i/>
          <w:iCs/>
        </w:rPr>
        <w:t xml:space="preserve">preferencia estricta</w:t>
      </w:r>
      <w:r>
        <w:t xml:space="preserve">:</w:t>
      </w:r>
      <w:r>
        <w:t xml:space="preserve"> </w:t>
      </w:r>
      <m:oMath>
        <m:sSup>
          <m:e>
            <m:r>
              <m:t>x</m:t>
            </m:r>
          </m:e>
          <m:sup>
            <m:r>
              <m:t>0</m:t>
            </m:r>
          </m:sup>
        </m:sSup>
        <m:r>
          <m:rPr>
            <m:sty m:val="p"/>
          </m:rPr>
          <m:t>≻</m:t>
        </m:r>
        <m:sSup>
          <m:e>
            <m:r>
              <m:t>x</m:t>
            </m:r>
          </m:e>
          <m:sup>
            <m:r>
              <m:t>1</m:t>
            </m:r>
          </m:sup>
        </m:sSup>
        <m:r>
          <m:rPr>
            <m:sty m:val="p"/>
          </m:rPr>
          <m:t>⇔</m:t>
        </m:r>
        <m:sSup>
          <m:e>
            <m:r>
              <m:t>x</m:t>
            </m:r>
          </m:e>
          <m:sup>
            <m:r>
              <m:t>0</m:t>
            </m:r>
          </m:sup>
        </m:sSup>
        <m:r>
          <m:rPr>
            <m:sty m:val="p"/>
          </m:rPr>
          <m:t>≽</m:t>
        </m:r>
        <m:sSup>
          <m:e>
            <m:r>
              <m:t>x</m:t>
            </m:r>
          </m:e>
          <m:sup>
            <m:r>
              <m:t>1</m:t>
            </m:r>
          </m:sup>
        </m:sSup>
      </m:oMath>
      <w:r>
        <w:t xml:space="preserve"> </w:t>
      </w:r>
      <w:r>
        <w:t xml:space="preserve">y no</w:t>
      </w:r>
      <w:r>
        <w:t xml:space="preserve"> </w:t>
      </w:r>
      <m:oMath>
        <m:sSup>
          <m:e>
            <m:r>
              <m:t>x</m:t>
            </m:r>
          </m:e>
          <m:sup>
            <m:r>
              <m:t>1</m:t>
            </m:r>
          </m:sup>
        </m:sSup>
        <m:r>
          <m:rPr>
            <m:sty m:val="p"/>
          </m:rPr>
          <m:t>≽</m:t>
        </m:r>
        <m:sSup>
          <m:e>
            <m:r>
              <m:t>x</m:t>
            </m:r>
          </m:e>
          <m:sup>
            <m:r>
              <m:t>0</m:t>
            </m:r>
          </m:sup>
        </m:sSup>
      </m:oMath>
      <w:r>
        <w:t xml:space="preserve">;</w:t>
      </w:r>
    </w:p>
    <w:p>
      <w:pPr>
        <w:numPr>
          <w:ilvl w:val="2"/>
          <w:numId w:val="1019"/>
        </w:numPr>
      </w:pPr>
      <w:r>
        <w:rPr>
          <w:i/>
          <w:iCs/>
        </w:rPr>
        <w:t xml:space="preserve">indiferencia</w:t>
      </w:r>
      <w:r>
        <w:t xml:space="preserve">:</w:t>
      </w:r>
      <w:r>
        <w:t xml:space="preserve"> </w:t>
      </w:r>
      <m:oMath>
        <m:sSup>
          <m:e>
            <m:r>
              <m:t>x</m:t>
            </m:r>
          </m:e>
          <m:sup>
            <m:r>
              <m:t>0</m:t>
            </m:r>
          </m:sup>
        </m:sSup>
        <m:r>
          <m:rPr>
            <m:sty m:val="p"/>
          </m:rPr>
          <m:t>∼</m:t>
        </m:r>
        <m:sSup>
          <m:e>
            <m:r>
              <m:t>x</m:t>
            </m:r>
          </m:e>
          <m:sup>
            <m:r>
              <m:t>1</m:t>
            </m:r>
          </m:sup>
        </m:sSup>
        <m:r>
          <m:rPr>
            <m:sty m:val="p"/>
          </m:rPr>
          <m:t>⇔</m:t>
        </m:r>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w:t>
      </w:r>
    </w:p>
    <w:p>
      <w:pPr>
        <w:numPr>
          <w:ilvl w:val="1"/>
          <w:numId w:val="1018"/>
        </w:numPr>
      </w:pPr>
      <w:r>
        <w:t xml:space="preserve">Entre dos cestas cualesquiera caben cuatro casos lógicos:</w:t>
      </w:r>
      <w:r>
        <w:t xml:space="preserve"> </w:t>
      </w:r>
      <m:oMath>
        <m:sSup>
          <m:e>
            <m:r>
              <m:t>x</m:t>
            </m:r>
          </m:e>
          <m:sup>
            <m:r>
              <m:t>0</m:t>
            </m:r>
          </m:sup>
        </m:sSup>
        <m:r>
          <m:rPr>
            <m:sty m:val="p"/>
          </m:rPr>
          <m:t>≻</m:t>
        </m:r>
        <m:sSup>
          <m:e>
            <m:r>
              <m:t>x</m:t>
            </m:r>
          </m:e>
          <m:sup>
            <m:r>
              <m:t>1</m:t>
            </m:r>
          </m:sup>
        </m:sSup>
      </m:oMath>
      <w:r>
        <w:t xml:space="preserve">,</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0</m:t>
            </m:r>
          </m:sup>
        </m:sSup>
        <m:r>
          <m:rPr>
            <m:sty m:val="p"/>
          </m:rPr>
          <m:t>∼</m:t>
        </m:r>
        <m:sSup>
          <m:e>
            <m:r>
              <m:t>x</m:t>
            </m:r>
          </m:e>
          <m:sup>
            <m:r>
              <m:t>1</m:t>
            </m:r>
          </m:sup>
        </m:sSup>
      </m:oMath>
      <w:r>
        <w:t xml:space="preserve"> </w:t>
      </w:r>
      <w:r>
        <w:t xml:space="preserve">o que no sean comparables (ni</w:t>
      </w:r>
      <w:r>
        <w:t xml:space="preserve"> </w:t>
      </w:r>
      <m:oMath>
        <m:sSup>
          <m:e>
            <m:r>
              <m:t>x</m:t>
            </m:r>
          </m:e>
          <m:sup>
            <m:r>
              <m:t>0</m:t>
            </m:r>
          </m:sup>
        </m:sSup>
        <m:r>
          <m:rPr>
            <m:sty m:val="p"/>
          </m:rPr>
          <m:t>≽</m:t>
        </m:r>
        <m:sSup>
          <m:e>
            <m:r>
              <m:t>x</m:t>
            </m:r>
          </m:e>
          <m:sup>
            <m:r>
              <m:t>1</m:t>
            </m:r>
          </m:sup>
        </m:sSup>
      </m:oMath>
      <w:r>
        <w:t xml:space="preserve"> </w:t>
      </w:r>
      <w:r>
        <w:t xml:space="preserve">ni</w:t>
      </w:r>
      <w:r>
        <w:t xml:space="preserve"> </w:t>
      </w:r>
      <m:oMath>
        <m:sSup>
          <m:e>
            <m:r>
              <m:t>x</m:t>
            </m:r>
          </m:e>
          <m:sup>
            <m:r>
              <m:t>1</m:t>
            </m:r>
          </m:sup>
        </m:sSup>
        <m:r>
          <m:rPr>
            <m:sty m:val="p"/>
          </m:rPr>
          <m:t>≽</m:t>
        </m:r>
        <m:sSup>
          <m:e>
            <m:r>
              <m:t>x</m:t>
            </m:r>
          </m:e>
          <m:sup>
            <m:r>
              <m:t>0</m:t>
            </m:r>
          </m:sup>
        </m:sSup>
      </m:oMath>
      <w:r>
        <w:t xml:space="preserve">).</w:t>
      </w:r>
    </w:p>
    <w:bookmarkStart w:id="60" w:name="fig:preferencias-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 title="" id="58" name="Picture"/>
            <a:graphic>
              <a:graphicData uri="http://schemas.openxmlformats.org/drawingml/2006/picture">
                <pic:pic>
                  <pic:nvPicPr>
                    <pic:cNvPr descr="C:\Users\vgutierrez\Documents\src\victorgutierrezmarcos.github.io-revision\oposicion\temario\fuentes\3A08\graficos/preferencias-venn.png" id="59" name="Picture"/>
                    <pic:cNvPicPr>
                      <a:picLocks noChangeArrowheads="1" noChangeAspect="1"/>
                    </pic:cNvPicPr>
                  </pic:nvPicPr>
                  <pic:blipFill>
                    <a:blip r:embed="rId57"/>
                    <a:stretch>
                      <a:fillRect/>
                    </a:stretch>
                  </pic:blipFill>
                  <pic:spPr bwMode="auto">
                    <a:xfrm>
                      <a:off x="0" y="0"/>
                      <a:ext cx="3003146" cy="1703414"/>
                    </a:xfrm>
                    <a:prstGeom prst="rect">
                      <a:avLst/>
                    </a:prstGeom>
                    <a:noFill/>
                    <a:ln w="9525">
                      <a:noFill/>
                      <a:headEnd/>
                      <a:tailEnd/>
                    </a:ln>
                  </pic:spPr>
                </pic:pic>
              </a:graphicData>
            </a:graphic>
          </wp:inline>
        </w:drawing>
      </w:r>
    </w:p>
    <w:bookmarkEnd w:id="60"/>
    <w:p>
      <w:pPr>
        <w:pStyle w:val="Piedeimagen"/>
      </w:pPr>
      <w:r>
        <w:t xml:space="preserve">Fuente: elaboración propia a partir de</w:t>
      </w:r>
      <w:r>
        <w:t xml:space="preserve"> </w:t>
      </w:r>
      <w:r>
        <w:t xml:space="preserve">Osborne y Rubinstein (</w:t>
      </w:r>
      <w:hyperlink w:anchor="ref-OsborneRubinstein2020Models">
        <w:r>
          <w:rPr>
            <w:rStyle w:val="Hyperlink"/>
          </w:rPr>
          <w:t xml:space="preserve">2020</w:t>
        </w:r>
      </w:hyperlink>
      <w:r>
        <w:t xml:space="preserve">)</w:t>
      </w:r>
      <w:r>
        <w:t xml:space="preserve">.</w:t>
      </w:r>
    </w:p>
    <w:bookmarkEnd w:id="61"/>
    <w:bookmarkStart w:id="83" w:name="axiomas-sobre-las-preferencias"/>
    <w:p>
      <w:pPr>
        <w:pStyle w:val="Heading3"/>
      </w:pPr>
      <w:r>
        <w:t xml:space="preserve">I.1.3.</w:t>
      </w:r>
      <w:r>
        <w:t xml:space="preserve"> </w:t>
      </w:r>
      <w:r>
        <w:t xml:space="preserve">Axiomas sobre las preferencias</w:t>
      </w:r>
    </w:p>
    <w:p>
      <w:pPr>
        <w:numPr>
          <w:ilvl w:val="0"/>
          <w:numId w:val="1020"/>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(tabla 1).</w:t>
      </w:r>
      <w:r>
        <w:rPr>
          <w:rStyle w:val="FootnoteReference"/>
        </w:rPr>
        <w:footnoteReference w:id="62"/>
      </w:r>
    </w:p>
    <w:bookmarkStart w:id="63" w:name="tab:axiomas"/>
    <w:p>
      <w:pPr>
        <w:pStyle w:val="TableCaption"/>
      </w:pPr>
      <w:r>
        <w:t xml:space="preserve">Axiomas sobre las preferencias y qué garantiza cada uno</w:t>
      </w:r>
    </w:p>
    <w:tbl>
      <w:tblPr>
        <w:tblStyle w:val="Table"/>
        <w:tblW w:type="auto" w:w="0"/>
        <w:tblLook w:firstRow="1" w:lastRow="0" w:firstColumn="0" w:lastColumn="0" w:noHBand="0" w:noVBand="0" w:val="0020"/>
        <w:tblCaption w:val="Axiomas sobre las preferencias y qué garantiza cada uno"/>
      </w:tblPr>
      <w:tblGrid>
        <w:gridCol w:w="2640"/>
        <w:gridCol w:w="2640"/>
        <w:gridCol w:w="2640"/>
      </w:tblGrid>
      <w:tr>
        <w:trPr>
          <w:tblHeader w:val="on"/>
        </w:trPr>
        <w:tc>
          <w:tcPr/>
          <w:p>
            <w:pPr>
              <w:pStyle w:val="Compact"/>
              <w:jc w:val="left"/>
            </w:pPr>
            <w:r>
              <w:rPr>
                <w:b/>
                <w:bCs/>
              </w:rPr>
              <w:t xml:space="preserve">Grupo</w:t>
            </w:r>
          </w:p>
        </w:tc>
        <w:tc>
          <w:tcPr/>
          <w:p>
            <w:pPr>
              <w:pStyle w:val="Compact"/>
              <w:jc w:val="left"/>
            </w:pPr>
            <w:r>
              <w:rPr>
                <w:b/>
                <w:bCs/>
              </w:rPr>
              <w:t xml:space="preserve">Axioma</w:t>
            </w:r>
          </w:p>
        </w:tc>
        <w:tc>
          <w:tcPr/>
          <w:p>
            <w:pPr>
              <w:pStyle w:val="Compact"/>
              <w:jc w:val="left"/>
            </w:pPr>
            <w:r>
              <w:rPr>
                <w:b/>
                <w:bCs/>
              </w:rPr>
              <w:t xml:space="preserve">Qué garantiza</w:t>
            </w:r>
          </w:p>
        </w:tc>
      </w:tr>
      <w:tr>
        <w:tc>
          <w:tcPr/>
          <w:p>
            <w:pPr>
              <w:pStyle w:val="Compact"/>
              <w:jc w:val="left"/>
            </w:pPr>
            <w:r>
              <w:t xml:space="preserve">Racionalidad</w:t>
            </w:r>
          </w:p>
        </w:tc>
        <w:tc>
          <w:tcPr/>
          <w:p>
            <w:pPr>
              <w:pStyle w:val="Compact"/>
              <w:jc w:val="left"/>
            </w:pPr>
            <w:r>
              <w:t xml:space="preserve">1. Completitud</w:t>
            </w:r>
          </w:p>
        </w:tc>
        <w:tc>
          <w:tcPr/>
          <w:p>
            <w:pPr>
              <w:pStyle w:val="Compact"/>
              <w:jc w:val="left"/>
            </w:pPr>
            <w:r>
              <w:t xml:space="preserve">Toda cesta es comparable con cualquier otra</w:t>
            </w:r>
          </w:p>
        </w:tc>
      </w:tr>
      <w:tr>
        <w:tc>
          <w:tcPr/>
          <w:p>
            <w:pPr>
              <w:pStyle w:val="Compact"/>
              <w:jc w:val="left"/>
            </w:pPr>
            <w:r>
              <w:t xml:space="preserve">(preorden completo)</w:t>
            </w:r>
          </w:p>
        </w:tc>
        <w:tc>
          <w:tcPr/>
          <w:p>
            <w:pPr>
              <w:pStyle w:val="Compact"/>
              <w:jc w:val="left"/>
            </w:pPr>
            <w:r>
              <w:t xml:space="preserve">2. Reflexividad</w:t>
            </w:r>
          </w:p>
        </w:tc>
        <w:tc>
          <w:tcPr/>
          <w:p>
            <w:pPr>
              <w:pStyle w:val="Compact"/>
              <w:jc w:val="left"/>
            </w:pPr>
            <w:r>
              <w:t xml:space="preserve">Cada cesta está en un conjunto de indiferencia</w:t>
            </w:r>
          </w:p>
        </w:tc>
      </w:tr>
      <w:tr>
        <w:tc>
          <w:tcPr/>
          <w:p>
            <w:pPr>
              <w:pStyle w:val="Compact"/>
            </w:pPr>
          </w:p>
        </w:tc>
        <w:tc>
          <w:tcPr/>
          <w:p>
            <w:pPr>
              <w:pStyle w:val="Compact"/>
              <w:jc w:val="left"/>
            </w:pPr>
            <w:r>
              <w:t xml:space="preserve">3. Transitividad</w:t>
            </w:r>
          </w:p>
        </w:tc>
        <w:tc>
          <w:tcPr/>
          <w:p>
            <w:pPr>
              <w:pStyle w:val="Compact"/>
              <w:jc w:val="left"/>
            </w:pPr>
            <w:r>
              <w:t xml:space="preserve">Los conjuntos de indiferencia no se cortan</w:t>
            </w:r>
          </w:p>
        </w:tc>
      </w:tr>
      <w:tr>
        <w:tc>
          <w:tcPr/>
          <w:p>
            <w:pPr>
              <w:pStyle w:val="Compact"/>
              <w:jc w:val="left"/>
            </w:pPr>
            <w:r>
              <w:t xml:space="preserve">Regularidad</w:t>
            </w:r>
          </w:p>
        </w:tc>
        <w:tc>
          <w:tcPr/>
          <w:p>
            <w:pPr>
              <w:pStyle w:val="Compact"/>
              <w:jc w:val="left"/>
            </w:pPr>
            <w:r>
              <w:t xml:space="preserve">4. Continuidad</w:t>
            </w:r>
          </w:p>
        </w:tc>
        <w:tc>
          <w:tcPr/>
          <w:p>
            <w:pPr>
              <w:pStyle w:val="Compact"/>
              <w:jc w:val="left"/>
            </w:pPr>
            <w:r>
              <w:t xml:space="preserve">Con 1-3, existe una función de utilidad continua (</w:t>
            </w:r>
            <w:r>
              <w:rPr>
                <w:smallCaps/>
              </w:rPr>
              <w:t xml:space="preserve">Debreu</w:t>
            </w:r>
            <w:r>
              <w:t xml:space="preserve">)</w:t>
            </w:r>
          </w:p>
        </w:tc>
      </w:tr>
      <w:tr>
        <w:tc>
          <w:tcPr/>
          <w:p>
            <w:pPr>
              <w:pStyle w:val="Compact"/>
            </w:pPr>
          </w:p>
        </w:tc>
        <w:tc>
          <w:tcPr/>
          <w:p>
            <w:pPr>
              <w:pStyle w:val="Compact"/>
              <w:jc w:val="left"/>
            </w:pPr>
            <w:r>
              <w:t xml:space="preserve">5. Deseabilidad</w:t>
            </w:r>
          </w:p>
        </w:tc>
        <w:tc>
          <w:tcPr/>
          <w:p>
            <w:pPr>
              <w:pStyle w:val="Compact"/>
              <w:jc w:val="left"/>
            </w:pPr>
            <w:r>
              <w:t xml:space="preserve">Curvas «finas» y decrecientes; se agota la renta</w:t>
            </w:r>
          </w:p>
        </w:tc>
      </w:tr>
      <w:tr>
        <w:tc>
          <w:tcPr/>
          <w:p>
            <w:pPr>
              <w:pStyle w:val="Compact"/>
            </w:pPr>
          </w:p>
        </w:tc>
        <w:tc>
          <w:tcPr/>
          <w:p>
            <w:pPr>
              <w:pStyle w:val="Compact"/>
              <w:jc w:val="left"/>
            </w:pPr>
            <w:r>
              <w:t xml:space="preserve">6. Convexidad (6</w:t>
            </w:r>
            <m:oMath>
              <m:r>
                <m:rPr>
                  <m:sty m:val="p"/>
                </m:rPr>
                <m:t>′</m:t>
              </m:r>
            </m:oMath>
            <w:r>
              <w:t xml:space="preserve">. estricta)</w:t>
            </w:r>
          </w:p>
        </w:tc>
        <w:tc>
          <w:tcPr/>
          <w:p>
            <w:pPr>
              <w:pStyle w:val="Compact"/>
              <w:jc w:val="left"/>
            </w:pPr>
            <w:r>
              <w:t xml:space="preserve">Utilidad (estrictamente) cuasicóncava; demanda única</w:t>
            </w:r>
          </w:p>
        </w:tc>
      </w:tr>
      <w:tr>
        <w:tc>
          <w:tcPr/>
          <w:p>
            <w:pPr>
              <w:pStyle w:val="Compact"/>
            </w:pPr>
          </w:p>
        </w:tc>
        <w:tc>
          <w:tcPr/>
          <w:p>
            <w:pPr>
              <w:pStyle w:val="Compact"/>
              <w:jc w:val="left"/>
            </w:pPr>
            <w:r>
              <w:t xml:space="preserve">7. Diferenciabilidad</w:t>
            </w:r>
          </w:p>
        </w:tc>
        <w:tc>
          <w:tcPr/>
          <w:p>
            <w:pPr>
              <w:pStyle w:val="Compact"/>
              <w:jc w:val="left"/>
            </w:pPr>
            <w:r>
              <w:t xml:space="preserve">Curvas de indiferencia sin vértices; uso del cálculo</w:t>
            </w:r>
          </w:p>
        </w:tc>
      </w:tr>
    </w:tbl>
    <w:bookmarkEnd w:id="63"/>
    <w:p>
      <w:pPr>
        <w:pStyle w:val="BodyText"/>
      </w:pPr>
      <w:r>
        <w:rPr>
          <w:i/>
          <w:iCs/>
        </w:rPr>
        <w:t xml:space="preserve">Fuente: elaboración propia a partir de</w:t>
      </w:r>
      <w:r>
        <w:rPr>
          <w:i/>
          <w:iCs/>
        </w:rPr>
        <w:t xml:space="preserve"> </w:t>
      </w:r>
      <w:r>
        <w:rPr>
          <w:i/>
          <w:iCs/>
        </w:rPr>
        <w:t xml:space="preserve">Mas-Colell, Whinston, y Green (</w:t>
      </w:r>
      <w:hyperlink w:anchor="ref-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rPr>
        <w:t xml:space="preserve">Debreu (</w:t>
      </w:r>
      <w:hyperlink w:anchor="ref-Debreu1959Theory">
        <w:r>
          <w:rPr>
            <w:rStyle w:val="Hyperlink"/>
            <w:i/>
            <w:iCs/>
          </w:rPr>
          <w:t xml:space="preserve">1959, cap. 4</w:t>
        </w:r>
      </w:hyperlink>
      <w:r>
        <w:rPr>
          <w:i/>
          <w:iCs/>
        </w:rPr>
        <w:t xml:space="preserve">)</w:t>
      </w:r>
      <w:r>
        <w:rPr>
          <w:i/>
          <w:iCs/>
        </w:rPr>
        <w:t xml:space="preserve">.</w:t>
      </w:r>
    </w:p>
    <w:bookmarkStart w:id="69" w:name="Xcef9b0c685a4a43c1b959531edfc3d133a00dcb"/>
    <w:p>
      <w:pPr>
        <w:pStyle w:val="Heading4"/>
      </w:pPr>
      <w:r>
        <w:t xml:space="preserve">Axiomas de preorden completo (racionalidad)</w:t>
      </w:r>
    </w:p>
    <w:p>
      <w:pPr>
        <w:numPr>
          <w:ilvl w:val="0"/>
          <w:numId w:val="1021"/>
        </w:numPr>
      </w:pPr>
      <w:r>
        <w:rPr>
          <w:b/>
          <w:bCs/>
        </w:rPr>
        <w:t xml:space="preserve">Completitud</w:t>
      </w:r>
      <w:r>
        <w:t xml:space="preserve">: ante dos cestas cualesquiera, el consumidor siempre es capaz de compararlas:</w:t>
      </w:r>
      <w:r>
        <w:t xml:space="preserve"> </w:t>
      </w:r>
      <m:oMath>
        <m:r>
          <m:rPr>
            <m:sty m:val="p"/>
          </m:rPr>
          <m:t>∀</m:t>
        </m:r>
        <m:sSup>
          <m:e>
            <m:r>
              <m:t>x</m:t>
            </m:r>
          </m:e>
          <m:sup>
            <m:r>
              <m:t>0</m:t>
            </m:r>
          </m:sup>
        </m:sSup>
        <m:r>
          <m:rPr>
            <m:sty m:val="p"/>
          </m:rPr>
          <m:t>,</m:t>
        </m:r>
        <m:sSup>
          <m:e>
            <m:r>
              <m:t>x</m:t>
            </m:r>
          </m:e>
          <m:sup>
            <m:r>
              <m:t>1</m:t>
            </m:r>
          </m:sup>
        </m:sSup>
        <m:r>
          <m:rPr>
            <m:sty m:val="p"/>
          </m:rPr>
          <m:t>∈</m:t>
        </m:r>
        <m:r>
          <m:t>S</m:t>
        </m:r>
      </m:oMath>
      <w:r>
        <w:t xml:space="preserve">,</w:t>
      </w:r>
      <w:r>
        <w:t xml:space="preserve"> </w:t>
      </w:r>
      <m:oMath>
        <m:sSup>
          <m:e>
            <m:r>
              <m:t>x</m:t>
            </m:r>
          </m:e>
          <m:sup>
            <m:r>
              <m:t>0</m:t>
            </m:r>
          </m:sup>
        </m:sSup>
        <m:r>
          <m:rPr>
            <m:sty m:val="p"/>
          </m:rPr>
          <m:t>≽</m:t>
        </m:r>
        <m:sSup>
          <m:e>
            <m:r>
              <m:t>x</m:t>
            </m:r>
          </m:e>
          <m:sup>
            <m:r>
              <m:t>1</m:t>
            </m:r>
          </m:sup>
        </m:sSup>
      </m:oMath>
      <w:r>
        <w:t xml:space="preserve"> </w:t>
      </w:r>
      <w:r>
        <w:t xml:space="preserve">o</w:t>
      </w:r>
      <w:r>
        <w:t xml:space="preserve"> </w:t>
      </w:r>
      <m:oMath>
        <m:sSup>
          <m:e>
            <m:r>
              <m:t>x</m:t>
            </m:r>
          </m:e>
          <m:sup>
            <m:r>
              <m:t>1</m:t>
            </m:r>
          </m:sup>
        </m:sSup>
        <m:r>
          <m:rPr>
            <m:sty m:val="p"/>
          </m:rPr>
          <m:t>≽</m:t>
        </m:r>
        <m:sSup>
          <m:e>
            <m:r>
              <m:t>x</m:t>
            </m:r>
          </m:e>
          <m:sup>
            <m:r>
              <m:t>0</m:t>
            </m:r>
          </m:sup>
        </m:sSup>
      </m:oMath>
      <w:r>
        <w:t xml:space="preserve"> </w:t>
      </w:r>
      <w:r>
        <w:t xml:space="preserve">(o ambas). Descarta el caso de cestas no comparables.</w:t>
      </w:r>
      <w:r>
        <w:rPr>
          <w:rStyle w:val="FootnoteReference"/>
        </w:rPr>
        <w:footnoteReference w:id="64"/>
      </w:r>
    </w:p>
    <w:p>
      <w:pPr>
        <w:numPr>
          <w:ilvl w:val="0"/>
          <w:numId w:val="1021"/>
        </w:numPr>
      </w:pPr>
      <w:r>
        <w:rPr>
          <w:b/>
          <w:bCs/>
        </w:rPr>
        <w:t xml:space="preserve">Reflexividad</w:t>
      </w:r>
      <w:r>
        <w:t xml:space="preserve">:</w:t>
      </w:r>
      <w:r>
        <w:rPr>
          <w:rStyle w:val="FootnoteReference"/>
        </w:rPr>
        <w:footnoteReference w:id="65"/>
      </w:r>
      <w:r>
        <w:t xml:space="preserve"> </w:t>
      </w:r>
      <w:r>
        <w:t xml:space="preserve">toda cesta es al menos tan buena como sí misma:</w:t>
      </w:r>
      <w:r>
        <w:t xml:space="preserve"> </w:t>
      </w:r>
      <m:oMath>
        <m:r>
          <m:rPr>
            <m:sty m:val="p"/>
          </m:rPr>
          <m:t>∀</m:t>
        </m:r>
        <m:sSup>
          <m:e>
            <m:r>
              <m:t>x</m:t>
            </m:r>
          </m:e>
          <m:sup>
            <m:r>
              <m:t>0</m:t>
            </m:r>
          </m:sup>
        </m:sSup>
        <m:r>
          <m:rPr>
            <m:sty m:val="p"/>
          </m:rPr>
          <m:t>∈</m:t>
        </m:r>
        <m:r>
          <m:t>S</m:t>
        </m:r>
      </m:oMath>
      <w:r>
        <w:t xml:space="preserve">,</w:t>
      </w:r>
      <w:r>
        <w:t xml:space="preserve"> </w:t>
      </w:r>
      <m:oMath>
        <m:sSup>
          <m:e>
            <m:r>
              <m:t>x</m:t>
            </m:r>
          </m:e>
          <m:sup>
            <m:r>
              <m:t>0</m:t>
            </m:r>
          </m:sup>
        </m:sSup>
        <m:r>
          <m:rPr>
            <m:sty m:val="p"/>
          </m:rPr>
          <m:t>≽</m:t>
        </m:r>
        <m:sSup>
          <m:e>
            <m:r>
              <m:t>x</m:t>
            </m:r>
          </m:e>
          <m:sup>
            <m:r>
              <m:t>0</m:t>
            </m:r>
          </m:sup>
        </m:sSup>
      </m:oMath>
      <w:r>
        <w:t xml:space="preserve">. La indiferencia es reflexiva, pero la preferencia estricta no lo es.</w:t>
      </w:r>
      <w:r>
        <w:rPr>
          <w:rStyle w:val="FootnoteReference"/>
        </w:rPr>
        <w:footnoteReference w:id="66"/>
      </w:r>
    </w:p>
    <w:p>
      <w:pPr>
        <w:numPr>
          <w:ilvl w:val="0"/>
          <w:numId w:val="1021"/>
        </w:numPr>
      </w:pPr>
      <w:r>
        <w:rPr>
          <w:b/>
          <w:bCs/>
        </w:rPr>
        <w:t xml:space="preserve">Transitividad</w:t>
      </w:r>
      <w:r>
        <w:t xml:space="preserve">:</w:t>
      </w:r>
      <w:r>
        <w:t xml:space="preserve"> </w:t>
      </w:r>
      <m:oMath>
        <m:r>
          <m:rPr>
            <m:sty m:val="p"/>
          </m:rPr>
          <m:t>∀</m:t>
        </m:r>
        <m:sSup>
          <m:e>
            <m:r>
              <m:t>x</m:t>
            </m:r>
          </m:e>
          <m:sup>
            <m:r>
              <m:t>0</m:t>
            </m:r>
          </m:sup>
        </m:sSup>
        <m:r>
          <m:rPr>
            <m:sty m:val="p"/>
          </m:rPr>
          <m:t>,</m:t>
        </m:r>
        <m:sSup>
          <m:e>
            <m:r>
              <m:t>x</m:t>
            </m:r>
          </m:e>
          <m:sup>
            <m:r>
              <m:t>1</m:t>
            </m:r>
          </m:sup>
        </m:sSup>
        <m:r>
          <m:rPr>
            <m:sty m:val="p"/>
          </m:rPr>
          <m:t>,</m:t>
        </m:r>
        <m:sSup>
          <m:e>
            <m:r>
              <m:t>x</m:t>
            </m:r>
          </m:e>
          <m:sup>
            <m:r>
              <m:t>2</m:t>
            </m:r>
          </m:sup>
        </m:sSup>
        <m:r>
          <m:rPr>
            <m:sty m:val="p"/>
          </m:rPr>
          <m:t>∈</m:t>
        </m:r>
        <m:r>
          <m:t>S</m:t>
        </m:r>
      </m:oMath>
      <w:r>
        <w:t xml:space="preserve">, si</w:t>
      </w:r>
      <w:r>
        <w:t xml:space="preserve">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2</m:t>
            </m:r>
          </m:sup>
        </m:sSup>
      </m:oMath>
      <w:r>
        <w:t xml:space="preserve">, entonces</w:t>
      </w:r>
      <w:r>
        <w:t xml:space="preserve"> </w:t>
      </w:r>
      <m:oMath>
        <m:sSup>
          <m:e>
            <m:r>
              <m:t>x</m:t>
            </m:r>
          </m:e>
          <m:sup>
            <m:r>
              <m:t>0</m:t>
            </m:r>
          </m:sup>
        </m:sSup>
        <m:r>
          <m:rPr>
            <m:sty m:val="p"/>
          </m:rPr>
          <m:t>≽</m:t>
        </m:r>
        <m:sSup>
          <m:e>
            <m:r>
              <m:t>x</m:t>
            </m:r>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67"/>
      </w:r>
    </w:p>
    <w:p>
      <w:pPr>
        <w:numPr>
          <w:ilvl w:val="0"/>
          <w:numId w:val="1023"/>
        </w:numPr>
      </w:pPr>
      <w:r>
        <w:t xml:space="preserve">Estos tres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68"/>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 La relación permite particionar el conjunto de elección:</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y cada cesta pertenece a</w:t>
      </w:r>
      <w:r>
        <w:t xml:space="preserve"> </w:t>
      </w:r>
      <w:r>
        <w:rPr>
          <w:i/>
          <w:iCs/>
        </w:rPr>
        <w:t xml:space="preserve">uno solo</w:t>
      </w:r>
      <w:r>
        <w:t xml:space="preserve"> </w:t>
      </w:r>
      <w:r>
        <w:t xml:space="preserve">de ellos (transitividad).</w:t>
      </w:r>
    </w:p>
    <w:bookmarkEnd w:id="69"/>
    <w:bookmarkStart w:id="82" w:name="axiomas-de-regularidad"/>
    <w:p>
      <w:pPr>
        <w:pStyle w:val="Heading4"/>
      </w:pPr>
      <w:r>
        <w:t xml:space="preserve">Axiomas de regularidad</w:t>
      </w:r>
    </w:p>
    <w:p>
      <w:pPr>
        <w:numPr>
          <w:ilvl w:val="0"/>
          <w:numId w:val="1024"/>
        </w:numPr>
      </w:pPr>
      <w:r>
        <w:t xml:space="preserve">Además, es deseable que las preferencias cumplan los</w:t>
      </w:r>
      <w:r>
        <w:t xml:space="preserve"> </w:t>
      </w:r>
      <w:r>
        <w:rPr>
          <w:b/>
          <w:bCs/>
        </w:rPr>
        <w:t xml:space="preserve">axiomas de regularidad</w:t>
      </w:r>
      <w:r>
        <w:t xml:space="preserve"> </w:t>
      </w:r>
      <w:r>
        <w:t xml:space="preserve">(4 a 7), que dan a los conjuntos de indiferencia una estructura particular.</w:t>
      </w:r>
      <w:r>
        <w:rPr>
          <w:rStyle w:val="FootnoteReference"/>
        </w:rPr>
        <w:footnoteReference w:id="70"/>
      </w:r>
    </w:p>
    <w:p>
      <w:pPr>
        <w:numPr>
          <w:ilvl w:val="0"/>
          <w:numId w:val="1025"/>
        </w:numPr>
      </w:pPr>
      <w:r>
        <w:rPr>
          <w:b/>
          <w:bCs/>
        </w:rPr>
        <w:t xml:space="preserve">Continuidad</w:t>
      </w:r>
      <w:r>
        <w:t xml:space="preserve">: para toda cesta</w:t>
      </w:r>
      <w:r>
        <w:t xml:space="preserve"> </w:t>
      </w:r>
      <m:oMath>
        <m:sSup>
          <m:e>
            <m:r>
              <m:t>x</m:t>
            </m:r>
          </m:e>
          <m:sup>
            <m:r>
              <m:t>0</m:t>
            </m:r>
          </m:sup>
        </m:sSup>
      </m:oMath>
      <w:r>
        <w:t xml:space="preserve">, los conjuntos de contorno superior</w:t>
      </w:r>
      <w:r>
        <w:t xml:space="preserve"> </w:t>
      </w:r>
      <m:oMath>
        <m:r>
          <m:rPr>
            <m:sty m:val="p"/>
          </m:rPr>
          <m:t>{</m:t>
        </m:r>
        <m:r>
          <m:t>x</m:t>
        </m:r>
        <m:r>
          <m:rPr>
            <m:sty m:val="p"/>
          </m:rPr>
          <m:t>∈</m:t>
        </m:r>
        <m:r>
          <m:t>S</m:t>
        </m:r>
        <m:r>
          <m:rPr>
            <m:sty m:val="p"/>
          </m:rPr>
          <m:t>:</m:t>
        </m:r>
        <m:r>
          <m:t>x</m:t>
        </m:r>
        <m:r>
          <m:rPr>
            <m:sty m:val="p"/>
          </m:rPr>
          <m:t>≽</m:t>
        </m:r>
        <m:sSup>
          <m:e>
            <m:r>
              <m:t>x</m:t>
            </m:r>
          </m:e>
          <m:sup>
            <m:r>
              <m:t>0</m:t>
            </m:r>
          </m:sup>
        </m:sSup>
        <m:r>
          <m:rPr>
            <m:sty m:val="p"/>
          </m:rPr>
          <m:t>}</m:t>
        </m:r>
      </m:oMath>
      <w:r>
        <w:t xml:space="preserve"> </w:t>
      </w:r>
      <w:r>
        <w:t xml:space="preserve">e inferior</w:t>
      </w:r>
      <w:r>
        <w:t xml:space="preserve"> </w:t>
      </w:r>
      <m:oMath>
        <m:r>
          <m:rPr>
            <m:sty m:val="p"/>
          </m:rPr>
          <m:t>{</m:t>
        </m:r>
        <m:r>
          <m:t>x</m:t>
        </m:r>
        <m:r>
          <m:rPr>
            <m:sty m:val="p"/>
          </m:rPr>
          <m:t>∈</m:t>
        </m:r>
        <m:r>
          <m:t>S</m:t>
        </m:r>
        <m:r>
          <m:rPr>
            <m:sty m:val="p"/>
          </m:rPr>
          <m:t>:</m:t>
        </m:r>
        <m:sSup>
          <m:e>
            <m:r>
              <m:t>x</m:t>
            </m:r>
          </m:e>
          <m:sup>
            <m:r>
              <m:t>0</m:t>
            </m:r>
          </m:sup>
        </m:sSup>
        <m:r>
          <m:rPr>
            <m:sty m:val="p"/>
          </m:rPr>
          <m:t>≽</m:t>
        </m:r>
        <m:r>
          <m:t>x</m:t>
        </m:r>
        <m:r>
          <m:rPr>
            <m:sty m:val="p"/>
          </m:rPr>
          <m:t>}</m:t>
        </m:r>
      </m:oMath>
      <w:r>
        <w:t xml:space="preserve"> </w:t>
      </w:r>
      <w:r>
        <w:t xml:space="preserve">son cerrados. Intuitivamente, no hay «saltos» en las preferencias: si</w:t>
      </w:r>
      <w:r>
        <w:t xml:space="preserve"> </w:t>
      </w:r>
      <m:oMath>
        <m:r>
          <m:t>x</m:t>
        </m:r>
        <m:r>
          <m:rPr>
            <m:sty m:val="p"/>
          </m:rPr>
          <m:t>≻</m:t>
        </m:r>
        <m:r>
          <m:t>y</m:t>
        </m:r>
      </m:oMath>
      <w:r>
        <w:t xml:space="preserve">, las cestas suficientemente próximas a</w:t>
      </w:r>
      <w:r>
        <w:t xml:space="preserve"> </w:t>
      </w:r>
      <m:oMath>
        <m:r>
          <m:t>x</m:t>
        </m:r>
      </m:oMath>
      <w:r>
        <w:t xml:space="preserve"> </w:t>
      </w:r>
      <w:r>
        <w:t xml:space="preserve">siguen siendo preferidas a</w:t>
      </w:r>
      <w:r>
        <w:t xml:space="preserve"> </w:t>
      </w:r>
      <m:oMath>
        <m:r>
          <m:t>y</m:t>
        </m:r>
      </m:oMath>
      <w:r>
        <w:t xml:space="preserve">.</w:t>
      </w:r>
    </w:p>
    <w:p>
      <w:pPr>
        <w:numPr>
          <w:ilvl w:val="1"/>
          <w:numId w:val="1026"/>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rPr>
          <w:rStyle w:val="FootnoteReference"/>
        </w:rPr>
        <w:footnoteReference w:id="71"/>
      </w:r>
      <w:r>
        <w:t xml:space="preserve"> </w:t>
      </w:r>
      <w:r>
        <w:t xml:space="preserve">Las preferencias lexicográficas cumplen el preorden completo, pero no la continuidad, y no pueden representarse con ninguna función de utilidad.</w:t>
      </w:r>
      <w:r>
        <w:rPr>
          <w:rStyle w:val="FootnoteReference"/>
        </w:rPr>
        <w:footnoteReference w:id="72"/>
      </w:r>
    </w:p>
    <w:p>
      <w:pPr>
        <w:numPr>
          <w:ilvl w:val="0"/>
          <w:numId w:val="1025"/>
        </w:numPr>
      </w:pPr>
      <w:r>
        <w:rPr>
          <w:b/>
          <w:bCs/>
        </w:rPr>
        <w:t xml:space="preserve">Deseabilidad</w:t>
      </w:r>
      <w:r>
        <w:t xml:space="preserve">: expresa la preferencia del consumidor por la cantidad. Tiene varios grados; de más general a más exigente:</w:t>
      </w:r>
    </w:p>
    <w:p>
      <w:pPr>
        <w:numPr>
          <w:ilvl w:val="1"/>
          <w:numId w:val="1027"/>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27"/>
        </w:numPr>
      </w:pPr>
      <w:r>
        <w:rPr>
          <w:i/>
          <w:iCs/>
        </w:rPr>
        <w:t xml:space="preserve">Insaciabilidad local</w:t>
      </w:r>
      <w:r>
        <w:t xml:space="preserve">: para toda cesta</w:t>
      </w:r>
      <w:r>
        <w:t xml:space="preserve"> </w:t>
      </w:r>
      <m:oMath>
        <m:r>
          <m:t>x</m:t>
        </m:r>
      </m:oMath>
      <w:r>
        <w:t xml:space="preserve"> </w:t>
      </w:r>
      <w:r>
        <w:t xml:space="preserve">y todo entorno de</w:t>
      </w:r>
      <w:r>
        <w:t xml:space="preserve"> </w:t>
      </w:r>
      <m:oMath>
        <m:r>
          <m:t>x</m:t>
        </m:r>
      </m:oMath>
      <w:r>
        <w:t xml:space="preserve">, por pequeño que sea, existe en él una cesta</w:t>
      </w:r>
      <w:r>
        <w:t xml:space="preserve"> </w:t>
      </w:r>
      <m:oMath>
        <m:r>
          <m:t>y</m:t>
        </m:r>
        <m:r>
          <m:rPr>
            <m:sty m:val="p"/>
          </m:rPr>
          <m:t>≻</m:t>
        </m:r>
        <m:r>
          <m:t>x</m:t>
        </m:r>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27"/>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r>
          <m:t>x</m:t>
        </m:r>
        <m:r>
          <m:rPr>
            <m:sty m:val="p"/>
          </m:rPr>
          <m:t>≫</m:t>
        </m:r>
        <m:r>
          <m:t>y</m:t>
        </m:r>
        <m:r>
          <m:rPr>
            <m:sty m:val="p"/>
          </m:rPr>
          <m:t>⇒</m:t>
        </m:r>
        <m:r>
          <m:t>x</m:t>
        </m:r>
        <m:r>
          <m:rPr>
            <m:sty m:val="p"/>
          </m:rPr>
          <m:t>≻</m:t>
        </m:r>
        <m:r>
          <m:t>y</m:t>
        </m:r>
      </m:oMath>
      <w:r>
        <w:t xml:space="preserve">. Implica la insaciabilidad local; las curvas de indiferencia son no crecientes (pueden tener tramos horizontales o verticales) y las mejores están al nordeste.</w:t>
      </w:r>
    </w:p>
    <w:p>
      <w:pPr>
        <w:numPr>
          <w:ilvl w:val="1"/>
          <w:numId w:val="1027"/>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r>
          <m:t>x</m:t>
        </m:r>
        <m:r>
          <m:rPr>
            <m:sty m:val="p"/>
          </m:rPr>
          <m:t>≥</m:t>
        </m:r>
        <m:r>
          <m:t>y</m:t>
        </m:r>
      </m:oMath>
      <w:r>
        <w:t xml:space="preserve">,</w:t>
      </w:r>
      <w:r>
        <w:t xml:space="preserve"> </w:t>
      </w:r>
      <m:oMath>
        <m:r>
          <m:t>x</m:t>
        </m:r>
        <m:r>
          <m:rPr>
            <m:sty m:val="p"/>
          </m:rPr>
          <m:t>≠</m:t>
        </m:r>
        <m:r>
          <m:t>y</m:t>
        </m:r>
        <m:r>
          <m:rPr>
            <m:sty m:val="p"/>
          </m:rPr>
          <m:t>⇒</m:t>
        </m:r>
        <m:r>
          <m:t>x</m:t>
        </m:r>
        <m:r>
          <m:rPr>
            <m:sty m:val="p"/>
          </m:rPr>
          <m:t>≻</m:t>
        </m:r>
        <m:r>
          <m:t>y</m:t>
        </m:r>
      </m:oMath>
      <w:r>
        <w:t xml:space="preserve">. Las curvas de indiferencia son</w:t>
      </w:r>
      <w:r>
        <w:t xml:space="preserve"> </w:t>
      </w:r>
      <w:r>
        <w:rPr>
          <w:i/>
          <w:iCs/>
        </w:rPr>
        <w:t xml:space="preserve">estrictamente decrecientes</w:t>
      </w:r>
      <w:r>
        <w:t xml:space="preserve">.</w:t>
      </w:r>
      <w:r>
        <w:rPr>
          <w:rStyle w:val="FootnoteReference"/>
        </w:rPr>
        <w:footnoteReference w:id="73"/>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25"/>
        </w:numPr>
      </w:pPr>
      <w:r>
        <w:rPr>
          <w:b/>
          <w:bCs/>
        </w:rPr>
        <w:t xml:space="preserve">Convexidad</w:t>
      </w:r>
      <w:r>
        <w:t xml:space="preserve">: el conjunto de contorno superior</w:t>
      </w:r>
      <w:r>
        <w:t xml:space="preserve"> </w:t>
      </w:r>
      <m:oMath>
        <m:r>
          <m:rPr>
            <m:sty m:val="p"/>
          </m:rPr>
          <m:t>{</m:t>
        </m:r>
        <m:r>
          <m:t>x</m:t>
        </m:r>
        <m:r>
          <m:rPr>
            <m:sty m:val="p"/>
          </m:rPr>
          <m:t>∈</m:t>
        </m:r>
        <m:r>
          <m:t>S</m:t>
        </m:r>
        <m:r>
          <m:rPr>
            <m:sty m:val="p"/>
          </m:rPr>
          <m:t>:</m:t>
        </m:r>
        <m:r>
          <m:t>x</m:t>
        </m:r>
        <m:r>
          <m:rPr>
            <m:sty m:val="p"/>
          </m:rPr>
          <m:t>≽</m:t>
        </m:r>
        <m:sSup>
          <m:e>
            <m:r>
              <m:t>x</m:t>
            </m:r>
          </m:e>
          <m:sup>
            <m:r>
              <m:t>0</m:t>
            </m:r>
          </m:sup>
        </m:sSup>
        <m:r>
          <m:rPr>
            <m:sty m:val="p"/>
          </m:rPr>
          <m:t>}</m:t>
        </m:r>
      </m:oMath>
      <w:r>
        <w:t xml:space="preserve"> </w:t>
      </w:r>
      <w:r>
        <w:t xml:space="preserve">es convexo; es decir, si</w:t>
      </w:r>
      <w:r>
        <w:t xml:space="preserve"> </w:t>
      </w:r>
      <m:oMath>
        <m:sSup>
          <m:e>
            <m:r>
              <m:t>x</m:t>
            </m:r>
          </m:e>
          <m:sup>
            <m:r>
              <m:t>1</m:t>
            </m:r>
          </m:sup>
        </m:sSup>
        <m:r>
          <m:rPr>
            <m:sty m:val="p"/>
          </m:rPr>
          <m:t>≽</m:t>
        </m:r>
        <m:sSup>
          <m:e>
            <m:r>
              <m:t>x</m:t>
            </m:r>
          </m:e>
          <m:sup>
            <m:r>
              <m:t>0</m:t>
            </m:r>
          </m:sup>
        </m:sSup>
      </m:oMath>
      <w:r>
        <w:t xml:space="preserve"> </w:t>
      </w:r>
      <w:r>
        <w:t xml:space="preserve">y</w:t>
      </w:r>
      <w:r>
        <w:t xml:space="preserve"> </w:t>
      </w:r>
      <m:oMath>
        <m:sSup>
          <m:e>
            <m:r>
              <m:t>x</m:t>
            </m:r>
          </m:e>
          <m:sup>
            <m:r>
              <m:t>2</m:t>
            </m:r>
          </m:sup>
        </m:sSup>
        <m:r>
          <m:rPr>
            <m:sty m:val="p"/>
          </m:rPr>
          <m:t>≽</m:t>
        </m:r>
        <m:sSup>
          <m:e>
            <m:r>
              <m:t>x</m:t>
            </m:r>
          </m:e>
          <m:sup>
            <m:r>
              <m:t>0</m:t>
            </m:r>
          </m:sup>
        </m:sSup>
      </m:oMath>
      <w:r>
        <w:t xml:space="preserve">, entonces</w:t>
      </w:r>
      <w:r>
        <w:t xml:space="preserve"> </w:t>
      </w:r>
      <m:oMath>
        <m:r>
          <m:t>λ</m:t>
        </m:r>
        <m:sSup>
          <m:e>
            <m:r>
              <m:t>x</m:t>
            </m:r>
          </m:e>
          <m:sup>
            <m:r>
              <m:t>1</m:t>
            </m:r>
          </m:sup>
        </m:sSup>
        <m:r>
          <m:rPr>
            <m:sty m:val="p"/>
          </m:rPr>
          <m:t>+</m:t>
        </m:r>
        <m:d>
          <m:dPr>
            <m:begChr m:val="("/>
            <m:sepChr m:val=""/>
            <m:endChr m:val=")"/>
            <m:grow/>
          </m:dPr>
          <m:e>
            <m:r>
              <m:t>1</m:t>
            </m:r>
            <m:r>
              <m:rPr>
                <m:sty m:val="p"/>
              </m:rPr>
              <m:t>−</m:t>
            </m:r>
            <m:r>
              <m:t>λ</m:t>
            </m:r>
          </m:e>
        </m:d>
        <m:sSup>
          <m:e>
            <m:r>
              <m:t>x</m:t>
            </m:r>
          </m:e>
          <m:sup>
            <m:r>
              <m:t>2</m:t>
            </m:r>
          </m:sup>
        </m:sSup>
        <m:r>
          <m:rPr>
            <m:sty m:val="p"/>
          </m:rPr>
          <m:t>≽</m:t>
        </m:r>
        <m:sSup>
          <m:e>
            <m:r>
              <m:t>x</m:t>
            </m:r>
          </m:e>
          <m:sup>
            <m:r>
              <m:t>0</m:t>
            </m:r>
          </m:sup>
        </m:sSup>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74"/>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r>
              <m:t>x</m:t>
            </m:r>
          </m:e>
          <m:sup>
            <m:r>
              <m:t>1</m:t>
            </m:r>
          </m:sup>
        </m:sSup>
        <m:r>
          <m:rPr>
            <m:sty m:val="p"/>
          </m:rPr>
          <m:t>∼</m:t>
        </m:r>
        <m:sSup>
          <m:e>
            <m:r>
              <m:t>x</m:t>
            </m:r>
          </m:e>
          <m:sup>
            <m:r>
              <m:t>0</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 entonces</w:t>
      </w:r>
      <w:r>
        <w:t xml:space="preserve"> </w:t>
      </w:r>
      <m:oMath>
        <m:r>
          <m:t>λ</m:t>
        </m:r>
        <m:sSup>
          <m:e>
            <m:r>
              <m:t>x</m:t>
            </m:r>
          </m:e>
          <m:sup>
            <m:r>
              <m:t>1</m:t>
            </m:r>
          </m:sup>
        </m:sSup>
        <m:r>
          <m:rPr>
            <m:sty m:val="p"/>
          </m:rPr>
          <m:t>+</m:t>
        </m:r>
        <m:d>
          <m:dPr>
            <m:begChr m:val="("/>
            <m:sepChr m:val=""/>
            <m:endChr m:val=")"/>
            <m:grow/>
          </m:dPr>
          <m:e>
            <m:r>
              <m:t>1</m:t>
            </m:r>
            <m:r>
              <m:rPr>
                <m:sty m:val="p"/>
              </m:rPr>
              <m:t>−</m:t>
            </m:r>
            <m:r>
              <m:t>λ</m:t>
            </m:r>
          </m:e>
        </m:d>
        <m:sSup>
          <m:e>
            <m:r>
              <m:t>x</m:t>
            </m:r>
          </m:e>
          <m:sup>
            <m:r>
              <m:t>0</m:t>
            </m:r>
          </m:sup>
        </m:sSup>
        <m:r>
          <m:rPr>
            <m:sty m:val="p"/>
          </m:rPr>
          <m:t>≻</m:t>
        </m:r>
        <m:sSup>
          <m:e>
            <m:r>
              <m:t>x</m:t>
            </m:r>
          </m:e>
          <m:sup>
            <m:r>
              <m:t>0</m:t>
            </m:r>
          </m:sup>
        </m:sSup>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77"/>
      </w:r>
    </w:p>
    <w:p>
      <w:pPr>
        <w:numPr>
          <w:ilvl w:val="0"/>
          <w:numId w:val="1025"/>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dos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81" w:name="fig:axiomas-curva-indiferencia"/>
    <w:p>
      <w:pPr>
        <w:pStyle w:val="ImageCaption"/>
      </w:pPr>
      <w:r>
        <w:t xml:space="preserve">Gráfico 3.–</w:t>
      </w:r>
      <w:r>
        <w:t xml:space="preserve"> </w:t>
      </w:r>
      <w:r>
        <w:t xml:space="preserve">Lo que garantiza cada axioma sobre los conjuntos de indiferencia</w:t>
      </w:r>
    </w:p>
    <w:p>
      <w:pPr>
        <w:pStyle w:val="CaptionedFigure"/>
      </w:pPr>
      <w:r>
        <w:drawing>
          <wp:inline>
            <wp:extent cx="5969000" cy="4231573"/>
            <wp:effectExtent b="0" l="0" r="0" t="0"/>
            <wp:docPr descr="" title="" id="79" name="Picture"/>
            <a:graphic>
              <a:graphicData uri="http://schemas.openxmlformats.org/drawingml/2006/picture">
                <pic:pic>
                  <pic:nvPicPr>
                    <pic:cNvPr descr="C:\Users\vgutierrez\Documents\src\victorgutierrezmarcos.github.io-revision\oposicion\temario\fuentes\3A08\graficos/axiomas-curva-indiferencia.png" id="80" name="Picture"/>
                    <pic:cNvPicPr>
                      <a:picLocks noChangeArrowheads="1" noChangeAspect="1"/>
                    </pic:cNvPicPr>
                  </pic:nvPicPr>
                  <pic:blipFill>
                    <a:blip r:embed="rId78"/>
                    <a:stretch>
                      <a:fillRect/>
                    </a:stretch>
                  </pic:blipFill>
                  <pic:spPr bwMode="auto">
                    <a:xfrm>
                      <a:off x="0" y="0"/>
                      <a:ext cx="5969000" cy="4231573"/>
                    </a:xfrm>
                    <a:prstGeom prst="rect">
                      <a:avLst/>
                    </a:prstGeom>
                    <a:noFill/>
                    <a:ln w="9525">
                      <a:noFill/>
                      <a:headEnd/>
                      <a:tailEnd/>
                    </a:ln>
                  </pic:spPr>
                </pic:pic>
              </a:graphicData>
            </a:graphic>
          </wp:inline>
        </w:drawing>
      </w:r>
    </w:p>
    <w:bookmarkEnd w:id="81"/>
    <w:p>
      <w:pPr>
        <w:pStyle w:val="Piedeimagen"/>
      </w:pPr>
      <w:r>
        <w:t xml:space="preserve">Fuente: elaboración propia a partir de</w:t>
      </w:r>
      <w:r>
        <w:t xml:space="preserve"> </w:t>
      </w:r>
      <w:r>
        <w:t xml:space="preserve">Segura (</w:t>
      </w:r>
      <w:hyperlink w:anchor="ref-Segura1986Analisis">
        <w:r>
          <w:rPr>
            <w:rStyle w:val="Hyperlink"/>
          </w:rPr>
          <w:t xml:space="preserve">1986</w:t>
        </w:r>
      </w:hyperlink>
      <w:r>
        <w:t xml:space="preserve">)</w:t>
      </w:r>
      <w:r>
        <w:t xml:space="preserve">.</w:t>
      </w:r>
    </w:p>
    <w:p>
      <w:pPr>
        <w:numPr>
          <w:ilvl w:val="0"/>
          <w:numId w:val="1028"/>
        </w:numPr>
      </w:pPr>
      <w:r>
        <w:t xml:space="preserve">Si se cumplen todos estos axiomas, las preferencias son</w:t>
      </w:r>
      <w:r>
        <w:t xml:space="preserve"> </w:t>
      </w:r>
      <w:r>
        <w:rPr>
          <w:b/>
          <w:bCs/>
        </w:rPr>
        <w:t xml:space="preserve">regulares</w:t>
      </w:r>
      <w:r>
        <w:t xml:space="preserve"> </w:t>
      </w:r>
      <w:r>
        <w:t xml:space="preserve">(de buen comportamiento) y también lo será la función de utilidad que las represente.</w:t>
      </w:r>
    </w:p>
    <w:bookmarkEnd w:id="82"/>
    <w:bookmarkEnd w:id="83"/>
    <w:bookmarkStart w:id="95" w:name="función-de-utilidad"/>
    <w:p>
      <w:pPr>
        <w:pStyle w:val="Heading3"/>
      </w:pPr>
      <w:r>
        <w:t xml:space="preserve">I.1.4.</w:t>
      </w:r>
      <w:r>
        <w:t xml:space="preserve"> </w:t>
      </w:r>
      <w:r>
        <w:t xml:space="preserve">Función de utilidad</w:t>
      </w:r>
    </w:p>
    <w:p>
      <w:pPr>
        <w:numPr>
          <w:ilvl w:val="0"/>
          <w:numId w:val="1029"/>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84"/>
      </w:r>
    </w:p>
    <w:p>
      <w:pPr>
        <w:numPr>
          <w:ilvl w:val="1"/>
          <w:numId w:val="1030"/>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rPr>
          <w:rStyle w:val="Referenciaatema"/>
        </w:rPr>
        <w:t xml:space="preserve">[ver tema 3.A.10]</w:t>
      </w:r>
      <w:r>
        <w:t xml:space="preserve">.</w:t>
      </w:r>
    </w:p>
    <w:p>
      <w:pPr>
        <w:numPr>
          <w:ilvl w:val="1"/>
          <w:numId w:val="1030"/>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29"/>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87"/>
      </w:r>
    </w:p>
    <w:p>
      <w:pPr>
        <w:pStyle w:val="BodyText"/>
      </w:pPr>
      <m:oMathPara>
        <m:oMathParaPr>
          <m:jc m:val="center"/>
        </m:oMathParaPr>
        <m:oMath>
          <m:r>
            <m:rPr>
              <m:sty m:val="p"/>
            </m:rPr>
            <m:t>∀</m:t>
          </m:r>
          <m:sSup>
            <m:e>
              <m:r>
                <m:t>x</m:t>
              </m:r>
            </m:e>
            <m:sup>
              <m:r>
                <m:t>1</m:t>
              </m:r>
            </m:sup>
          </m:sSup>
          <m:r>
            <m:rPr>
              <m:sty m:val="p"/>
            </m:rPr>
            <m:t>,</m:t>
          </m:r>
          <m:sSup>
            <m:e>
              <m:r>
                <m:t>x</m:t>
              </m:r>
            </m:e>
            <m:sup>
              <m:r>
                <m:t>2</m:t>
              </m:r>
            </m:sup>
          </m:sSup>
          <m:r>
            <m:rPr>
              <m:sty m:val="p"/>
            </m:rPr>
            <m:t>∈</m:t>
          </m:r>
          <m:r>
            <m:t>S</m:t>
          </m:r>
          <m:r>
            <m:rPr>
              <m:sty m:val="p"/>
            </m:rPr>
            <m:t>:</m:t>
          </m:r>
          <m:r>
            <m:t> </m:t>
          </m:r>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m:t>
          </m:r>
          <m:r>
            <m:t>U</m:t>
          </m:r>
          <m:d>
            <m:dPr>
              <m:begChr m:val="("/>
              <m:sepChr m:val=""/>
              <m:endChr m:val=")"/>
              <m:grow/>
            </m:dPr>
            <m:e>
              <m:sSup>
                <m:e>
                  <m:r>
                    <m:t>x</m:t>
                  </m:r>
                </m:e>
                <m:sup>
                  <m:r>
                    <m:t>2</m:t>
                  </m:r>
                </m:sup>
              </m:sSup>
            </m:e>
          </m:d>
          <m:r>
            <m:rPr>
              <m:sty m:val="p"/>
            </m:rPr>
            <m:t>.</m:t>
          </m:r>
        </m:oMath>
      </m:oMathPara>
    </w:p>
    <w:p>
      <w:pPr>
        <w:numPr>
          <w:ilvl w:val="0"/>
          <w:numId w:val="1029"/>
        </w:numPr>
      </w:pPr>
      <w:r>
        <w:t xml:space="preserve">Con preferencias regulares, la función de utilidad tiene estas</w:t>
      </w:r>
      <w:r>
        <w:t xml:space="preserve"> </w:t>
      </w:r>
      <w:r>
        <w:rPr>
          <w:b/>
          <w:bCs/>
        </w:rPr>
        <w:t xml:space="preserve">propiedades</w:t>
      </w:r>
      <w:r>
        <w:t xml:space="preserve">:</w:t>
      </w:r>
    </w:p>
    <w:p>
      <w:pPr>
        <w:numPr>
          <w:ilvl w:val="1"/>
          <w:numId w:val="1031"/>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1"/>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1"/>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r>
          <m:t>x</m:t>
        </m:r>
        <m:r>
          <m:rPr>
            <m:sty m:val="p"/>
          </m:rPr>
          <m:t>:</m:t>
        </m:r>
        <m:r>
          <m:t>U</m:t>
        </m:r>
        <m:d>
          <m:dPr>
            <m:begChr m:val="("/>
            <m:sepChr m:val=""/>
            <m:endChr m:val=")"/>
            <m:grow/>
          </m:dPr>
          <m:e>
            <m:r>
              <m:t>x</m:t>
            </m:r>
          </m:e>
        </m:d>
        <m:r>
          <m:rPr>
            <m:sty m:val="p"/>
          </m:rPr>
          <m:t>≥</m:t>
        </m:r>
        <m:r>
          <m:t>U</m:t>
        </m:r>
        <m:d>
          <m:dPr>
            <m:begChr m:val="("/>
            <m:sepChr m:val=""/>
            <m:endChr m:val=")"/>
            <m:grow/>
          </m:dPr>
          <m:e>
            <m:sSup>
              <m:e>
                <m:r>
                  <m:t>x</m:t>
                </m:r>
              </m:e>
              <m:sup>
                <m:r>
                  <m:t>0</m:t>
                </m:r>
              </m:sup>
            </m:sSup>
          </m:e>
        </m:d>
        <m:r>
          <m:rPr>
            <m:sty m:val="p"/>
          </m:rPr>
          <m:t>}</m:t>
        </m:r>
      </m:oMath>
      <w:r>
        <w:t xml:space="preserve"> </w:t>
      </w:r>
      <w:r>
        <w:t xml:space="preserve">son convexos y las curvas de indiferencia, convexas;</w:t>
      </w:r>
      <w:r>
        <w:rPr>
          <w:rStyle w:val="FootnoteReference"/>
        </w:rPr>
        <w:footnoteReference w:id="88"/>
      </w:r>
    </w:p>
    <w:p>
      <w:pPr>
        <w:numPr>
          <w:ilvl w:val="1"/>
          <w:numId w:val="1031"/>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89"/>
      </w:r>
      <w:r>
        <w:rPr>
          <w:vertAlign w:val="superscript"/>
        </w:rPr>
        <w:t xml:space="preserve">,</w:t>
      </w:r>
      <w:r>
        <w:rPr>
          <w:rStyle w:val="FootnoteReference"/>
        </w:rPr>
        <w:footnoteReference w:id="90"/>
      </w:r>
    </w:p>
    <w:bookmarkStart w:id="94" w:name="fig:cuasiconcavidad"/>
    <w:p>
      <w:pPr>
        <w:pStyle w:val="ImageCaption"/>
      </w:pPr>
      <w:r>
        <w:t xml:space="preserve">Gráfico 4.–</w:t>
      </w:r>
      <w:r>
        <w:t xml:space="preserve"> </w:t>
      </w:r>
      <w:r>
        <w:t xml:space="preserve">Cuasiconcavidad: función cóncava, función cuasicóncava y función que no es cuasicóncava</w:t>
      </w:r>
    </w:p>
    <w:p>
      <w:pPr>
        <w:pStyle w:val="CaptionedFigure"/>
      </w:pPr>
      <w:r>
        <w:drawing>
          <wp:inline>
            <wp:extent cx="5969000" cy="1925666"/>
            <wp:effectExtent b="0" l="0" r="0" t="0"/>
            <wp:docPr descr="" title="" id="92" name="Picture"/>
            <a:graphic>
              <a:graphicData uri="http://schemas.openxmlformats.org/drawingml/2006/picture">
                <pic:pic>
                  <pic:nvPicPr>
                    <pic:cNvPr descr="C:\Users\vgutierrez\Documents\src\victorgutierrezmarcos.github.io-revision\oposicion\temario\fuentes\3A08\graficos/cuasiconcavidad.png" id="93" name="Picture"/>
                    <pic:cNvPicPr>
                      <a:picLocks noChangeArrowheads="1" noChangeAspect="1"/>
                    </pic:cNvPicPr>
                  </pic:nvPicPr>
                  <pic:blipFill>
                    <a:blip r:embed="rId91"/>
                    <a:stretch>
                      <a:fillRect/>
                    </a:stretch>
                  </pic:blipFill>
                  <pic:spPr bwMode="auto">
                    <a:xfrm>
                      <a:off x="0" y="0"/>
                      <a:ext cx="5969000" cy="1925666"/>
                    </a:xfrm>
                    <a:prstGeom prst="rect">
                      <a:avLst/>
                    </a:prstGeom>
                    <a:noFill/>
                    <a:ln w="9525">
                      <a:noFill/>
                      <a:headEnd/>
                      <a:tailEnd/>
                    </a:ln>
                  </pic:spPr>
                </pic:pic>
              </a:graphicData>
            </a:graphic>
          </wp:inline>
        </w:drawing>
      </w:r>
    </w:p>
    <w:bookmarkEnd w:id="94"/>
    <w:p>
      <w:pPr>
        <w:pStyle w:val="Piedeimagen"/>
      </w:pPr>
      <w:r>
        <w:t xml:space="preserve">Fuente: elaboración propia a partir de</w:t>
      </w:r>
      <w:r>
        <w:t xml:space="preserve"> </w:t>
      </w:r>
      <w:r>
        <w:t xml:space="preserve">Pérez Domínguez (</w:t>
      </w:r>
      <w:hyperlink w:anchor="ref-Perez2004Microeconomia">
        <w:r>
          <w:rPr>
            <w:rStyle w:val="Hyperlink"/>
          </w:rPr>
          <w:t xml:space="preserve">2004</w:t>
        </w:r>
      </w:hyperlink>
      <w:r>
        <w:t xml:space="preserve">)</w:t>
      </w:r>
      <w:r>
        <w:t xml:space="preserve">.</w:t>
      </w:r>
    </w:p>
    <w:bookmarkEnd w:id="95"/>
    <w:bookmarkStart w:id="102" w:name="Xe5a477787d3dbfed86cfaa7121490e73d4fd14e"/>
    <w:p>
      <w:pPr>
        <w:pStyle w:val="Heading3"/>
      </w:pPr>
      <w:r>
        <w:t xml:space="preserve">I.1.5.</w:t>
      </w:r>
      <w:r>
        <w:t xml:space="preserve"> </w:t>
      </w:r>
      <w:r>
        <w:t xml:space="preserve">Curvas de indiferencia, relación marginal de sustitución y elasticidad de sustitución</w:t>
      </w:r>
    </w:p>
    <w:p>
      <w:pPr>
        <w:numPr>
          <w:ilvl w:val="0"/>
          <w:numId w:val="1032"/>
        </w:numPr>
      </w:pPr>
      <w:r>
        <w:t xml:space="preserve">Una</w:t>
      </w:r>
      <w:r>
        <w:t xml:space="preserve"> </w:t>
      </w:r>
      <w:r>
        <w:rPr>
          <w:b/>
          <w:bCs/>
        </w:rPr>
        <w:t xml:space="preserve">curva de indiferencia</w:t>
      </w:r>
      <w:r>
        <w:t xml:space="preserve"> </w:t>
      </w:r>
      <w:r>
        <w:t xml:space="preserve">es el lugar geométrico de las cestas que dan la misma utilidad. Con dos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w:t>
      </w:r>
    </w:p>
    <w:p>
      <w:pPr>
        <w:pStyle w:val="BodyT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32"/>
        </w:numPr>
      </w:pPr>
      <w:r>
        <w:rPr>
          <w:b/>
          <w:bCs/>
        </w:rPr>
        <w:t xml:space="preserve">Propiedades</w:t>
      </w:r>
      <w:r>
        <w:t xml:space="preserve"> </w:t>
      </w:r>
      <w:r>
        <w:t xml:space="preserve">de las curvas de indiferencia (con preferencias regulares):</w:t>
      </w:r>
    </w:p>
    <w:p>
      <w:pPr>
        <w:numPr>
          <w:ilvl w:val="1"/>
          <w:numId w:val="1033"/>
        </w:numPr>
      </w:pPr>
      <w:r>
        <w:t xml:space="preserve">ordenan los niveles de utilidad y hay infinitas;</w:t>
      </w:r>
    </w:p>
    <w:p>
      <w:pPr>
        <w:numPr>
          <w:ilvl w:val="1"/>
          <w:numId w:val="1033"/>
        </w:numPr>
      </w:pPr>
      <w:r>
        <w:rPr>
          <w:i/>
          <w:iCs/>
        </w:rPr>
        <w:t xml:space="preserve">no se cortan</w:t>
      </w:r>
      <w:r>
        <w:t xml:space="preserve">, por la transitividad (el punto de corte tendría dos niveles de utilidad);</w:t>
      </w:r>
    </w:p>
    <w:p>
      <w:pPr>
        <w:numPr>
          <w:ilvl w:val="1"/>
          <w:numId w:val="1033"/>
        </w:numPr>
      </w:pPr>
      <w:r>
        <w:t xml:space="preserve">son</w:t>
      </w:r>
      <w:r>
        <w:t xml:space="preserve"> </w:t>
      </w:r>
      <w:r>
        <w:rPr>
          <w:i/>
          <w:iCs/>
        </w:rPr>
        <w:t xml:space="preserve">continuas</w:t>
      </w:r>
      <w:r>
        <w:t xml:space="preserve">, por la continuidad (axioma 4);</w:t>
      </w:r>
    </w:p>
    <w:p>
      <w:pPr>
        <w:numPr>
          <w:ilvl w:val="1"/>
          <w:numId w:val="1033"/>
        </w:numPr>
      </w:pPr>
      <w:r>
        <w:t xml:space="preserve">dan más utilidad cuanto más alejadas del origen, por la monotonía (axioma 5);</w:t>
      </w:r>
    </w:p>
    <w:p>
      <w:pPr>
        <w:numPr>
          <w:ilvl w:val="1"/>
          <w:numId w:val="1033"/>
        </w:numPr>
      </w:pPr>
      <w:r>
        <w:t xml:space="preserve">tienen</w:t>
      </w:r>
      <w:r>
        <w:t xml:space="preserve"> </w:t>
      </w:r>
      <w:r>
        <w:rPr>
          <w:i/>
          <w:iCs/>
        </w:rPr>
        <w:t xml:space="preserve">pendiente negativa</w:t>
      </w:r>
      <w:r>
        <w:t xml:space="preserve">, por la monotonía estricta (axioma 5);</w:t>
      </w:r>
    </w:p>
    <w:p>
      <w:pPr>
        <w:numPr>
          <w:ilvl w:val="1"/>
          <w:numId w:val="1033"/>
        </w:numPr>
      </w:pPr>
      <w:r>
        <w:t xml:space="preserve">son</w:t>
      </w:r>
      <w:r>
        <w:t xml:space="preserve"> </w:t>
      </w:r>
      <w:r>
        <w:rPr>
          <w:i/>
          <w:iCs/>
        </w:rPr>
        <w:t xml:space="preserve">estrictamente convexas</w:t>
      </w:r>
      <w:r>
        <w:t xml:space="preserve">, por la convexidad estricta (axioma 6</w:t>
      </w:r>
      <m:oMath>
        <m:r>
          <m:rPr>
            <m:sty m:val="p"/>
          </m:rPr>
          <m:t>′</m:t>
        </m:r>
      </m:oMath>
      <w:r>
        <w:t xml:space="preserve">): la sustituibilidad entre bienes es imperfecta;</w:t>
      </w:r>
    </w:p>
    <w:p>
      <w:pPr>
        <w:numPr>
          <w:ilvl w:val="1"/>
          <w:numId w:val="1033"/>
        </w:numPr>
      </w:pPr>
      <w:r>
        <w:t xml:space="preserve">no tienen vértices, por la diferenciabilidad (axioma 7).</w:t>
      </w:r>
    </w:p>
    <w:p>
      <w:pPr>
        <w:numPr>
          <w:ilvl w:val="0"/>
          <w:numId w:val="1032"/>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(2):</w:t>
      </w:r>
      <w:r>
        <w:rPr>
          <w:rStyle w:val="FootnoteReference"/>
        </w:rPr>
        <w:footnoteReference w:id="96"/>
      </w:r>
    </w:p>
    <w:p>
      <w:pPr>
        <w:pStyle w:val="BodyText"/>
      </w:pPr>
      <m:oMathPara>
        <m:oMathParaPr>
          <m:jc m:val="center"/>
        </m:oMathParaPr>
        <m:oMath>
          <m:r>
            <m:t>R</m:t>
          </m:r>
          <m:r>
            <m:t>M</m:t>
          </m:r>
          <m:sSub>
            <m:e>
              <m: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34"/>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34"/>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dos bienes y la variación porcentual de la RMS. Es un número puro que mide la curvatura de la curva de indiferencia:</w:t>
      </w:r>
    </w:p>
    <w:p>
      <w:pPr>
        <w:pStyle w:val="BodyT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r>
                <m:t>R</m:t>
              </m:r>
              <m:r>
                <m:t>M</m:t>
              </m:r>
              <m:sSub>
                <m:e>
                  <m: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35"/>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32"/>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p>
    <w:p>
      <w:pPr>
        <w:pStyle w:val="BodyT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numPr>
          <w:ilvl w:val="0"/>
          <w:numId w:val="1000"/>
        </w:numPr>
      </w:pPr>
      <w:r>
        <w:t xml:space="preserve">Incluye como casos particulares las formas más usadas:</w:t>
      </w:r>
      <w:r>
        <w:rPr>
          <w:rStyle w:val="FootnoteReference"/>
        </w:rPr>
        <w:footnoteReference w:id="97"/>
      </w:r>
    </w:p>
    <w:p>
      <w:pPr>
        <w:numPr>
          <w:ilvl w:val="1"/>
          <w:numId w:val="1036"/>
        </w:numPr>
      </w:pPr>
      <m:oMath>
        <m:r>
          <m:t>σ</m:t>
        </m:r>
        <m:r>
          <m:rPr>
            <m:sty m:val="p"/>
          </m:rPr>
          <m:t>→</m:t>
        </m:r>
        <m:r>
          <m:t>0</m:t>
        </m:r>
      </m:oMath>
      <w:r>
        <w:t xml:space="preserve">:</w:t>
      </w:r>
      <w:r>
        <w:t xml:space="preserve"> </w:t>
      </w:r>
      <w:r>
        <w:rPr>
          <w:i/>
          <w:iC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36"/>
        </w:numPr>
      </w:pPr>
      <m:oMath>
        <m:r>
          <m:t>σ</m:t>
        </m:r>
        <m:r>
          <m:rPr>
            <m:sty m:val="p"/>
          </m:rPr>
          <m:t>→</m:t>
        </m:r>
        <m:r>
          <m:t>1</m:t>
        </m:r>
      </m:oMath>
      <w:r>
        <w:t xml:space="preserve">:</w:t>
      </w:r>
      <w:r>
        <w:t xml:space="preserve"> </w:t>
      </w:r>
      <w:r>
        <w:rPr>
          <w:i/>
          <w:iCs/>
        </w:rPr>
        <w:t xml:space="preserve">Cobb-Douglas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36"/>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101" w:name="fig:ces-curvas-indiferencia"/>
    <w:p>
      <w:pPr>
        <w:pStyle w:val="ImageCaption"/>
      </w:pPr>
      <w:r>
        <w:t xml:space="preserve">Gráfico 5.–</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 title="" id="99" name="Picture"/>
            <a:graphic>
              <a:graphicData uri="http://schemas.openxmlformats.org/drawingml/2006/picture">
                <pic:pic>
                  <pic:nvPicPr>
                    <pic:cNvPr descr="C:\Users\vgutierrez\Documents\src\victorgutierrezmarcos.github.io-revision\oposicion\temario\fuentes\3A08\graficos/ces-curvas-indiferencia.png" id="100" name="Picture"/>
                    <pic:cNvPicPr>
                      <a:picLocks noChangeArrowheads="1" noChangeAspect="1"/>
                    </pic:cNvPicPr>
                  </pic:nvPicPr>
                  <pic:blipFill>
                    <a:blip r:embed="rId98"/>
                    <a:stretch>
                      <a:fillRect/>
                    </a:stretch>
                  </pic:blipFill>
                  <pic:spPr bwMode="auto">
                    <a:xfrm>
                      <a:off x="0" y="0"/>
                      <a:ext cx="2568882" cy="2471020"/>
                    </a:xfrm>
                    <a:prstGeom prst="rect">
                      <a:avLst/>
                    </a:prstGeom>
                    <a:noFill/>
                    <a:ln w="9525">
                      <a:noFill/>
                      <a:headEnd/>
                      <a:tailEnd/>
                    </a:ln>
                  </pic:spPr>
                </pic:pic>
              </a:graphicData>
            </a:graphic>
          </wp:inline>
        </w:drawing>
      </w:r>
    </w:p>
    <w:bookmarkEnd w:id="101"/>
    <w:p>
      <w:pPr>
        <w:pStyle w:val="Piedeimagen"/>
      </w:pPr>
      <w:r>
        <w:t xml:space="preserve">Fuente: elaboración propia a partir de</w:t>
      </w:r>
      <w:r>
        <w:t xml:space="preserve"> </w:t>
      </w:r>
      <w:r>
        <w:t xml:space="preserve">Besanko, Braeutigam, y Gibbs (</w:t>
      </w:r>
      <w:hyperlink w:anchor="ref-BesankoBraeutigamGibbs2020">
        <w:r>
          <w:rPr>
            <w:rStyle w:val="Hyperlink"/>
          </w:rPr>
          <w:t xml:space="preserve">2020</w:t>
        </w:r>
      </w:hyperlink>
      <w:r>
        <w:t xml:space="preserve">)</w:t>
      </w:r>
      <w:r>
        <w:t xml:space="preserve">.</w:t>
      </w:r>
    </w:p>
    <w:bookmarkEnd w:id="102"/>
    <w:bookmarkEnd w:id="103"/>
    <w:bookmarkStart w:id="133" w:name="X3467abfb5769f94e6b6a9dc5ec38ead2791c388"/>
    <w:p>
      <w:pPr>
        <w:pStyle w:val="Heading2"/>
      </w:pPr>
      <w:r>
        <w:t xml:space="preserve">I.2.</w:t>
      </w:r>
      <w:r>
        <w:t xml:space="preserve"> </w:t>
      </w:r>
      <w:r>
        <w:t xml:space="preserve">Restricción presupuestaria y función de demanda individual</w:t>
      </w:r>
    </w:p>
    <w:p>
      <w:pPr>
        <w:pStyle w:val="Notaalopositor"/>
      </w:pPr>
      <w:r>
        <w:rPr>
          <w:b/>
          <w:bCs/>
        </w:rPr>
        <w:t xml:space="preserve">Nota al opositor. </w:t>
      </w:r>
      <w:r>
        <w:t xml:space="preserve">En el cante: el conjunto presupuestario y la recta de balance,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y las propiedades de la demanda marshalliana (homogeneidad de grado cero, ley de</w:t>
      </w:r>
      <w:r>
        <w:t xml:space="preserve"> </w:t>
      </w:r>
      <w:r>
        <w:rPr>
          <w:smallCaps/>
        </w:rPr>
        <w:t xml:space="preserve">Walras</w:t>
      </w:r>
      <w:r>
        <w:t xml:space="preserve">, continuidad). De la función indirecta de utilidad basta la definición y la identidad de</w:t>
      </w:r>
      <w:r>
        <w:t xml:space="preserve"> </w:t>
      </w:r>
      <w:r>
        <w:rPr>
          <w:smallCaps/>
        </w:rPr>
        <w:t xml:space="preserve">Roy</w:t>
      </w:r>
      <w:r>
        <w:t xml:space="preserve">. Los teoremas de optimización y las propiedades de la FIU son de profundización.</w:t>
      </w:r>
    </w:p>
    <w:bookmarkStart w:id="111" w:name="Xf3dd9b918f5bef50d80ccdf364a7637a67502ce"/>
    <w:p>
      <w:pPr>
        <w:pStyle w:val="Heading3"/>
      </w:pPr>
      <w:r>
        <w:t xml:space="preserve">I.2.1.</w:t>
      </w:r>
      <w:r>
        <w:t xml:space="preserve"> </w:t>
      </w:r>
      <w:r>
        <w:t xml:space="preserve">Conjunto presupuestario y recta de balance</w:t>
      </w:r>
    </w:p>
    <w:p>
      <w:pPr>
        <w:numPr>
          <w:ilvl w:val="0"/>
          <w:numId w:val="1037"/>
        </w:numPr>
      </w:pPr>
      <w:r>
        <w:t xml:space="preserve">La</w:t>
      </w:r>
      <w:r>
        <w:t xml:space="preserve"> </w:t>
      </w:r>
      <w:r>
        <w:rPr>
          <w:b/>
          <w:bCs/>
        </w:rPr>
        <w:t xml:space="preserve">restricción presupuestaria</w:t>
      </w:r>
      <w:r>
        <w:t xml:space="preserve"> </w:t>
      </w:r>
      <w:r>
        <w:t xml:space="preserve">recoge la limitación que impone al consumidor su renta. Se suponen dos cosas:</w:t>
      </w:r>
    </w:p>
    <w:p>
      <w:pPr>
        <w:numPr>
          <w:ilvl w:val="1"/>
          <w:numId w:val="1038"/>
        </w:numPr>
      </w:pPr>
      <w:r>
        <w:t xml:space="preserve">los bienes se intercambian en el mercado a precios positivos y conocidos por todos los consumidores;</w:t>
      </w:r>
    </w:p>
    <w:p>
      <w:pPr>
        <w:numPr>
          <w:ilvl w:val="1"/>
          <w:numId w:val="1038"/>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37"/>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104"/>
      </w:r>
    </w:p>
    <w:p>
      <w:pPr>
        <w:pStyle w:val="BodyText"/>
      </w:pPr>
      <m:oMathPara>
        <m:oMathParaPr>
          <m:jc m:val="center"/>
        </m:oMathParaPr>
        <m:oMath>
          <m:r>
            <m:t>p</m:t>
          </m:r>
          <m:r>
            <m:rPr>
              <m:sty m:val="p"/>
            </m:rPr>
            <m:t>⋅</m:t>
          </m:r>
          <m:r>
            <m:t>x</m:t>
          </m:r>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39"/>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r>
              <m:t>p</m:t>
            </m:r>
            <m:r>
              <m:rPr>
                <m:sty m:val="p"/>
              </m:rPr>
              <m:t>,</m:t>
            </m:r>
            <m:bar>
              <m:barPr>
                <m:pos m:val="top"/>
              </m:barPr>
              <m:e>
                <m:r>
                  <m:t>W</m:t>
                </m:r>
              </m:e>
            </m:bar>
          </m:e>
        </m:d>
        <m:r>
          <m:rPr>
            <m:sty m:val="p"/>
          </m:rPr>
          <m:t>=</m:t>
        </m:r>
        <m:r>
          <m:rPr>
            <m:sty m:val="p"/>
          </m:rPr>
          <m:t>{</m:t>
        </m:r>
        <m:r>
          <m:t>x</m:t>
        </m:r>
        <m:r>
          <m:rPr>
            <m:sty m:val="p"/>
          </m:rPr>
          <m:t>∈</m:t>
        </m:r>
        <m:r>
          <m:t>S</m:t>
        </m:r>
        <m:r>
          <m:rPr>
            <m:sty m:val="p"/>
          </m:rPr>
          <m:t>:</m:t>
        </m:r>
        <m:r>
          <m:t>p</m:t>
        </m:r>
        <m:r>
          <m:rPr>
            <m:sty m:val="p"/>
          </m:rPr>
          <m:t>⋅</m:t>
        </m:r>
        <m:r>
          <m:t>x</m:t>
        </m:r>
        <m:r>
          <m:rPr>
            <m:sty m:val="p"/>
          </m:rPr>
          <m:t>≤</m:t>
        </m:r>
        <m:bar>
          <m:barPr>
            <m:pos m:val="top"/>
          </m:barPr>
          <m:e>
            <m:r>
              <m:t>W</m:t>
            </m:r>
          </m:e>
        </m:bar>
        <m:r>
          <m:rPr>
            <m:sty m:val="p"/>
          </m:rPr>
          <m:t>}</m:t>
        </m:r>
      </m:oMath>
      <w:r>
        <w:t xml:space="preserve">.</w:t>
      </w:r>
    </w:p>
    <w:p>
      <w:pPr>
        <w:numPr>
          <w:ilvl w:val="1"/>
          <w:numId w:val="1039"/>
        </w:numPr>
      </w:pPr>
      <w:r>
        <w:t xml:space="preserve">Sus</w:t>
      </w:r>
      <w:r>
        <w:t xml:space="preserve"> </w:t>
      </w:r>
      <w:r>
        <w:rPr>
          <w:b/>
          <w:bCs/>
        </w:rPr>
        <w:t xml:space="preserve">propiedades</w:t>
      </w:r>
      <w:r>
        <w:t xml:space="preserve">:</w:t>
      </w:r>
      <w:r>
        <w:rPr>
          <w:rStyle w:val="FootnoteReference"/>
        </w:rPr>
        <w:footnoteReference w:id="105"/>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r>
          <m:t>p</m:t>
        </m:r>
        <m:r>
          <m:rPr>
            <m:sty m:val="p"/>
          </m:rPr>
          <m:t>≫</m:t>
        </m:r>
        <m:r>
          <m:t>0</m:t>
        </m:r>
      </m:oMath>
      <w:r>
        <w:t xml:space="preserve">);</w:t>
      </w:r>
      <w:r>
        <w:rPr>
          <w:rStyle w:val="FootnoteReference"/>
        </w:rPr>
        <w:footnoteReference w:id="106"/>
      </w:r>
      <w:r>
        <w:t xml:space="preserve"> </w:t>
      </w:r>
      <w:r>
        <w:t xml:space="preserve">(iv) es</w:t>
      </w:r>
      <w:r>
        <w:t xml:space="preserve"> </w:t>
      </w:r>
      <w:r>
        <w:rPr>
          <w:i/>
          <w:iCs/>
        </w:rPr>
        <w:t xml:space="preserve">convexo</w:t>
      </w:r>
      <w:r>
        <w:t xml:space="preserve">: contiene toda combinación convexa de dos de sus cestas.</w:t>
      </w:r>
    </w:p>
    <w:p>
      <w:pPr>
        <w:numPr>
          <w:ilvl w:val="0"/>
          <w:numId w:val="1037"/>
        </w:numPr>
      </w:pPr>
      <w:r>
        <w:t xml:space="preserve">Con dos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110" w:name="fig:conjunto-presupuestario"/>
    <w:p>
      <w:pPr>
        <w:pStyle w:val="ImageCaption"/>
      </w:pPr>
      <w:r>
        <w:t xml:space="preserve">Gráfico 6.–</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700444" cy="1877731"/>
            <wp:effectExtent b="0" l="0" r="0" t="0"/>
            <wp:docPr descr="" title="" id="108" name="Picture"/>
            <a:graphic>
              <a:graphicData uri="http://schemas.openxmlformats.org/drawingml/2006/picture">
                <pic:pic>
                  <pic:nvPicPr>
                    <pic:cNvPr descr="C:\Users\vgutierrez\Documents\src\victorgutierrezmarcos.github.io-revision\oposicion\temario\fuentes\3A08\graficos/conjunto-presupuestario.png" id="109" name="Picture"/>
                    <pic:cNvPicPr>
                      <a:picLocks noChangeArrowheads="1" noChangeAspect="1"/>
                    </pic:cNvPicPr>
                  </pic:nvPicPr>
                  <pic:blipFill>
                    <a:blip r:embed="rId107"/>
                    <a:stretch>
                      <a:fillRect/>
                    </a:stretch>
                  </pic:blipFill>
                  <pic:spPr bwMode="auto">
                    <a:xfrm>
                      <a:off x="0" y="0"/>
                      <a:ext cx="4700444" cy="1877731"/>
                    </a:xfrm>
                    <a:prstGeom prst="rect">
                      <a:avLst/>
                    </a:prstGeom>
                    <a:noFill/>
                    <a:ln w="9525">
                      <a:noFill/>
                      <a:headEnd/>
                      <a:tailEnd/>
                    </a:ln>
                  </pic:spPr>
                </pic:pic>
              </a:graphicData>
            </a:graphic>
          </wp:inline>
        </w:drawing>
      </w:r>
    </w:p>
    <w:bookmarkEnd w:id="110"/>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w:t>
        </w:r>
      </w:hyperlink>
      <w:r>
        <w:t xml:space="preserve">)</w:t>
      </w:r>
      <w:r>
        <w:t xml:space="preserve">.</w:t>
      </w:r>
    </w:p>
    <w:bookmarkEnd w:id="111"/>
    <w:bookmarkStart w:id="116" w:name="X235e2ad3125740864893995629b02e387be581b"/>
    <w:p>
      <w:pPr>
        <w:pStyle w:val="Heading3"/>
      </w:pPr>
      <w:r>
        <w:t xml:space="preserve">I.2.2.</w:t>
      </w:r>
      <w:r>
        <w:t xml:space="preserve"> </w:t>
      </w:r>
      <w:r>
        <w:t xml:space="preserve">El problema de maximización de la utilidad</w:t>
      </w:r>
    </w:p>
    <w:p>
      <w:pPr>
        <w:numPr>
          <w:ilvl w:val="0"/>
          <w:numId w:val="1040"/>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p>
      <w:pPr>
        <w:pStyle w:val="BodyText"/>
      </w:pPr>
      <m:oMathPara>
        <m:oMathParaPr>
          <m:jc m:val="center"/>
        </m:oMathParaPr>
        <m:oMath>
          <m:limLow>
            <m:e>
              <m:r>
                <m:rPr>
                  <m:sty m:val="p"/>
                </m:rPr>
                <m:t>max</m:t>
              </m:r>
            </m:e>
            <m:lim>
              <m:sSub>
                <m:e>
                  <m:r>
                    <m:t>x</m:t>
                  </m:r>
                </m:e>
                <m:sub>
                  <m:r>
                    <m:t>1</m:t>
                  </m:r>
                </m:sub>
              </m:sSub>
              <m:r>
                <m:rPr>
                  <m:sty m:val="p"/>
                </m:rPr>
                <m:t>,</m:t>
              </m:r>
              <m:r>
                <m:rPr>
                  <m:sty m:val="p"/>
                </m:rPr>
                <m:t>…</m:t>
              </m:r>
              <m:r>
                <m:rPr>
                  <m:sty m:val="p"/>
                </m:rPr>
                <m:t>,</m:t>
              </m:r>
              <m:sSub>
                <m:e>
                  <m:r>
                    <m:t>x</m:t>
                  </m:r>
                </m:e>
                <m:sub>
                  <m:r>
                    <m:t>n</m:t>
                  </m:r>
                </m:sub>
              </m:sSub>
            </m:lim>
          </m:limLow>
          <m:r>
            <m:t> </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t> </m:t>
          </m:r>
          <m:r>
            <m:rPr>
              <m:nor/>
              <m:sty m:val="p"/>
            </m:rPr>
            <m:t>s.a.</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r>
            <m:t> </m:t>
          </m:r>
          <m:sSub>
            <m:e>
              <m:r>
                <m:t>x</m:t>
              </m:r>
            </m:e>
            <m:sub>
              <m:r>
                <m:t>i</m:t>
              </m:r>
            </m:sub>
          </m:sSub>
          <m:r>
            <m:rPr>
              <m:sty m:val="p"/>
            </m:rPr>
            <m:t>≥</m:t>
          </m:r>
          <m:r>
            <m:t>0</m:t>
          </m:r>
          <m:r>
            <m:rPr>
              <m:sty m:val="p"/>
            </m:rPr>
            <m:t>.</m:t>
          </m:r>
        </m:oMath>
      </m:oMathPara>
    </w:p>
    <w:p>
      <w:pPr>
        <w:numPr>
          <w:ilvl w:val="0"/>
          <w:numId w:val="1040"/>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rPr>
          <w:rStyle w:val="FootnoteReference"/>
        </w:rPr>
        <w:footnoteReference w:id="112"/>
      </w:r>
    </w:p>
    <w:p>
      <w:pPr>
        <w:pStyle w:val="Cajadeanotaciones"/>
        <w:numPr>
          <w:ilvl w:val="0"/>
          <w:numId w:val="1041"/>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41"/>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41"/>
        </w:numPr>
      </w:pPr>
      <w:r>
        <w:rPr>
          <w:i/>
          <w:iCs/>
        </w:rPr>
        <w:t xml:space="preserve">Unicidad</w:t>
      </w:r>
      <w:r>
        <w:t xml:space="preserve">: en esas mismas condiciones (estricta cuasiconcavidad y conjunto convexo), el máximo es único.</w:t>
      </w:r>
    </w:p>
    <w:p>
      <w:pPr>
        <w:pStyle w:val="Cajadeanotaciones"/>
        <w:numPr>
          <w:ilvl w:val="0"/>
          <w:numId w:val="1041"/>
        </w:numPr>
      </w:pPr>
      <w:r>
        <w:rPr>
          <w:i/>
          <w:iCs/>
        </w:rPr>
        <w:t xml:space="preserve">Suficiencia</w:t>
      </w:r>
      <w:r>
        <w:t xml:space="preserve"> </w:t>
      </w:r>
      <w:r>
        <w:t xml:space="preserve">(</w:t>
      </w:r>
      <w:r>
        <w:rPr>
          <w:smallCaps/>
        </w:rPr>
        <w:t xml:space="preserve">Arrow</w:t>
      </w:r>
      <w:r>
        <w:t xml:space="preserve"> </w:t>
      </w:r>
      <w:r>
        <w:t xml:space="preserve">y</w:t>
      </w:r>
      <w:r>
        <w:t xml:space="preserve"> </w:t>
      </w:r>
      <w:r>
        <w:rPr>
          <w:smallCaps/>
        </w:rPr>
        <w:t xml:space="preserve">Enthoven</w:t>
      </w:r>
      <w:r>
        <w:t xml:space="preserve">, 1961):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r>
        <w:rPr>
          <w:rStyle w:val="FootnoteReference"/>
        </w:rPr>
        <w:footnoteReference w:id="113"/>
      </w:r>
    </w:p>
    <w:p>
      <w:pPr>
        <w:numPr>
          <w:ilvl w:val="0"/>
          <w:numId w:val="1042"/>
        </w:numPr>
      </w:pPr>
      <w:r>
        <w:t xml:space="preserve">Como el problema tiene restricciones de desigualdad, se resuelve con el método de</w:t>
      </w:r>
      <w:r>
        <w:t xml:space="preserve"> </w:t>
      </w:r>
      <w:r>
        <w:rPr>
          <w:smallCaps/>
        </w:rPr>
        <w:t xml:space="preserve">Kuhn</w:t>
      </w:r>
      <w:r>
        <w:t xml:space="preserve"> </w:t>
      </w:r>
      <w:r>
        <w:t xml:space="preserve">y</w:t>
      </w:r>
      <w:r>
        <w:t xml:space="preserve"> </w:t>
      </w:r>
      <w:r>
        <w:rPr>
          <w:smallCaps/>
        </w:rPr>
        <w:t xml:space="preserve">Tucker</w:t>
      </w:r>
      <w:r>
        <w:t xml:space="preserve"> </w:t>
      </w:r>
      <w:r>
        <w:t xml:space="preserve">(1951),</w:t>
      </w:r>
      <w:r>
        <w:rPr>
          <w:rStyle w:val="FootnoteReference"/>
        </w:rPr>
        <w:footnoteReference w:id="114"/>
      </w:r>
      <w:r>
        <w:t xml:space="preserve"> </w:t>
      </w:r>
      <w:r>
        <w:t xml:space="preserve">a partir de la función lagrangiana:</w:t>
      </w:r>
    </w:p>
    <w:p>
      <w:pPr>
        <w:pStyle w:val="BodyT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43"/>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15"/>
      </w:r>
    </w:p>
    <w:p>
      <w:pPr>
        <w:numPr>
          <w:ilvl w:val="0"/>
          <w:numId w:val="1042"/>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r>
              <m:t>x</m:t>
            </m:r>
          </m:e>
          <m:sup>
            <m:r>
              <m:rPr>
                <m:sty m:val="p"/>
              </m:rPr>
              <m:t>*</m:t>
            </m:r>
          </m:sup>
        </m:sSup>
      </m:oMath>
      <w:r>
        <w:t xml:space="preserve"> </w:t>
      </w:r>
      <w:r>
        <w:t xml:space="preserve">sea solución son:</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r>
                  <m:t>p</m:t>
                </m:r>
                <m:r>
                  <m:rPr>
                    <m:sty m:val="p"/>
                  </m:rPr>
                  <m:t>⋅</m:t>
                </m:r>
                <m:r>
                  <m:t>x</m:t>
                </m:r>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r>
                      <m:t>p</m:t>
                    </m:r>
                    <m:r>
                      <m:rPr>
                        <m:sty m:val="p"/>
                      </m:rPr>
                      <m:t>⋅</m:t>
                    </m:r>
                    <m:r>
                      <m:t>x</m:t>
                    </m:r>
                  </m:e>
                </m:d>
                <m:r>
                  <m:rPr>
                    <m:sty m:val="p"/>
                  </m:rPr>
                  <m:t>=</m:t>
                </m:r>
                <m:r>
                  <m:t>0</m:t>
                </m:r>
                <m:r>
                  <m:rPr>
                    <m:sty m:val="p"/>
                  </m:rPr>
                  <m:t>.</m:t>
                </m:r>
              </m:e>
            </m:mr>
          </m:m>
        </m:oMath>
      </m:oMathPara>
    </w:p>
    <w:p>
      <w:pPr>
        <w:numPr>
          <w:ilvl w:val="1"/>
          <w:numId w:val="1044"/>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numPr>
          <w:ilvl w:val="1"/>
          <w:numId w:val="1044"/>
        </w:numPr>
      </w:pPr>
      <w:r>
        <w:t xml:space="preserve">La</w:t>
      </w:r>
      <w:r>
        <w:t xml:space="preserve"> </w:t>
      </w:r>
      <w:r>
        <w:rPr>
          <w:i/>
          <w:iCs/>
        </w:rPr>
        <w:t xml:space="preserve">holgura complementaria</w:t>
      </w:r>
      <w:r>
        <w:t xml:space="preserve"> </w:t>
      </w:r>
      <w:r>
        <w:t xml:space="preserve">dice que, para cada bien, al menos una de las dos desigualdades se cumple con igualdad: 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w:t>
      </w:r>
      <w:r>
        <w:t xml:space="preserve">(la última unidad monetaria gastada en él rinde</w:t>
      </w:r>
      <w:r>
        <w:t xml:space="preserve"> </w:t>
      </w:r>
      <m:oMath>
        <m:r>
          <m:t>λ</m:t>
        </m:r>
      </m:oMath>
      <w:r>
        <w:t xml:space="preserve">), 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 Si se cumplen ambas igualdades a la vez, la solución de esquina es degenerada.</w:t>
      </w:r>
    </w:p>
    <w:p>
      <w:pPr>
        <w:numPr>
          <w:ilvl w:val="1"/>
          <w:numId w:val="1044"/>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w:t>
      </w:r>
    </w:p>
    <w:p>
      <w:pPr>
        <w:numPr>
          <w:ilvl w:val="1"/>
          <w:numId w:val="1044"/>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16"/>
    <w:bookmarkStart w:id="121" w:name="solución-interior-y-solución-de-esquina"/>
    <w:p>
      <w:pPr>
        <w:pStyle w:val="Heading3"/>
      </w:pPr>
      <w:r>
        <w:t xml:space="preserve">I.2.3.</w:t>
      </w:r>
      <w:r>
        <w:t xml:space="preserve"> </w:t>
      </w:r>
      <w:r>
        <w:t xml:space="preserve">Solución interior y solución de esquina</w:t>
      </w:r>
    </w:p>
    <w:p>
      <w:pPr>
        <w:numPr>
          <w:ilvl w:val="0"/>
          <w:numId w:val="1045"/>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(9) se cumple con igualdad para todos los bienes y, despejando</w:t>
      </w:r>
      <w:r>
        <w:t xml:space="preserve"> </w:t>
      </w:r>
      <m:oMath>
        <m:r>
          <m:t>λ</m:t>
        </m:r>
      </m:oMath>
      <w:r>
        <w:t xml:space="preserve">:</w:t>
      </w:r>
    </w:p>
    <w:p>
      <w:pPr>
        <w:pStyle w:val="BodyT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(pág. ).</w:t>
      </w:r>
    </w:p>
    <w:p>
      <w:pPr>
        <w:numPr>
          <w:ilvl w:val="1"/>
          <w:numId w:val="1046"/>
        </w:numPr>
      </w:pPr>
      <w:r>
        <w:t xml:space="preserve">Con dos bienes, la tasa a la que el consumidor está dispuesto a intercambiar los bienes (RMS) se iguala a la que fija el mercado (cociente de precios): la curva de indiferencia es tangente a la recta de balance.</w:t>
      </w:r>
    </w:p>
    <w:p>
      <w:pPr>
        <w:pStyle w:val="BodyText"/>
      </w:pPr>
      <m:oMathPara>
        <m:oMathParaPr>
          <m:jc m:val="center"/>
        </m:oMathParaPr>
        <m:oMath>
          <m:r>
            <m:t>R</m:t>
          </m:r>
          <m:r>
            <m:t>M</m:t>
          </m:r>
          <m:sSub>
            <m:e>
              <m: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0"/>
          <w:numId w:val="1045"/>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20" w:name="fig:solucion-interior-esquina"/>
    <w:p>
      <w:pPr>
        <w:pStyle w:val="ImageCaption"/>
      </w:pPr>
      <w:r>
        <w:t xml:space="preserve">Gráfico 7.–</w:t>
      </w:r>
      <w:r>
        <w:t xml:space="preserve"> </w:t>
      </w:r>
      <w:r>
        <w:t xml:space="preserve">Solución interior (tangencia) y solución de esquina</w:t>
      </w:r>
    </w:p>
    <w:p>
      <w:pPr>
        <w:pStyle w:val="CaptionedFigure"/>
      </w:pPr>
      <w:r>
        <w:drawing>
          <wp:inline>
            <wp:extent cx="5021554" cy="1877731"/>
            <wp:effectExtent b="0" l="0" r="0" t="0"/>
            <wp:docPr descr="" title="" id="118" name="Picture"/>
            <a:graphic>
              <a:graphicData uri="http://schemas.openxmlformats.org/drawingml/2006/picture">
                <pic:pic>
                  <pic:nvPicPr>
                    <pic:cNvPr descr="C:\Users\vgutierrez\Documents\src\victorgutierrezmarcos.github.io-revision\oposicion\temario\fuentes\3A08\graficos/solucion-interior-esquina.png" id="119" name="Picture"/>
                    <pic:cNvPicPr>
                      <a:picLocks noChangeArrowheads="1" noChangeAspect="1"/>
                    </pic:cNvPicPr>
                  </pic:nvPicPr>
                  <pic:blipFill>
                    <a:blip r:embed="rId117"/>
                    <a:stretch>
                      <a:fillRect/>
                    </a:stretch>
                  </pic:blipFill>
                  <pic:spPr bwMode="auto">
                    <a:xfrm>
                      <a:off x="0" y="0"/>
                      <a:ext cx="5021554" cy="1877731"/>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t xml:space="preserve">Vial y Zurita (</w:t>
      </w:r>
      <w:hyperlink w:anchor="ref-VialZurita2011Microeconomia">
        <w:r>
          <w:rPr>
            <w:rStyle w:val="Hyperlink"/>
          </w:rPr>
          <w:t xml:space="preserve">2011</w:t>
        </w:r>
      </w:hyperlink>
      <w:r>
        <w:t xml:space="preserve">)</w:t>
      </w:r>
      <w:r>
        <w:t xml:space="preserve"> </w:t>
      </w:r>
      <w:r>
        <w:t xml:space="preserve">y</w:t>
      </w:r>
      <w:r>
        <w:t xml:space="preserve"> </w:t>
      </w:r>
      <w:r>
        <w:t xml:space="preserve">Varian (</w:t>
      </w:r>
      <w:hyperlink w:anchor="ref-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21"/>
    <w:bookmarkStart w:id="129" w:name="la-función-de-demanda-marshalliana"/>
    <w:p>
      <w:pPr>
        <w:pStyle w:val="Heading3"/>
      </w:pPr>
      <w:r>
        <w:t xml:space="preserve">I.2.4.</w:t>
      </w:r>
      <w:r>
        <w:t xml:space="preserve"> </w:t>
      </w:r>
      <w:r>
        <w:t xml:space="preserve">La función de demanda marshalliana</w:t>
      </w:r>
    </w:p>
    <w:p>
      <w:pPr>
        <w:numPr>
          <w:ilvl w:val="0"/>
          <w:numId w:val="1047"/>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22"/>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p>
      <w:pPr>
        <w:pStyle w:val="BodyText"/>
      </w:pPr>
      <m:oMathPara>
        <m:oMathParaPr>
          <m:jc m:val="center"/>
        </m:oMathParaPr>
        <m:oMath>
          <m:sSup>
            <m:e>
              <m:r>
                <m:t>x</m:t>
              </m:r>
            </m:e>
            <m:sup>
              <m:r>
                <m:rPr>
                  <m:sty m:val="p"/>
                </m:rPr>
                <m:t>*</m:t>
              </m:r>
            </m:sup>
          </m:sSup>
          <m:r>
            <m:rPr>
              <m:sty m:val="p"/>
            </m:rPr>
            <m:t>=</m:t>
          </m:r>
          <m:r>
            <m:t>x</m:t>
          </m:r>
          <m:d>
            <m:dPr>
              <m:begChr m:val="("/>
              <m:sepChr m:val=""/>
              <m:endChr m:val=")"/>
              <m:grow/>
            </m:dPr>
            <m:e>
              <m:r>
                <m:t>p</m:t>
              </m:r>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numPr>
          <w:ilvl w:val="0"/>
          <w:numId w:val="1047"/>
        </w:numPr>
      </w:pPr>
      <w:r>
        <w:t xml:space="preserve">Sus</w:t>
      </w:r>
      <w:r>
        <w:t xml:space="preserve"> </w:t>
      </w:r>
      <w:r>
        <w:rPr>
          <w:b/>
          <w:bCs/>
        </w:rPr>
        <w:t xml:space="preserve">propiedades</w:t>
      </w:r>
      <w:r>
        <w:t xml:space="preserve">:</w:t>
      </w:r>
    </w:p>
    <w:p>
      <w:pPr>
        <w:numPr>
          <w:ilvl w:val="1"/>
          <w:numId w:val="1048"/>
        </w:numPr>
      </w:pPr>
      <w:r>
        <w:rPr>
          <w:i/>
          <w:iCs/>
        </w:rPr>
        <w:t xml:space="preserve">Existe y es única</w:t>
      </w:r>
      <w:r>
        <w:t xml:space="preserve">.</w:t>
      </w:r>
      <w:r>
        <w:rPr>
          <w:rStyle w:val="FootnoteReference"/>
        </w:rPr>
        <w:footnoteReference w:id="123"/>
      </w:r>
    </w:p>
    <w:p>
      <w:pPr>
        <w:numPr>
          <w:ilvl w:val="1"/>
          <w:numId w:val="1048"/>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124"/>
      </w:r>
    </w:p>
    <w:p>
      <w:pPr>
        <w:numPr>
          <w:ilvl w:val="1"/>
          <w:numId w:val="1048"/>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t xml:space="preserve"> </w:t>
      </w:r>
      <m:oMath>
        <m:r>
          <m:t>x</m:t>
        </m:r>
        <m:d>
          <m:dPr>
            <m:begChr m:val="("/>
            <m:sepChr m:val=""/>
            <m:endChr m:val=")"/>
            <m:grow/>
          </m:dPr>
          <m:e>
            <m:r>
              <m:t>k</m:t>
            </m:r>
            <m:r>
              <m:t>p</m:t>
            </m:r>
            <m:r>
              <m:rPr>
                <m:sty m:val="p"/>
              </m:rPr>
              <m:t>,</m:t>
            </m:r>
            <m:r>
              <m:t>k</m:t>
            </m:r>
            <m:bar>
              <m:barPr>
                <m:pos m:val="top"/>
              </m:barPr>
              <m:e>
                <m:r>
                  <m:t>W</m:t>
                </m:r>
              </m:e>
            </m:bar>
          </m:e>
        </m:d>
        <m:r>
          <m:rPr>
            <m:sty m:val="p"/>
          </m:rPr>
          <m:t>=</m:t>
        </m:r>
        <m:r>
          <m:t>x</m:t>
        </m:r>
        <m:d>
          <m:dPr>
            <m:begChr m:val="("/>
            <m:sepChr m:val=""/>
            <m:endChr m:val=")"/>
            <m:grow/>
          </m:dPr>
          <m:e>
            <m:r>
              <m:t>p</m:t>
            </m:r>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w:t>
      </w:r>
      <w:r>
        <w:rPr>
          <w:rStyle w:val="FootnoteReference"/>
        </w:rPr>
        <w:footnoteReference w:id="125"/>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48"/>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26"/>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48"/>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127"/>
      </w:r>
    </w:p>
    <w:bookmarkEnd w:id="129"/>
    <w:bookmarkStart w:id="132" w:name="la-función-indirecta-de-utilidad"/>
    <w:p>
      <w:pPr>
        <w:pStyle w:val="Heading3"/>
      </w:pPr>
      <w:r>
        <w:t xml:space="preserve">I.2.5.</w:t>
      </w:r>
      <w:r>
        <w:t xml:space="preserve"> </w:t>
      </w:r>
      <w:r>
        <w:t xml:space="preserve">La función indirecta de utilidad</w:t>
      </w:r>
    </w:p>
    <w:p>
      <w:pPr>
        <w:numPr>
          <w:ilvl w:val="0"/>
          <w:numId w:val="1049"/>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w:t>
      </w:r>
    </w:p>
    <w:p>
      <w:pPr>
        <w:pStyle w:val="BodyText"/>
      </w:pPr>
      <m:oMathPara>
        <m:oMathParaPr>
          <m:jc m:val="center"/>
        </m:oMathParaPr>
        <m:oMath>
          <m:r>
            <m:t>V</m:t>
          </m:r>
          <m:d>
            <m:dPr>
              <m:begChr m:val="("/>
              <m:sepChr m:val=""/>
              <m:endChr m:val=")"/>
              <m:grow/>
            </m:dPr>
            <m:e>
              <m:r>
                <m:t>p</m:t>
              </m:r>
              <m:r>
                <m:rPr>
                  <m:sty m:val="p"/>
                </m:rPr>
                <m:t>,</m:t>
              </m:r>
              <m:bar>
                <m:barPr>
                  <m:pos m:val="top"/>
                </m:barPr>
                <m:e>
                  <m:r>
                    <m:t>W</m:t>
                  </m:r>
                </m:e>
              </m:bar>
            </m:e>
          </m:d>
          <m:r>
            <m:rPr>
              <m:sty m:val="p"/>
            </m:rPr>
            <m:t>=</m:t>
          </m:r>
          <m:r>
            <m:t>U</m:t>
          </m:r>
          <m:d>
            <m:dPr>
              <m:begChr m:val="("/>
              <m:sepChr m:val=""/>
              <m:endChr m:val=")"/>
              <m:grow/>
            </m:dPr>
            <m:e>
              <m:r>
                <m:t>x</m:t>
              </m:r>
              <m:d>
                <m:dPr>
                  <m:begChr m:val="("/>
                  <m:sepChr m:val=""/>
                  <m:endChr m:val=")"/>
                  <m:grow/>
                </m:dPr>
                <m:e>
                  <m:r>
                    <m:t>p</m:t>
                  </m:r>
                  <m:r>
                    <m:rPr>
                      <m:sty m:val="p"/>
                    </m:rPr>
                    <m:t>,</m:t>
                  </m:r>
                  <m:bar>
                    <m:barPr>
                      <m:pos m:val="top"/>
                    </m:barPr>
                    <m:e>
                      <m:r>
                        <m:t>W</m:t>
                      </m:r>
                    </m:e>
                  </m:bar>
                </m:e>
              </m:d>
            </m:e>
          </m:d>
          <m:r>
            <m:rPr>
              <m:sty m:val="p"/>
            </m:rPr>
            <m:t>=</m:t>
          </m:r>
          <m:limLow>
            <m:e>
              <m:r>
                <m:rPr>
                  <m:sty m:val="p"/>
                </m:rPr>
                <m:t>max</m:t>
              </m:r>
            </m:e>
            <m:lim>
              <m:r>
                <m:t>x</m:t>
              </m:r>
            </m:lim>
          </m:limLow>
          <m:d>
            <m:dPr>
              <m:begChr m:val="{"/>
              <m:sepChr m:val=""/>
              <m:endChr m:val="}"/>
              <m:grow/>
            </m:dPr>
            <m:e>
              <m:r>
                <m:t>U</m:t>
              </m:r>
              <m:d>
                <m:dPr>
                  <m:begChr m:val="("/>
                  <m:sepChr m:val=""/>
                  <m:endChr m:val=")"/>
                  <m:grow/>
                </m:dPr>
                <m:e>
                  <m:r>
                    <m:t>x</m:t>
                  </m:r>
                </m:e>
              </m:d>
              <m:r>
                <m:t> </m:t>
              </m:r>
              <m:r>
                <m:rPr>
                  <m:sty m:val="p"/>
                </m:rPr>
                <m:t>:</m:t>
              </m:r>
              <m:r>
                <m:t> </m:t>
              </m:r>
              <m:r>
                <m:t>p</m:t>
              </m:r>
              <m:r>
                <m:rPr>
                  <m:sty m:val="p"/>
                </m:rPr>
                <m:t>⋅</m:t>
              </m:r>
              <m:r>
                <m:t>x</m:t>
              </m:r>
              <m:r>
                <m:rPr>
                  <m:sty m:val="p"/>
                </m:rPr>
                <m:t>≤</m:t>
              </m:r>
              <m:bar>
                <m:barPr>
                  <m:pos m:val="top"/>
                </m:barPr>
                <m:e>
                  <m:r>
                    <m:t>W</m:t>
                  </m:r>
                </m:e>
              </m:bar>
              <m:r>
                <m:rPr>
                  <m:sty m:val="p"/>
                </m:rPr>
                <m:t>,</m:t>
              </m:r>
              <m:r>
                <m:t> </m:t>
              </m:r>
              <m:r>
                <m:t>x</m:t>
              </m:r>
              <m:r>
                <m:rPr>
                  <m:sty m:val="p"/>
                </m:rPr>
                <m:t>≥</m:t>
              </m:r>
              <m:r>
                <m:t>0</m:t>
              </m:r>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r>
              <m:t>x</m:t>
            </m:r>
          </m:e>
        </m:d>
      </m:oMath>
      <w:r>
        <w:t xml:space="preserve"> </w:t>
      </w:r>
      <w:r>
        <w:t xml:space="preserve">depende directamente de las cantidades.</w:t>
      </w:r>
    </w:p>
    <w:p>
      <w:pPr>
        <w:numPr>
          <w:ilvl w:val="0"/>
          <w:numId w:val="1049"/>
        </w:numPr>
      </w:pPr>
      <w:r>
        <w:rPr>
          <w:b/>
          <w:bCs/>
        </w:rPr>
        <w:t xml:space="preserve">Propiedades</w:t>
      </w:r>
      <w:r>
        <w:t xml:space="preserve"> </w:t>
      </w:r>
      <w:r>
        <w:t xml:space="preserve">de la FIU:</w:t>
      </w:r>
      <w:r>
        <w:rPr>
          <w:rStyle w:val="FootnoteReference"/>
        </w:rPr>
        <w:footnoteReference w:id="130"/>
      </w:r>
    </w:p>
    <w:p>
      <w:pPr>
        <w:numPr>
          <w:ilvl w:val="1"/>
          <w:numId w:val="105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p>
    <w:p>
      <w:pPr>
        <w:numPr>
          <w:ilvl w:val="1"/>
          <w:numId w:val="1050"/>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un cambio equiproporcional de precios y renta no altera la cesta elegida ni, por tanto, el bienestar;</w:t>
      </w:r>
    </w:p>
    <w:p>
      <w:pPr>
        <w:numPr>
          <w:ilvl w:val="1"/>
          <w:numId w:val="1050"/>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50"/>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el conjunto</w:t>
      </w:r>
      <w:r>
        <w:t xml:space="preserve"> </w:t>
      </w:r>
      <m:oMath>
        <m:r>
          <m:rPr>
            <m:sty m:val="p"/>
          </m:rPr>
          <m:t>{</m:t>
        </m:r>
        <m:d>
          <m:dPr>
            <m:begChr m:val="("/>
            <m:sepChr m:val=""/>
            <m:endChr m:val=")"/>
            <m:grow/>
          </m:dPr>
          <m:e>
            <m:r>
              <m:t>p</m:t>
            </m:r>
            <m:r>
              <m:rPr>
                <m:sty m:val="p"/>
              </m:rPr>
              <m:t>,</m:t>
            </m:r>
            <m:bar>
              <m:barPr>
                <m:pos m:val="top"/>
              </m:barPr>
              <m:e>
                <m:r>
                  <m:t>W</m:t>
                </m:r>
              </m:e>
            </m:bar>
          </m:e>
        </m:d>
        <m:r>
          <m:rPr>
            <m:sty m:val="p"/>
          </m:rPr>
          <m:t>:</m:t>
        </m:r>
        <m:r>
          <m:t>V</m:t>
        </m:r>
        <m:d>
          <m:dPr>
            <m:begChr m:val="("/>
            <m:sepChr m:val=""/>
            <m:endChr m:val=")"/>
            <m:grow/>
          </m:dPr>
          <m:e>
            <m:r>
              <m:t>p</m:t>
            </m:r>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λ</m:t>
            </m:r>
            <m:r>
              <m:t>p</m:t>
            </m:r>
            <m:r>
              <m:rPr>
                <m:sty m:val="p"/>
              </m:rPr>
              <m:t>+</m:t>
            </m:r>
            <m:d>
              <m:dPr>
                <m:begChr m:val="("/>
                <m:sepChr m:val=""/>
                <m:endChr m:val=")"/>
                <m:grow/>
              </m:dPr>
              <m:e>
                <m:r>
                  <m:t>1</m:t>
                </m:r>
                <m:r>
                  <m:rPr>
                    <m:sty m:val="p"/>
                  </m:rPr>
                  <m:t>−</m:t>
                </m:r>
                <m:r>
                  <m:t>λ</m:t>
                </m:r>
              </m:e>
            </m:d>
            <m:r>
              <m:t>p</m:t>
            </m:r>
            <m:r>
              <m:rPr>
                <m:sty m:val="p"/>
              </m:rPr>
              <m:t>′</m:t>
            </m:r>
            <m:r>
              <m:rPr>
                <m:sty m:val="p"/>
              </m:rPr>
              <m:t>,</m:t>
            </m:r>
            <m:r>
              <m:t> </m:t>
            </m:r>
            <m:r>
              <m:t>λ</m:t>
            </m:r>
            <m:bar>
              <m:barPr>
                <m:pos m:val="top"/>
              </m:barPr>
              <m:e>
                <m:r>
                  <m:t>W</m:t>
                </m:r>
              </m:e>
            </m:bar>
            <m:r>
              <m:rPr>
                <m:sty m:val="p"/>
              </m:rPr>
              <m:t>+</m:t>
            </m:r>
            <m:d>
              <m:dPr>
                <m:begChr m:val="("/>
                <m:sepChr m:val=""/>
                <m:endChr m:val=")"/>
                <m:grow/>
              </m:dPr>
              <m:e>
                <m:r>
                  <m:t>1</m:t>
                </m:r>
                <m:r>
                  <m:rPr>
                    <m:sty m:val="p"/>
                  </m:rPr>
                  <m:t>−</m:t>
                </m:r>
                <m:r>
                  <m:t>λ</m:t>
                </m:r>
              </m:e>
            </m:d>
            <m:bar>
              <m:barPr>
                <m:pos m:val="top"/>
              </m:barPr>
              <m:e>
                <m:r>
                  <m:t>W</m:t>
                </m:r>
              </m:e>
            </m:bar>
            <m:r>
              <m:rPr>
                <m:sty m:val="p"/>
              </m:rPr>
              <m:t>′</m:t>
            </m:r>
          </m:e>
        </m:d>
      </m:oMath>
      <w:r>
        <w:t xml:space="preserve"> </w:t>
      </w:r>
      <w:r>
        <w:t xml:space="preserve">es asequible con al menos uno de los dos presupuestos extremos; por tanto, la utilidad alcanzable con el promedio no supera la mayor de las dos. No depende de la convexidad de las preferencias;</w:t>
      </w:r>
    </w:p>
    <w:p>
      <w:pPr>
        <w:numPr>
          <w:ilvl w:val="1"/>
          <w:numId w:val="1050"/>
        </w:numPr>
      </w:pPr>
      <w:r>
        <w:t xml:space="preserve">cumple la</w:t>
      </w:r>
      <w:r>
        <w:t xml:space="preserve"> </w:t>
      </w:r>
      <w:r>
        <w:rPr>
          <w:b/>
          <w:bCs/>
        </w:rPr>
        <w:t xml:space="preserve">identidad de</w:t>
      </w:r>
      <w:r>
        <w:rPr>
          <w:b/>
          <w:bCs/>
        </w:rPr>
        <w:t xml:space="preserve"> </w:t>
      </w:r>
      <w:r>
        <w:rPr>
          <w:b/>
          <w:bCs/>
          <w:smallCaps/>
        </w:rPr>
        <w:t xml:space="preserve">Roy</w:t>
      </w:r>
      <w:r>
        <w:t xml:space="preserve"> </w:t>
      </w:r>
      <w:r>
        <w:t xml:space="preserve">(1947):</w:t>
      </w:r>
      <w:r>
        <w:rPr>
          <w:rStyle w:val="FootnoteReference"/>
        </w:rPr>
        <w:footnoteReference w:id="131"/>
      </w:r>
      <w:r>
        <w:t xml:space="preserve"> </w:t>
      </w:r>
      <w:r>
        <w:t xml:space="preserve">si</w:t>
      </w:r>
      <w:r>
        <w:t xml:space="preserve"> </w:t>
      </w:r>
      <m:oMath>
        <m:r>
          <m:t>V</m:t>
        </m:r>
      </m:oMath>
      <w:r>
        <w:t xml:space="preserve"> </w:t>
      </w:r>
      <w:r>
        <w:t xml:space="preserve">es diferenciable,</w:t>
      </w:r>
    </w:p>
    <w:p>
      <w:pPr>
        <w:pStyle w:val="BodyText"/>
      </w:pPr>
      <m:oMathPara>
        <m:oMathParaPr>
          <m:jc m:val="center"/>
        </m:oMathParaPr>
        <m:oMath>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r>
                    <m:t>p</m:t>
                  </m:r>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w:t>
      </w:r>
    </w:p>
    <w:p>
      <w:pPr>
        <w:numPr>
          <w:ilvl w:val="0"/>
          <w:numId w:val="1049"/>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r>
        <w:rPr>
          <w:rStyle w:val="Referenciaatema"/>
        </w:rPr>
        <w:t xml:space="preserve">[ver tema 3.A.9]</w:t>
      </w:r>
      <w:r>
        <w:t xml:space="preserve">.</w:t>
      </w:r>
    </w:p>
    <w:bookmarkEnd w:id="132"/>
    <w:bookmarkEnd w:id="133"/>
    <w:bookmarkStart w:id="144" w:name="X7c35e5c2b8762d45b0200683099fe88917bd9d8"/>
    <w:p>
      <w:pPr>
        <w:pStyle w:val="Heading2"/>
      </w:pPr>
      <w:r>
        <w:t xml:space="preserve">I.3.</w:t>
      </w:r>
      <w:r>
        <w:t xml:space="preserve"> </w:t>
      </w:r>
      <w:r>
        <w:t xml:space="preserve">Agregación: condiciones y problemas asociados al efecto renta nulo</w:t>
      </w:r>
    </w:p>
    <w:p>
      <w:pPr>
        <w:pStyle w:val="Notaalopositor"/>
      </w:pPr>
      <w:r>
        <w:rPr>
          <w:b/>
          <w:bCs/>
        </w:rPr>
        <w:t xml:space="preserve">Nota al opositor. </w:t>
      </w:r>
      <w:r>
        <w:t xml:space="preserve">En el cante: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dos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w:t>
      </w:r>
    </w:p>
    <w:p>
      <w:pPr>
        <w:numPr>
          <w:ilvl w:val="0"/>
          <w:numId w:val="1051"/>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p>
    <w:p>
      <w:pPr>
        <w:pStyle w:val="BodyText"/>
      </w:pPr>
      <m:oMathPara>
        <m:oMathParaPr>
          <m:jc m:val="center"/>
        </m:oMathParaPr>
        <m:oMath>
          <m:sSub>
            <m:e>
              <m:r>
                <m:t>X</m:t>
              </m:r>
            </m:e>
            <m:sub>
              <m:r>
                <m:t>i</m:t>
              </m:r>
            </m:sub>
          </m:sSub>
          <m:d>
            <m:dPr>
              <m:begChr m:val="("/>
              <m:sepChr m:val=""/>
              <m:endChr m:val=")"/>
              <m:grow/>
            </m:dPr>
            <m:e>
              <m:r>
                <m:t>p</m:t>
              </m:r>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r>
                <m:t>p</m:t>
              </m:r>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numPr>
          <w:ilvl w:val="0"/>
          <w:numId w:val="1051"/>
        </w:numPr>
      </w:pPr>
      <w:r>
        <w:rPr>
          <w:b/>
          <w:b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52"/>
        </w:numPr>
      </w:pPr>
      <w:r>
        <w:rPr>
          <w:b/>
          <w:bCs/>
        </w:rPr>
        <w:t xml:space="preserve">Condición de</w:t>
      </w:r>
      <w:r>
        <w:rPr>
          <w:b/>
          <w:bCs/>
        </w:rPr>
        <w:t xml:space="preserve"> </w:t>
      </w:r>
      <w:r>
        <w:rPr>
          <w:b/>
          <w:bCs/>
          <w:smallCaps/>
        </w:rPr>
        <w:t xml:space="preserve">Gorman</w:t>
      </w:r>
      <w:r>
        <w:t xml:space="preserve"> </w:t>
      </w:r>
      <w:r>
        <w:t xml:space="preserve">(1953): la demanda agregada depende solo de los precios y de la renta total, para cualquier reparto, si y solo si la función indirecta de utilidad de cada consumidor admite</w:t>
      </w:r>
      <w:r>
        <w:rPr>
          <w:rStyle w:val="FootnoteReference"/>
        </w:rPr>
        <w:footnoteReference w:id="134"/>
      </w:r>
      <w:r>
        <w:t xml:space="preserve"> </w:t>
      </w:r>
      <w:r>
        <w:t xml:space="preserve">la</w:t>
      </w:r>
      <w:r>
        <w:t xml:space="preserve"> </w:t>
      </w:r>
      <w:r>
        <w:rPr>
          <w:b/>
          <w:bCs/>
        </w:rPr>
        <w:t xml:space="preserve">forma polar de</w:t>
      </w:r>
      <w:r>
        <w:rPr>
          <w:b/>
          <w:bCs/>
        </w:rPr>
        <w:t xml:space="preserve"> </w:t>
      </w:r>
      <w:r>
        <w:rPr>
          <w:b/>
          <w:bCs/>
          <w:smallCaps/>
        </w:rPr>
        <w:t xml:space="preserve">Gorman</w:t>
      </w:r>
      <w:r>
        <w:t xml:space="preserve">:</w:t>
      </w:r>
      <w:r>
        <w:rPr>
          <w:rStyle w:val="FootnoteReference"/>
        </w:rPr>
        <w:footnoteReference w:id="135"/>
      </w:r>
    </w:p>
    <w:p>
      <w:pPr>
        <w:pStyle w:val="BodyText"/>
      </w:pPr>
      <m:oMathPara>
        <m:oMathParaPr>
          <m:jc m:val="center"/>
        </m:oMathParaPr>
        <m:oMath>
          <m:sSub>
            <m:e>
              <m:r>
                <m:t>V</m:t>
              </m:r>
            </m:e>
            <m:sub>
              <m:r>
                <m:t>h</m:t>
              </m:r>
            </m:sub>
          </m:sSub>
          <m:d>
            <m:dPr>
              <m:begChr m:val="("/>
              <m:sepChr m:val=""/>
              <m:endChr m:val=")"/>
              <m:grow/>
            </m:dPr>
            <m:e>
              <m:r>
                <m:t>p</m:t>
              </m:r>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r>
                <m:t>p</m:t>
              </m:r>
            </m:e>
          </m:d>
          <m:r>
            <m:rPr>
              <m:sty m:val="p"/>
            </m:rPr>
            <m:t>+</m:t>
          </m:r>
          <m:r>
            <m:t>b</m:t>
          </m:r>
          <m:d>
            <m:dPr>
              <m:begChr m:val="("/>
              <m:sepChr m:val=""/>
              <m:endChr m:val=")"/>
              <m:grow/>
            </m:dPr>
            <m:e>
              <m:r>
                <m:t>p</m:t>
              </m:r>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r>
              <m:t>p</m:t>
            </m:r>
          </m:e>
        </m:d>
      </m:oMath>
      <w:r>
        <w:t xml:space="preserve"> </w:t>
      </w:r>
      <w:r>
        <w:rPr>
          <w:i/>
          <w:iCs/>
        </w:rPr>
        <w:t xml:space="preserve">común</w:t>
      </w:r>
      <w:r>
        <w:t xml:space="preserve"> </w:t>
      </w:r>
      <w:r>
        <w:t xml:space="preserve">a todos.</w:t>
      </w:r>
      <w:r>
        <w:rPr>
          <w:rStyle w:val="FootnoteReference"/>
        </w:rPr>
        <w:footnoteReference w:id="136"/>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rPr>
          <w:rStyle w:val="FootnoteReference"/>
        </w:rPr>
        <w:footnoteReference w:id="137"/>
      </w:r>
    </w:p>
    <w:p>
      <w:pPr>
        <w:numPr>
          <w:ilvl w:val="1"/>
          <w:numId w:val="1052"/>
        </w:numPr>
      </w:pPr>
      <w:r>
        <w:t xml:space="preserve">Casos particulares:</w:t>
      </w:r>
    </w:p>
    <w:p>
      <w:pPr>
        <w:numPr>
          <w:ilvl w:val="2"/>
          <w:numId w:val="1053"/>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r>
              <m:t>p</m:t>
            </m:r>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53"/>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52"/>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r>
        <w:rPr>
          <w:rStyle w:val="Referenciaatema"/>
        </w:rPr>
        <w:t xml:space="preserve">[ver tema 3.A.24]</w:t>
      </w:r>
      <w:r>
        <w:t xml:space="preserve">.</w:t>
      </w:r>
      <w:r>
        <w:t xml:space="preserve"> </w:t>
      </w:r>
      <w:r>
        <w:rPr>
          <w:smallCaps/>
        </w:rPr>
        <w:t xml:space="preserve">Muellbauer</w:t>
      </w:r>
      <w:r>
        <w:t xml:space="preserve"> </w:t>
      </w:r>
      <w:r>
        <w:t xml:space="preserve">(1975, 1976) generaliza la agregación a las preferencias PIGL y PIGLOG, en las que la demanda agregada depende de un nivel «representativo» de renta; es la base del sistema AIDS</w:t>
      </w:r>
      <w:r>
        <w:t xml:space="preserve"> </w:t>
      </w:r>
      <w:r>
        <w:rPr>
          <w:rStyle w:val="Referenciaatema"/>
        </w:rPr>
        <w:t xml:space="preserve">[ver tema 3.A.9]</w:t>
      </w:r>
      <w:r>
        <w:t xml:space="preserve">.</w:t>
      </w:r>
      <w:r>
        <w:rPr>
          <w:rStyle w:val="FootnoteReference"/>
        </w:rPr>
        <w:footnoteReference w:id="138"/>
      </w:r>
    </w:p>
    <w:bookmarkStart w:id="142" w:name="fig:engel-gorman"/>
    <w:p>
      <w:pPr>
        <w:pStyle w:val="ImageCaption"/>
      </w:pPr>
      <w:r>
        <w:t xml:space="preserve">Gráfico 8.–</w:t>
      </w:r>
      <w:r>
        <w:t xml:space="preserve"> </w:t>
      </w:r>
      <w:r>
        <w:t xml:space="preserve">Forma polar de Gorman: curvas de Engel rectas y paralelas de dos consumidores</w:t>
      </w:r>
    </w:p>
    <w:p>
      <w:pPr>
        <w:pStyle w:val="CaptionedFigure"/>
      </w:pPr>
      <w:r>
        <w:drawing>
          <wp:inline>
            <wp:extent cx="2483253" cy="1883847"/>
            <wp:effectExtent b="0" l="0" r="0" t="0"/>
            <wp:docPr descr="" title="" id="140" name="Picture"/>
            <a:graphic>
              <a:graphicData uri="http://schemas.openxmlformats.org/drawingml/2006/picture">
                <pic:pic>
                  <pic:nvPicPr>
                    <pic:cNvPr descr="C:\Users\vgutierrez\Documents\src\victorgutierrezmarcos.github.io-revision\oposicion\temario\fuentes\3A08\graficos/engel-gorman.png" id="141" name="Picture"/>
                    <pic:cNvPicPr>
                      <a:picLocks noChangeArrowheads="1" noChangeAspect="1"/>
                    </pic:cNvPicPr>
                  </pic:nvPicPr>
                  <pic:blipFill>
                    <a:blip r:embed="rId139"/>
                    <a:stretch>
                      <a:fillRect/>
                    </a:stretch>
                  </pic:blipFill>
                  <pic:spPr bwMode="auto">
                    <a:xfrm>
                      <a:off x="0" y="0"/>
                      <a:ext cx="2483253" cy="1883847"/>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 cap. 4</w:t>
        </w:r>
      </w:hyperlink>
      <w:r>
        <w:t xml:space="preserve">)</w:t>
      </w:r>
      <w:r>
        <w:t xml:space="preserve">.</w:t>
      </w:r>
    </w:p>
    <w:p>
      <w:pPr>
        <w:numPr>
          <w:ilvl w:val="0"/>
          <w:numId w:val="1054"/>
        </w:numPr>
      </w:pPr>
      <w:r>
        <w:rPr>
          <w:b/>
          <w:bCs/>
        </w:rPr>
        <w:t xml:space="preserve">El efecto renta nulo</w:t>
      </w:r>
      <w:r>
        <w:t xml:space="preserve"> </w:t>
      </w:r>
      <w:r>
        <w:t xml:space="preserve">(preferencias cuasilineales) es el caso más usado en equilibrio parcial porque:</w:t>
      </w:r>
    </w:p>
    <w:p>
      <w:pPr>
        <w:numPr>
          <w:ilvl w:val="1"/>
          <w:numId w:val="1055"/>
        </w:numPr>
      </w:pPr>
      <w:r>
        <w:t xml:space="preserve">la demanda de cada bien depende solo de los precios, y la agregación es inmediata;</w:t>
      </w:r>
    </w:p>
    <w:p>
      <w:pPr>
        <w:numPr>
          <w:ilvl w:val="1"/>
          <w:numId w:val="1055"/>
        </w:numPr>
      </w:pPr>
      <w:r>
        <w:t xml:space="preserve">la demanda marshalliana coincide con la hicksiana (la que mantiene constante la utilidad), y el excedente del consumidor es una medida exacta del bienestar</w:t>
      </w:r>
      <w:r>
        <w:t xml:space="preserve"> </w:t>
      </w:r>
      <w:r>
        <w:rPr>
          <w:rStyle w:val="Referenciaatema"/>
        </w:rPr>
        <w:t xml:space="preserve">[ver tema 3.A.9]</w:t>
      </w:r>
      <w:r>
        <w:t xml:space="preserve"> </w:t>
      </w:r>
      <w:r>
        <w:rPr>
          <w:rStyle w:val="Referenciaatema"/>
        </w:rPr>
        <w:t xml:space="preserve">[ver tema 3.A.16]</w:t>
      </w:r>
      <w:r>
        <w:t xml:space="preserve">.</w:t>
      </w:r>
    </w:p>
    <w:p>
      <w:pPr>
        <w:numPr>
          <w:ilvl w:val="0"/>
          <w:numId w:val="1054"/>
        </w:numPr>
      </w:pPr>
      <w:r>
        <w:rPr>
          <w:b/>
          <w:bCs/>
        </w:rPr>
        <w:t xml:space="preserve">Problemas del efecto renta nulo</w:t>
      </w:r>
      <w:r>
        <w:t xml:space="preserve">:</w:t>
      </w:r>
    </w:p>
    <w:p>
      <w:pPr>
        <w:numPr>
          <w:ilvl w:val="1"/>
          <w:numId w:val="1056"/>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56"/>
        </w:numPr>
      </w:pPr>
      <w:r>
        <w:t xml:space="preserve">exige que toda la renta adicional vaya al numerario, lo que solo es razonable para bienes que pesan poco en el gasto;</w:t>
      </w:r>
    </w:p>
    <w:p>
      <w:pPr>
        <w:numPr>
          <w:ilvl w:val="1"/>
          <w:numId w:val="1056"/>
        </w:numPr>
      </w:pPr>
      <w:r>
        <w:t xml:space="preserve">si la renta de algún consumidor es baja, aparecen soluciones de esquina en el numerario y la forma deja de valer;</w:t>
      </w:r>
    </w:p>
    <w:p>
      <w:pPr>
        <w:numPr>
          <w:ilvl w:val="1"/>
          <w:numId w:val="1056"/>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numPr>
          <w:ilvl w:val="0"/>
          <w:numId w:val="1054"/>
        </w:numPr>
      </w:pPr>
      <w:r>
        <w:rPr>
          <w:b/>
          <w:bCs/>
        </w:rPr>
        <w:t xml:space="preserve">Segundo problema: ¿hereda la demanda agregada las propiedades de la individual?</w:t>
      </w:r>
      <w:r>
        <w:t xml:space="preserve"> </w:t>
      </w:r>
      <w:r>
        <w:t xml:space="preserve">Solo en parte. Se conservan la continuidad, la homogeneidad de grado cero y la ley de</w:t>
      </w:r>
      <w:r>
        <w:t xml:space="preserve"> </w:t>
      </w:r>
      <w:r>
        <w:rPr>
          <w:smallCaps/>
        </w:rPr>
        <w:t xml:space="preserve">Walras</w:t>
      </w:r>
      <w:r>
        <w:t xml:space="preserve">, pero no el axioma débil de la preferencia revelada ni la simetría y negatividad de la matriz de</w:t>
      </w:r>
      <w:r>
        <w:t xml:space="preserve"> </w:t>
      </w:r>
      <w:r>
        <w:rPr>
          <w:smallCaps/>
        </w:rPr>
        <w:t xml:space="preserve">Slutsky</w:t>
      </w:r>
      <w:r>
        <w:t xml:space="preserve">: los efectos renta de consumidores distintos no se cancelan. 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(1973-1974) muestra que cualquier función continua, homogénea de grado cero y que cumpla la ley de</w:t>
      </w:r>
      <w:r>
        <w:t xml:space="preserve"> </w:t>
      </w:r>
      <w:r>
        <w:rPr>
          <w:smallCaps/>
        </w:rPr>
        <w:t xml:space="preserve">Walras</w:t>
      </w:r>
      <w:r>
        <w:t xml:space="preserve"> </w:t>
      </w:r>
      <w:r>
        <w:t xml:space="preserve">puede ser la función de exceso de demanda agregada de alguna economía: no se garantizan la unicidad ni la estabilidad del equilibrio</w:t>
      </w:r>
      <w:r>
        <w:t xml:space="preserve"> </w:t>
      </w:r>
      <w:r>
        <w:rPr>
          <w:rStyle w:val="Referenciaatema"/>
        </w:rPr>
        <w:t xml:space="preserve">[ver tema 3.A.21]</w:t>
      </w:r>
      <w:r>
        <w:t xml:space="preserve">.</w:t>
      </w:r>
      <w:r>
        <w:rPr>
          <w:rStyle w:val="FootnoteReference"/>
        </w:rPr>
        <w:footnoteReference w:id="143"/>
      </w:r>
    </w:p>
    <w:p>
      <w:pPr>
        <w:pStyle w:val="Ideaclave"/>
      </w:pPr>
      <w:r>
        <w:t xml:space="preserve">La demanda de mercado solo depende de los precios y de la renta total, como la de un consumidor representativo, si las curvas de Engel de todos los consumidores son rectas y paralelas (forma polar de Gorman). El efecto renta nulo es el caso más cómodo, pero también el más restrictivo.</w:t>
      </w:r>
    </w:p>
    <w:bookmarkEnd w:id="144"/>
    <w:bookmarkEnd w:id="145"/>
    <w:bookmarkStart w:id="200" w:name="estática-comparativa"/>
    <w:p>
      <w:pPr>
        <w:pStyle w:val="Heading1"/>
      </w:pPr>
      <w:r>
        <w:t xml:space="preserve">II.</w:t>
      </w:r>
      <w:r>
        <w:t xml:space="preserve"> </w:t>
      </w:r>
      <w:r>
        <w:t xml:space="preserve">Estática comparativa</w:t>
      </w:r>
    </w:p>
    <w:p>
      <w:pPr>
        <w:pStyle w:val="Notaalopositor"/>
      </w:pPr>
      <w:r>
        <w:rPr>
          <w:b/>
          <w:bCs/>
        </w:rPr>
        <w:t xml:space="preserve">Nota al opositor. </w:t>
      </w:r>
      <w:r>
        <w:t xml:space="preserve">En el cante: efecto renta (unos 2 minutos), efecto precio propio (3) y efecto precio cruzado (2). Se dibujan la curva de renta-consumo con la curva de</w:t>
      </w:r>
      <w:r>
        <w:t xml:space="preserve"> </w:t>
      </w:r>
      <w:r>
        <w:rPr>
          <w:smallCaps/>
        </w:rPr>
        <w:t xml:space="preserve">Engel</w:t>
      </w:r>
      <w:r>
        <w:t xml:space="preserve"> </w:t>
      </w:r>
      <w:r>
        <w:t xml:space="preserve">(gráfico 9) y la descomposición de</w:t>
      </w:r>
      <w:r>
        <w:t xml:space="preserve"> </w:t>
      </w:r>
      <w:r>
        <w:rPr>
          <w:smallCaps/>
        </w:rPr>
        <w:t xml:space="preserve">Slutsky</w:t>
      </w:r>
      <w:r>
        <w:t xml:space="preserve"> </w:t>
      </w:r>
      <w:r>
        <w:t xml:space="preserve">con la curva de demanda (gráfico 12),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corresponden a</w:t>
      </w:r>
      <w:r>
        <w:t xml:space="preserve"> </w:t>
      </w:r>
      <w:r>
        <w:rPr>
          <w:rStyle w:val="Referenciaatema"/>
        </w:rPr>
        <w:t xml:space="preserve">[ver tema 3.A.9]</w:t>
      </w:r>
      <w:r>
        <w:t xml:space="preserve">: aquí solo se enuncian.</w:t>
      </w:r>
    </w:p>
    <w:p>
      <w:pPr>
        <w:numPr>
          <w:ilvl w:val="0"/>
          <w:numId w:val="1057"/>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58"/>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I.2),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46"/>
      </w:r>
    </w:p>
    <w:p>
      <w:pPr>
        <w:numPr>
          <w:ilvl w:val="1"/>
          <w:numId w:val="1058"/>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65" w:name="efecto-renta"/>
    <w:p>
      <w:pPr>
        <w:pStyle w:val="Heading2"/>
      </w:pPr>
      <w:r>
        <w:t xml:space="preserve">II.1.</w:t>
      </w:r>
      <w:r>
        <w:t xml:space="preserve"> </w:t>
      </w:r>
      <w:r>
        <w:t xml:space="preserve">Efecto renta</w:t>
      </w:r>
    </w:p>
    <w:bookmarkStart w:id="154" w:name="curva-de-renta-consumo-y-curva-de-engel"/>
    <w:p>
      <w:pPr>
        <w:pStyle w:val="Heading3"/>
      </w:pPr>
      <w:r>
        <w:t xml:space="preserve">II.1.1.</w:t>
      </w:r>
      <w:r>
        <w:t xml:space="preserve"> </w:t>
      </w:r>
      <w:r>
        <w:t xml:space="preserve">Curva de renta-consumo y curva de Engel</w:t>
      </w:r>
    </w:p>
    <w:p>
      <w:pPr>
        <w:numPr>
          <w:ilvl w:val="0"/>
          <w:numId w:val="1059"/>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60"/>
        </w:numPr>
      </w:pPr>
      <w:r>
        <w:t xml:space="preserve">Si los dos bienes son normales, tiene pendiente positiva; en el tramo en que uno de ellos es inferior, la pendiente es negativa.</w:t>
      </w:r>
    </w:p>
    <w:p>
      <w:pPr>
        <w:numPr>
          <w:ilvl w:val="1"/>
          <w:numId w:val="1060"/>
        </w:numPr>
      </w:pPr>
      <w:r>
        <w:t xml:space="preserve">Con preferencias homotéticas, la CRC es una semirrecta que parte del origen: la proporción en que se consumen los bienes no depende de la renta.</w:t>
      </w:r>
      <w:r>
        <w:rPr>
          <w:rStyle w:val="FootnoteReference"/>
        </w:rPr>
        <w:footnoteReference w:id="148"/>
      </w:r>
    </w:p>
    <w:p>
      <w:pPr>
        <w:numPr>
          <w:ilvl w:val="0"/>
          <w:numId w:val="1059"/>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49"/>
      </w:r>
    </w:p>
    <w:p>
      <w:pPr>
        <w:numPr>
          <w:ilvl w:val="1"/>
          <w:numId w:val="1061"/>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61"/>
        </w:numPr>
      </w:pPr>
      <w:r>
        <w:t xml:space="preserve">Un bien puede ser normal hasta cierto nivel de renta e inferior a partir de él (gráfico 9, panel derecho). Es lo que ocurre con bienes que el consumidor sustituye por otros de más calidad cuando su renta aumenta; pueden servir de ejemplo la comida rápida o las marcas blancas.</w:t>
      </w:r>
    </w:p>
    <w:bookmarkStart w:id="153" w:name="fig:renta-consumo-engel"/>
    <w:p>
      <w:pPr>
        <w:pStyle w:val="ImageCaption"/>
      </w:pPr>
      <w:r>
        <w:t xml:space="preserve">Gráfico 9.–</w:t>
      </w:r>
      <w:r>
        <w:t xml:space="preserve"> </w:t>
      </w:r>
      <w:r>
        <w:t xml:space="preserve">Curva de renta-consumo y curva de Engel de un bien normal hasta cierto nivel de renta e inferior a partir de él</w:t>
      </w:r>
    </w:p>
    <w:p>
      <w:pPr>
        <w:pStyle w:val="CaptionedFigure"/>
      </w:pPr>
      <w:r>
        <w:drawing>
          <wp:inline>
            <wp:extent cx="4948157" cy="2208016"/>
            <wp:effectExtent b="0" l="0" r="0" t="0"/>
            <wp:docPr descr="" title="" id="151" name="Picture"/>
            <a:graphic>
              <a:graphicData uri="http://schemas.openxmlformats.org/drawingml/2006/picture">
                <pic:pic>
                  <pic:nvPicPr>
                    <pic:cNvPr descr="C:\Users\vgutierrez\Documents\src\victorgutierrezmarcos.github.io-revision\oposicion\temario\fuentes\3A08\graficos/renta-consumo-engel.png" id="152" name="Picture"/>
                    <pic:cNvPicPr>
                      <a:picLocks noChangeArrowheads="1" noChangeAspect="1"/>
                    </pic:cNvPicPr>
                  </pic:nvPicPr>
                  <pic:blipFill>
                    <a:blip r:embed="rId150"/>
                    <a:stretch>
                      <a:fillRect/>
                    </a:stretch>
                  </pic:blipFill>
                  <pic:spPr bwMode="auto">
                    <a:xfrm>
                      <a:off x="0" y="0"/>
                      <a:ext cx="4948157" cy="2208016"/>
                    </a:xfrm>
                    <a:prstGeom prst="rect">
                      <a:avLst/>
                    </a:prstGeom>
                    <a:noFill/>
                    <a:ln w="9525">
                      <a:noFill/>
                      <a:headEnd/>
                      <a:tailEnd/>
                    </a:ln>
                  </pic:spPr>
                </pic:pic>
              </a:graphicData>
            </a:graphic>
          </wp:inline>
        </w:drawing>
      </w:r>
    </w:p>
    <w:bookmarkEnd w:id="153"/>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 párr. 2.E</w:t>
        </w:r>
      </w:hyperlink>
      <w:r>
        <w:t xml:space="preserve">)</w:t>
      </w:r>
      <w:r>
        <w:t xml:space="preserve">.</w:t>
      </w:r>
    </w:p>
    <w:bookmarkEnd w:id="154"/>
    <w:bookmarkStart w:id="163" w:name="elasticidad-renta"/>
    <w:p>
      <w:pPr>
        <w:pStyle w:val="Heading3"/>
      </w:pPr>
      <w:r>
        <w:t xml:space="preserve">II.1.2.</w:t>
      </w:r>
      <w:r>
        <w:t xml:space="preserve"> </w:t>
      </w:r>
      <w:r>
        <w:t xml:space="preserve">Elasticidad-renta</w:t>
      </w:r>
    </w:p>
    <w:p>
      <w:pPr>
        <w:numPr>
          <w:ilvl w:val="0"/>
          <w:numId w:val="1062"/>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p>
    <w:p>
      <w:pPr>
        <w:pStyle w:val="BodyT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numPr>
          <w:ilvl w:val="0"/>
          <w:numId w:val="1062"/>
        </w:numPr>
      </w:pPr>
      <w:r>
        <w:t xml:space="preserve">Según su valor, los bienes se clasifican (tabla 2) en:</w:t>
      </w:r>
    </w:p>
    <w:p>
      <w:pPr>
        <w:numPr>
          <w:ilvl w:val="1"/>
          <w:numId w:val="1063"/>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63"/>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numPr>
          <w:ilvl w:val="1"/>
          <w:numId w:val="1063"/>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64"/>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64"/>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numPr>
          <w:ilvl w:val="0"/>
          <w:numId w:val="1062"/>
        </w:numPr>
      </w:pPr>
      <w:r>
        <w:t xml:space="preserve">La</w:t>
      </w:r>
      <w:r>
        <w:t xml:space="preserve"> </w:t>
      </w:r>
      <w:r>
        <w:rPr>
          <w:b/>
          <w:bCs/>
        </w:rPr>
        <w:t xml:space="preserve">ley de</w:t>
      </w:r>
      <w:r>
        <w:rPr>
          <w:b/>
          <w:bCs/>
        </w:rPr>
        <w:t xml:space="preserve"> </w:t>
      </w:r>
      <w:r>
        <w:rPr>
          <w:b/>
          <w:bCs/>
          <w:smallCaps/>
        </w:rPr>
        <w:t xml:space="preserve">Engel</w:t>
      </w:r>
      <w:r>
        <w:t xml:space="preserve"> </w:t>
      </w:r>
      <w:r>
        <w:t xml:space="preserve">(1857) es la regularidad empírica más conocida de la demanda: la proporción del gasto que los hogares dedican a la alimentación disminuye a medida que aumenta su renta. Los alimentos son, en conjunto, un bien necesario.</w:t>
      </w:r>
      <w:r>
        <w:rPr>
          <w:rStyle w:val="FootnoteReference"/>
        </w:rPr>
        <w:footnoteReference w:id="155"/>
      </w:r>
    </w:p>
    <w:p>
      <w:pPr>
        <w:numPr>
          <w:ilvl w:val="1"/>
          <w:numId w:val="1065"/>
        </w:numPr>
      </w:pPr>
      <w:r>
        <w:t xml:space="preserve">Se sigue cumpliendo. En España, los hogares del quintil de menor gasto dedicaron en 2025 el 19,6 % de su presupuesto a alimentos y bebidas no alcohólicas, frente al 12,3 % del quintil de mayor gasto; la media fue el 16,0 % (gráfico 10). La relación solo se rompe, ligeramente, entre los dos primeros quintiles.</w:t>
      </w:r>
      <w:r>
        <w:rPr>
          <w:rStyle w:val="FootnoteReference"/>
        </w:rPr>
        <w:footnoteReference w:id="156"/>
      </w:r>
      <w:r>
        <w:rPr>
          <w:vertAlign w:val="superscript"/>
        </w:rPr>
        <w:t xml:space="preserve">,</w:t>
      </w:r>
      <w:r>
        <w:rPr>
          <w:rStyle w:val="FootnoteReference"/>
        </w:rPr>
        <w:footnoteReference w:id="157"/>
      </w:r>
    </w:p>
    <w:bookmarkStart w:id="162" w:name="fig:epf-alimentos-quintil"/>
    <w:p>
      <w:pPr>
        <w:pStyle w:val="ImageCaption"/>
      </w:pPr>
      <w:r>
        <w:t xml:space="preserve">Gráfico 10.–</w:t>
      </w:r>
      <w:r>
        <w:t xml:space="preserve"> </w:t>
      </w:r>
      <w:r>
        <w:t xml:space="preserve">Ley de Engel en España: peso de los alimentos y bebidas no alcohólicas en el gasto de los hogares, por quintiles de gasto (2025)</w:t>
      </w:r>
    </w:p>
    <w:p>
      <w:pPr>
        <w:pStyle w:val="CaptionedFigure"/>
      </w:pPr>
      <w:r>
        <w:drawing>
          <wp:inline>
            <wp:extent cx="3669832" cy="2373158"/>
            <wp:effectExtent b="0" l="0" r="0" t="0"/>
            <wp:docPr descr="" title="" id="160" name="Picture"/>
            <a:graphic>
              <a:graphicData uri="http://schemas.openxmlformats.org/drawingml/2006/picture">
                <pic:pic>
                  <pic:nvPicPr>
                    <pic:cNvPr descr="C:\Users\vgutierrez\Documents\src\victorgutierrezmarcos.github.io-revision\oposicion\temario\fuentes\3A08\graficos/epf-alimentos-quintil.png" id="161" name="Picture"/>
                    <pic:cNvPicPr>
                      <a:picLocks noChangeArrowheads="1" noChangeAspect="1"/>
                    </pic:cNvPicPr>
                  </pic:nvPicPr>
                  <pic:blipFill>
                    <a:blip r:embed="rId159"/>
                    <a:stretch>
                      <a:fillRect/>
                    </a:stretch>
                  </pic:blipFill>
                  <pic:spPr bwMode="auto">
                    <a:xfrm>
                      <a:off x="0" y="0"/>
                      <a:ext cx="3669832" cy="2373158"/>
                    </a:xfrm>
                    <a:prstGeom prst="rect">
                      <a:avLst/>
                    </a:prstGeom>
                    <a:noFill/>
                    <a:ln w="9525">
                      <a:noFill/>
                      <a:headEnd/>
                      <a:tailEnd/>
                    </a:ln>
                  </pic:spPr>
                </pic:pic>
              </a:graphicData>
            </a:graphic>
          </wp:inline>
        </w:drawing>
      </w:r>
    </w:p>
    <w:bookmarkEnd w:id="162"/>
    <w:p>
      <w:pPr>
        <w:pStyle w:val="Piedeimagen"/>
      </w:pPr>
      <w:r>
        <w:t xml:space="preserve">Fuente: INE, Encuesta de Presupuestos Familiares 2025, tabla 73828 (consulta: 10/10/2026).</w:t>
      </w:r>
    </w:p>
    <w:bookmarkEnd w:id="163"/>
    <w:bookmarkStart w:id="164" w:name="agregación-de-engel"/>
    <w:p>
      <w:pPr>
        <w:pStyle w:val="Heading3"/>
      </w:pPr>
      <w:r>
        <w:t xml:space="preserve">II.1.3.</w:t>
      </w:r>
      <w:r>
        <w:t xml:space="preserve"> </w:t>
      </w:r>
      <w:r>
        <w:t xml:space="preserve">Agregación de Engel</w:t>
      </w:r>
    </w:p>
    <w:p>
      <w:pPr>
        <w:numPr>
          <w:ilvl w:val="0"/>
          <w:numId w:val="1066"/>
        </w:numPr>
      </w:pPr>
      <w:r>
        <w:t xml:space="preserve">Además de ser continua, homogénea de grado cero y cumplir la ley de</w:t>
      </w:r>
      <w:r>
        <w:t xml:space="preserve"> </w:t>
      </w:r>
      <w:r>
        <w:rPr>
          <w:smallCaps/>
        </w:rPr>
        <w:t xml:space="preserve">Walras</w:t>
      </w:r>
      <w:r>
        <w:t xml:space="preserve"> </w:t>
      </w:r>
      <w:r>
        <w:t xml:space="preserve">(apartado I.2),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w:t>
      </w:r>
    </w:p>
    <w:p>
      <w:pPr>
        <w:numPr>
          <w:ilvl w:val="1"/>
          <w:numId w:val="1067"/>
        </w:numPr>
      </w:pPr>
      <w:r>
        <w:t xml:space="preserve">La media de las elasticidades-renta, ponderada por las participaciones en el gasto, es igual a uno: cuando aumenta la renta, el gasto total aumenta en la misma cuantía.</w:t>
      </w:r>
    </w:p>
    <w:p>
      <w:pPr>
        <w:numPr>
          <w:ilvl w:val="1"/>
          <w:numId w:val="1067"/>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64"/>
    <w:bookmarkEnd w:id="165"/>
    <w:bookmarkStart w:id="191" w:name="efecto-precio-propio"/>
    <w:p>
      <w:pPr>
        <w:pStyle w:val="Heading2"/>
      </w:pPr>
      <w:r>
        <w:t xml:space="preserve">II.2.</w:t>
      </w:r>
      <w:r>
        <w:t xml:space="preserve"> </w:t>
      </w:r>
      <w:r>
        <w:t xml:space="preserve">Efecto precio propio</w:t>
      </w:r>
    </w:p>
    <w:bookmarkStart w:id="170" w:name="Xb47a4b0a6e8b08e22695f5fb89367fdf437f85e"/>
    <w:p>
      <w:pPr>
        <w:pStyle w:val="Heading3"/>
      </w:pPr>
      <w:r>
        <w:t xml:space="preserve">II.2.1.</w:t>
      </w:r>
      <w:r>
        <w:t xml:space="preserve"> </w:t>
      </w:r>
      <w:r>
        <w:t xml:space="preserve">Curva de precio-consumo y curva de demanda</w:t>
      </w:r>
    </w:p>
    <w:p>
      <w:pPr>
        <w:numPr>
          <w:ilvl w:val="0"/>
          <w:numId w:val="1068"/>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68"/>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11). Un cambio en esos otros parámetros desplaza la curva.</w:t>
      </w:r>
    </w:p>
    <w:bookmarkStart w:id="169" w:name="fig:precio-consumo-demanda"/>
    <w:p>
      <w:pPr>
        <w:pStyle w:val="ImageCaption"/>
      </w:pPr>
      <w:r>
        <w:t xml:space="preserve">Gráfico 11.–</w:t>
      </w:r>
      <w:r>
        <w:t xml:space="preserve"> </w:t>
      </w:r>
      <w:r>
        <w:t xml:space="preserve">Curva de precio-consumo (panel superior) y curva de demanda del bien 1 (panel inferior)</w:t>
      </w:r>
    </w:p>
    <w:p>
      <w:pPr>
        <w:pStyle w:val="CaptionedFigure"/>
      </w:pPr>
      <w:r>
        <w:drawing>
          <wp:inline>
            <wp:extent cx="2920575" cy="4397682"/>
            <wp:effectExtent b="0" l="0" r="0" t="0"/>
            <wp:docPr descr="" title="" id="167" name="Picture"/>
            <a:graphic>
              <a:graphicData uri="http://schemas.openxmlformats.org/drawingml/2006/picture">
                <pic:pic>
                  <pic:nvPicPr>
                    <pic:cNvPr descr="C:\Users\vgutierrez\Documents\src\victorgutierrezmarcos.github.io-revision\oposicion\temario\fuentes\3A08\graficos/precio-consumo-demanda.png" id="168" name="Picture"/>
                    <pic:cNvPicPr>
                      <a:picLocks noChangeArrowheads="1" noChangeAspect="1"/>
                    </pic:cNvPicPr>
                  </pic:nvPicPr>
                  <pic:blipFill>
                    <a:blip r:embed="rId166"/>
                    <a:stretch>
                      <a:fillRect/>
                    </a:stretch>
                  </pic:blipFill>
                  <pic:spPr bwMode="auto">
                    <a:xfrm>
                      <a:off x="0" y="0"/>
                      <a:ext cx="2920575" cy="4397682"/>
                    </a:xfrm>
                    <a:prstGeom prst="rect">
                      <a:avLst/>
                    </a:prstGeom>
                    <a:noFill/>
                    <a:ln w="9525">
                      <a:noFill/>
                      <a:headEnd/>
                      <a:tailEnd/>
                    </a:ln>
                  </pic:spPr>
                </pic:pic>
              </a:graphicData>
            </a:graphic>
          </wp:inline>
        </w:drawing>
      </w:r>
    </w:p>
    <w:bookmarkEnd w:id="169"/>
    <w:p>
      <w:pPr>
        <w:pStyle w:val="Piedeimagen"/>
      </w:pPr>
      <w:r>
        <w:t xml:space="preserve">Fuente: elaboración propia a partir de</w:t>
      </w:r>
      <w:r>
        <w:t xml:space="preserve"> </w:t>
      </w:r>
      <w:r>
        <w:t xml:space="preserve">Varian (</w:t>
      </w:r>
      <w:hyperlink w:anchor="ref-Varian2016Intermedia">
        <w:r>
          <w:rPr>
            <w:rStyle w:val="Hyperlink"/>
          </w:rPr>
          <w:t xml:space="preserve">2016, cap. 6</w:t>
        </w:r>
      </w:hyperlink>
      <w:r>
        <w:t xml:space="preserve">)</w:t>
      </w:r>
      <w:r>
        <w:t xml:space="preserve">.</w:t>
      </w:r>
    </w:p>
    <w:bookmarkEnd w:id="170"/>
    <w:bookmarkStart w:id="172" w:name="elasticidad-precio-propio"/>
    <w:p>
      <w:pPr>
        <w:pStyle w:val="Heading3"/>
      </w:pPr>
      <w:r>
        <w:t xml:space="preserve">II.2.2.</w:t>
      </w:r>
      <w:r>
        <w:t xml:space="preserve"> </w:t>
      </w:r>
      <w:r>
        <w:t xml:space="preserve">Elasticidad-precio propio</w:t>
      </w:r>
    </w:p>
    <w:p>
      <w:pPr>
        <w:numPr>
          <w:ilvl w:val="0"/>
          <w:numId w:val="1069"/>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p>
    <w:p>
      <w:pPr>
        <w:pStyle w:val="BodyT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70"/>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70"/>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71" w:name="tab:clasificacion-elasticidades"/>
    <w:p>
      <w:pPr>
        <w:pStyle w:val="TableCaption"/>
      </w:pPr>
      <w:r>
        <w:t xml:space="preserve">Clasificación de los bienes según sus elasticidades-renta y precio propio</w:t>
      </w:r>
    </w:p>
    <w:tbl>
      <w:tblPr>
        <w:tblStyle w:val="Table"/>
        <w:tblW w:type="auto" w:w="0"/>
        <w:tblLook w:firstRow="1" w:lastRow="0" w:firstColumn="0" w:lastColumn="0" w:noHBand="0" w:noVBand="0" w:val="0020"/>
        <w:tblCaption w:val="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smallCaps/>
              </w:rPr>
              <w:t xml:space="preserve">Giffen</w:t>
            </w:r>
            <w:r>
              <w:t xml:space="preserve"> </w:t>
            </w:r>
            <w: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t xml:space="preserve">Ordinario, demanda elástica</w:t>
            </w:r>
          </w:p>
        </w:tc>
      </w:tr>
    </w:tbl>
    <w:bookmarkEnd w:id="171"/>
    <w:p>
      <w:pPr>
        <w:pStyle w:val="BodyText"/>
      </w:pPr>
      <w:r>
        <w:rPr>
          <w:i/>
          <w:iCs/>
        </w:rPr>
        <w:t xml:space="preserve">Fuente: elaboración propia.</w:t>
      </w:r>
    </w:p>
    <w:bookmarkEnd w:id="172"/>
    <w:bookmarkStart w:id="190" w:name="X2ce968bbc432d9621a4da70dadda0d4375adcab"/>
    <w:p>
      <w:pPr>
        <w:pStyle w:val="Heading3"/>
      </w:pPr>
      <w:r>
        <w:t xml:space="preserve">II.2.3.</w:t>
      </w:r>
      <w:r>
        <w:t xml:space="preserve"> </w:t>
      </w:r>
      <w:r>
        <w:t xml:space="preserve">Efecto sustitución y efecto renta: la ecuación de Slutsky</w:t>
      </w:r>
    </w:p>
    <w:p>
      <w:pPr>
        <w:numPr>
          <w:ilvl w:val="0"/>
          <w:numId w:val="1071"/>
        </w:numPr>
      </w:pPr>
      <w:r>
        <w:t xml:space="preserve">Una variación del precio de un bien tiene dos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73"/>
      </w:r>
    </w:p>
    <w:p>
      <w:pPr>
        <w:numPr>
          <w:ilvl w:val="0"/>
          <w:numId w:val="1071"/>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r>
              <m:t>p</m:t>
            </m:r>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r>
        <w:rPr>
          <w:rStyle w:val="Referenciaatema"/>
        </w:rPr>
        <w:t xml:space="preserve">[ver tema 3.A.9]</w:t>
      </w:r>
      <w:r>
        <w:t xml:space="preserve">.</w:t>
      </w:r>
    </w:p>
    <w:p>
      <w:pPr>
        <w:numPr>
          <w:ilvl w:val="0"/>
          <w:numId w:val="1071"/>
        </w:numPr>
      </w:pPr>
      <w:r>
        <w:t xml:space="preserve">La</w:t>
      </w:r>
      <w:r>
        <w:t xml:space="preserve"> </w:t>
      </w:r>
      <w:r>
        <w:rPr>
          <w:b/>
          <w:bCs/>
        </w:rPr>
        <w:t xml:space="preserve">ecuación de</w:t>
      </w:r>
      <w:r>
        <w:rPr>
          <w:b/>
          <w:bCs/>
        </w:rPr>
        <w:t xml:space="preserve"> </w:t>
      </w:r>
      <w:r>
        <w:rPr>
          <w:b/>
          <w:bCs/>
          <w:smallCaps/>
        </w:rPr>
        <w:t xml:space="preserve">Slutsky</w:t>
      </w:r>
      <w:r>
        <w:t xml:space="preserve"> </w:t>
      </w:r>
      <w:r>
        <w:t xml:space="preserve">(1915) descompone el efecto total de una variación del precio propio en dos:</w:t>
      </w:r>
      <w:r>
        <w:rPr>
          <w:rStyle w:val="FootnoteReference"/>
        </w:rPr>
        <w:footnoteReference w:id="174"/>
      </w:r>
      <w:r>
        <w:rPr>
          <w:vertAlign w:val="superscript"/>
        </w:rPr>
        <w:t xml:space="preserve">,</w:t>
      </w:r>
      <w:r>
        <w:rPr>
          <w:rStyle w:val="FootnoteReference"/>
        </w:rPr>
        <w:footnoteReference w:id="175"/>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w:t>
      </w:r>
    </w:p>
    <w:p>
      <w:pPr>
        <w:numPr>
          <w:ilvl w:val="1"/>
          <w:numId w:val="1072"/>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76"/>
      </w:r>
    </w:p>
    <w:p>
      <w:pPr>
        <w:numPr>
          <w:ilvl w:val="1"/>
          <w:numId w:val="1072"/>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77"/>
      </w:r>
    </w:p>
    <w:p>
      <w:pPr>
        <w:numPr>
          <w:ilvl w:val="0"/>
          <w:numId w:val="1071"/>
        </w:numPr>
      </w:pPr>
      <w:r>
        <w:t xml:space="preserve">De la combinación de ambos efectos sale la</w:t>
      </w:r>
      <w:r>
        <w:t xml:space="preserve"> </w:t>
      </w:r>
      <w:r>
        <w:rPr>
          <w:b/>
          <w:bCs/>
        </w:rPr>
        <w:t xml:space="preserve">clasificación de los bienes</w:t>
      </w:r>
      <w:r>
        <w:t xml:space="preserve"> </w:t>
      </w:r>
      <w:r>
        <w:t xml:space="preserve">(tabla 3):</w:t>
      </w:r>
    </w:p>
    <w:p>
      <w:pPr>
        <w:numPr>
          <w:ilvl w:val="1"/>
          <w:numId w:val="1073"/>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dos efectos van en el mismo sentido (</w:t>
      </w:r>
      <w:r>
        <w:rPr>
          <w:i/>
          <w:iCs/>
        </w:rPr>
        <w:t xml:space="preserve">ley de la demanda</w:t>
      </w:r>
      <w:r>
        <w:t xml:space="preserve">);</w:t>
      </w:r>
    </w:p>
    <w:p>
      <w:pPr>
        <w:numPr>
          <w:ilvl w:val="1"/>
          <w:numId w:val="1073"/>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78"/>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81" w:name="tab:slutsky-propio"/>
    <w:p>
      <w:pPr>
        <w:pStyle w:val="TableCaption"/>
      </w:pPr>
      <w:r>
        <w:t xml:space="preserve">Ecuación de Slutsky para el precio propio:</w:t>
      </w:r>
      <w:r>
        <w:t xml:space="preserve"> </w:t>
      </w:r>
      <m:oMath>
        <m:f>
          <m:fPr>
            <m:type m:val="bar"/>
          </m:fPr>
          <m:num>
            <m:r>
              <m:rPr>
                <m:sty m:val="p"/>
              </m:rPr>
              <m:t>∂</m:t>
            </m:r>
            <m:sSub>
              <m:e>
                <m:r>
                  <m:t>x</m:t>
                </m:r>
              </m:e>
              <m:sub>
                <m:r>
                  <m:t>i</m:t>
                </m:r>
              </m:sub>
            </m:sSub>
          </m:num>
          <m:den>
            <m:r>
              <m:rPr>
                <m:sty m:val="p"/>
              </m:rPr>
              <m:t>∂</m:t>
            </m:r>
            <m:sSub>
              <m:e>
                <m:r>
                  <m:t>p</m:t>
                </m:r>
              </m:e>
              <m:sub>
                <m:r>
                  <m:t>i</m:t>
                </m:r>
              </m:sub>
            </m:sSub>
          </m:den>
        </m:f>
        <m:r>
          <m:rPr>
            <m:sty m:val="p"/>
          </m:rPr>
          <m:t>=</m:t>
        </m:r>
        <m:f>
          <m:fPr>
            <m:type m:val="bar"/>
          </m:fPr>
          <m:num>
            <m:r>
              <m:rPr>
                <m:sty m:val="p"/>
              </m:rPr>
              <m:t>∂</m:t>
            </m:r>
            <m:sSub>
              <m:e>
                <m:r>
                  <m:t>h</m:t>
                </m:r>
              </m:e>
              <m:sub>
                <m:r>
                  <m:t>i</m:t>
                </m:r>
              </m:sub>
            </m:sSub>
          </m:num>
          <m:den>
            <m:r>
              <m:rPr>
                <m:sty m:val="p"/>
              </m:rPr>
              <m:t>∂</m:t>
            </m:r>
            <m:sSub>
              <m:e>
                <m:r>
                  <m:t>p</m:t>
                </m:r>
              </m:e>
              <m:sub>
                <m:r>
                  <m:t>i</m:t>
                </m:r>
              </m:sub>
            </m:sSub>
          </m:den>
        </m:f>
        <m:r>
          <m:rPr>
            <m:sty m:val="p"/>
          </m:rPr>
          <m:t>−</m:t>
        </m:r>
        <m:sSub>
          <m:e>
            <m:r>
              <m:t>x</m:t>
            </m:r>
          </m:e>
          <m:sub>
            <m:r>
              <m:t>i</m:t>
            </m:r>
          </m:sub>
        </m:sSub>
        <m:f>
          <m:fPr>
            <m:type m:val="bar"/>
          </m:fPr>
          <m:num>
            <m:r>
              <m:rPr>
                <m:sty m:val="p"/>
              </m:rPr>
              <m:t>∂</m:t>
            </m:r>
            <m:sSub>
              <m:e>
                <m:r>
                  <m:t>x</m:t>
                </m:r>
              </m:e>
              <m:sub>
                <m:r>
                  <m:t>i</m:t>
                </m:r>
              </m:sub>
            </m:sSub>
          </m:num>
          <m:den>
            <m:r>
              <m:rPr>
                <m:sty m:val="p"/>
              </m:rPr>
              <m:t>∂</m:t>
            </m:r>
            <m:bar>
              <m:barPr>
                <m:pos m:val="top"/>
              </m:barPr>
              <m:e>
                <m:r>
                  <m:t>W</m:t>
                </m:r>
              </m:e>
            </m:bar>
          </m:den>
        </m:f>
      </m:oMath>
    </w:p>
    <w:tbl>
      <w:tblPr>
        <w:tblStyle w:val="Table"/>
        <w:tblW w:type="auto" w:w="0"/>
        <w:tblLook w:firstRow="1" w:lastRow="0" w:firstColumn="0" w:lastColumn="0" w:noHBand="0" w:noVBand="0" w:val="0020"/>
        <w:tblCaption w:val="Ecuación de Slutsky para el precio propio: \frac{\partial x_i}{\partial p_i}=\frac{\partial h_i}{\partial p_i}-x_i\frac{\partial x_i}{\partial\overline{W}}"/>
      </w:tblPr>
      <w:tblGrid>
        <w:gridCol w:w="1980"/>
        <w:gridCol w:w="1980"/>
        <w:gridCol w:w="1980"/>
        <w:gridCol w:w="1980"/>
      </w:tblGrid>
      <w:tr>
        <w:trPr>
          <w:tblHeader w:val="on"/>
        </w:trPr>
        <w:tc>
          <w:tcPr/>
          <w:p>
            <w:pPr>
              <w:pStyle w:val="Compact"/>
              <w:jc w:val="left"/>
            </w:pPr>
            <w:r>
              <w:rPr>
                <w:b/>
                <w:bCs/>
              </w:rPr>
              <w:t xml:space="preserve">Bien</w:t>
            </w:r>
          </w:p>
        </w:tc>
        <w:tc>
          <w:tcPr/>
          <w:p>
            <w:pPr>
              <w:pStyle w:val="Compact"/>
              <w:jc w:val="left"/>
            </w:pPr>
            <w:r>
              <w:rPr>
                <w:b/>
                <w:bCs/>
              </w:rPr>
              <w:t xml:space="preserve">Efecto sustitución</w:t>
            </w:r>
          </w:p>
        </w:tc>
        <w:tc>
          <w:tcPr/>
          <w:p>
            <w:pPr>
              <w:pStyle w:val="Compact"/>
              <w:jc w:val="left"/>
            </w:pPr>
            <w:r>
              <w:rPr>
                <w:b/>
                <w:bCs/>
              </w:rPr>
              <w:t xml:space="preserve">Efecto renta</w:t>
            </w:r>
          </w:p>
        </w:tc>
        <w:tc>
          <w:tcPr/>
          <w:p>
            <w:pPr>
              <w:pStyle w:val="Compact"/>
              <w:jc w:val="left"/>
            </w:pPr>
            <w:r>
              <w:rPr>
                <w:b/>
                <w:bCs/>
              </w:rPr>
              <w:t xml:space="preserve">Efecto total</w:t>
            </w:r>
          </w:p>
        </w:tc>
      </w:tr>
      <w:tr>
        <w:tc>
          <w:tcPr/>
          <w:p>
            <w:pPr>
              <w:pStyle w:val="Compact"/>
              <w:jc w:val="left"/>
            </w:pPr>
            <w:r>
              <w:t xml:space="preserve">Normal</w:t>
            </w:r>
          </w:p>
        </w:tc>
        <w:tc>
          <w:tcPr/>
          <w:p>
            <w:pPr>
              <w:pStyle w:val="Compact"/>
              <w:jc w:val="left"/>
            </w:pPr>
            <m:oMath>
              <m:r>
                <m:rPr>
                  <m:sty m:val="p"/>
                </m:rPr>
                <m:t>≤</m:t>
              </m:r>
              <m:r>
                <m:t>0</m:t>
              </m:r>
            </m:oMath>
          </w:p>
        </w:tc>
        <w:tc>
          <w:tcPr/>
          <w:p>
            <w:pPr>
              <w:pStyle w:val="Compact"/>
              <w:jc w:val="left"/>
            </w:pPr>
            <m:oMath>
              <m:r>
                <m:rPr>
                  <m:sty m:val="p"/>
                </m:rPr>
                <m:t>&lt;</m:t>
              </m:r>
              <m:r>
                <m:t>0</m:t>
              </m:r>
            </m:oMath>
          </w:p>
        </w:tc>
        <w:tc>
          <w:tcPr/>
          <w:p>
            <w:pPr>
              <w:pStyle w:val="Compact"/>
              <w:jc w:val="left"/>
            </w:pPr>
            <m:oMath>
              <m:r>
                <m:rPr>
                  <m:sty m:val="p"/>
                </m:rPr>
                <m:t>&lt;</m:t>
              </m:r>
              <m:r>
                <m:t>0</m:t>
              </m:r>
            </m:oMath>
            <w:r>
              <w:t xml:space="preserve">: ordinario</w:t>
            </w:r>
          </w:p>
        </w:tc>
      </w:tr>
      <w:tr>
        <w:tc>
          <w:tcPr/>
          <w:p>
            <w:pPr>
              <w:pStyle w:val="Compact"/>
              <w:jc w:val="left"/>
            </w:pPr>
            <w:r>
              <w:t xml:space="preserve">Independiente de la renta</w:t>
            </w:r>
          </w:p>
        </w:tc>
        <w:tc>
          <w:tcPr/>
          <w:p>
            <w:pPr>
              <w:pStyle w:val="Compact"/>
              <w:jc w:val="left"/>
            </w:pPr>
            <m:oMath>
              <m:r>
                <m:rPr>
                  <m:sty m:val="p"/>
                </m:rPr>
                <m:t>≤</m:t>
              </m:r>
              <m:r>
                <m:t>0</m:t>
              </m:r>
            </m:oMath>
          </w:p>
        </w:tc>
        <w:tc>
          <w:tcPr/>
          <w:p>
            <w:pPr>
              <w:pStyle w:val="Compact"/>
              <w:jc w:val="left"/>
            </w:pPr>
            <m:oMath>
              <m:r>
                <m:rPr>
                  <m:sty m:val="p"/>
                </m:rPr>
                <m:t>=</m:t>
              </m:r>
              <m:r>
                <m:t>0</m:t>
              </m:r>
            </m:oMath>
          </w:p>
        </w:tc>
        <w:tc>
          <w:tcPr/>
          <w:p>
            <w:pPr>
              <w:pStyle w:val="Compact"/>
              <w:jc w:val="left"/>
            </w:pPr>
            <m:oMath>
              <m:r>
                <m:rPr>
                  <m:sty m:val="p"/>
                </m:rPr>
                <m:t>≤</m:t>
              </m:r>
              <m:r>
                <m:t>0</m:t>
              </m:r>
            </m:oMath>
            <w:r>
              <w:t xml:space="preserve">: ordinario</w:t>
            </w:r>
          </w:p>
        </w:tc>
      </w:tr>
      <w:tr>
        <w:tc>
          <w:tcPr/>
          <w:p>
            <w:pPr>
              <w:pStyle w:val="Compact"/>
              <w:jc w:val="left"/>
            </w:pPr>
            <w:r>
              <w:t xml:space="preserve">Inferior (ES domina)</w:t>
            </w:r>
          </w:p>
        </w:tc>
        <w:tc>
          <w:tcPr/>
          <w:p>
            <w:pPr>
              <w:pStyle w:val="Compact"/>
              <w:jc w:val="left"/>
            </w:pPr>
            <m:oMath>
              <m:r>
                <m:rPr>
                  <m:sty m:val="p"/>
                </m:rPr>
                <m:t>≤</m:t>
              </m:r>
              <m:r>
                <m:t>0</m:t>
              </m:r>
            </m:oMath>
          </w:p>
        </w:tc>
        <w:tc>
          <w:tcPr/>
          <w:p>
            <w:pPr>
              <w:pStyle w:val="Compact"/>
              <w:jc w:val="left"/>
            </w:pPr>
            <m:oMath>
              <m:r>
                <m:rPr>
                  <m:sty m:val="p"/>
                </m:rPr>
                <m:t>&gt;</m:t>
              </m:r>
              <m:r>
                <m:t>0</m:t>
              </m:r>
            </m:oMath>
            <w:r>
              <w:t xml:space="preserve">, menor que</w:t>
            </w:r>
            <w:r>
              <w:t xml:space="preserve"> </w:t>
            </w:r>
            <m:oMath>
              <m:r>
                <m:rPr>
                  <m:sty m:val="p"/>
                </m:rPr>
                <m:t>|</m:t>
              </m:r>
            </m:oMath>
            <w:r>
              <w:t xml:space="preserve">ES</w:t>
            </w:r>
            <m:oMath>
              <m:r>
                <m:rPr>
                  <m:sty m:val="p"/>
                </m:rPr>
                <m:t>|</m:t>
              </m:r>
            </m:oMath>
          </w:p>
        </w:tc>
        <w:tc>
          <w:tcPr/>
          <w:p>
            <w:pPr>
              <w:pStyle w:val="Compact"/>
              <w:jc w:val="left"/>
            </w:pPr>
            <m:oMath>
              <m:r>
                <m:rPr>
                  <m:sty m:val="p"/>
                </m:rPr>
                <m:t>&lt;</m:t>
              </m:r>
              <m:r>
                <m:t>0</m:t>
              </m:r>
            </m:oMath>
            <w:r>
              <w:t xml:space="preserve">: ordinario</w:t>
            </w:r>
          </w:p>
        </w:tc>
      </w:tr>
      <w:tr>
        <w:tc>
          <w:tcPr/>
          <w:p>
            <w:pPr>
              <w:pStyle w:val="Compact"/>
              <w:jc w:val="left"/>
            </w:pPr>
            <w:r>
              <w:t xml:space="preserve">Inferior (ER domina)</w:t>
            </w:r>
          </w:p>
        </w:tc>
        <w:tc>
          <w:tcPr/>
          <w:p>
            <w:pPr>
              <w:pStyle w:val="Compact"/>
              <w:jc w:val="left"/>
            </w:pPr>
            <m:oMath>
              <m:r>
                <m:rPr>
                  <m:sty m:val="p"/>
                </m:rPr>
                <m:t>≤</m:t>
              </m:r>
              <m:r>
                <m:t>0</m:t>
              </m:r>
            </m:oMath>
          </w:p>
        </w:tc>
        <w:tc>
          <w:tcPr/>
          <w:p>
            <w:pPr>
              <w:pStyle w:val="Compact"/>
              <w:jc w:val="left"/>
            </w:pPr>
            <m:oMath>
              <m:r>
                <m:rPr>
                  <m:sty m:val="p"/>
                </m:rPr>
                <m:t>&gt;</m:t>
              </m:r>
              <m:r>
                <m:t>0</m:t>
              </m:r>
            </m:oMath>
            <w:r>
              <w:t xml:space="preserve">, mayor que</w:t>
            </w:r>
            <w:r>
              <w:t xml:space="preserve"> </w:t>
            </w:r>
            <m:oMath>
              <m:r>
                <m:rPr>
                  <m:sty m:val="p"/>
                </m:rPr>
                <m:t>|</m:t>
              </m:r>
            </m:oMath>
            <w:r>
              <w:t xml:space="preserve">ES</w:t>
            </w:r>
            <m:oMath>
              <m:r>
                <m:rPr>
                  <m:sty m:val="p"/>
                </m:rPr>
                <m:t>|</m:t>
              </m:r>
            </m:oMath>
          </w:p>
        </w:tc>
        <w:tc>
          <w:tcPr/>
          <w:p>
            <w:pPr>
              <w:pStyle w:val="Compact"/>
              <w:jc w:val="left"/>
            </w:pPr>
            <m:oMath>
              <m:r>
                <m:rPr>
                  <m:sty m:val="p"/>
                </m:rPr>
                <m:t>&gt;</m:t>
              </m:r>
              <m:r>
                <m:t>0</m:t>
              </m:r>
            </m:oMath>
            <w:r>
              <w:t xml:space="preserve">:</w:t>
            </w:r>
            <w:r>
              <w:t xml:space="preserve"> </w:t>
            </w:r>
            <w:r>
              <w:rPr>
                <w:smallCaps/>
              </w:rPr>
              <w:t xml:space="preserve">Giffen</w:t>
            </w:r>
          </w:p>
        </w:tc>
      </w:tr>
    </w:tbl>
    <w:bookmarkEnd w:id="181"/>
    <w:p>
      <w:pPr>
        <w:pStyle w:val="BodyText"/>
      </w:pPr>
      <w:r>
        <w:rPr>
          <w:i/>
          <w:iCs/>
        </w:rPr>
        <w:t xml:space="preserve">Fuente: elaboración propia.</w:t>
      </w:r>
    </w:p>
    <w:p>
      <w:pPr>
        <w:numPr>
          <w:ilvl w:val="0"/>
          <w:numId w:val="1074"/>
        </w:numPr>
      </w:pPr>
      <w:r>
        <w:rPr>
          <w:b/>
          <w:bCs/>
        </w:rPr>
        <w:t xml:space="preserve">Gráficamente</w:t>
      </w:r>
      <w:r>
        <w:t xml:space="preserve"> </w:t>
      </w:r>
      <w:r>
        <w:t xml:space="preserve">(gráfico 12),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75"/>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75"/>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dos bienes son normales, el consumidor compra más de ambos.</w:t>
      </w:r>
    </w:p>
    <w:p>
      <w:pPr>
        <w:numPr>
          <w:ilvl w:val="0"/>
          <w:numId w:val="1074"/>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85" w:name="fig:efecto-sustitucion-renta"/>
    <w:p>
      <w:pPr>
        <w:pStyle w:val="ImageCaption"/>
      </w:pPr>
      <w:r>
        <w:t xml:space="preserve">Gráfico 12.–</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 title="" id="183" name="Picture"/>
            <a:graphic>
              <a:graphicData uri="http://schemas.openxmlformats.org/drawingml/2006/picture">
                <pic:pic>
                  <pic:nvPicPr>
                    <pic:cNvPr descr="C:\Users\vgutierrez\Documents\src\victorgutierrezmarcos.github.io-revision\oposicion\temario\fuentes\3A08\graficos/efecto-sustitucion-renta.png" id="184" name="Picture"/>
                    <pic:cNvPicPr>
                      <a:picLocks noChangeArrowheads="1" noChangeAspect="1"/>
                    </pic:cNvPicPr>
                  </pic:nvPicPr>
                  <pic:blipFill>
                    <a:blip r:embed="rId182"/>
                    <a:stretch>
                      <a:fillRect/>
                    </a:stretch>
                  </pic:blipFill>
                  <pic:spPr bwMode="auto">
                    <a:xfrm>
                      <a:off x="0" y="0"/>
                      <a:ext cx="2724850" cy="4428264"/>
                    </a:xfrm>
                    <a:prstGeom prst="rect">
                      <a:avLst/>
                    </a:prstGeom>
                    <a:noFill/>
                    <a:ln w="9525">
                      <a:noFill/>
                      <a:headEnd/>
                      <a:tailEnd/>
                    </a:ln>
                  </pic:spPr>
                </pic:pic>
              </a:graphicData>
            </a:graphic>
          </wp:inline>
        </w:drawing>
      </w:r>
    </w:p>
    <w:bookmarkEnd w:id="185"/>
    <w:p>
      <w:pPr>
        <w:pStyle w:val="Piedeimagen"/>
      </w:pPr>
      <w:r>
        <w:t xml:space="preserve">Fuente: elaboración propia a partir de</w:t>
      </w:r>
      <w:r>
        <w:t xml:space="preserve"> </w:t>
      </w:r>
      <w:r>
        <w:t xml:space="preserve">Varian (</w:t>
      </w:r>
      <w:hyperlink w:anchor="ref-Varian2016Intermedia">
        <w:r>
          <w:rPr>
            <w:rStyle w:val="Hyperlink"/>
          </w:rPr>
          <w:t xml:space="preserve">2016, cap. 8</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3.G</w:t>
        </w:r>
      </w:hyperlink>
      <w:r>
        <w:t xml:space="preserve">)</w:t>
      </w:r>
      <w:r>
        <w:t xml:space="preserve">.</w:t>
      </w:r>
    </w:p>
    <w:p>
      <w:pPr>
        <w:numPr>
          <w:ilvl w:val="0"/>
          <w:numId w:val="1076"/>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rPr>
          <w:rStyle w:val="FootnoteReference"/>
        </w:rPr>
        <w:footnoteReference w:id="186"/>
      </w:r>
      <w:r>
        <w:t xml:space="preserve"> </w:t>
      </w:r>
      <w:r>
        <w:t xml:space="preserve">Al depender las preferencias de los precios, queda fuera del modelo que estamos analizando y no se explica con la ecuación de</w:t>
      </w:r>
      <w:r>
        <w:t xml:space="preserve"> </w:t>
      </w:r>
      <w:r>
        <w:rPr>
          <w:smallCaps/>
        </w:rPr>
        <w:t xml:space="preserve">Slutsky</w:t>
      </w:r>
      <w:r>
        <w:t xml:space="preserve">.</w:t>
      </w:r>
      <w:r>
        <w:t xml:space="preserve"> </w:t>
      </w:r>
      <w:r>
        <w:rPr>
          <w:smallCaps/>
        </w:rPr>
        <w:t xml:space="preserve">Leibenstein</w:t>
      </w:r>
      <w:r>
        <w:t xml:space="preserve"> </w:t>
      </w:r>
      <w:r>
        <w:t xml:space="preserve">(1950) lo formaliza junto a los efectos «arrastre» (</w:t>
      </w:r>
      <w:r>
        <w:rPr>
          <w:i/>
          <w:iCs/>
        </w:rPr>
        <w:t xml:space="preserve">bandwagon</w:t>
      </w:r>
      <w:r>
        <w:t xml:space="preserve">) y «esnob».</w:t>
      </w:r>
      <w:r>
        <w:rPr>
          <w:rStyle w:val="FootnoteReference"/>
        </w:rPr>
        <w:footnoteReference w:id="187"/>
      </w:r>
    </w:p>
    <w:p>
      <w:pPr>
        <w:pStyle w:val="Cajadeanotaciones"/>
      </w:pPr>
      <w:r>
        <w:rPr>
          <w:b/>
          <w:bCs/>
        </w:rPr>
        <w:t xml:space="preserve">Para repasar</w:t>
      </w:r>
      <w:r>
        <w:t xml:space="preserve"> </w:t>
      </w:r>
      <w:r>
        <w:t xml:space="preserve">(vídeos de Policonomics):</w:t>
      </w:r>
    </w:p>
    <w:p>
      <w:pPr>
        <w:pStyle w:val="Cajadeanotaciones"/>
        <w:numPr>
          <w:ilvl w:val="0"/>
          <w:numId w:val="1077"/>
        </w:numPr>
      </w:pPr>
      <w:r>
        <w:t xml:space="preserve">«A.9 Efectos de renta y sustitución»:</w:t>
      </w:r>
      <w:r>
        <w:t xml:space="preserve"> </w:t>
      </w:r>
      <w:hyperlink r:id="rId188">
        <w:r>
          <w:rPr>
            <w:rStyle w:val="Hyperlink"/>
          </w:rPr>
          <w:t xml:space="preserve">https://www.youtube.com/watch?v=J0PSPX2B5FI</w:t>
        </w:r>
      </w:hyperlink>
    </w:p>
    <w:p>
      <w:pPr>
        <w:pStyle w:val="Cajadeanotaciones"/>
        <w:numPr>
          <w:ilvl w:val="0"/>
          <w:numId w:val="1077"/>
        </w:numPr>
      </w:pPr>
      <w:r>
        <w:t xml:space="preserve">«A.10 Demandas marshalliana y hicksiana»:</w:t>
      </w:r>
      <w:r>
        <w:t xml:space="preserve"> </w:t>
      </w:r>
      <w:hyperlink r:id="rId189">
        <w:r>
          <w:rPr>
            <w:rStyle w:val="Hyperlink"/>
          </w:rPr>
          <w:t xml:space="preserve">https://policonomics.com/es/video-a10-demandas-marshalliana-hicksiana/</w:t>
        </w:r>
      </w:hyperlink>
    </w:p>
    <w:bookmarkEnd w:id="190"/>
    <w:bookmarkEnd w:id="191"/>
    <w:bookmarkStart w:id="199" w:name="efecto-precio-cruzado"/>
    <w:p>
      <w:pPr>
        <w:pStyle w:val="Heading2"/>
      </w:pPr>
      <w:r>
        <w:t xml:space="preserve">II.3.</w:t>
      </w:r>
      <w:r>
        <w:t xml:space="preserve"> </w:t>
      </w:r>
      <w:r>
        <w:t xml:space="preserve">Efecto precio cruzado</w:t>
      </w:r>
    </w:p>
    <w:bookmarkStart w:id="192" w:name="Xaaa1e4df7044140dee48bca4ee19ec63f092a77"/>
    <w:p>
      <w:pPr>
        <w:pStyle w:val="Heading3"/>
      </w:pPr>
      <w:r>
        <w:t xml:space="preserve">II.3.1.</w:t>
      </w:r>
      <w:r>
        <w:t xml:space="preserve"> </w:t>
      </w:r>
      <w:r>
        <w:t xml:space="preserve">Elasticidad-precio cruzada: sustitutivos y complementarios brutos</w:t>
      </w:r>
    </w:p>
    <w:p>
      <w:pPr>
        <w:numPr>
          <w:ilvl w:val="0"/>
          <w:numId w:val="1078"/>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79"/>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79"/>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79"/>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78"/>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92"/>
    <w:bookmarkStart w:id="195" w:name="X750b0549ecc3894067bb333880520a31a3cbf76"/>
    <w:p>
      <w:pPr>
        <w:pStyle w:val="Heading3"/>
      </w:pPr>
      <w:r>
        <w:t xml:space="preserve">II.3.2.</w:t>
      </w:r>
      <w:r>
        <w:t xml:space="preserve"> </w:t>
      </w:r>
      <w:r>
        <w:t xml:space="preserve">Ecuación de Slutsky cruzada: sustitutivos y complementarios netos</w:t>
      </w:r>
    </w:p>
    <w:p>
      <w:pPr>
        <w:numPr>
          <w:ilvl w:val="0"/>
          <w:numId w:val="1080"/>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numPr>
          <w:ilvl w:val="0"/>
          <w:numId w:val="1080"/>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r>
          <m:rPr>
            <m:sty m:val="p"/>
          </m:rPr>
          <m:t>/</m:t>
        </m:r>
        <m:r>
          <m:rPr>
            <m:sty m:val="p"/>
          </m:rPr>
          <m:t>∂</m:t>
        </m:r>
        <m:sSub>
          <m:e>
            <m:r>
              <m:t>p</m:t>
            </m:r>
          </m:e>
          <m:sub>
            <m:r>
              <m:t>j</m:t>
            </m:r>
          </m:sub>
        </m:sSub>
        <m:r>
          <m:rPr>
            <m:sty m:val="p"/>
          </m:rPr>
          <m:t>&lt;</m:t>
        </m:r>
        <m:r>
          <m:t>0</m:t>
        </m:r>
      </m:oMath>
      <w:r>
        <w:t xml:space="preserve">.</w:t>
      </w:r>
    </w:p>
    <w:p>
      <w:pPr>
        <w:numPr>
          <w:ilvl w:val="1"/>
          <w:numId w:val="1081"/>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81"/>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dos bienes, ambos son sustitutivos netos.</w:t>
      </w:r>
      <w:r>
        <w:rPr>
          <w:rStyle w:val="FootnoteReference"/>
        </w:rPr>
        <w:footnoteReference w:id="193"/>
      </w:r>
    </w:p>
    <w:p>
      <w:pPr>
        <w:numPr>
          <w:ilvl w:val="0"/>
          <w:numId w:val="1080"/>
        </w:numPr>
      </w:pPr>
      <w:r>
        <w:t xml:space="preserve">No todas las combinaciones de relaciones netas y brutas son posibles (tabla 4):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94" w:name="tab:slutsky-cruzado"/>
    <w:p>
      <w:pPr>
        <w:pStyle w:val="TableCaption"/>
      </w:pPr>
      <w:r>
        <w:t xml:space="preserve">Ecuación de Slutsky cruzada:</w:t>
      </w:r>
      <w:r>
        <w:t xml:space="preserve"> </w:t>
      </w:r>
      <m:oMath>
        <m:f>
          <m:fPr>
            <m:type m:val="bar"/>
          </m:fPr>
          <m:num>
            <m:r>
              <m:rPr>
                <m:sty m:val="p"/>
              </m:rPr>
              <m:t>∂</m:t>
            </m:r>
            <m:sSub>
              <m:e>
                <m:r>
                  <m:t>x</m:t>
                </m:r>
              </m:e>
              <m:sub>
                <m:r>
                  <m:t>i</m:t>
                </m:r>
              </m:sub>
            </m:sSub>
          </m:num>
          <m:den>
            <m:r>
              <m:rPr>
                <m:sty m:val="p"/>
              </m:rPr>
              <m:t>∂</m:t>
            </m:r>
            <m:sSub>
              <m:e>
                <m:r>
                  <m:t>p</m:t>
                </m:r>
              </m:e>
              <m:sub>
                <m:r>
                  <m:t>j</m:t>
                </m:r>
              </m:sub>
            </m:sSub>
          </m:den>
        </m:f>
        <m:r>
          <m:rPr>
            <m:sty m:val="p"/>
          </m:rPr>
          <m:t>=</m:t>
        </m:r>
        <m:f>
          <m:fPr>
            <m:type m:val="bar"/>
          </m:fPr>
          <m:num>
            <m:r>
              <m:rPr>
                <m:sty m:val="p"/>
              </m:rPr>
              <m:t>∂</m:t>
            </m:r>
            <m:sSub>
              <m:e>
                <m:r>
                  <m:t>h</m:t>
                </m:r>
              </m:e>
              <m:sub>
                <m:r>
                  <m:t>i</m:t>
                </m:r>
              </m:sub>
            </m:sSub>
          </m:num>
          <m:den>
            <m:r>
              <m:rPr>
                <m:sty m:val="p"/>
              </m:rPr>
              <m:t>∂</m:t>
            </m:r>
            <m:sSub>
              <m:e>
                <m:r>
                  <m:t>p</m:t>
                </m:r>
              </m:e>
              <m:sub>
                <m:r>
                  <m:t>j</m:t>
                </m:r>
              </m:sub>
            </m:sSub>
          </m:den>
        </m:f>
        <m:r>
          <m:rPr>
            <m:sty m:val="p"/>
          </m:rPr>
          <m:t>−</m:t>
        </m:r>
        <m:sSub>
          <m:e>
            <m:r>
              <m:t>x</m:t>
            </m:r>
          </m:e>
          <m:sub>
            <m:r>
              <m:t>j</m:t>
            </m:r>
          </m:sub>
        </m:sSub>
        <m:f>
          <m:fPr>
            <m:type m:val="bar"/>
          </m:fPr>
          <m:num>
            <m:r>
              <m:rPr>
                <m:sty m:val="p"/>
              </m:rPr>
              <m:t>∂</m:t>
            </m:r>
            <m:sSub>
              <m:e>
                <m:r>
                  <m:t>x</m:t>
                </m:r>
              </m:e>
              <m:sub>
                <m:r>
                  <m:t>i</m:t>
                </m:r>
              </m:sub>
            </m:sSub>
          </m:num>
          <m:den>
            <m:r>
              <m:rPr>
                <m:sty m:val="p"/>
              </m:rPr>
              <m:t>∂</m:t>
            </m:r>
            <m:bar>
              <m:barPr>
                <m:pos m:val="top"/>
              </m:barPr>
              <m:e>
                <m:r>
                  <m:t>W</m:t>
                </m:r>
              </m:e>
            </m:bar>
          </m:den>
        </m:f>
      </m:oMath>
    </w:p>
    <w:tbl>
      <w:tblPr>
        <w:tblStyle w:val="Table"/>
        <w:tblW w:type="auto" w:w="0"/>
        <w:tblLook w:firstRow="1" w:lastRow="0" w:firstColumn="0" w:lastColumn="0" w:noHBand="0" w:noVBand="0" w:val="0020"/>
        <w:tblCaption w:val="Ecuación de Slutsky cruzada: \frac{\partial x_i}{\partial p_j}=\frac{\partial h_i}{\partial p_j}-x_j\frac{\partial x_i}{\partial\overline{W}}"/>
      </w:tblPr>
      <w:tblGrid>
        <w:gridCol w:w="1980"/>
        <w:gridCol w:w="1980"/>
        <w:gridCol w:w="1980"/>
        <w:gridCol w:w="1980"/>
      </w:tblGrid>
      <w:tr>
        <w:trPr>
          <w:tblHeader w:val="on"/>
        </w:trPr>
        <w:tc>
          <w:tcPr/>
          <w:p>
            <w:pPr>
              <w:pStyle w:val="Compact"/>
              <w:jc w:val="left"/>
            </w:pPr>
            <w:r>
              <w:rPr>
                <w:b/>
                <w:bCs/>
              </w:rPr>
              <w:t xml:space="preserve">Efecto sustitución</w:t>
            </w:r>
          </w:p>
        </w:tc>
        <w:tc>
          <w:tcPr/>
          <w:p>
            <w:pPr>
              <w:pStyle w:val="Compact"/>
              <w:jc w:val="left"/>
            </w:pPr>
            <w:r>
              <w:rPr>
                <w:b/>
                <w:bCs/>
              </w:rPr>
              <w:t xml:space="preserve">Bien</w:t>
            </w:r>
            <w:r>
              <w:rPr>
                <w:b/>
                <w:bCs/>
              </w:rPr>
              <w:t xml:space="preserve"> </w:t>
            </w:r>
            <m:oMath>
              <m:r>
                <m:t>i</m:t>
              </m:r>
            </m:oMath>
          </w:p>
        </w:tc>
        <w:tc>
          <w:tcPr/>
          <w:p>
            <w:pPr>
              <w:pStyle w:val="Compact"/>
              <w:jc w:val="left"/>
            </w:pPr>
            <w:r>
              <w:rPr>
                <w:b/>
                <w:bCs/>
              </w:rPr>
              <w:t xml:space="preserve">Efecto renta</w:t>
            </w:r>
          </w:p>
        </w:tc>
        <w:tc>
          <w:tcPr/>
          <w:p>
            <w:pPr>
              <w:pStyle w:val="Compact"/>
              <w:jc w:val="left"/>
            </w:pPr>
            <w:r>
              <w:rPr>
                <w:b/>
                <w:bCs/>
              </w:rPr>
              <w:t xml:space="preserve">Efecto total</w:t>
            </w:r>
          </w:p>
        </w:tc>
      </w:tr>
      <w:tr>
        <w:tc>
          <w:tcPr/>
          <w:p>
            <w:pPr>
              <w:pStyle w:val="Compact"/>
              <w:jc w:val="left"/>
            </w:pPr>
            <m:oMath>
              <m:r>
                <m:rPr>
                  <m:sty m:val="p"/>
                </m:rPr>
                <m:t>&gt;</m:t>
              </m:r>
              <m:r>
                <m:t>0</m:t>
              </m:r>
            </m:oMath>
            <w:r>
              <w:t xml:space="preserve"> </w:t>
            </w:r>
            <w:r>
              <w:t xml:space="preserve">(sustitutivos netos)</w:t>
            </w:r>
          </w:p>
        </w:tc>
        <w:tc>
          <w:tcPr/>
          <w:p>
            <w:pPr>
              <w:pStyle w:val="Compact"/>
              <w:jc w:val="left"/>
            </w:pPr>
            <w:r>
              <w:t xml:space="preserve">normal</w:t>
            </w:r>
          </w:p>
        </w:tc>
        <w:tc>
          <w:tcPr/>
          <w:p>
            <w:pPr>
              <w:pStyle w:val="Compact"/>
              <w:jc w:val="left"/>
            </w:pPr>
            <m:oMath>
              <m:r>
                <m:rPr>
                  <m:sty m:val="p"/>
                </m:rPr>
                <m:t>&lt;</m:t>
              </m:r>
              <m:r>
                <m:t>0</m:t>
              </m:r>
            </m:oMath>
          </w:p>
        </w:tc>
        <w:tc>
          <w:tcPr/>
          <w:p>
            <w:pPr>
              <w:pStyle w:val="Compact"/>
              <w:jc w:val="left"/>
            </w:pPr>
            <w:r>
              <w:t xml:space="preserve">ambiguo: sustitutivos o complementarios brutos</w:t>
            </w:r>
          </w:p>
        </w:tc>
      </w:tr>
      <w:tr>
        <w:tc>
          <w:tcPr/>
          <w:p>
            <w:pPr>
              <w:pStyle w:val="Compact"/>
            </w:pPr>
          </w:p>
        </w:tc>
        <w:tc>
          <w:tcPr/>
          <w:p>
            <w:pPr>
              <w:pStyle w:val="Compact"/>
              <w:jc w:val="left"/>
            </w:pPr>
            <w:r>
              <w:t xml:space="preserve">inferior</w:t>
            </w:r>
          </w:p>
        </w:tc>
        <w:tc>
          <w:tcPr/>
          <w:p>
            <w:pPr>
              <w:pStyle w:val="Compact"/>
              <w:jc w:val="left"/>
            </w:pPr>
            <m:oMath>
              <m:r>
                <m:rPr>
                  <m:sty m:val="p"/>
                </m:rPr>
                <m:t>&gt;</m:t>
              </m:r>
              <m:r>
                <m:t>0</m:t>
              </m:r>
            </m:oMath>
          </w:p>
        </w:tc>
        <w:tc>
          <w:tcPr/>
          <w:p>
            <w:pPr>
              <w:pStyle w:val="Compact"/>
              <w:jc w:val="left"/>
            </w:pPr>
            <m:oMath>
              <m:r>
                <m:rPr>
                  <m:sty m:val="p"/>
                </m:rPr>
                <m:t>&gt;</m:t>
              </m:r>
              <m:r>
                <m:t>0</m:t>
              </m:r>
            </m:oMath>
            <w:r>
              <w:t xml:space="preserve">: sustitutivos brutos</w:t>
            </w:r>
          </w:p>
        </w:tc>
      </w:tr>
      <w:tr>
        <w:tc>
          <w:tcPr/>
          <w:p>
            <w:pPr>
              <w:pStyle w:val="Compact"/>
              <w:jc w:val="left"/>
            </w:pPr>
            <m:oMath>
              <m:r>
                <m:rPr>
                  <m:sty m:val="p"/>
                </m:rPr>
                <m:t>&lt;</m:t>
              </m:r>
              <m:r>
                <m:t>0</m:t>
              </m:r>
            </m:oMath>
            <w:r>
              <w:t xml:space="preserve"> </w:t>
            </w:r>
            <w:r>
              <w:t xml:space="preserve">(complementarios netos)</w:t>
            </w:r>
          </w:p>
        </w:tc>
        <w:tc>
          <w:tcPr/>
          <w:p>
            <w:pPr>
              <w:pStyle w:val="Compact"/>
              <w:jc w:val="left"/>
            </w:pPr>
            <w:r>
              <w:t xml:space="preserve">normal</w:t>
            </w:r>
          </w:p>
        </w:tc>
        <w:tc>
          <w:tcPr/>
          <w:p>
            <w:pPr>
              <w:pStyle w:val="Compact"/>
              <w:jc w:val="left"/>
            </w:pPr>
            <m:oMath>
              <m:r>
                <m:rPr>
                  <m:sty m:val="p"/>
                </m:rPr>
                <m:t>&lt;</m:t>
              </m:r>
              <m:r>
                <m:t>0</m:t>
              </m:r>
            </m:oMath>
          </w:p>
        </w:tc>
        <w:tc>
          <w:tcPr/>
          <w:p>
            <w:pPr>
              <w:pStyle w:val="Compact"/>
              <w:jc w:val="left"/>
            </w:pPr>
            <m:oMath>
              <m:r>
                <m:rPr>
                  <m:sty m:val="p"/>
                </m:rPr>
                <m:t>&lt;</m:t>
              </m:r>
              <m:r>
                <m:t>0</m:t>
              </m:r>
            </m:oMath>
            <w:r>
              <w:t xml:space="preserve">: complementarios brutos</w:t>
            </w:r>
          </w:p>
        </w:tc>
      </w:tr>
      <w:tr>
        <w:tc>
          <w:tcPr/>
          <w:p>
            <w:pPr>
              <w:pStyle w:val="Compact"/>
            </w:pPr>
          </w:p>
        </w:tc>
        <w:tc>
          <w:tcPr/>
          <w:p>
            <w:pPr>
              <w:pStyle w:val="Compact"/>
              <w:jc w:val="left"/>
            </w:pPr>
            <w:r>
              <w:t xml:space="preserve">inferior</w:t>
            </w:r>
          </w:p>
        </w:tc>
        <w:tc>
          <w:tcPr/>
          <w:p>
            <w:pPr>
              <w:pStyle w:val="Compact"/>
              <w:jc w:val="left"/>
            </w:pPr>
            <m:oMath>
              <m:r>
                <m:rPr>
                  <m:sty m:val="p"/>
                </m:rPr>
                <m:t>&gt;</m:t>
              </m:r>
              <m:r>
                <m:t>0</m:t>
              </m:r>
            </m:oMath>
          </w:p>
        </w:tc>
        <w:tc>
          <w:tcPr/>
          <w:p>
            <w:pPr>
              <w:pStyle w:val="Compact"/>
              <w:jc w:val="left"/>
            </w:pPr>
            <w:r>
              <w:t xml:space="preserve">ambiguo</w:t>
            </w:r>
          </w:p>
        </w:tc>
      </w:tr>
      <w:tr>
        <w:tc>
          <w:tcPr/>
          <w:p>
            <w:pPr>
              <w:pStyle w:val="Compact"/>
              <w:jc w:val="left"/>
            </w:pPr>
            <m:oMath>
              <m:r>
                <m:rPr>
                  <m:sty m:val="p"/>
                </m:rPr>
                <m:t>=</m:t>
              </m:r>
              <m:r>
                <m:t>0</m:t>
              </m:r>
            </m:oMath>
            <w:r>
              <w:t xml:space="preserve"> </w:t>
            </w:r>
            <w:r>
              <w:t xml:space="preserve">(independientes netos)</w:t>
            </w:r>
          </w:p>
        </w:tc>
        <w:tc>
          <w:tcPr/>
          <w:p>
            <w:pPr>
              <w:pStyle w:val="Compact"/>
              <w:jc w:val="left"/>
            </w:pPr>
            <w:r>
              <w:t xml:space="preserve">normal</w:t>
            </w:r>
          </w:p>
        </w:tc>
        <w:tc>
          <w:tcPr/>
          <w:p>
            <w:pPr>
              <w:pStyle w:val="Compact"/>
              <w:jc w:val="left"/>
            </w:pPr>
            <m:oMath>
              <m:r>
                <m:rPr>
                  <m:sty m:val="p"/>
                </m:rPr>
                <m:t>&lt;</m:t>
              </m:r>
              <m:r>
                <m:t>0</m:t>
              </m:r>
            </m:oMath>
          </w:p>
        </w:tc>
        <w:tc>
          <w:tcPr/>
          <w:p>
            <w:pPr>
              <w:pStyle w:val="Compact"/>
              <w:jc w:val="left"/>
            </w:pPr>
            <m:oMath>
              <m:r>
                <m:rPr>
                  <m:sty m:val="p"/>
                </m:rPr>
                <m:t>&lt;</m:t>
              </m:r>
              <m:r>
                <m:t>0</m:t>
              </m:r>
            </m:oMath>
            <w:r>
              <w:t xml:space="preserve">: complementarios brutos</w:t>
            </w:r>
          </w:p>
        </w:tc>
      </w:tr>
      <w:tr>
        <w:tc>
          <w:tcPr/>
          <w:p>
            <w:pPr>
              <w:pStyle w:val="Compact"/>
            </w:pPr>
          </w:p>
        </w:tc>
        <w:tc>
          <w:tcPr/>
          <w:p>
            <w:pPr>
              <w:pStyle w:val="Compact"/>
              <w:jc w:val="left"/>
            </w:pPr>
            <w:r>
              <w:t xml:space="preserve">inferior</w:t>
            </w:r>
          </w:p>
        </w:tc>
        <w:tc>
          <w:tcPr/>
          <w:p>
            <w:pPr>
              <w:pStyle w:val="Compact"/>
              <w:jc w:val="left"/>
            </w:pPr>
            <m:oMath>
              <m:r>
                <m:rPr>
                  <m:sty m:val="p"/>
                </m:rPr>
                <m:t>&gt;</m:t>
              </m:r>
              <m:r>
                <m:t>0</m:t>
              </m:r>
            </m:oMath>
          </w:p>
        </w:tc>
        <w:tc>
          <w:tcPr/>
          <w:p>
            <w:pPr>
              <w:pStyle w:val="Compact"/>
              <w:jc w:val="left"/>
            </w:pPr>
            <m:oMath>
              <m:r>
                <m:rPr>
                  <m:sty m:val="p"/>
                </m:rPr>
                <m:t>&gt;</m:t>
              </m:r>
              <m:r>
                <m:t>0</m:t>
              </m:r>
            </m:oMath>
            <w:r>
              <w:t xml:space="preserve">: sustitutivos brutos</w:t>
            </w:r>
          </w:p>
        </w:tc>
      </w:tr>
    </w:tbl>
    <w:bookmarkEnd w:id="194"/>
    <w:p>
      <w:pPr>
        <w:pStyle w:val="BodyText"/>
      </w:pPr>
      <w:r>
        <w:rPr>
          <w:i/>
          <w:iCs/>
        </w:rPr>
        <w:t xml:space="preserve">Fuente: elaboración propia a partir de</w:t>
      </w:r>
      <w:r>
        <w:rPr>
          <w:i/>
          <w:iCs/>
        </w:rPr>
        <w:t xml:space="preserve"> </w:t>
      </w:r>
      <w:r>
        <w:rPr>
          <w:i/>
          <w:iCs/>
        </w:rPr>
        <w:t xml:space="preserve">Mas-Colell, Whinston, y Green (</w:t>
      </w:r>
      <w:hyperlink w:anchor="ref-MasColellWhinstonGreen1995">
        <w:r>
          <w:rPr>
            <w:rStyle w:val="Hyperlink"/>
            <w:i/>
            <w:iCs/>
          </w:rPr>
          <w:t xml:space="preserve">1995, párr. 3.G</w:t>
        </w:r>
      </w:hyperlink>
      <w:r>
        <w:rPr>
          <w:i/>
          <w:iCs/>
        </w:rPr>
        <w:t xml:space="preserve">)</w:t>
      </w:r>
      <w:r>
        <w:rPr>
          <w:i/>
          <w:iCs/>
        </w:rPr>
        <w:t xml:space="preserve">.</w:t>
      </w:r>
    </w:p>
    <w:bookmarkEnd w:id="195"/>
    <w:bookmarkStart w:id="197" w:name="Xd418e15a2044822659669a5bd0d925fdc3e987e"/>
    <w:p>
      <w:pPr>
        <w:pStyle w:val="Heading3"/>
      </w:pPr>
      <w:r>
        <w:t xml:space="preserve">II.3.3.</w:t>
      </w:r>
      <w:r>
        <w:t xml:space="preserve"> </w:t>
      </w:r>
      <w:r>
        <w:t xml:space="preserve">Agregación de Cournot y restricciones de la demanda</w:t>
      </w:r>
    </w:p>
    <w:p>
      <w:pPr>
        <w:numPr>
          <w:ilvl w:val="0"/>
          <w:numId w:val="1082"/>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p>
    <w:p>
      <w:pPr>
        <w:pStyle w:val="BodyT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1"/>
          <w:numId w:val="1083"/>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196"/>
      </w:r>
    </w:p>
    <w:p>
      <w:pPr>
        <w:numPr>
          <w:ilvl w:val="0"/>
          <w:numId w:val="1082"/>
        </w:numPr>
      </w:pPr>
      <w:r>
        <w:t xml:space="preserve">Con la restricción de homogeneidad en elasticidades (apartado I.2), la demanda marshalliana cumple, para todo</w:t>
      </w:r>
      <w:r>
        <w:t xml:space="preserve"> </w:t>
      </w:r>
      <m:oMath>
        <m:r>
          <m:t>i</m:t>
        </m:r>
      </m:oMath>
      <w:r>
        <w:t xml:space="preserve"> </w:t>
      </w:r>
      <w:r>
        <w:t xml:space="preserve">y todo</w:t>
      </w:r>
      <w:r>
        <w:t xml:space="preserve"> </w:t>
      </w:r>
      <m:oMath>
        <m:r>
          <m:t>j</m:t>
        </m:r>
      </m:oMath>
      <w:r>
        <w:t xml:space="preserve">:</w:t>
      </w:r>
    </w:p>
    <w:p>
      <w:pPr>
        <w:pStyle w:val="BodyText"/>
      </w:pPr>
      <w:r>
        <w:t xml:space="preserve">$$\underbrace{\sum_{j=1}^{n}\varepsilon_{x_i,p_j}+\varepsilon_{x_i,\overline{W}}=0}_{\text{homogeneidad}},\qquad\underbrace{\sum_{i=1}^{n}s_i\,\varepsilon_{x_i,\overline{W}}=1}_{\text{agregación de \textsc{Engel}}},\qquad\underbrace{\sum_{i=1}^{n}s_i\,\varepsilon_{x_i,p_j}=-s_j}_{\text{agregación de \textsc{Cournot}}}.$$</w:t>
      </w:r>
    </w:p>
    <w:p>
      <w:pPr>
        <w:numPr>
          <w:ilvl w:val="0"/>
          <w:numId w:val="1000"/>
        </w:numPr>
      </w:pPr>
      <w:r>
        <w:t xml:space="preserve">Las dos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r>
        <w:rPr>
          <w:rStyle w:val="Referenciaatema"/>
        </w:rPr>
        <w:t xml:space="preserve">[ver tema 3.A.9]</w:t>
      </w:r>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 Slutsky). Por eso la ley de la demanda vale siempre para la demanda compensada, pero para la marshalliana solo si el efecto renta no domina: el bien Giffen es la excepción. Las relaciones netas son simétricas; las brutas, no.</w:t>
      </w:r>
    </w:p>
    <w:bookmarkEnd w:id="197"/>
    <w:bookmarkStart w:id="198" w:name="valoración"/>
    <w:p>
      <w:pPr>
        <w:pStyle w:val="Heading3"/>
      </w:pPr>
      <w:r>
        <w:t xml:space="preserve">II.3.4.</w:t>
      </w:r>
      <w:r>
        <w:t xml:space="preserve"> </w:t>
      </w:r>
      <w:r>
        <w:t xml:space="preserve">Valoración</w:t>
      </w:r>
    </w:p>
    <w:p>
      <w:pPr>
        <w:numPr>
          <w:ilvl w:val="0"/>
          <w:numId w:val="1084"/>
        </w:numPr>
      </w:pPr>
      <w:r>
        <w:t xml:space="preserve">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III:</w:t>
      </w:r>
    </w:p>
    <w:p>
      <w:pPr>
        <w:numPr>
          <w:ilvl w:val="1"/>
          <w:numId w:val="1085"/>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(III.1);</w:t>
      </w:r>
    </w:p>
    <w:p>
      <w:pPr>
        <w:numPr>
          <w:ilvl w:val="1"/>
          <w:numId w:val="1085"/>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(III.2);</w:t>
      </w:r>
    </w:p>
    <w:p>
      <w:pPr>
        <w:numPr>
          <w:ilvl w:val="1"/>
          <w:numId w:val="1085"/>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(III.3);</w:t>
      </w:r>
    </w:p>
    <w:p>
      <w:pPr>
        <w:numPr>
          <w:ilvl w:val="1"/>
          <w:numId w:val="1085"/>
        </w:numPr>
      </w:pPr>
      <w:r>
        <w:t xml:space="preserve">el análisis es estático y sin incertidumbre</w:t>
      </w:r>
      <w:r>
        <w:t xml:space="preserve"> </w:t>
      </w:r>
      <w:r>
        <w:rPr>
          <w:rStyle w:val="Referenciaatema"/>
        </w:rPr>
        <w:t xml:space="preserve">[ver tema 3.A.10]</w:t>
      </w:r>
      <w:r>
        <w:t xml:space="preserve"> </w:t>
      </w:r>
      <w:r>
        <w:rPr>
          <w:rStyle w:val="Referenciaatema"/>
        </w:rPr>
        <w:t xml:space="preserve">[ver tema 3.A.29]</w:t>
      </w:r>
      <w:r>
        <w:t xml:space="preserve">.</w:t>
      </w:r>
    </w:p>
    <w:bookmarkEnd w:id="198"/>
    <w:bookmarkEnd w:id="199"/>
    <w:bookmarkEnd w:id="200"/>
    <w:bookmarkStart w:id="260" w:name="otros-desarrollos"/>
    <w:p>
      <w:pPr>
        <w:pStyle w:val="Heading1"/>
      </w:pPr>
      <w:r>
        <w:t xml:space="preserve">III.</w:t>
      </w:r>
      <w:r>
        <w:t xml:space="preserve"> </w:t>
      </w:r>
      <w:r>
        <w:t xml:space="preserve">Otros desarrollos</w:t>
      </w:r>
    </w:p>
    <w:p>
      <w:pPr>
        <w:pStyle w:val="Notaalopositor"/>
      </w:pPr>
      <w:r>
        <w:rPr>
          <w:b/>
          <w:bCs/>
        </w:rPr>
        <w:t xml:space="preserve">Nota al opositor. </w:t>
      </w:r>
      <w:r>
        <w:t xml:space="preserve">En el cante: preferencia revelada (unos 3 minutos), producción doméstica (1,5) y precios hedónicos (2,5).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13), y la función hedónica de</w:t>
      </w:r>
      <w:r>
        <w:t xml:space="preserve"> </w:t>
      </w:r>
      <w:r>
        <w:rPr>
          <w:smallCaps/>
        </w:rPr>
        <w:t xml:space="preserve">Rosen</w:t>
      </w:r>
      <w:r>
        <w:t xml:space="preserve"> </w:t>
      </w:r>
      <w:r>
        <w:t xml:space="preserve">(gráfico 16). El axioma fuerte en gráfico y la obtención de las curvas de indiferencia son de profundización.</w:t>
      </w:r>
    </w:p>
    <w:bookmarkStart w:id="233" w:name="la-teoría-de-la-preferencia-revelada"/>
    <w:p>
      <w:pPr>
        <w:pStyle w:val="Heading2"/>
      </w:pPr>
      <w:r>
        <w:t xml:space="preserve">III.1.</w:t>
      </w:r>
      <w:r>
        <w:t xml:space="preserve"> </w:t>
      </w:r>
      <w:r>
        <w:t xml:space="preserve">La teoría de la preferencia revelada</w:t>
      </w:r>
    </w:p>
    <w:bookmarkStart w:id="205" w:name="idea"/>
    <w:p>
      <w:pPr>
        <w:pStyle w:val="Heading3"/>
      </w:pPr>
      <w:r>
        <w:t xml:space="preserve">III.1.1.</w:t>
      </w:r>
      <w:r>
        <w:t xml:space="preserve"> </w:t>
      </w:r>
      <w:r>
        <w:t xml:space="preserve">Idea</w:t>
      </w:r>
    </w:p>
    <w:p>
      <w:pPr>
        <w:numPr>
          <w:ilvl w:val="0"/>
          <w:numId w:val="1086"/>
        </w:numPr>
      </w:pPr>
      <w:r>
        <w:t xml:space="preserve">La</w:t>
      </w:r>
      <w:r>
        <w:t xml:space="preserve"> </w:t>
      </w:r>
      <w:r>
        <w:rPr>
          <w:b/>
          <w:bCs/>
        </w:rPr>
        <w:t xml:space="preserve">teoría de la preferencia revelada</w:t>
      </w:r>
      <w:r>
        <w:t xml:space="preserve">, de</w:t>
      </w:r>
      <w:r>
        <w:t xml:space="preserve"> </w:t>
      </w:r>
      <w:r>
        <w:rPr>
          <w:smallCaps/>
        </w:rPr>
        <w:t xml:space="preserve">Paul A. Samuelson</w:t>
      </w:r>
      <w:r>
        <w:t xml:space="preserve"> </w:t>
      </w:r>
      <w:r>
        <w:t xml:space="preserve">(1938, 1948),</w:t>
      </w:r>
      <w:r>
        <w:rPr>
          <w:rStyle w:val="FootnoteReference"/>
        </w:rPr>
        <w:footnoteReference w:id="201"/>
      </w:r>
      <w:r>
        <w:rPr>
          <w:vertAlign w:val="superscript"/>
        </w:rPr>
        <w:t xml:space="preserve">,</w:t>
      </w:r>
      <w:r>
        <w:rPr>
          <w:rStyle w:val="FootnoteReference"/>
        </w:rPr>
        <w:footnoteReference w:id="202"/>
      </w:r>
      <w:r>
        <w:rPr>
          <w:vertAlign w:val="superscript"/>
        </w:rPr>
        <w:t xml:space="preserve">,</w:t>
      </w:r>
      <w:r>
        <w:rPr>
          <w:rStyle w:val="FootnoteReference"/>
        </w:rPr>
        <w:footnoteReference w:id="203"/>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087"/>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205"/>
    <w:bookmarkStart w:id="207" w:name="supuestos"/>
    <w:p>
      <w:pPr>
        <w:pStyle w:val="Heading3"/>
      </w:pPr>
      <w:r>
        <w:t xml:space="preserve">III.1.2.</w:t>
      </w:r>
      <w:r>
        <w:t xml:space="preserve"> </w:t>
      </w:r>
      <w:r>
        <w:t xml:space="preserve">Supuestos</w:t>
      </w:r>
    </w:p>
    <w:p>
      <w:pPr>
        <w:numPr>
          <w:ilvl w:val="0"/>
          <w:numId w:val="1088"/>
        </w:numPr>
      </w:pPr>
      <w:r>
        <w:t xml:space="preserve">Se parte de un consumidor</w:t>
      </w:r>
      <w:r>
        <w:t xml:space="preserve"> </w:t>
      </w:r>
      <w:r>
        <w:rPr>
          <w:i/>
          <w:iCs/>
        </w:rPr>
        <w:t xml:space="preserve">individual</w:t>
      </w:r>
      <w:r>
        <w:rPr>
          <w:rStyle w:val="FootnoteReference"/>
        </w:rPr>
        <w:footnoteReference w:id="206"/>
      </w:r>
      <w:r>
        <w:t xml:space="preserve"> </w:t>
      </w:r>
      <w:r>
        <w:t xml:space="preserve">que, ante cada vector de precios</w:t>
      </w:r>
      <w:r>
        <w:t xml:space="preserve"> </w:t>
      </w:r>
      <m:oMath>
        <m:r>
          <m:t>p</m:t>
        </m:r>
        <m:r>
          <m:rPr>
            <m:sty m:val="p"/>
          </m:rPr>
          <m:t>≫</m:t>
        </m:r>
        <m:r>
          <m:t>0</m:t>
        </m:r>
      </m:oMath>
      <w:r>
        <w:t xml:space="preserve"> </w:t>
      </w:r>
      <w:r>
        <w:t xml:space="preserve">y cada renta</w:t>
      </w:r>
      <w:r>
        <w:t xml:space="preserve"> </w:t>
      </w:r>
      <m:oMath>
        <m:bar>
          <m:barPr>
            <m:pos m:val="top"/>
          </m:barPr>
          <m:e>
            <m:r>
              <m:t>W</m:t>
            </m:r>
          </m:e>
        </m:bar>
      </m:oMath>
      <w:r>
        <w:t xml:space="preserve">, elige una única cesta</w:t>
      </w:r>
      <w:r>
        <w:t xml:space="preserve"> </w:t>
      </w:r>
      <m:oMath>
        <m:r>
          <m:t>x</m:t>
        </m:r>
        <m:d>
          <m:dPr>
            <m:begChr m:val="("/>
            <m:sepChr m:val=""/>
            <m:endChr m:val=")"/>
            <m:grow/>
          </m:dPr>
          <m:e>
            <m:r>
              <m:t>p</m:t>
            </m:r>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207"/>
    <w:bookmarkStart w:id="218" w:name="X585d9060e5ec9b3bc8e06e3a6fd5afea7373538"/>
    <w:p>
      <w:pPr>
        <w:pStyle w:val="Heading3"/>
      </w:pPr>
      <w:r>
        <w:t xml:space="preserve">III.1.3.</w:t>
      </w:r>
      <w:r>
        <w:t xml:space="preserve"> </w:t>
      </w:r>
      <w:r>
        <w:t xml:space="preserve">El axioma débil de la preferencia revelada</w:t>
      </w:r>
    </w:p>
    <w:p>
      <w:pPr>
        <w:numPr>
          <w:ilvl w:val="0"/>
          <w:numId w:val="1089"/>
        </w:numPr>
      </w:pPr>
      <w:r>
        <w:t xml:space="preserve">Si, en la situación</w:t>
      </w:r>
      <w:r>
        <w:t xml:space="preserve"> </w:t>
      </w:r>
      <m:oMath>
        <m:d>
          <m:dPr>
            <m:begChr m:val="("/>
            <m:sepChr m:val=""/>
            <m:endChr m:val=")"/>
            <m:grow/>
          </m:dPr>
          <m:e>
            <m:sSup>
              <m:e>
                <m:r>
                  <m:t>p</m:t>
                </m:r>
              </m:e>
              <m:sup>
                <m:r>
                  <m:t>0</m:t>
                </m:r>
              </m:sup>
            </m:sSup>
            <m:r>
              <m:rPr>
                <m:sty m:val="p"/>
              </m:rPr>
              <m:t>,</m:t>
            </m:r>
            <m:sSup>
              <m:e>
                <m:bar>
                  <m:barPr>
                    <m:pos m:val="top"/>
                  </m:barPr>
                  <m:e>
                    <m:r>
                      <m:t>W</m:t>
                    </m:r>
                  </m:e>
                </m:bar>
              </m:e>
              <m:sup>
                <m:r>
                  <m:t>0</m:t>
                </m:r>
              </m:sup>
            </m:sSup>
          </m:e>
        </m:d>
      </m:oMath>
      <w:r>
        <w:t xml:space="preserve">, el consumidor elige</w:t>
      </w:r>
      <w:r>
        <w:t xml:space="preserve"> </w:t>
      </w:r>
      <m:oMath>
        <m:sSup>
          <m:e>
            <m:r>
              <m:t>x</m:t>
            </m:r>
          </m:e>
          <m:sup>
            <m:r>
              <m:t>0</m:t>
            </m:r>
          </m:sup>
        </m:sSup>
      </m:oMath>
      <w:r>
        <w:t xml:space="preserve"> </w:t>
      </w:r>
      <w:r>
        <w:t xml:space="preserve">cuando también podía comprar otra cesta</w:t>
      </w:r>
      <w:r>
        <w:t xml:space="preserve"> </w:t>
      </w:r>
      <m:oMath>
        <m:sSup>
          <m:e>
            <m:r>
              <m:t>x</m:t>
            </m:r>
          </m:e>
          <m:sup>
            <m:r>
              <m:t>1</m:t>
            </m:r>
          </m:sup>
        </m:sSup>
        <m:r>
          <m:rPr>
            <m:sty m:val="p"/>
          </m:rPr>
          <m:t>≠</m:t>
        </m:r>
        <m:sSup>
          <m:e>
            <m:r>
              <m:t>x</m:t>
            </m:r>
          </m:e>
          <m:sup>
            <m:r>
              <m:t>0</m:t>
            </m:r>
          </m:sup>
        </m:sSup>
      </m:oMath>
      <w:r>
        <w:t xml:space="preserve">, decimos que</w:t>
      </w:r>
      <w:r>
        <w:t xml:space="preserve"> </w:t>
      </w:r>
      <m:oMath>
        <m:sSup>
          <m:e>
            <m:r>
              <m:t>x</m:t>
            </m:r>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r>
              <m:t>x</m:t>
            </m:r>
          </m:e>
          <m:sup>
            <m:r>
              <m:t>1</m:t>
            </m:r>
          </m:sup>
        </m:sSup>
      </m:oMath>
      <w:r>
        <w:t xml:space="preserve">.</w:t>
      </w:r>
    </w:p>
    <w:p>
      <w:pPr>
        <w:numPr>
          <w:ilvl w:val="0"/>
          <w:numId w:val="1089"/>
        </w:numPr>
      </w:pPr>
      <w:r>
        <w:rPr>
          <w:b/>
          <w:bCs/>
        </w:rPr>
        <w:t xml:space="preserve">Axioma débil de la preferencia revelada</w:t>
      </w:r>
      <w:r>
        <w:t xml:space="preserve"> </w:t>
      </w:r>
      <w:r>
        <w:t xml:space="preserve">(ADPR): si</w:t>
      </w:r>
      <w:r>
        <w:t xml:space="preserve"> </w:t>
      </w:r>
      <m:oMath>
        <m:sSup>
          <m:e>
            <m:r>
              <m:t>x</m:t>
            </m:r>
          </m:e>
          <m:sup>
            <m:r>
              <m:t>0</m:t>
            </m:r>
          </m:sup>
        </m:sSup>
      </m:oMath>
      <w:r>
        <w:t xml:space="preserve"> </w:t>
      </w:r>
      <w:r>
        <w:t xml:space="preserve">se revela directamente preferida a</w:t>
      </w:r>
      <w:r>
        <w:t xml:space="preserve"> </w:t>
      </w:r>
      <m:oMath>
        <m:sSup>
          <m:e>
            <m:r>
              <m:t>x</m:t>
            </m:r>
          </m:e>
          <m:sup>
            <m:r>
              <m:t>1</m:t>
            </m:r>
          </m:sup>
        </m:sSup>
      </m:oMath>
      <w:r>
        <w:t xml:space="preserve">, entonces</w:t>
      </w:r>
      <w:r>
        <w:t xml:space="preserve"> </w:t>
      </w:r>
      <m:oMath>
        <m:sSup>
          <m:e>
            <m:r>
              <m:t>x</m:t>
            </m:r>
          </m:e>
          <m:sup>
            <m:r>
              <m:t>0</m:t>
            </m:r>
          </m:sup>
        </m:sSup>
      </m:oMath>
      <w:r>
        <w:t xml:space="preserve"> </w:t>
      </w:r>
      <w:r>
        <w:t xml:space="preserve">no puede ser asequible cuando se elige</w:t>
      </w:r>
      <w:r>
        <w:t xml:space="preserve"> </w:t>
      </w:r>
      <m:oMath>
        <m:sSup>
          <m:e>
            <m:r>
              <m:t>x</m:t>
            </m:r>
          </m:e>
          <m:sup>
            <m:r>
              <m:t>1</m:t>
            </m:r>
          </m:sup>
        </m:sSup>
      </m:oMath>
      <w:r>
        <w:t xml:space="preserve">:</w:t>
      </w:r>
    </w:p>
    <w:p>
      <w:pPr>
        <w:pStyle w:val="BodyText"/>
      </w:pPr>
      <m:oMathPara>
        <m:oMathParaPr>
          <m:jc m:val="center"/>
        </m:oMathParaPr>
        <m:oMath>
          <m:sSup>
            <m:e>
              <m:r>
                <m:t>p</m:t>
              </m:r>
            </m:e>
            <m:sup>
              <m:r>
                <m:t>0</m:t>
              </m:r>
            </m:sup>
          </m:sSup>
          <m:r>
            <m:rPr>
              <m:sty m:val="p"/>
            </m:rPr>
            <m:t>⋅</m:t>
          </m:r>
          <m:sSup>
            <m:e>
              <m:r>
                <m:t>x</m:t>
              </m:r>
            </m:e>
            <m:sup>
              <m:r>
                <m:t>1</m:t>
              </m:r>
            </m:sup>
          </m:sSup>
          <m:r>
            <m:rPr>
              <m:sty m:val="p"/>
            </m:rPr>
            <m:t>≤</m:t>
          </m:r>
          <m:sSup>
            <m:e>
              <m:r>
                <m:t>p</m:t>
              </m:r>
            </m:e>
            <m:sup>
              <m:r>
                <m:t>0</m:t>
              </m:r>
            </m:sup>
          </m:sSup>
          <m:r>
            <m:rPr>
              <m:sty m:val="p"/>
            </m:rPr>
            <m:t>⋅</m:t>
          </m:r>
          <m:sSup>
            <m:e>
              <m:r>
                <m:t>x</m:t>
              </m:r>
            </m:e>
            <m:sup>
              <m:r>
                <m:t>0</m:t>
              </m:r>
            </m:sup>
          </m:sSup>
          <m:r>
            <m:rPr>
              <m:sty m:val="p"/>
            </m:rPr>
            <m:t>,</m:t>
          </m:r>
          <m:r>
            <m:t> </m:t>
          </m:r>
          <m:sSup>
            <m:e>
              <m:r>
                <m:t>x</m:t>
              </m:r>
            </m:e>
            <m:sup>
              <m:r>
                <m:t>1</m:t>
              </m:r>
            </m:sup>
          </m:sSup>
          <m:r>
            <m:rPr>
              <m:sty m:val="p"/>
            </m:rPr>
            <m:t>≠</m:t>
          </m:r>
          <m:sSup>
            <m:e>
              <m:r>
                <m:t>x</m:t>
              </m:r>
            </m:e>
            <m:sup>
              <m:r>
                <m:t>0</m:t>
              </m:r>
            </m:sup>
          </m:sSup>
          <m:r>
            <m:t> </m:t>
          </m:r>
          <m:r>
            <m:rPr>
              <m:sty m:val="p"/>
            </m:rPr>
            <m:t>⇒</m:t>
          </m:r>
          <m:r>
            <m:t> </m:t>
          </m:r>
          <m:sSup>
            <m:e>
              <m:r>
                <m:t>p</m:t>
              </m:r>
            </m:e>
            <m:sup>
              <m:r>
                <m:t>1</m:t>
              </m:r>
            </m:sup>
          </m:sSup>
          <m:r>
            <m:rPr>
              <m:sty m:val="p"/>
            </m:rPr>
            <m:t>⋅</m:t>
          </m:r>
          <m:sSup>
            <m:e>
              <m:r>
                <m:t>x</m:t>
              </m:r>
            </m:e>
            <m:sup>
              <m:r>
                <m:t>0</m:t>
              </m:r>
            </m:sup>
          </m:sSup>
          <m:r>
            <m:rPr>
              <m:sty m:val="p"/>
            </m:rPr>
            <m:t>&gt;</m:t>
          </m:r>
          <m:sSup>
            <m:e>
              <m:r>
                <m:t>p</m:t>
              </m:r>
            </m:e>
            <m:sup>
              <m:r>
                <m:t>1</m:t>
              </m:r>
            </m:sup>
          </m:sSup>
          <m:r>
            <m:rPr>
              <m:sty m:val="p"/>
            </m:rPr>
            <m:t>⋅</m:t>
          </m:r>
          <m:sSup>
            <m:e>
              <m:r>
                <m:t>x</m:t>
              </m:r>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r>
              <m:t>x</m:t>
            </m:r>
          </m:e>
          <m:sup>
            <m:r>
              <m:t>0</m:t>
            </m:r>
          </m:sup>
        </m:sSup>
      </m:oMath>
      <w:r>
        <w:t xml:space="preserve"> </w:t>
      </w:r>
      <w:r>
        <w:t xml:space="preserve">a</w:t>
      </w:r>
      <w:r>
        <w:t xml:space="preserve"> </w:t>
      </w:r>
      <m:oMath>
        <m:sSup>
          <m:e>
            <m:r>
              <m:t>x</m:t>
            </m:r>
          </m:e>
          <m:sup>
            <m:r>
              <m:t>1</m:t>
            </m:r>
          </m:sup>
        </m:sSup>
      </m:oMath>
      <w:r>
        <w:t xml:space="preserve"> </w:t>
      </w:r>
      <w:r>
        <w:t xml:space="preserve">y, en otra situación, lo contrario.</w:t>
      </w:r>
      <w:r>
        <w:rPr>
          <w:rStyle w:val="FootnoteReference"/>
        </w:rPr>
        <w:footnoteReference w:id="208"/>
      </w:r>
    </w:p>
    <w:bookmarkStart w:id="212" w:name="fig:adpr-efecto-sustitucion"/>
    <w:p>
      <w:pPr>
        <w:pStyle w:val="ImageCaption"/>
      </w:pPr>
      <w:r>
        <w:t xml:space="preserve">Gráfico 13.–</w:t>
      </w:r>
      <w:r>
        <w:t xml:space="preserve"> </w:t>
      </w:r>
      <w:r>
        <w:t xml:space="preserve">Axioma débil de la preferencia revelada y signo del efecto sustitución</w:t>
      </w:r>
    </w:p>
    <w:p>
      <w:pPr>
        <w:pStyle w:val="CaptionedFigure"/>
      </w:pPr>
      <w:r>
        <w:drawing>
          <wp:inline>
            <wp:extent cx="5370188" cy="2088746"/>
            <wp:effectExtent b="0" l="0" r="0" t="0"/>
            <wp:docPr descr="" title="" id="210" name="Picture"/>
            <a:graphic>
              <a:graphicData uri="http://schemas.openxmlformats.org/drawingml/2006/picture">
                <pic:pic>
                  <pic:nvPicPr>
                    <pic:cNvPr descr="C:\Users\vgutierrez\Documents\src\victorgutierrezmarcos.github.io-revision\oposicion\temario\fuentes\3A08\graficos/adpr-efecto-sustitucion.png" id="211" name="Picture"/>
                    <pic:cNvPicPr>
                      <a:picLocks noChangeArrowheads="1" noChangeAspect="1"/>
                    </pic:cNvPicPr>
                  </pic:nvPicPr>
                  <pic:blipFill>
                    <a:blip r:embed="rId209"/>
                    <a:stretch>
                      <a:fillRect/>
                    </a:stretch>
                  </pic:blipFill>
                  <pic:spPr bwMode="auto">
                    <a:xfrm>
                      <a:off x="0" y="0"/>
                      <a:ext cx="5370188" cy="2088746"/>
                    </a:xfrm>
                    <a:prstGeom prst="rect">
                      <a:avLst/>
                    </a:prstGeom>
                    <a:noFill/>
                    <a:ln w="9525">
                      <a:noFill/>
                      <a:headEnd/>
                      <a:tailEnd/>
                    </a:ln>
                  </pic:spPr>
                </pic:pic>
              </a:graphicData>
            </a:graphic>
          </wp:inline>
        </w:drawing>
      </w:r>
    </w:p>
    <w:bookmarkEnd w:id="212"/>
    <w:p>
      <w:pPr>
        <w:pStyle w:val="Piedeimagen"/>
      </w:pPr>
      <w:r>
        <w:t xml:space="preserve">Fuente: elaboración propia a partir de</w:t>
      </w:r>
      <w:r>
        <w:t xml:space="preserve"> </w:t>
      </w:r>
      <w:r>
        <w:t xml:space="preserve">Jehle y Reny (</w:t>
      </w:r>
      <w:hyperlink w:anchor="ref-JehleReny2011Advanced">
        <w:r>
          <w:rPr>
            <w:rStyle w:val="Hyperlink"/>
          </w:rPr>
          <w:t xml:space="preserve">2011, cap. 2</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2.F</w:t>
        </w:r>
      </w:hyperlink>
      <w:r>
        <w:t xml:space="preserve">)</w:t>
      </w:r>
      <w:r>
        <w:t xml:space="preserve">.</w:t>
      </w:r>
    </w:p>
    <w:p>
      <w:pPr>
        <w:numPr>
          <w:ilvl w:val="0"/>
          <w:numId w:val="1090"/>
        </w:numPr>
      </w:pPr>
      <w:r>
        <w:rPr>
          <w:b/>
          <w:bCs/>
        </w:rPr>
        <w:t xml:space="preserve">Implicaciones</w:t>
      </w:r>
      <w:r>
        <w:t xml:space="preserve"> </w:t>
      </w:r>
      <w:r>
        <w:t xml:space="preserve">del ADPR:</w:t>
      </w:r>
    </w:p>
    <w:p>
      <w:pPr>
        <w:numPr>
          <w:ilvl w:val="1"/>
          <w:numId w:val="1091"/>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213"/>
      </w:r>
    </w:p>
    <w:p>
      <w:pPr>
        <w:numPr>
          <w:ilvl w:val="1"/>
          <w:numId w:val="1091"/>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r>
          <m:t>p</m:t>
        </m:r>
      </m:oMath>
      <w:r>
        <w:t xml:space="preserve"> </w:t>
      </w:r>
      <w:r>
        <w:t xml:space="preserve">a</w:t>
      </w:r>
      <w:r>
        <w:t xml:space="preserve"> </w:t>
      </w:r>
      <m:oMath>
        <m:r>
          <m:t>p</m:t>
        </m:r>
        <m:r>
          <m:rPr>
            <m:sty m:val="p"/>
          </m:rPr>
          <m:t>′</m:t>
        </m:r>
      </m:oMath>
      <w:r>
        <w:t xml:space="preserve"> </w:t>
      </w:r>
      <w:r>
        <w:t xml:space="preserve">y se compensa la renta para que el consumidor pueda seguir comprando la cesta inicial,</w:t>
      </w:r>
      <w:r>
        <w:t xml:space="preserve"> </w:t>
      </w:r>
      <m:oMath>
        <m:bar>
          <m:barPr>
            <m:pos m:val="top"/>
          </m:barPr>
          <m:e>
            <m:r>
              <m:t>W</m:t>
            </m:r>
          </m:e>
        </m:bar>
        <m:r>
          <m:rPr>
            <m:sty m:val="p"/>
          </m:rPr>
          <m:t>′</m:t>
        </m:r>
        <m:r>
          <m:rPr>
            <m:sty m:val="p"/>
          </m:rPr>
          <m:t>=</m:t>
        </m:r>
        <m:r>
          <m:t>p</m:t>
        </m:r>
        <m:r>
          <m:rPr>
            <m:sty m:val="p"/>
          </m:rPr>
          <m:t>′</m:t>
        </m:r>
        <m:r>
          <m:rPr>
            <m:sty m:val="p"/>
          </m:rPr>
          <m:t>⋅</m:t>
        </m:r>
        <m:r>
          <m:t>x</m:t>
        </m:r>
        <m:d>
          <m:dPr>
            <m:begChr m:val="("/>
            <m:sepChr m:val=""/>
            <m:endChr m:val=")"/>
            <m:grow/>
          </m:dPr>
          <m:e>
            <m:r>
              <m:t>p</m:t>
            </m:r>
            <m:r>
              <m:rPr>
                <m:sty m:val="p"/>
              </m:rPr>
              <m:t>,</m:t>
            </m:r>
            <m:bar>
              <m:barPr>
                <m:pos m:val="top"/>
              </m:barPr>
              <m:e>
                <m:r>
                  <m:t>W</m:t>
                </m:r>
              </m:e>
            </m:bar>
          </m:e>
        </m:d>
      </m:oMath>
      <w:r>
        <w:t xml:space="preserve">, entonces</w:t>
      </w:r>
      <w:r>
        <w:rPr>
          <w:rStyle w:val="FootnoteReference"/>
        </w:rPr>
        <w:footnoteReference w:id="214"/>
      </w:r>
    </w:p>
    <w:p>
      <w:pPr>
        <w:pStyle w:val="BodyText"/>
      </w:pPr>
      <m:oMathPara>
        <m:oMathParaPr>
          <m:jc m:val="center"/>
        </m:oMathParaPr>
        <m:oMath>
          <m:d>
            <m:dPr>
              <m:begChr m:val="("/>
              <m:sepChr m:val=""/>
              <m:endChr m:val=")"/>
              <m:grow/>
            </m:dPr>
            <m:e>
              <m:r>
                <m:t>p</m:t>
              </m:r>
              <m:r>
                <m:rPr>
                  <m:sty m:val="p"/>
                </m:rPr>
                <m:t>′</m:t>
              </m:r>
              <m:r>
                <m:rPr>
                  <m:sty m:val="p"/>
                </m:rPr>
                <m:t>−</m:t>
              </m:r>
              <m:r>
                <m:t>p</m:t>
              </m:r>
            </m:e>
          </m:d>
          <m:r>
            <m:rPr>
              <m:sty m:val="p"/>
            </m:rPr>
            <m:t>⋅</m:t>
          </m:r>
          <m:d>
            <m:dPr>
              <m:begChr m:val="["/>
              <m:sepChr m:val=""/>
              <m:endChr m:val="]"/>
              <m:grow/>
            </m:dPr>
            <m:e>
              <m:r>
                <m:t>x</m:t>
              </m:r>
              <m:d>
                <m:dPr>
                  <m:begChr m:val="("/>
                  <m:sepChr m:val=""/>
                  <m:endChr m:val=")"/>
                  <m:grow/>
                </m:dPr>
                <m:e>
                  <m:r>
                    <m:t>p</m:t>
                  </m:r>
                  <m:r>
                    <m:rPr>
                      <m:sty m:val="p"/>
                    </m:rPr>
                    <m:t>′</m:t>
                  </m:r>
                  <m:r>
                    <m:rPr>
                      <m:sty m:val="p"/>
                    </m:rPr>
                    <m:t>,</m:t>
                  </m:r>
                  <m:bar>
                    <m:barPr>
                      <m:pos m:val="top"/>
                    </m:barPr>
                    <m:e>
                      <m:r>
                        <m:t>W</m:t>
                      </m:r>
                    </m:e>
                  </m:bar>
                  <m:r>
                    <m:rPr>
                      <m:sty m:val="p"/>
                    </m:rPr>
                    <m:t>′</m:t>
                  </m:r>
                </m:e>
              </m:d>
              <m:r>
                <m:rPr>
                  <m:sty m:val="p"/>
                </m:rPr>
                <m:t>−</m:t>
              </m:r>
              <m:r>
                <m:t>x</m:t>
              </m:r>
              <m:d>
                <m:dPr>
                  <m:begChr m:val="("/>
                  <m:sepChr m:val=""/>
                  <m:endChr m:val=")"/>
                  <m:grow/>
                </m:dPr>
                <m:e>
                  <m:r>
                    <m:t>p</m:t>
                  </m:r>
                  <m:r>
                    <m:rPr>
                      <m:sty m:val="p"/>
                    </m:rPr>
                    <m:t>,</m:t>
                  </m:r>
                  <m:bar>
                    <m:barPr>
                      <m:pos m:val="top"/>
                    </m:barPr>
                    <m:e>
                      <m:r>
                        <m:t>W</m:t>
                      </m:r>
                    </m:e>
                  </m:bar>
                </m:e>
              </m:d>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r>
              <m:t>x</m:t>
            </m:r>
          </m:e>
          <m:sup>
            <m:r>
              <m:t>0</m:t>
            </m:r>
          </m:sup>
        </m:sSup>
      </m:oMath>
      <w:r>
        <w:t xml:space="preserve">; las cestas de esa recta situadas a la izquierda de</w:t>
      </w:r>
      <w:r>
        <w:t xml:space="preserve"> </w:t>
      </w:r>
      <m:oMath>
        <m:sSup>
          <m:e>
            <m:r>
              <m:t>x</m:t>
            </m:r>
          </m:e>
          <m:sup>
            <m:r>
              <m:t>0</m:t>
            </m:r>
          </m:sup>
        </m:sSup>
      </m:oMath>
      <w:r>
        <w:t xml:space="preserve"> </w:t>
      </w:r>
      <w:r>
        <w:t xml:space="preserve">ya eran asequibles con la recta inicial y no se eligieron, así que el consumidor elegirá una cesta a la derecha de</w:t>
      </w:r>
      <w:r>
        <w:t xml:space="preserve"> </w:t>
      </w:r>
      <m:oMath>
        <m:sSup>
          <m:e>
            <m:r>
              <m:t>x</m:t>
            </m:r>
          </m:e>
          <m:sup>
            <m:r>
              <m:t>0</m:t>
            </m:r>
          </m:sup>
        </m:sSup>
      </m:oMath>
      <w:r>
        <w:t xml:space="preserve">, con más bien 1 (gráfico 13, segunda capa). Se obtiene el resultado de la ecuación de</w:t>
      </w:r>
      <w:r>
        <w:t xml:space="preserve"> </w:t>
      </w:r>
      <w:r>
        <w:rPr>
          <w:smallCaps/>
        </w:rPr>
        <w:t xml:space="preserve">Slutsky</w:t>
      </w:r>
      <w:r>
        <w:t xml:space="preserve"> </w:t>
      </w:r>
      <w:r>
        <w:t xml:space="preserve">sin hablar de utilidad.</w:t>
      </w:r>
    </w:p>
    <w:p>
      <w:pPr>
        <w:numPr>
          <w:ilvl w:val="1"/>
          <w:numId w:val="1091"/>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w:t>
      </w:r>
      <w:r>
        <w:rPr>
          <w:rStyle w:val="FootnoteReference"/>
        </w:rPr>
        <w:footnoteReference w:id="215"/>
      </w:r>
      <w:r>
        <w:t xml:space="preserve"> </w:t>
      </w:r>
      <w:r>
        <w:t xml:space="preserve">Por eso, con más de dos bienes, no basta para que exista una utilidad que racionalice la demanda; con dos bienes, sí (</w:t>
      </w:r>
      <w:r>
        <w:rPr>
          <w:smallCaps/>
        </w:rPr>
        <w:t xml:space="preserve">Rose</w:t>
      </w:r>
      <w:r>
        <w:t xml:space="preserve">, 1958).</w:t>
      </w:r>
      <w:r>
        <w:rPr>
          <w:rStyle w:val="FootnoteReference"/>
        </w:rPr>
        <w:footnoteReference w:id="216"/>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(1976) estudian qué parte de la teoría de la demanda se sostiene solo con el axioma débil</w:t>
      </w:r>
      <w:r>
        <w:t xml:space="preserve"> </w:t>
      </w:r>
      <w:r>
        <w:rPr>
          <w:rStyle w:val="Referenciaatema"/>
        </w:rPr>
        <w:t xml:space="preserve">[ver tema 3.A.9]</w:t>
      </w:r>
      <w:r>
        <w:t xml:space="preserve">.</w:t>
      </w:r>
      <w:r>
        <w:rPr>
          <w:rStyle w:val="FootnoteReference"/>
        </w:rPr>
        <w:footnoteReference w:id="217"/>
      </w:r>
    </w:p>
    <w:bookmarkEnd w:id="218"/>
    <w:bookmarkStart w:id="226" w:name="X03ad5a7673dae3e81b501ae31e239104d667e31"/>
    <w:p>
      <w:pPr>
        <w:pStyle w:val="Heading3"/>
      </w:pPr>
      <w:r>
        <w:t xml:space="preserve">III.1.4.</w:t>
      </w:r>
      <w:r>
        <w:t xml:space="preserve"> </w:t>
      </w:r>
      <w:r>
        <w:t xml:space="preserve">El axioma fuerte de la preferencia revelada</w:t>
      </w:r>
    </w:p>
    <w:p>
      <w:pPr>
        <w:numPr>
          <w:ilvl w:val="0"/>
          <w:numId w:val="1092"/>
        </w:numPr>
      </w:pPr>
      <w:r>
        <w:t xml:space="preserve">Si</w:t>
      </w:r>
      <w:r>
        <w:t xml:space="preserve"> </w:t>
      </w:r>
      <m:oMath>
        <m:sSup>
          <m:e>
            <m:r>
              <m:t>x</m:t>
            </m:r>
          </m:e>
          <m:sup>
            <m:r>
              <m:t>0</m:t>
            </m:r>
          </m:sup>
        </m:sSup>
      </m:oMath>
      <w:r>
        <w:t xml:space="preserve"> </w:t>
      </w:r>
      <w:r>
        <w:t xml:space="preserve">se revela directamente preferida a</w:t>
      </w:r>
      <w:r>
        <w:t xml:space="preserve"> </w:t>
      </w:r>
      <m:oMath>
        <m:sSup>
          <m:e>
            <m:r>
              <m:t>x</m:t>
            </m:r>
          </m:e>
          <m:sup>
            <m:r>
              <m:t>1</m:t>
            </m:r>
          </m:sup>
        </m:sSup>
      </m:oMath>
      <w:r>
        <w:t xml:space="preserve">,</w:t>
      </w:r>
      <w:r>
        <w:t xml:space="preserve"> </w:t>
      </w:r>
      <m:oMath>
        <m:sSup>
          <m:e>
            <m:r>
              <m:t>x</m:t>
            </m:r>
          </m:e>
          <m:sup>
            <m:r>
              <m:t>1</m:t>
            </m:r>
          </m:sup>
        </m:sSup>
      </m:oMath>
      <w:r>
        <w:t xml:space="preserve"> </w:t>
      </w:r>
      <w:r>
        <w:t xml:space="preserve">a</w:t>
      </w:r>
      <w:r>
        <w:t xml:space="preserve"> </w:t>
      </w:r>
      <m:oMath>
        <m:sSup>
          <m:e>
            <m:r>
              <m:t>x</m:t>
            </m:r>
          </m:e>
          <m:sup>
            <m:r>
              <m:t>2</m:t>
            </m:r>
          </m:sup>
        </m:sSup>
      </m:oMath>
      <w:r>
        <w:t xml:space="preserve">, …, y</w:t>
      </w:r>
      <w:r>
        <w:t xml:space="preserve"> </w:t>
      </w:r>
      <m:oMath>
        <m:sSup>
          <m:e>
            <m:r>
              <m:t>x</m:t>
            </m:r>
          </m:e>
          <m:sup>
            <m:r>
              <m:t>k</m:t>
            </m:r>
            <m:r>
              <m:rPr>
                <m:sty m:val="p"/>
              </m:rPr>
              <m:t>−</m:t>
            </m:r>
            <m:r>
              <m:t>1</m:t>
            </m:r>
          </m:sup>
        </m:sSup>
      </m:oMath>
      <w:r>
        <w:t xml:space="preserve"> </w:t>
      </w:r>
      <w:r>
        <w:t xml:space="preserve">a</w:t>
      </w:r>
      <w:r>
        <w:t xml:space="preserve"> </w:t>
      </w:r>
      <m:oMath>
        <m:sSup>
          <m:e>
            <m:r>
              <m:t>x</m:t>
            </m:r>
          </m:e>
          <m:sup>
            <m:r>
              <m:t>k</m:t>
            </m:r>
          </m:sup>
        </m:sSup>
      </m:oMath>
      <w:r>
        <w:t xml:space="preserve">, decimos que</w:t>
      </w:r>
      <w:r>
        <w:t xml:space="preserve"> </w:t>
      </w:r>
      <m:oMath>
        <m:sSup>
          <m:e>
            <m:r>
              <m:t>x</m:t>
            </m:r>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r>
              <m:t>x</m:t>
            </m:r>
          </m:e>
          <m:sup>
            <m:r>
              <m:t>k</m:t>
            </m:r>
          </m:sup>
        </m:sSup>
      </m:oMath>
      <w:r>
        <w:t xml:space="preserve">, aunque nunca se hayan comparado directamente (gráfico 14).</w:t>
      </w:r>
    </w:p>
    <w:p>
      <w:pPr>
        <w:numPr>
          <w:ilvl w:val="0"/>
          <w:numId w:val="1092"/>
        </w:numPr>
      </w:pPr>
      <w:r>
        <w:rPr>
          <w:b/>
          <w:bCs/>
        </w:rPr>
        <w:t xml:space="preserve">Axioma fuerte de la preferencia revelada</w:t>
      </w:r>
      <w:r>
        <w:t xml:space="preserve"> </w:t>
      </w:r>
      <w:r>
        <w:t xml:space="preserve">(AFPR), de</w:t>
      </w:r>
      <w:r>
        <w:t xml:space="preserve"> </w:t>
      </w:r>
      <w:r>
        <w:rPr>
          <w:smallCaps/>
        </w:rPr>
        <w:t xml:space="preserve">Houthakker</w:t>
      </w:r>
      <w:r>
        <w:t xml:space="preserve"> </w:t>
      </w:r>
      <w:r>
        <w:t xml:space="preserve">(1950):</w:t>
      </w:r>
      <w:r>
        <w:rPr>
          <w:rStyle w:val="FootnoteReference"/>
        </w:rPr>
        <w:footnoteReference w:id="219"/>
      </w:r>
      <w:r>
        <w:t xml:space="preserve"> </w:t>
      </w:r>
      <w:r>
        <w:t xml:space="preserve">si</w:t>
      </w:r>
      <w:r>
        <w:t xml:space="preserve"> </w:t>
      </w:r>
      <m:oMath>
        <m:sSup>
          <m:e>
            <m:r>
              <m:t>x</m:t>
            </m:r>
          </m:e>
          <m:sup>
            <m:r>
              <m:t>0</m:t>
            </m:r>
          </m:sup>
        </m:sSup>
      </m:oMath>
      <w:r>
        <w:t xml:space="preserve"> </w:t>
      </w:r>
      <w:r>
        <w:t xml:space="preserve">se revela directa o indirectamente preferida a</w:t>
      </w:r>
      <w:r>
        <w:t xml:space="preserve"> </w:t>
      </w:r>
      <m:oMath>
        <m:sSup>
          <m:e>
            <m:r>
              <m:t>x</m:t>
            </m:r>
          </m:e>
          <m:sup>
            <m:r>
              <m:t>k</m:t>
            </m:r>
          </m:sup>
        </m:sSup>
        <m:r>
          <m:rPr>
            <m:sty m:val="p"/>
          </m:rPr>
          <m:t>≠</m:t>
        </m:r>
        <m:sSup>
          <m:e>
            <m:r>
              <m:t>x</m:t>
            </m:r>
          </m:e>
          <m:sup>
            <m:r>
              <m:t>0</m:t>
            </m:r>
          </m:sup>
        </m:sSup>
      </m:oMath>
      <w:r>
        <w:t xml:space="preserve">, entonces</w:t>
      </w:r>
      <w:r>
        <w:t xml:space="preserve"> </w:t>
      </w:r>
      <m:oMath>
        <m:sSup>
          <m:e>
            <m:r>
              <m:t>x</m:t>
            </m:r>
          </m:e>
          <m:sup>
            <m:r>
              <m:t>k</m:t>
            </m:r>
          </m:sup>
        </m:sSup>
      </m:oMath>
      <w:r>
        <w:t xml:space="preserve"> </w:t>
      </w:r>
      <w:r>
        <w:t xml:space="preserve">no puede revelarse preferida a</w:t>
      </w:r>
      <w:r>
        <w:t xml:space="preserve"> </w:t>
      </w:r>
      <m:oMath>
        <m:sSup>
          <m:e>
            <m:r>
              <m:t>x</m:t>
            </m:r>
          </m:e>
          <m:sup>
            <m:r>
              <m:t>0</m:t>
            </m:r>
          </m:sup>
        </m:sSup>
      </m:oMath>
      <w:r>
        <w:t xml:space="preserve">. Es la</w:t>
      </w:r>
      <w:r>
        <w:t xml:space="preserve"> </w:t>
      </w:r>
      <w:r>
        <w:rPr>
          <w:i/>
          <w:iCs/>
        </w:rPr>
        <w:t xml:space="preserve">transitividad</w:t>
      </w:r>
      <w:r>
        <w:t xml:space="preserve"> </w:t>
      </w:r>
      <w:r>
        <w:t xml:space="preserve">de las preferencias reveladas, y el AFPR implica el ADPR.</w:t>
      </w:r>
    </w:p>
    <w:p>
      <w:pPr>
        <w:numPr>
          <w:ilvl w:val="0"/>
          <w:numId w:val="1092"/>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220"/>
      </w:r>
    </w:p>
    <w:p>
      <w:pPr>
        <w:numPr>
          <w:ilvl w:val="0"/>
          <w:numId w:val="1092"/>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rPr>
          <w:b/>
          <w:bCs/>
        </w:rPr>
        <w:t xml:space="preserve"> </w:t>
      </w:r>
      <w:r>
        <w:rPr>
          <w:b/>
          <w:bCs/>
          <w:smallCaps/>
        </w:rPr>
        <w:t xml:space="preserve">Afriat</w:t>
      </w:r>
      <w:r>
        <w:t xml:space="preserve"> </w:t>
      </w:r>
      <w:r>
        <w:t xml:space="preserve">(1967) 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rPr>
          <w:smallCaps/>
        </w:rPr>
        <w:t xml:space="preserve">Varian</w:t>
      </w:r>
      <w:r>
        <w:t xml:space="preserve">, 1982), que admite empates. Es la base del contraste no paramétrico de la teoría con datos reales.</w:t>
      </w:r>
      <w:r>
        <w:rPr>
          <w:rStyle w:val="FootnoteReference"/>
        </w:rPr>
        <w:footnoteReference w:id="221"/>
      </w:r>
    </w:p>
    <w:bookmarkStart w:id="225" w:name="fig:afpr"/>
    <w:p>
      <w:pPr>
        <w:pStyle w:val="ImageCaption"/>
      </w:pPr>
      <w:r>
        <w:t xml:space="preserve">Gráfico 14.–</w:t>
      </w:r>
      <w:r>
        <w:t xml:space="preserve"> </w:t>
      </w:r>
      <w:r>
        <w:t xml:space="preserve">Axioma fuerte de la preferencia revelada:</w:t>
      </w:r>
      <w:r>
        <w:t xml:space="preserve"> </w:t>
      </w:r>
      <m:oMath>
        <m:sSup>
          <m:e>
            <m:r>
              <m:t>x</m:t>
            </m:r>
          </m:e>
          <m:sup>
            <m:r>
              <m:t>0</m:t>
            </m:r>
          </m:sup>
        </m:sSup>
      </m:oMath>
      <w:r>
        <w:t xml:space="preserve"> </w:t>
      </w:r>
      <w:r>
        <w:t xml:space="preserve">se revela indirectamente preferida a</w:t>
      </w:r>
      <w:r>
        <w:t xml:space="preserve"> </w:t>
      </w:r>
      <m:oMath>
        <m:sSup>
          <m:e>
            <m:r>
              <m:t>x</m:t>
            </m:r>
          </m:e>
          <m:sup>
            <m:r>
              <m:t>2</m:t>
            </m:r>
          </m:sup>
        </m:sSup>
      </m:oMath>
    </w:p>
    <w:p>
      <w:pPr>
        <w:pStyle w:val="CaptionedFigure"/>
      </w:pPr>
      <w:r>
        <w:drawing>
          <wp:inline>
            <wp:extent cx="3682065" cy="2113212"/>
            <wp:effectExtent b="0" l="0" r="0" t="0"/>
            <wp:docPr descr="" title="" id="223" name="Picture"/>
            <a:graphic>
              <a:graphicData uri="http://schemas.openxmlformats.org/drawingml/2006/picture">
                <pic:pic>
                  <pic:nvPicPr>
                    <pic:cNvPr descr="C:\Users\vgutierrez\Documents\src\victorgutierrezmarcos.github.io-revision\oposicion\temario\fuentes\3A08\graficos/afpr.png" id="224" name="Picture"/>
                    <pic:cNvPicPr>
                      <a:picLocks noChangeArrowheads="1" noChangeAspect="1"/>
                    </pic:cNvPicPr>
                  </pic:nvPicPr>
                  <pic:blipFill>
                    <a:blip r:embed="rId222"/>
                    <a:stretch>
                      <a:fillRect/>
                    </a:stretch>
                  </pic:blipFill>
                  <pic:spPr bwMode="auto">
                    <a:xfrm>
                      <a:off x="0" y="0"/>
                      <a:ext cx="3682065" cy="2113212"/>
                    </a:xfrm>
                    <a:prstGeom prst="rect">
                      <a:avLst/>
                    </a:prstGeom>
                    <a:noFill/>
                    <a:ln w="9525">
                      <a:noFill/>
                      <a:headEnd/>
                      <a:tailEnd/>
                    </a:ln>
                  </pic:spPr>
                </pic:pic>
              </a:graphicData>
            </a:graphic>
          </wp:inline>
        </w:drawing>
      </w:r>
    </w:p>
    <w:bookmarkEnd w:id="225"/>
    <w:p>
      <w:pPr>
        <w:pStyle w:val="Piedeimagen"/>
      </w:pPr>
      <w:r>
        <w:t xml:space="preserve">Fuente: elaboración propia a partir de</w:t>
      </w:r>
      <w:r>
        <w:t xml:space="preserve"> </w:t>
      </w:r>
      <w:r>
        <w:t xml:space="preserve">Varian (</w:t>
      </w:r>
      <w:hyperlink w:anchor="ref-Varian2016Intermedia">
        <w:r>
          <w:rPr>
            <w:rStyle w:val="Hyperlink"/>
          </w:rPr>
          <w:t xml:space="preserve">2016, cap. 7</w:t>
        </w:r>
      </w:hyperlink>
      <w:r>
        <w:t xml:space="preserve">)</w:t>
      </w:r>
      <w:r>
        <w:t xml:space="preserve">.</w:t>
      </w:r>
    </w:p>
    <w:bookmarkEnd w:id="226"/>
    <w:bookmarkStart w:id="232" w:name="aplicaciones-y-valoración"/>
    <w:p>
      <w:pPr>
        <w:pStyle w:val="Heading3"/>
      </w:pPr>
      <w:r>
        <w:t xml:space="preserve">III.1.5.</w:t>
      </w:r>
      <w:r>
        <w:t xml:space="preserve"> </w:t>
      </w:r>
      <w:r>
        <w:t xml:space="preserve">Aplicaciones y valoración</w:t>
      </w:r>
    </w:p>
    <w:p>
      <w:pPr>
        <w:numPr>
          <w:ilvl w:val="0"/>
          <w:numId w:val="1093"/>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r>
              <m:t>x</m:t>
            </m:r>
          </m:e>
          <m:sup>
            <m:r>
              <m:t>0</m:t>
            </m:r>
          </m:sup>
        </m:sSup>
      </m:oMath>
      <w:r>
        <w:t xml:space="preserve"> </w:t>
      </w:r>
      <w:r>
        <w:t xml:space="preserve">se revelan peores que</w:t>
      </w:r>
      <w:r>
        <w:t xml:space="preserve"> </w:t>
      </w:r>
      <m:oMath>
        <m:sSup>
          <m:e>
            <m:r>
              <m:t>x</m:t>
            </m:r>
          </m:e>
          <m:sup>
            <m:r>
              <m:t>0</m:t>
            </m:r>
          </m:sup>
        </m:sSup>
      </m:oMath>
      <w:r>
        <w:t xml:space="preserve">, y las que se revelan preferidas a</w:t>
      </w:r>
      <w:r>
        <w:t xml:space="preserve"> </w:t>
      </w:r>
      <m:oMath>
        <m:sSup>
          <m:e>
            <m:r>
              <m:t>x</m:t>
            </m:r>
          </m:e>
          <m:sup>
            <m:r>
              <m:t>0</m:t>
            </m:r>
          </m:sup>
        </m:sSup>
      </m:oMath>
      <w:r>
        <w:t xml:space="preserve"> </w:t>
      </w:r>
      <w:r>
        <w:t xml:space="preserve">(directa o indirectamente, o porque tienen más de todos los bienes) son mejores. La curva de indiferencia que pasa por</w:t>
      </w:r>
      <w:r>
        <w:t xml:space="preserve"> </w:t>
      </w:r>
      <m:oMath>
        <m:sSup>
          <m:e>
            <m:r>
              <m:t>x</m:t>
            </m:r>
          </m:e>
          <m:sup>
            <m:r>
              <m:t>0</m:t>
            </m:r>
          </m:sup>
        </m:sSup>
      </m:oMath>
      <w:r>
        <w:t xml:space="preserve"> </w:t>
      </w:r>
      <w:r>
        <w:t xml:space="preserve">está entre ambas regiones. Con más observaciones, a precios distintos, las dos regiones se acercan y acotan la curva cada vez mejor, que resulta convexa (gráfico 15).</w:t>
      </w:r>
    </w:p>
    <w:p>
      <w:pPr>
        <w:numPr>
          <w:ilvl w:val="0"/>
          <w:numId w:val="1093"/>
        </w:numPr>
      </w:pPr>
      <w:r>
        <w:rPr>
          <w:b/>
          <w:b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r>
        <w:rPr>
          <w:rStyle w:val="Referenciaatema"/>
        </w:rPr>
        <w:t xml:space="preserve">[ver tema 3.A.9]</w:t>
      </w:r>
      <w:r>
        <w:t xml:space="preserve">.</w:t>
      </w:r>
    </w:p>
    <w:p>
      <w:pPr>
        <w:numPr>
          <w:ilvl w:val="0"/>
          <w:numId w:val="1093"/>
        </w:numPr>
      </w:pPr>
      <w:r>
        <w:rPr>
          <w:b/>
          <w:bCs/>
        </w:rPr>
        <w:t xml:space="preserve">Valoración</w:t>
      </w:r>
      <w:r>
        <w:t xml:space="preserve">:</w:t>
      </w:r>
    </w:p>
    <w:p>
      <w:pPr>
        <w:numPr>
          <w:ilvl w:val="1"/>
          <w:numId w:val="1094"/>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1"/>
          <w:numId w:val="1094"/>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1"/>
          <w:numId w:val="1094"/>
        </w:numPr>
      </w:pPr>
      <w:r>
        <w:t xml:space="preserve">su principal crítica es que identifica elección y preferencia (</w:t>
      </w:r>
      <w:r>
        <w:rPr>
          <w:smallCaps/>
        </w:rPr>
        <w:t xml:space="preserve">Sen</w:t>
      </w:r>
      <w:r>
        <w:t xml:space="preserve">, 1973): si la elección depende del contexto, de normas o de compromisos, lo que se «revela» no es necesariamente el bienestar del consumidor.</w:t>
      </w:r>
      <w:r>
        <w:rPr>
          <w:rStyle w:val="FootnoteReference"/>
        </w:rPr>
        <w:footnoteReference w:id="227"/>
      </w:r>
    </w:p>
    <w:bookmarkStart w:id="231" w:name="fig:preferencia-revelada-indiferencia"/>
    <w:p>
      <w:pPr>
        <w:pStyle w:val="ImageCaption"/>
      </w:pPr>
      <w:r>
        <w:t xml:space="preserve">Gráfico 15.–</w:t>
      </w:r>
      <w:r>
        <w:t xml:space="preserve"> </w:t>
      </w:r>
      <w:r>
        <w:t xml:space="preserve">Obtención de una curva de indiferencia a partir de la preferencia revelada</w:t>
      </w:r>
    </w:p>
    <w:p>
      <w:pPr>
        <w:pStyle w:val="CaptionedFigure"/>
      </w:pPr>
      <w:r>
        <w:drawing>
          <wp:inline>
            <wp:extent cx="2798247" cy="2055106"/>
            <wp:effectExtent b="0" l="0" r="0" t="0"/>
            <wp:docPr descr="" title="" id="229" name="Picture"/>
            <a:graphic>
              <a:graphicData uri="http://schemas.openxmlformats.org/drawingml/2006/picture">
                <pic:pic>
                  <pic:nvPicPr>
                    <pic:cNvPr descr="C:\Users\vgutierrez\Documents\src\victorgutierrezmarcos.github.io-revision\oposicion\temario\fuentes\3A08\graficos/preferencia-revelada-indiferencia.png" id="230" name="Picture"/>
                    <pic:cNvPicPr>
                      <a:picLocks noChangeArrowheads="1" noChangeAspect="1"/>
                    </pic:cNvPicPr>
                  </pic:nvPicPr>
                  <pic:blipFill>
                    <a:blip r:embed="rId228"/>
                    <a:stretch>
                      <a:fillRect/>
                    </a:stretch>
                  </pic:blipFill>
                  <pic:spPr bwMode="auto">
                    <a:xfrm>
                      <a:off x="0" y="0"/>
                      <a:ext cx="2798247" cy="2055106"/>
                    </a:xfrm>
                    <a:prstGeom prst="rect">
                      <a:avLst/>
                    </a:prstGeom>
                    <a:noFill/>
                    <a:ln w="9525">
                      <a:noFill/>
                      <a:headEnd/>
                      <a:tailEnd/>
                    </a:ln>
                  </pic:spPr>
                </pic:pic>
              </a:graphicData>
            </a:graphic>
          </wp:inline>
        </w:drawing>
      </w:r>
    </w:p>
    <w:bookmarkEnd w:id="231"/>
    <w:p>
      <w:pPr>
        <w:pStyle w:val="Piedeimagen"/>
      </w:pPr>
      <w:r>
        <w:t xml:space="preserve">Fuente: elaboración propia a partir de</w:t>
      </w:r>
      <w:r>
        <w:t xml:space="preserve"> </w:t>
      </w:r>
      <w:r>
        <w:t xml:space="preserve">Vial y Zurita (</w:t>
      </w:r>
      <w:hyperlink w:anchor="ref-VialZurita2011Microeconomia">
        <w:r>
          <w:rPr>
            <w:rStyle w:val="Hyperlink"/>
          </w:rPr>
          <w:t xml:space="preserve">2011</w:t>
        </w:r>
      </w:hyperlink>
      <w:r>
        <w:t xml:space="preserve">)</w:t>
      </w:r>
      <w:r>
        <w:t xml:space="preserve"> </w:t>
      </w:r>
      <w:r>
        <w:t xml:space="preserve">y</w:t>
      </w:r>
      <w:r>
        <w:t xml:space="preserve"> </w:t>
      </w:r>
      <w:r>
        <w:t xml:space="preserve">Samuelson (</w:t>
      </w:r>
      <w:hyperlink w:anchor="ref-Samuelson1948Consumption">
        <w:r>
          <w:rPr>
            <w:rStyle w:val="Hyperlink"/>
          </w:rPr>
          <w:t xml:space="preserve">1948</w:t>
        </w:r>
      </w:hyperlink>
      <w:r>
        <w:t xml:space="preserve">)</w:t>
      </w:r>
      <w:r>
        <w:t xml:space="preserve">.</w:t>
      </w:r>
    </w:p>
    <w:bookmarkEnd w:id="232"/>
    <w:bookmarkEnd w:id="233"/>
    <w:bookmarkStart w:id="239" w:name="la-producción-doméstica"/>
    <w:p>
      <w:pPr>
        <w:pStyle w:val="Heading2"/>
      </w:pPr>
      <w:r>
        <w:t xml:space="preserve">III.2.</w:t>
      </w:r>
      <w:r>
        <w:t xml:space="preserve"> </w:t>
      </w:r>
      <w:r>
        <w:t xml:space="preserve">La producción doméstica</w:t>
      </w:r>
    </w:p>
    <w:p>
      <w:pPr>
        <w:numPr>
          <w:ilvl w:val="0"/>
          <w:numId w:val="1095"/>
        </w:numPr>
      </w:pPr>
      <w:r>
        <w:rPr>
          <w:b/>
          <w:bCs/>
          <w:i/>
          <w:iCs/>
        </w:rPr>
        <w:t xml:space="preserve">Idea</w:t>
      </w:r>
      <w:r>
        <w:t xml:space="preserve">: 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096"/>
        </w:numPr>
      </w:pPr>
      <w:r>
        <w:rPr>
          <w:smallCaps/>
        </w:rPr>
        <w:t xml:space="preserve">Gary Becker</w:t>
      </w:r>
      <w:r>
        <w:t xml:space="preserve"> </w:t>
      </w:r>
      <w:r>
        <w:t xml:space="preserve">(1965)</w:t>
      </w:r>
      <w:r>
        <w:rPr>
          <w:rStyle w:val="FootnoteReference"/>
        </w:rPr>
        <w:footnoteReference w:id="234"/>
      </w:r>
      <w:r>
        <w:rPr>
          <w:vertAlign w:val="superscript"/>
        </w:rPr>
        <w:t xml:space="preserve">,</w:t>
      </w:r>
      <w:r>
        <w:rPr>
          <w:rStyle w:val="FootnoteReference"/>
        </w:rPr>
        <w:footnoteReference w:id="235"/>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096"/>
        </w:numPr>
      </w:pPr>
      <w:r>
        <w:rPr>
          <w:smallCaps/>
        </w:rPr>
        <w:t xml:space="preserve">Kelvin Lancaster</w:t>
      </w:r>
      <w:r>
        <w:t xml:space="preserve"> </w:t>
      </w:r>
      <w:r>
        <w:t xml:space="preserve">(1966) propone la otra tecnología del consumo: los bienes producen</w:t>
      </w:r>
      <w:r>
        <w:t xml:space="preserve"> </w:t>
      </w:r>
      <w:r>
        <w:rPr>
          <w:i/>
          <w:iCs/>
        </w:rPr>
        <w:t xml:space="preserve">características</w:t>
      </w:r>
      <w:r>
        <w:t xml:space="preserve">,</w:t>
      </w:r>
      <w:r>
        <w:t xml:space="preserve"> </w:t>
      </w:r>
      <m:oMath>
        <m:r>
          <m:t>z</m:t>
        </m:r>
        <m:r>
          <m:rPr>
            <m:sty m:val="p"/>
          </m:rPr>
          <m:t>=</m:t>
        </m:r>
        <m:r>
          <m:t>B</m:t>
        </m:r>
        <m:r>
          <m:t>x</m:t>
        </m:r>
      </m:oMath>
      <w:r>
        <w:t xml:space="preserve">, y la utilidad depende de las características. Su modelo completo y su papel en la diferenciación de productos se estudian en</w:t>
      </w:r>
      <w:r>
        <w:t xml:space="preserve"> </w:t>
      </w:r>
      <w:r>
        <w:rPr>
          <w:rStyle w:val="Referenciaatema"/>
        </w:rPr>
        <w:t xml:space="preserve">[ver tema 3.A.18]</w:t>
      </w:r>
      <w:r>
        <w:t xml:space="preserve">; aquí es el antecedente de los precios hedónicos (III.3).</w:t>
      </w:r>
      <w:r>
        <w:rPr>
          <w:rStyle w:val="FootnoteReference"/>
        </w:rPr>
        <w:footnoteReference w:id="237"/>
      </w:r>
    </w:p>
    <w:p>
      <w:pPr>
        <w:numPr>
          <w:ilvl w:val="0"/>
          <w:numId w:val="1095"/>
        </w:numPr>
      </w:pPr>
      <w:r>
        <w:rPr>
          <w:b/>
          <w:bCs/>
          <w:i/>
          <w:iCs/>
        </w:rPr>
        <w:t xml:space="preserve">El modelo de</w:t>
      </w:r>
      <w:r>
        <w:rPr>
          <w:b/>
          <w:bCs/>
          <w:i/>
          <w:iCs/>
        </w:rPr>
        <w:t xml:space="preserve"> </w:t>
      </w:r>
      <w:r>
        <w:rPr>
          <w:b/>
          <w:bCs/>
          <w:i/>
          <w:iCs/>
          <w:smallCaps/>
        </w:rPr>
        <w:t xml:space="preserve">Becker</w:t>
      </w:r>
      <w:r>
        <w:t xml:space="preserve">: 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 sujeto a dos restricciones:</w:t>
      </w:r>
    </w:p>
    <w:p>
      <w:pPr>
        <w:pStyle w:val="BodyText"/>
      </w:pPr>
      <m:oMathPara>
        <m:oMathParaPr>
          <m:jc m:val="center"/>
        </m:oMathParaPr>
        <m:oMath>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r>
            <m:t>V</m:t>
          </m:r>
          <m:r>
            <m:rPr>
              <m:sty m:val="p"/>
            </m:rPr>
            <m:t>,</m:t>
          </m:r>
          <m:r>
            <m:t>  </m:t>
          </m:r>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r>
            <m:rPr>
              <m:sty m:val="p"/>
            </m:rPr>
            <m:t>,</m:t>
          </m:r>
        </m:oMath>
      </m:oMathPara>
    </w:p>
    <w:p>
      <w:pPr>
        <w:numPr>
          <w:ilvl w:val="0"/>
          <w:numId w:val="1000"/>
        </w:numPr>
      </w:pPr>
      <w:r>
        <w:t xml:space="preserve">donde</w:t>
      </w:r>
      <w:r>
        <w:t xml:space="preserve"> </w:t>
      </w:r>
      <m:oMath>
        <m:sSub>
          <m:e>
            <m:r>
              <m:t>t</m:t>
            </m:r>
          </m:e>
          <m:sub>
            <m:r>
              <m:t>w</m:t>
            </m:r>
          </m:sub>
        </m:sSub>
      </m:oMath>
      <w:r>
        <w:t xml:space="preserve"> </w:t>
      </w:r>
      <w:r>
        <w:t xml:space="preserve">es el tiempo de trabajo en el mercado,</w:t>
      </w:r>
      <w:r>
        <w:t xml:space="preserve"> </w:t>
      </w:r>
      <m:oMath>
        <m:r>
          <m:t>w</m:t>
        </m:r>
      </m:oMath>
      <w:r>
        <w:t xml:space="preserve"> </w:t>
      </w:r>
      <w:r>
        <w:t xml:space="preserve">el salario,</w:t>
      </w:r>
      <w:r>
        <w:t xml:space="preserve"> </w:t>
      </w:r>
      <m:oMath>
        <m:r>
          <m:t>V</m:t>
        </m:r>
      </m:oMath>
      <w:r>
        <w:t xml:space="preserve"> </w:t>
      </w:r>
      <w:r>
        <w:t xml:space="preserve">la renta no laboral y</w:t>
      </w:r>
      <w:r>
        <w:t xml:space="preserve"> </w:t>
      </w:r>
      <m:oMath>
        <m:r>
          <m:t>T</m:t>
        </m:r>
      </m:oMath>
      <w:r>
        <w:t xml:space="preserve"> </w:t>
      </w:r>
      <w:r>
        <w:t xml:space="preserve">el tiempo total disponible. 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p>
    <w:p>
      <w:pPr>
        <w:pStyle w:val="BodyT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r>
            <m:t>V</m:t>
          </m:r>
          <m:r>
            <m:rPr>
              <m:sty m:val="p"/>
            </m:rPr>
            <m:t>.</m:t>
          </m:r>
        </m:oMath>
      </m:oMathPara>
    </w:p>
    <w:p>
      <w:pPr>
        <w:numPr>
          <w:ilvl w:val="1"/>
          <w:numId w:val="1097"/>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w:t>
      </w:r>
      <w:r>
        <w:t xml:space="preserve"> </w:t>
      </w:r>
      <m:oMath>
        <m:sSub>
          <m:e>
            <m:r>
              <m:t>t</m:t>
            </m:r>
          </m:e>
          <m:sub>
            <m:r>
              <m:t>i</m:t>
            </m:r>
          </m:sub>
        </m:sSub>
        <m:r>
          <m:rPr>
            <m:sty m:val="p"/>
          </m:rPr>
          <m:t>=</m:t>
        </m:r>
        <m:sSub>
          <m:e>
            <m:r>
              <m:t>τ</m:t>
            </m:r>
          </m:e>
          <m:sub>
            <m:r>
              <m:t>i</m:t>
            </m:r>
          </m:sub>
        </m:sSub>
        <m:sSub>
          <m:e>
            <m:r>
              <m:t>Z</m:t>
            </m:r>
          </m:e>
          <m:sub>
            <m:r>
              <m:t>i</m:t>
            </m:r>
          </m:sub>
        </m:sSub>
      </m:oMath>
      <w:r>
        <w:t xml:space="preserve">),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t>τ</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p>
      <w:pPr>
        <w:numPr>
          <w:ilvl w:val="0"/>
          <w:numId w:val="1095"/>
        </w:numPr>
      </w:pPr>
      <w:r>
        <w:rPr>
          <w:b/>
          <w:bCs/>
          <w:i/>
          <w:iCs/>
        </w:rPr>
        <w:t xml:space="preserve">Implicaciones</w:t>
      </w:r>
      <w:r>
        <w:t xml:space="preserve">:</w:t>
      </w:r>
    </w:p>
    <w:p>
      <w:pPr>
        <w:numPr>
          <w:ilvl w:val="1"/>
          <w:numId w:val="1098"/>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se estudia desde la oferta de trabajo en</w:t>
      </w:r>
      <w:r>
        <w:t xml:space="preserve"> </w:t>
      </w:r>
      <w:r>
        <w:rPr>
          <w:rStyle w:val="Referenciaatema"/>
        </w:rPr>
        <w:t xml:space="preserve">[ver tema 3.A.25]</w:t>
      </w:r>
      <w:r>
        <w:t xml:space="preserve">.</w:t>
      </w:r>
    </w:p>
    <w:p>
      <w:pPr>
        <w:numPr>
          <w:ilvl w:val="1"/>
          <w:numId w:val="1098"/>
        </w:numPr>
      </w:pPr>
      <w:r>
        <w:t xml:space="preserve">Un cambio de precios afecta a la demanda de bienes también a través de la tecnología del hogar, lo que da lugar a nuevos efectos sustitución.</w:t>
      </w:r>
    </w:p>
    <w:p>
      <w:pPr>
        <w:numPr>
          <w:ilvl w:val="1"/>
          <w:numId w:val="1098"/>
        </w:numPr>
      </w:pPr>
      <w:r>
        <w:rPr>
          <w:smallCaps/>
        </w:rPr>
        <w:t xml:space="preserve">Reuben Gronau</w:t>
      </w:r>
      <w:r>
        <w:t xml:space="preserve"> </w:t>
      </w:r>
      <w:r>
        <w:t xml:space="preserve">(1977) distingue entre trabajo doméstico y ocio: el tiempo no dedicado al mercado no es todo ocio.</w:t>
      </w:r>
      <w:r>
        <w:rPr>
          <w:rStyle w:val="FootnoteReference"/>
        </w:rPr>
        <w:footnoteReference w:id="238"/>
      </w:r>
    </w:p>
    <w:p>
      <w:pPr>
        <w:numPr>
          <w:ilvl w:val="0"/>
          <w:numId w:val="1095"/>
        </w:numPr>
      </w:pPr>
      <w:r>
        <w:rPr>
          <w:b/>
          <w:bCs/>
          <w:i/>
          <w:iCs/>
        </w:rPr>
        <w:t xml:space="preserve">Valoración</w:t>
      </w:r>
      <w:r>
        <w:t xml:space="preserve">: 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bookmarkEnd w:id="239"/>
    <w:bookmarkStart w:id="259" w:name="precios-hedónicos"/>
    <w:p>
      <w:pPr>
        <w:pStyle w:val="Heading2"/>
      </w:pPr>
      <w:r>
        <w:t xml:space="preserve">III.3.</w:t>
      </w:r>
      <w:r>
        <w:t xml:space="preserve"> </w:t>
      </w:r>
      <w:r>
        <w:t xml:space="preserve">Precios hedónicos</w:t>
      </w:r>
    </w:p>
    <w:bookmarkStart w:id="243" w:name="idea-y-origen"/>
    <w:p>
      <w:pPr>
        <w:pStyle w:val="Heading3"/>
      </w:pPr>
      <w:r>
        <w:t xml:space="preserve">III.3.1.</w:t>
      </w:r>
      <w:r>
        <w:t xml:space="preserve"> </w:t>
      </w:r>
      <w:r>
        <w:t xml:space="preserve">Idea y origen</w:t>
      </w:r>
    </w:p>
    <w:p>
      <w:pPr>
        <w:numPr>
          <w:ilvl w:val="0"/>
          <w:numId w:val="1099"/>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00"/>
        </w:numPr>
      </w:pPr>
      <w:r>
        <w:t xml:space="preserve">Su fundamento es el enfoque de características de</w:t>
      </w:r>
      <w:r>
        <w:t xml:space="preserve"> </w:t>
      </w:r>
      <w:r>
        <w:rPr>
          <w:smallCaps/>
        </w:rPr>
        <w:t xml:space="preserve">Lancaster</w:t>
      </w:r>
      <w:r>
        <w:t xml:space="preserve"> </w:t>
      </w:r>
      <w:r>
        <w:t xml:space="preserve">(III.2):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00"/>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00"/>
        </w:numPr>
      </w:pPr>
      <w:r>
        <w:rPr>
          <w:smallCaps/>
        </w:rPr>
        <w:t xml:space="preserve">Andrew Court</w:t>
      </w:r>
      <w:r>
        <w:t xml:space="preserve"> </w:t>
      </w:r>
      <w:r>
        <w:t xml:space="preserve">(1939) acuña el término y estima la primera regresión hedónica, con automóviles;</w:t>
      </w:r>
      <w:r>
        <w:rPr>
          <w:rStyle w:val="FootnoteReference"/>
        </w:rPr>
        <w:footnoteReference w:id="240"/>
      </w:r>
      <w:r>
        <w:t xml:space="preserve"> </w:t>
      </w:r>
      <w:r>
        <w:rPr>
          <w:smallCaps/>
        </w:rPr>
        <w:t xml:space="preserve">Zvi Griliches</w:t>
      </w:r>
      <w:r>
        <w:t xml:space="preserve"> </w:t>
      </w:r>
      <w:r>
        <w:t xml:space="preserve">(1961) la convierte en un método para ajustar por calidad los índices de precios,</w:t>
      </w:r>
      <w:r>
        <w:rPr>
          <w:rStyle w:val="FootnoteReference"/>
        </w:rPr>
        <w:footnoteReference w:id="241"/>
      </w:r>
      <w:r>
        <w:t xml:space="preserve"> </w:t>
      </w:r>
      <w:r>
        <w:t xml:space="preserve">y</w:t>
      </w:r>
      <w:r>
        <w:t xml:space="preserve"> </w:t>
      </w:r>
      <w:r>
        <w:rPr>
          <w:smallCaps/>
        </w:rPr>
        <w:t xml:space="preserve">Sherwin Rosen</w:t>
      </w:r>
      <w:r>
        <w:t xml:space="preserve"> </w:t>
      </w:r>
      <w:r>
        <w:t xml:space="preserve">(1974) le da fundamento teórico.</w:t>
      </w:r>
      <w:r>
        <w:rPr>
          <w:rStyle w:val="FootnoteReference"/>
        </w:rPr>
        <w:footnoteReference w:id="242"/>
      </w:r>
    </w:p>
    <w:bookmarkEnd w:id="243"/>
    <w:bookmarkStart w:id="248" w:name="la-función-hedónica-y-el-modelo-de-rosen"/>
    <w:p>
      <w:pPr>
        <w:pStyle w:val="Heading3"/>
      </w:pPr>
      <w:r>
        <w:t xml:space="preserve">III.3.2.</w:t>
      </w:r>
      <w:r>
        <w:t xml:space="preserve"> </w:t>
      </w:r>
      <w:r>
        <w:t xml:space="preserve">La función hedónica y el modelo de Rosen</w:t>
      </w:r>
    </w:p>
    <w:p>
      <w:pPr>
        <w:numPr>
          <w:ilvl w:val="0"/>
          <w:numId w:val="1101"/>
        </w:numPr>
      </w:pPr>
      <w:r>
        <w:t xml:space="preserve">Si un bien se describe por un vector de características</w:t>
      </w:r>
      <w:r>
        <w:t xml:space="preserve"> </w:t>
      </w:r>
      <m:oMath>
        <m:r>
          <m:t>z</m:t>
        </m:r>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r>
              <m:t>z</m:t>
            </m:r>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47" w:name="fig:funcion-hedonica-rosen"/>
    <w:p>
      <w:pPr>
        <w:pStyle w:val="ImageCaption"/>
      </w:pPr>
      <w:r>
        <w:t xml:space="preserve">Gráfico 16.–</w:t>
      </w:r>
      <w:r>
        <w:t xml:space="preserve"> </w:t>
      </w:r>
      <w:r>
        <w:t xml:space="preserve">La función hedónica como envolvente de curvas de puja y de oferta (Rosen, 1974)</w:t>
      </w:r>
    </w:p>
    <w:p>
      <w:pPr>
        <w:pStyle w:val="CaptionedFigure"/>
      </w:pPr>
      <w:r>
        <w:drawing>
          <wp:inline>
            <wp:extent cx="2908342" cy="2455729"/>
            <wp:effectExtent b="0" l="0" r="0" t="0"/>
            <wp:docPr descr="" title="" id="245" name="Picture"/>
            <a:graphic>
              <a:graphicData uri="http://schemas.openxmlformats.org/drawingml/2006/picture">
                <pic:pic>
                  <pic:nvPicPr>
                    <pic:cNvPr descr="C:\Users\vgutierrez\Documents\src\victorgutierrezmarcos.github.io-revision\oposicion\temario\fuentes\3A08\graficos/funcion-hedonica-rosen.png" id="246" name="Picture"/>
                    <pic:cNvPicPr>
                      <a:picLocks noChangeArrowheads="1" noChangeAspect="1"/>
                    </pic:cNvPicPr>
                  </pic:nvPicPr>
                  <pic:blipFill>
                    <a:blip r:embed="rId244"/>
                    <a:stretch>
                      <a:fillRect/>
                    </a:stretch>
                  </pic:blipFill>
                  <pic:spPr bwMode="auto">
                    <a:xfrm>
                      <a:off x="0" y="0"/>
                      <a:ext cx="2908342" cy="2455729"/>
                    </a:xfrm>
                    <a:prstGeom prst="rect">
                      <a:avLst/>
                    </a:prstGeom>
                    <a:noFill/>
                    <a:ln w="9525">
                      <a:noFill/>
                      <a:headEnd/>
                      <a:tailEnd/>
                    </a:ln>
                  </pic:spPr>
                </pic:pic>
              </a:graphicData>
            </a:graphic>
          </wp:inline>
        </w:drawing>
      </w:r>
    </w:p>
    <w:bookmarkEnd w:id="247"/>
    <w:p>
      <w:pPr>
        <w:pStyle w:val="Piedeimagen"/>
      </w:pPr>
      <w:r>
        <w:t xml:space="preserve">Fuente: elaboración propia a partir de</w:t>
      </w:r>
      <w:r>
        <w:t xml:space="preserve"> </w:t>
      </w:r>
      <w:r>
        <w:t xml:space="preserve">Rosen (</w:t>
      </w:r>
      <w:hyperlink w:anchor="ref-Rosen1974Hedonic">
        <w:r>
          <w:rPr>
            <w:rStyle w:val="Hyperlink"/>
          </w:rPr>
          <w:t xml:space="preserve">1974</w:t>
        </w:r>
      </w:hyperlink>
      <w:r>
        <w:t xml:space="preserve">)</w:t>
      </w:r>
      <w:r>
        <w:t xml:space="preserve">.</w:t>
      </w:r>
    </w:p>
    <w:p>
      <w:pPr>
        <w:numPr>
          <w:ilvl w:val="0"/>
          <w:numId w:val="1102"/>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03"/>
        </w:numPr>
      </w:pPr>
      <w:r>
        <w:rPr>
          <w:i/>
          <w:iCs/>
        </w:rPr>
        <w:t xml:space="preserve">Demanda</w:t>
      </w:r>
      <w:r>
        <w:t xml:space="preserve">: el consumidor maximiza</w:t>
      </w:r>
      <w:r>
        <w:t xml:space="preserve"> </w:t>
      </w:r>
      <m:oMath>
        <m:r>
          <m:t>U</m:t>
        </m:r>
        <m:d>
          <m:dPr>
            <m:begChr m:val="("/>
            <m:sepChr m:val=""/>
            <m:endChr m:val=")"/>
            <m:grow/>
          </m:dPr>
          <m:e>
            <m:r>
              <m:t>z</m:t>
            </m:r>
            <m:r>
              <m:rPr>
                <m:sty m:val="p"/>
              </m:rPr>
              <m:t>,</m:t>
            </m:r>
            <m:r>
              <m:t>y</m:t>
            </m:r>
          </m:e>
        </m:d>
      </m:oMath>
      <w:r>
        <w:t xml:space="preserve">, con</w:t>
      </w:r>
      <w:r>
        <w:t xml:space="preserve"> </w:t>
      </w:r>
      <m:oMath>
        <m:r>
          <m:t>y</m:t>
        </m:r>
      </m:oMath>
      <w:r>
        <w:t xml:space="preserve"> </w:t>
      </w:r>
      <w:r>
        <w:t xml:space="preserve">un bien numerario, sujeto a</w:t>
      </w:r>
      <w:r>
        <w:t xml:space="preserve"> </w:t>
      </w:r>
      <m:oMath>
        <m:r>
          <m:t>p</m:t>
        </m:r>
        <m:d>
          <m:dPr>
            <m:begChr m:val="("/>
            <m:sepChr m:val=""/>
            <m:endChr m:val=")"/>
            <m:grow/>
          </m:dPr>
          <m:e>
            <m:r>
              <m:t>z</m:t>
            </m:r>
          </m:e>
        </m:d>
        <m:r>
          <m:rPr>
            <m:sty m:val="p"/>
          </m:rPr>
          <m:t>+</m:t>
        </m:r>
        <m:r>
          <m:t>y</m:t>
        </m:r>
        <m:r>
          <m:rPr>
            <m:sty m:val="p"/>
          </m:rPr>
          <m:t>=</m:t>
        </m:r>
        <m:bar>
          <m:barPr>
            <m:pos m:val="top"/>
          </m:barPr>
          <m:e>
            <m:r>
              <m:t>W</m:t>
            </m:r>
          </m:e>
        </m:bar>
      </m:oMath>
      <w:r>
        <w:t xml:space="preserve">. En el óptimo, para cada característica,</w:t>
      </w:r>
    </w:p>
    <w:p>
      <w:pPr>
        <w:pStyle w:val="BodyT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r>
                    <m:t>z</m:t>
                  </m:r>
                </m:e>
              </m:d>
            </m:num>
            <m:den>
              <m:r>
                <m:rPr>
                  <m:sty m:val="p"/>
                </m:rPr>
                <m:t>∂</m:t>
              </m:r>
              <m:sSub>
                <m:e>
                  <m:r>
                    <m:t>z</m:t>
                  </m:r>
                </m:e>
                <m:sub>
                  <m:r>
                    <m:t>j</m:t>
                  </m:r>
                </m:sub>
              </m:sSub>
            </m:den>
          </m:f>
          <m:r>
            <m:rPr>
              <m:sty m:val="p"/>
            </m:rPr>
            <m:t>:</m:t>
          </m:r>
        </m:oMath>
      </m:oMathPara>
    </w:p>
    <w:p>
      <w:pPr>
        <w:numPr>
          <w:ilvl w:val="1"/>
          <w:numId w:val="1000"/>
        </w:numPr>
      </w:pPr>
      <w:r>
        <w:t xml:space="preserve">la relación marginal de sustitución entre la característica y el numerario se iguala a su precio implícito. Es la misma condición de tangencia del apartado I.2 (ecuación (12)), ahora sobre una «restricción presupuestaria» no lineal,</w:t>
      </w:r>
      <w:r>
        <w:t xml:space="preserve"> </w:t>
      </w:r>
      <m:oMath>
        <m:r>
          <m:t>p</m:t>
        </m:r>
        <m:d>
          <m:dPr>
            <m:begChr m:val="("/>
            <m:sepChr m:val=""/>
            <m:endChr m:val=")"/>
            <m:grow/>
          </m:dPr>
          <m:e>
            <m:r>
              <m:t>z</m:t>
            </m:r>
          </m:e>
        </m:d>
      </m:oMath>
      <w:r>
        <w:t xml:space="preserve">.</w:t>
      </w:r>
    </w:p>
    <w:p>
      <w:pPr>
        <w:numPr>
          <w:ilvl w:val="1"/>
          <w:numId w:val="1103"/>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r>
              <m:t>z</m:t>
            </m:r>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r>
          <m:t>z</m:t>
        </m:r>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r>
              <m:t>z</m:t>
            </m:r>
            <m:r>
              <m:rPr>
                <m:sty m:val="p"/>
              </m:rPr>
              <m:t>;</m:t>
            </m:r>
            <m:r>
              <m:t>π</m:t>
            </m:r>
          </m:e>
        </m:d>
      </m:oMath>
      <w:r>
        <w:t xml:space="preserve">, lo mínimo que aceptaría por cada</w:t>
      </w:r>
      <w:r>
        <w:t xml:space="preserve"> </w:t>
      </w:r>
      <m:oMath>
        <m:r>
          <m:t>z</m:t>
        </m:r>
      </m:oMath>
      <w:r>
        <w:t xml:space="preserve"> </w:t>
      </w:r>
      <w:r>
        <w:t xml:space="preserve">obteniendo un beneficio</w:t>
      </w:r>
      <w:r>
        <w:t xml:space="preserve"> </w:t>
      </w:r>
      <m:oMath>
        <m:r>
          <m:t>π</m:t>
        </m:r>
      </m:oMath>
      <w:r>
        <w:t xml:space="preserve">.</w:t>
      </w:r>
    </w:p>
    <w:p>
      <w:pPr>
        <w:numPr>
          <w:ilvl w:val="1"/>
          <w:numId w:val="1103"/>
        </w:numPr>
      </w:pPr>
      <w:r>
        <w:rPr>
          <w:i/>
          <w:iCs/>
        </w:rPr>
        <w:t xml:space="preserve">Equilibrio</w:t>
      </w:r>
      <w:r>
        <w:t xml:space="preserve">: la función hedónica</w:t>
      </w:r>
      <w:r>
        <w:t xml:space="preserve"> </w:t>
      </w:r>
      <m:oMath>
        <m:r>
          <m:t>p</m:t>
        </m:r>
        <m:d>
          <m:dPr>
            <m:begChr m:val="("/>
            <m:sepChr m:val=""/>
            <m:endChr m:val=")"/>
            <m:grow/>
          </m:dPr>
          <m:e>
            <m:r>
              <m:t>z</m:t>
            </m:r>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r>
              <m:t>z</m:t>
            </m:r>
          </m:e>
        </m:d>
      </m:oMath>
      <w:r>
        <w:t xml:space="preserve"> </w:t>
      </w:r>
      <w:r>
        <w:t xml:space="preserve">(gráfico 16). Por eso</w:t>
      </w:r>
      <w:r>
        <w:t xml:space="preserve"> </w:t>
      </w:r>
      <m:oMath>
        <m:r>
          <m:t>p</m:t>
        </m:r>
        <m:d>
          <m:dPr>
            <m:begChr m:val="("/>
            <m:sepChr m:val=""/>
            <m:endChr m:val=")"/>
            <m:grow/>
          </m:dPr>
          <m:e>
            <m:r>
              <m:t>z</m:t>
            </m:r>
          </m:e>
        </m:d>
      </m:oMath>
      <w:r>
        <w:t xml:space="preserve"> </w:t>
      </w:r>
      <w:r>
        <w:t xml:space="preserve">no es una curva de demanda ni de oferta, sino un lugar geométrico de equilibrios.</w:t>
      </w:r>
    </w:p>
    <w:bookmarkEnd w:id="248"/>
    <w:bookmarkStart w:id="250" w:name="estimación"/>
    <w:p>
      <w:pPr>
        <w:pStyle w:val="Heading3"/>
      </w:pPr>
      <w:r>
        <w:t xml:space="preserve">III.3.3.</w:t>
      </w:r>
      <w:r>
        <w:t xml:space="preserve"> </w:t>
      </w:r>
      <w:r>
        <w:t xml:space="preserve">Estimación</w:t>
      </w:r>
    </w:p>
    <w:p>
      <w:pPr>
        <w:numPr>
          <w:ilvl w:val="0"/>
          <w:numId w:val="1104"/>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0"/>
          <w:numId w:val="1104"/>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rPr>
          <w:rStyle w:val="FootnoteReference"/>
        </w:rPr>
        <w:footnoteReference w:id="249"/>
      </w:r>
    </w:p>
    <w:bookmarkEnd w:id="250"/>
    <w:bookmarkStart w:id="257" w:name="aplicaciones"/>
    <w:p>
      <w:pPr>
        <w:pStyle w:val="Heading3"/>
      </w:pPr>
      <w:r>
        <w:t xml:space="preserve">III.3.4.</w:t>
      </w:r>
      <w:r>
        <w:t xml:space="preserve"> </w:t>
      </w:r>
      <w:r>
        <w:t xml:space="preserve">Aplicaciones</w:t>
      </w:r>
    </w:p>
    <w:p>
      <w:pPr>
        <w:numPr>
          <w:ilvl w:val="0"/>
          <w:numId w:val="1105"/>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06"/>
        </w:numPr>
      </w:pPr>
      <w:r>
        <w:t xml:space="preserve">El</w:t>
      </w:r>
      <w:r>
        <w:t xml:space="preserve"> </w:t>
      </w:r>
      <w:r>
        <w:rPr>
          <w:i/>
          <w:iCs/>
        </w:rPr>
        <w:t xml:space="preserve">informe Boskin</w:t>
      </w:r>
      <w:r>
        <w:t xml:space="preserve"> </w:t>
      </w:r>
      <w:r>
        <w:t xml:space="preserve">(1996) estimó que el IPC de Estados Unidos sobrestimaba la inflación en torno a 1,1 puntos al año, de los que unos 0,6 se debían a no corregir bien los cambios de calidad y la entrada de productos nuevos.</w:t>
      </w:r>
      <w:r>
        <w:rPr>
          <w:rStyle w:val="FootnoteReference"/>
        </w:rPr>
        <w:footnoteReference w:id="251"/>
      </w:r>
    </w:p>
    <w:p>
      <w:pPr>
        <w:numPr>
          <w:ilvl w:val="1"/>
          <w:numId w:val="1106"/>
        </w:numPr>
      </w:pPr>
      <w:r>
        <w:t xml:space="preserve">El manual del IPCA de Eurostat recoge la regresión hedónica entre los métodos de ajuste por calidad y señala que se usa sobre todo en productos electrónicos y en los índices de precios de vivienda.</w:t>
      </w:r>
      <w:r>
        <w:rPr>
          <w:rStyle w:val="FootnoteReference"/>
        </w:rPr>
        <w:footnoteReference w:id="252"/>
      </w:r>
      <w:r>
        <w:t xml:space="preserve"> </w:t>
      </w:r>
      <w:r>
        <w:t xml:space="preserve">En Estados Unidos, el BLS aplica regresiones hedónicas en unas 35 categorías del IPC, sobre todo ropa, electrodomésticos, teléfonos y servicios de telecomunicaciones.</w:t>
      </w:r>
      <w:r>
        <w:rPr>
          <w:rStyle w:val="FootnoteReference"/>
        </w:rPr>
        <w:footnoteReference w:id="253"/>
      </w:r>
      <w:r>
        <w:t xml:space="preserve"> </w:t>
      </w:r>
      <w:r>
        <w:t xml:space="preserve">El IPC español, en cambio, recurre sobre todo a los precios de solapamiento, la opinión de expertos y la imputación.</w:t>
      </w:r>
      <w:r>
        <w:rPr>
          <w:rStyle w:val="FootnoteReference"/>
        </w:rPr>
        <w:footnoteReference w:id="254"/>
      </w:r>
    </w:p>
    <w:p>
      <w:pPr>
        <w:numPr>
          <w:ilvl w:val="1"/>
          <w:numId w:val="1106"/>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rPr>
          <w:rStyle w:val="FootnoteReference"/>
        </w:rPr>
        <w:footnoteReference w:id="255"/>
      </w:r>
    </w:p>
    <w:p>
      <w:pPr>
        <w:numPr>
          <w:ilvl w:val="0"/>
          <w:numId w:val="1105"/>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56"/>
      </w:r>
      <w:r>
        <w:t xml:space="preserve"> </w:t>
      </w:r>
      <w:r>
        <w:t xml:space="preserve">Es una herramienta habitual del análisis coste-beneficio</w:t>
      </w:r>
      <w:r>
        <w:t xml:space="preserve"> </w:t>
      </w:r>
      <w:r>
        <w:rPr>
          <w:rStyle w:val="Referenciaatema"/>
        </w:rPr>
        <w:t xml:space="preserve">[ver tema 4.B.6]</w:t>
      </w:r>
      <w:r>
        <w:t xml:space="preserve">.</w:t>
      </w:r>
    </w:p>
    <w:p>
      <w:pPr>
        <w:numPr>
          <w:ilvl w:val="0"/>
          <w:numId w:val="1105"/>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57"/>
    <w:bookmarkStart w:id="258" w:name="limitaciones"/>
    <w:p>
      <w:pPr>
        <w:pStyle w:val="Heading3"/>
      </w:pPr>
      <w:r>
        <w:t xml:space="preserve">III.3.5.</w:t>
      </w:r>
      <w:r>
        <w:t xml:space="preserve"> </w:t>
      </w:r>
      <w:r>
        <w:t xml:space="preserve">Limitaciones</w:t>
      </w:r>
    </w:p>
    <w:p>
      <w:pPr>
        <w:numPr>
          <w:ilvl w:val="0"/>
          <w:numId w:val="1107"/>
        </w:numPr>
      </w:pPr>
      <w:r>
        <w:t xml:space="preserve">El resultado depende de la forma funcional y de las características que se incluyan (sesgo por variables omitidas, multicolinealidad entre características).</w:t>
      </w:r>
    </w:p>
    <w:p>
      <w:pPr>
        <w:numPr>
          <w:ilvl w:val="0"/>
          <w:numId w:val="1107"/>
        </w:numPr>
      </w:pPr>
      <w:r>
        <w:t xml:space="preserve">La segunda etapa está mal identificada.</w:t>
      </w:r>
    </w:p>
    <w:p>
      <w:pPr>
        <w:numPr>
          <w:ilvl w:val="0"/>
          <w:numId w:val="1107"/>
        </w:numPr>
      </w:pPr>
      <w:r>
        <w:t xml:space="preserve">Supone un mercado en equilibrio, competitivo y con información perfecta sobre las características, algo dudoso, por ejemplo, en la vivienda.</w:t>
      </w:r>
    </w:p>
    <w:p>
      <w:pPr>
        <w:numPr>
          <w:ilvl w:val="0"/>
          <w:numId w:val="1107"/>
        </w:numPr>
      </w:pPr>
      <w:r>
        <w:t xml:space="preserve">Los precios implícitos son marginales: no sirven para valorar cambios grandes.</w:t>
      </w:r>
    </w:p>
    <w:p>
      <w:pPr>
        <w:pStyle w:val="Ideaclave"/>
      </w:pPr>
      <w:r>
        <w:t xml:space="preserve">Los tres desarrollos acercan la teoría a lo observable: la preferencia revelada reconstruye las preferencias a partir de las elecciones y permite contrastarlas con datos (Afriat); la producción doméstica introduce el coste del tiempo, y los precios hedónicos miden cuánto se paga por cada característica de un bien.</w:t>
      </w:r>
    </w:p>
    <w:bookmarkEnd w:id="258"/>
    <w:bookmarkEnd w:id="259"/>
    <w:bookmarkEnd w:id="260"/>
    <w:bookmarkStart w:id="270" w:name="conclusión"/>
    <w:p>
      <w:pPr>
        <w:pStyle w:val="Heading1"/>
      </w:pPr>
      <w:r>
        <w:t xml:space="preserve">Conclusión</w:t>
      </w:r>
    </w:p>
    <w:p>
      <w:pPr>
        <w:numPr>
          <w:ilvl w:val="0"/>
          <w:numId w:val="1108"/>
        </w:numPr>
      </w:pPr>
      <w:r>
        <w:rPr>
          <w:b/>
          <w:bCs/>
          <w:i/>
          <w:iCs/>
        </w:rPr>
        <w:t xml:space="preserve">Recapitulación</w:t>
      </w:r>
      <w:r>
        <w:t xml:space="preserve">:</w:t>
      </w:r>
    </w:p>
    <w:p>
      <w:pPr>
        <w:numPr>
          <w:ilvl w:val="1"/>
          <w:numId w:val="1109"/>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(I).</w:t>
      </w:r>
    </w:p>
    <w:p>
      <w:pPr>
        <w:numPr>
          <w:ilvl w:val="1"/>
          <w:numId w:val="1109"/>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(II).</w:t>
      </w:r>
    </w:p>
    <w:p>
      <w:pPr>
        <w:numPr>
          <w:ilvl w:val="1"/>
          <w:numId w:val="1109"/>
        </w:numPr>
      </w:pPr>
      <w:r>
        <w:t xml:space="preserve">Y hemos visto tres desarrollos que acercan la teoría a lo observable: la preferencia revelada, la producción doméstica y los precios hedónicos (III).</w:t>
      </w:r>
    </w:p>
    <w:p>
      <w:pPr>
        <w:numPr>
          <w:ilvl w:val="0"/>
          <w:numId w:val="1108"/>
        </w:numPr>
      </w:pPr>
      <w:r>
        <w:rPr>
          <w:b/>
          <w:bCs/>
          <w:i/>
          <w:iCs/>
        </w:rPr>
        <w:t xml:space="preserve">Valoración</w:t>
      </w:r>
      <w:r>
        <w:t xml:space="preserve">:</w:t>
      </w:r>
    </w:p>
    <w:p>
      <w:pPr>
        <w:numPr>
          <w:ilvl w:val="1"/>
          <w:numId w:val="1110"/>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r>
        <w:rPr>
          <w:rStyle w:val="Referenciaatema"/>
        </w:rPr>
        <w:t xml:space="preserve">[ver tema 3.A.9]</w:t>
      </w:r>
      <w:r>
        <w:t xml:space="preserve"> </w:t>
      </w:r>
      <w:r>
        <w:t xml:space="preserve">puede recorrerse el camino inverso, de la conducta observada a unas preferencias que la generan.</w:t>
      </w:r>
    </w:p>
    <w:p>
      <w:pPr>
        <w:numPr>
          <w:ilvl w:val="1"/>
          <w:numId w:val="1110"/>
        </w:numPr>
      </w:pPr>
      <w:r>
        <w:t xml:space="preserve">Su estatus empírico es más discutible:</w:t>
      </w:r>
    </w:p>
    <w:p>
      <w:pPr>
        <w:numPr>
          <w:ilvl w:val="2"/>
          <w:numId w:val="1111"/>
        </w:numPr>
      </w:pPr>
      <w:r>
        <w:t xml:space="preserve">las restricciones de homogeneidad y simetría se han rechazado con frecuencia al estimar sistemas de demanda con datos agregados, en parte por los problemas de agregación (I.3);</w:t>
      </w:r>
      <w:r>
        <w:rPr>
          <w:rStyle w:val="FootnoteReference"/>
        </w:rPr>
        <w:footnoteReference w:id="261"/>
      </w:r>
    </w:p>
    <w:p>
      <w:pPr>
        <w:numPr>
          <w:ilvl w:val="2"/>
          <w:numId w:val="1111"/>
        </w:numPr>
      </w:pPr>
      <w:r>
        <w:rPr>
          <w:smallCaps/>
        </w:rPr>
        <w:t xml:space="preserve">Milton Friedman</w:t>
      </w:r>
      <w:r>
        <w:t xml:space="preserve"> </w:t>
      </w:r>
      <w:r>
        <w:t xml:space="preserve">(1953) 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r>
        <w:rPr>
          <w:rStyle w:val="FootnoteReference"/>
        </w:rPr>
        <w:footnoteReference w:id="262"/>
      </w:r>
    </w:p>
    <w:p>
      <w:pPr>
        <w:numPr>
          <w:ilvl w:val="2"/>
          <w:numId w:val="1111"/>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rPr>
          <w:smallCaps/>
        </w:rPr>
        <w:t xml:space="preserve">Herbert Simon</w:t>
      </w:r>
      <w:r>
        <w:t xml:space="preserve"> </w:t>
      </w:r>
      <w:r>
        <w:t xml:space="preserve">(1955), la</w:t>
      </w:r>
      <w:r>
        <w:t xml:space="preserve"> </w:t>
      </w:r>
      <w:r>
        <w:rPr>
          <w:i/>
          <w:i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(1979),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rPr>
          <w:smallCaps/>
        </w:rPr>
        <w:t xml:space="preserve">Richard Thaler</w:t>
      </w:r>
      <w:r>
        <w:t xml:space="preserve"> </w:t>
      </w:r>
      <w:r>
        <w:t xml:space="preserve">(1980, 1985);</w:t>
      </w:r>
      <w:r>
        <w:rPr>
          <w:rStyle w:val="FootnoteReference"/>
        </w:rPr>
        <w:footnoteReference w:id="263"/>
      </w:r>
      <w:r>
        <w:rPr>
          <w:vertAlign w:val="superscript"/>
        </w:rPr>
        <w:t xml:space="preserve">,</w:t>
      </w:r>
      <w:r>
        <w:rPr>
          <w:rStyle w:val="FootnoteReference"/>
        </w:rPr>
        <w:footnoteReference w:id="264"/>
      </w:r>
    </w:p>
    <w:p>
      <w:pPr>
        <w:numPr>
          <w:ilvl w:val="2"/>
          <w:numId w:val="1111"/>
        </w:numPr>
      </w:pPr>
      <w:r>
        <w:t xml:space="preserve">y</w:t>
      </w:r>
      <w:r>
        <w:t xml:space="preserve"> </w:t>
      </w:r>
      <w:r>
        <w:rPr>
          <w:smallCaps/>
        </w:rPr>
        <w:t xml:space="preserve">Amartya Sen</w:t>
      </w:r>
      <w:r>
        <w:t xml:space="preserve"> </w:t>
      </w:r>
      <w:r>
        <w:t xml:space="preserve">(1977) criticó que reducir la conducta a una sola ordenación de preferencias, que sirve a la vez para describir la elección, el interés propio y el bienestar, convierte al individuo en un «tonto racional».</w:t>
      </w:r>
      <w:r>
        <w:rPr>
          <w:rStyle w:val="FootnoteReference"/>
        </w:rPr>
        <w:footnoteReference w:id="267"/>
      </w:r>
    </w:p>
    <w:p>
      <w:pPr>
        <w:numPr>
          <w:ilvl w:val="1"/>
          <w:numId w:val="1110"/>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numPr>
          <w:ilvl w:val="0"/>
          <w:numId w:val="1108"/>
        </w:numPr>
      </w:pPr>
      <w:r>
        <w:rPr>
          <w:b/>
          <w:bCs/>
          <w:i/>
          <w:iCs/>
        </w:rPr>
        <w:t xml:space="preserve">Extensiones y relación con otras partes del temario</w:t>
      </w:r>
      <w:r>
        <w:t xml:space="preserve">:</w:t>
      </w:r>
    </w:p>
    <w:p>
      <w:pPr>
        <w:numPr>
          <w:ilvl w:val="1"/>
          <w:numId w:val="1112"/>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w:t>
      </w:r>
      <w:r>
        <w:t xml:space="preserve"> </w:t>
      </w:r>
      <w:r>
        <w:rPr>
          <w:rStyle w:val="Referenciaatema"/>
        </w:rPr>
        <w:t xml:space="preserve">[ver tema 3.A.9]</w:t>
      </w:r>
      <w:r>
        <w:t xml:space="preserve">.</w:t>
      </w:r>
      <w:r>
        <w:rPr>
          <w:rStyle w:val="FootnoteReference"/>
        </w:rPr>
        <w:footnoteReference w:id="268"/>
      </w:r>
    </w:p>
    <w:p>
      <w:pPr>
        <w:numPr>
          <w:ilvl w:val="1"/>
          <w:numId w:val="1112"/>
        </w:numPr>
      </w:pPr>
      <w:r>
        <w:t xml:space="preserve">La elección en condiciones de</w:t>
      </w:r>
      <w:r>
        <w:t xml:space="preserve"> </w:t>
      </w:r>
      <w:r>
        <w:rPr>
          <w:b/>
          <w:bCs/>
        </w:rPr>
        <w:t xml:space="preserve">riesgo e incertidumbre</w:t>
      </w:r>
      <w:r>
        <w:t xml:space="preserve"> </w:t>
      </w:r>
      <w:r>
        <w:rPr>
          <w:rStyle w:val="Referenciaatema"/>
        </w:rPr>
        <w:t xml:space="preserve">[ver tema 3.A.10]</w:t>
      </w:r>
      <w:r>
        <w:t xml:space="preserve"> </w:t>
      </w:r>
      <w:r>
        <w:t xml:space="preserve">y las decisiones</w:t>
      </w:r>
      <w:r>
        <w:t xml:space="preserve"> </w:t>
      </w:r>
      <w:r>
        <w:rPr>
          <w:b/>
          <w:bCs/>
        </w:rPr>
        <w:t xml:space="preserve">intertemporales</w:t>
      </w:r>
      <w:r>
        <w:t xml:space="preserve"> </w:t>
      </w:r>
      <w:r>
        <w:rPr>
          <w:rStyle w:val="Referenciaatema"/>
        </w:rPr>
        <w:t xml:space="preserve">[ver tema 3.A.29]</w:t>
      </w:r>
      <w:r>
        <w:t xml:space="preserve">, con su aplicación al consumo agregado y a los bienes duraderos</w:t>
      </w:r>
      <w:r>
        <w:t xml:space="preserve"> </w:t>
      </w:r>
      <w:r>
        <w:rPr>
          <w:rStyle w:val="Referenciaatema"/>
        </w:rPr>
        <w:t xml:space="preserve">[ver tema 3.A.33]</w:t>
      </w:r>
      <w:r>
        <w:t xml:space="preserve">.</w:t>
      </w:r>
    </w:p>
    <w:p>
      <w:pPr>
        <w:numPr>
          <w:ilvl w:val="1"/>
          <w:numId w:val="1112"/>
        </w:numPr>
      </w:pPr>
      <w:r>
        <w:t xml:space="preserve">La demanda de mercado es una pieza del</w:t>
      </w:r>
      <w:r>
        <w:t xml:space="preserve"> </w:t>
      </w:r>
      <w:r>
        <w:rPr>
          <w:b/>
          <w:bCs/>
        </w:rPr>
        <w:t xml:space="preserve">equilibrio parcial</w:t>
      </w:r>
      <w:r>
        <w:t xml:space="preserve"> </w:t>
      </w:r>
      <w:r>
        <w:rPr>
          <w:rStyle w:val="Referenciaatema"/>
        </w:rPr>
        <w:t xml:space="preserve">[ver tema 3.A.16]</w:t>
      </w:r>
      <w:r>
        <w:t xml:space="preserve"> </w:t>
      </w:r>
      <w:r>
        <w:t xml:space="preserve">y</w:t>
      </w:r>
      <w:r>
        <w:t xml:space="preserve"> </w:t>
      </w:r>
      <w:r>
        <w:rPr>
          <w:b/>
          <w:bCs/>
        </w:rPr>
        <w:t xml:space="preserve">general</w:t>
      </w:r>
      <w:r>
        <w:t xml:space="preserve"> </w:t>
      </w:r>
      <w:r>
        <w:rPr>
          <w:rStyle w:val="Referenciaatema"/>
        </w:rPr>
        <w:t xml:space="preserve">[ver tema 3.A.21]</w:t>
      </w:r>
      <w:r>
        <w:t xml:space="preserve">; la asignación del tiempo entre trabajo y ocio, de la</w:t>
      </w:r>
      <w:r>
        <w:t xml:space="preserve"> </w:t>
      </w:r>
      <w:r>
        <w:rPr>
          <w:b/>
          <w:bCs/>
        </w:rPr>
        <w:t xml:space="preserve">oferta de trabajo</w:t>
      </w:r>
      <w:r>
        <w:t xml:space="preserve"> </w:t>
      </w:r>
      <w:r>
        <w:rPr>
          <w:rStyle w:val="Referenciaatema"/>
        </w:rPr>
        <w:t xml:space="preserve">[ver tema 3.A.25]</w:t>
      </w:r>
      <w:r>
        <w:t xml:space="preserve">, y la demanda de características, de la</w:t>
      </w:r>
      <w:r>
        <w:t xml:space="preserve"> </w:t>
      </w:r>
      <w:r>
        <w:rPr>
          <w:b/>
          <w:bCs/>
        </w:rPr>
        <w:t xml:space="preserve">diferenciación de productos</w:t>
      </w:r>
      <w:r>
        <w:t xml:space="preserve"> </w:t>
      </w:r>
      <w:r>
        <w:rPr>
          <w:rStyle w:val="Referenciaatema"/>
        </w:rPr>
        <w:t xml:space="preserve">[ver tema 3.A.18]</w:t>
      </w:r>
      <w:r>
        <w:t xml:space="preserve">.</w:t>
      </w:r>
    </w:p>
    <w:p>
      <w:pPr>
        <w:numPr>
          <w:ilvl w:val="1"/>
          <w:numId w:val="1112"/>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r>
        <w:rPr>
          <w:rStyle w:val="Referenciaatema"/>
        </w:rPr>
        <w:t xml:space="preserve">[ver tema 3.A.11]</w:t>
      </w:r>
      <w:r>
        <w:t xml:space="preserve">.</w:t>
      </w:r>
    </w:p>
    <w:p>
      <w:pPr>
        <w:numPr>
          <w:ilvl w:val="0"/>
          <w:numId w:val="1108"/>
        </w:numPr>
      </w:pPr>
      <w:r>
        <w:rPr>
          <w:b/>
          <w:bCs/>
          <w:i/>
          <w:iCs/>
        </w:rPr>
        <w:t xml:space="preserve">Idea final</w:t>
      </w:r>
      <w:r>
        <w:t xml:space="preserve">: la teoría de la demanda del consumidor es el primer ladrillo del análisis de los mercados: sin entender cómo eligen los consumidores no puede explicarse cómo se forman los precios, ni medirse la inflación con bienes cuya calidad cambia, ni valorarse el bienestar que una política gana o pierde.</w:t>
      </w:r>
    </w:p>
    <w:bookmarkEnd w:id="270"/>
    <w:bookmarkStart w:id="277" w:name="anexo:cardinal"/>
    <w:p>
      <w:pPr>
        <w:pStyle w:val="Heading1"/>
      </w:pPr>
      <w:r>
        <w:t xml:space="preserve">A. Anexo: el enfoque cardinal de 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w:t>
      </w:r>
    </w:p>
    <w:p>
      <w:pPr>
        <w:numPr>
          <w:ilvl w:val="0"/>
          <w:numId w:val="1113"/>
        </w:numPr>
      </w:pPr>
      <w:r>
        <w:rPr>
          <w:b/>
          <w:bCs/>
          <w:i/>
          <w:iCs/>
        </w:rPr>
        <w:t xml:space="preserve">Idea</w:t>
      </w:r>
      <w:r>
        <w:t xml:space="preserve">: el enfoque cardinal, desarrollado por</w:t>
      </w:r>
      <w:r>
        <w:t xml:space="preserve"> </w:t>
      </w:r>
      <w:r>
        <w:rPr>
          <w:smallCaps/>
        </w:rPr>
        <w:t xml:space="preserve">Marshall</w:t>
      </w:r>
      <w:r>
        <w:t xml:space="preserve"> </w:t>
      </w:r>
      <w:r>
        <w:t xml:space="preserve">(1890),</w:t>
      </w:r>
      <w:r>
        <w:rPr>
          <w:rStyle w:val="FootnoteReference"/>
        </w:rPr>
        <w:footnoteReference w:id="271"/>
      </w:r>
      <w:r>
        <w:t xml:space="preserve"> </w:t>
      </w:r>
      <w:r>
        <w:t xml:space="preserve">fue el precursor del modelo neoclásico. Se estudia por razones históricas: el gran resultado de la teoría de la demanda de la primera mitad del siglo XX es, precisamente, que no hace falta medir la utilidad para derivar la demanda.</w:t>
      </w:r>
    </w:p>
    <w:p>
      <w:pPr>
        <w:numPr>
          <w:ilvl w:val="0"/>
          <w:numId w:val="1113"/>
        </w:numPr>
      </w:pPr>
      <w:r>
        <w:rPr>
          <w:b/>
          <w:bCs/>
          <w:i/>
          <w:iCs/>
        </w:rPr>
        <w:t xml:space="preserve">Supuestos</w:t>
      </w:r>
      <w:r>
        <w:t xml:space="preserve"> </w:t>
      </w:r>
      <w:r>
        <w:t xml:space="preserve">sobre la función de utilidad:</w:t>
      </w:r>
    </w:p>
    <w:p>
      <w:pPr>
        <w:numPr>
          <w:ilvl w:val="1"/>
          <w:numId w:val="1114"/>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272"/>
      </w:r>
    </w:p>
    <w:p>
      <w:pPr>
        <w:numPr>
          <w:ilvl w:val="1"/>
          <w:numId w:val="1114"/>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14"/>
        </w:numPr>
      </w:pPr>
      <w:r>
        <w:rPr>
          <w:i/>
          <w:iCs/>
        </w:rPr>
        <w:t xml:space="preserve">creciente</w:t>
      </w:r>
      <w:r>
        <w:t xml:space="preserve"> </w:t>
      </w:r>
      <w:r>
        <w:t xml:space="preserve">en cada bien y en el dinero;</w:t>
      </w:r>
    </w:p>
    <w:p>
      <w:pPr>
        <w:numPr>
          <w:ilvl w:val="1"/>
          <w:numId w:val="1114"/>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14"/>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p>
      <w:pPr>
        <w:numPr>
          <w:ilvl w:val="0"/>
          <w:numId w:val="1113"/>
        </w:numPr>
      </w:pPr>
      <w:r>
        <w:rPr>
          <w:b/>
          <w:bCs/>
          <w:i/>
          <w:iCs/>
        </w:rPr>
        <w:t xml:space="preserve">Modelo</w:t>
      </w:r>
      <w:r>
        <w:t xml:space="preserve">: con dos bienes y una renta</w:t>
      </w:r>
      <w:r>
        <w:t xml:space="preserve"> </w:t>
      </w:r>
      <m:oMath>
        <m:r>
          <m:t>Y</m:t>
        </m:r>
      </m:oMath>
      <w:r>
        <w:t xml:space="preserve">,</w:t>
      </w:r>
    </w:p>
    <w:p>
      <w:pPr>
        <w:pStyle w:val="BodyText"/>
      </w:pPr>
      <m:oMathPara>
        <m:oMathParaPr>
          <m:jc m:val="center"/>
        </m:oMathParaPr>
        <m:oMath>
          <m:limLow>
            <m:e>
              <m:r>
                <m:rPr>
                  <m:sty m:val="p"/>
                </m:rPr>
                <m:t>max</m:t>
              </m:r>
            </m:e>
            <m:lim>
              <m:sSub>
                <m:e>
                  <m:r>
                    <m:t>x</m:t>
                  </m:r>
                </m:e>
                <m:sub>
                  <m:r>
                    <m:t>1</m:t>
                  </m:r>
                </m:sub>
              </m:sSub>
              <m:r>
                <m:rPr>
                  <m:sty m:val="p"/>
                </m:rPr>
                <m:t>,</m:t>
              </m:r>
              <m:sSub>
                <m:e>
                  <m:r>
                    <m:t>x</m:t>
                  </m:r>
                </m:e>
                <m:sub>
                  <m:r>
                    <m:t>2</m:t>
                  </m:r>
                </m:sub>
              </m:sSub>
              <m:r>
                <m:rPr>
                  <m:sty m:val="p"/>
                </m:rPr>
                <m:t>,</m:t>
              </m:r>
              <m:r>
                <m:t>M</m:t>
              </m:r>
            </m:lim>
          </m:limLow>
          <m:r>
            <m:t> </m:t>
          </m:r>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r>
            <m:t> </m:t>
          </m:r>
          <m:r>
            <m:rPr>
              <m:nor/>
              <m:sty m:val="p"/>
            </m:rPr>
            <m:t>s.a.</m:t>
          </m:r>
          <m:r>
            <m:t> </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r>
            <m:rPr>
              <m:sty m:val="p"/>
            </m:rPr>
            <m:t>.</m:t>
          </m:r>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p>
    <w:p>
      <w:pPr>
        <w:pStyle w:val="BodyT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el consumidor compra cada bien hasta que su utilidad marginal, medida en dinero, iguala su precio. La curva de demanda es la curva de utilidad marginal (gráfico 17)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276" w:name="fig:demanda-cardinal"/>
    <w:p>
      <w:pPr>
        <w:pStyle w:val="ImageCaption"/>
      </w:pPr>
      <w:r>
        <w:t xml:space="preserve">Gráfico 17.–</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 title="" id="274" name="Picture"/>
            <a:graphic>
              <a:graphicData uri="http://schemas.openxmlformats.org/drawingml/2006/picture">
                <pic:pic>
                  <pic:nvPicPr>
                    <pic:cNvPr descr="C:\Users\vgutierrez\Documents\src\victorgutierrezmarcos.github.io-revision\oposicion\temario\fuentes\3A08\graficos/demanda-cardinal.png" id="275" name="Picture"/>
                    <pic:cNvPicPr>
                      <a:picLocks noChangeArrowheads="1" noChangeAspect="1"/>
                    </pic:cNvPicPr>
                  </pic:nvPicPr>
                  <pic:blipFill>
                    <a:blip r:embed="rId273"/>
                    <a:stretch>
                      <a:fillRect/>
                    </a:stretch>
                  </pic:blipFill>
                  <pic:spPr bwMode="auto">
                    <a:xfrm>
                      <a:off x="0" y="0"/>
                      <a:ext cx="2960331" cy="2672861"/>
                    </a:xfrm>
                    <a:prstGeom prst="rect">
                      <a:avLst/>
                    </a:prstGeom>
                    <a:noFill/>
                    <a:ln w="9525">
                      <a:noFill/>
                      <a:headEnd/>
                      <a:tailEnd/>
                    </a:ln>
                  </pic:spPr>
                </pic:pic>
              </a:graphicData>
            </a:graphic>
          </wp:inline>
        </w:drawing>
      </w:r>
    </w:p>
    <w:bookmarkEnd w:id="276"/>
    <w:p>
      <w:pPr>
        <w:pStyle w:val="Piedeimagen"/>
      </w:pPr>
      <w:r>
        <w:t xml:space="preserve">Fuente: elaboración propia a partir de</w:t>
      </w:r>
      <w:r>
        <w:t xml:space="preserve"> </w:t>
      </w:r>
      <w:r>
        <w:t xml:space="preserve">Marshall (</w:t>
      </w:r>
      <w:hyperlink w:anchor="ref-Marshall1890Principles">
        <w:r>
          <w:rPr>
            <w:rStyle w:val="Hyperlink"/>
          </w:rPr>
          <w:t xml:space="preserve">1890</w:t>
        </w:r>
      </w:hyperlink>
      <w:r>
        <w:t xml:space="preserve">)</w:t>
      </w:r>
      <w:r>
        <w:t xml:space="preserve">.</w:t>
      </w:r>
    </w:p>
    <w:p>
      <w:pPr>
        <w:numPr>
          <w:ilvl w:val="0"/>
          <w:numId w:val="1115"/>
        </w:numPr>
      </w:pPr>
      <w:r>
        <w:rPr>
          <w:b/>
          <w:bCs/>
          <w:i/>
          <w:iCs/>
        </w:rPr>
        <w:t xml:space="preserve">Implicaciones</w:t>
      </w:r>
      <w:r>
        <w:t xml:space="preserve">: 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I.3): por eso el excedente del consumidor es en él una medida exacta del bienestar.</w:t>
      </w:r>
    </w:p>
    <w:p>
      <w:pPr>
        <w:numPr>
          <w:ilvl w:val="0"/>
          <w:numId w:val="1115"/>
        </w:numPr>
      </w:pPr>
      <w:r>
        <w:rPr>
          <w:b/>
          <w:bCs/>
          <w:i/>
          <w:iCs/>
        </w:rPr>
        <w:t xml:space="preserve">Valoración</w:t>
      </w:r>
      <w:r>
        <w:t xml:space="preserve">:</w:t>
      </w:r>
    </w:p>
    <w:p>
      <w:pPr>
        <w:numPr>
          <w:ilvl w:val="1"/>
          <w:numId w:val="1116"/>
        </w:numPr>
      </w:pPr>
      <w:r>
        <w:t xml:space="preserve">la utilidad cardinal exige más información de la necesaria: para derivar la demanda basta con ordenar las cestas;</w:t>
      </w:r>
    </w:p>
    <w:p>
      <w:pPr>
        <w:numPr>
          <w:ilvl w:val="1"/>
          <w:numId w:val="1116"/>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1"/>
          <w:numId w:val="1116"/>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277"/>
    <w:bookmarkStart w:id="289" w:name="anexo:formas"/>
    <w:p>
      <w:pPr>
        <w:pStyle w:val="Heading1"/>
      </w:pPr>
      <w:r>
        <w:t xml:space="preserve">B. Anexo: formas comunes de la función de utilidad</w:t>
      </w:r>
    </w:p>
    <w:p>
      <w:pPr>
        <w:numPr>
          <w:ilvl w:val="0"/>
          <w:numId w:val="1117"/>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r>
              <m:t>p</m:t>
            </m:r>
          </m:e>
        </m:d>
        <m:r>
          <m:rPr>
            <m:sty m:val="p"/>
          </m:rPr>
          <m:t>+</m:t>
        </m:r>
        <m:r>
          <m:t>b</m:t>
        </m:r>
        <m:d>
          <m:dPr>
            <m:begChr m:val="("/>
            <m:sepChr m:val=""/>
            <m:endChr m:val=")"/>
            <m:grow/>
          </m:dPr>
          <m:e>
            <m:r>
              <m:t>p</m:t>
            </m:r>
          </m:e>
        </m:d>
        <m:r>
          <m:t> </m:t>
        </m:r>
        <m:bar>
          <m:barPr>
            <m:pos m:val="top"/>
          </m:barPr>
          <m:e>
            <m:r>
              <m:t>W</m:t>
            </m:r>
          </m:e>
        </m:bar>
      </m:oMath>
      <w:r>
        <w:t xml:space="preserve">; apartado I.3): curvas de</w:t>
      </w:r>
      <w:r>
        <w:t xml:space="preserve"> </w:t>
      </w:r>
      <w:r>
        <w:rPr>
          <w:smallCaps/>
        </w:rPr>
        <w:t xml:space="preserve">Engel</w:t>
      </w:r>
      <w:r>
        <w:t xml:space="preserve"> </w:t>
      </w:r>
      <w:r>
        <w:t xml:space="preserve">rectas. Incluye:</w:t>
      </w:r>
    </w:p>
    <w:p>
      <w:pPr>
        <w:numPr>
          <w:ilvl w:val="1"/>
          <w:numId w:val="1118"/>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dos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numPr>
          <w:ilvl w:val="1"/>
          <w:numId w:val="1118"/>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r>
                  <m:t>x</m:t>
                </m:r>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(5):</w:t>
      </w:r>
    </w:p>
    <w:p>
      <w:pPr>
        <w:numPr>
          <w:ilvl w:val="2"/>
          <w:numId w:val="1119"/>
        </w:numPr>
      </w:pPr>
      <m:oMath>
        <m:r>
          <m:t>σ</m:t>
        </m:r>
        <m:r>
          <m:rPr>
            <m:sty m:val="p"/>
          </m:rPr>
          <m:t>→</m:t>
        </m:r>
        <m:r>
          <m:t>0</m:t>
        </m:r>
      </m:oMath>
      <w:r>
        <w:t xml:space="preserve">:</w:t>
      </w:r>
      <w:r>
        <w:t xml:space="preserve"> </w:t>
      </w:r>
      <w:r>
        <w:rPr>
          <w:i/>
          <w:iC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19"/>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numPr>
          <w:ilvl w:val="2"/>
          <w:numId w:val="1119"/>
        </w:numPr>
      </w:pPr>
      <m:oMath>
        <m:r>
          <m:t>σ</m:t>
        </m:r>
        <m:r>
          <m:rPr>
            <m:sty m:val="p"/>
          </m:rPr>
          <m:t>→</m:t>
        </m:r>
        <m:r>
          <m:t>1</m:t>
        </m:r>
      </m:oMath>
      <w:r>
        <w:t xml:space="preserve">:</w:t>
      </w:r>
      <w:r>
        <w:t xml:space="preserve"> </w:t>
      </w:r>
      <w:r>
        <w:rPr>
          <w:i/>
          <w:iCs/>
        </w:rPr>
        <w:t xml:space="preserve">Cobb-Douglas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78"/>
      </w:r>
      <w:r>
        <w:t xml:space="preserve"> </w:t>
      </w:r>
      <w:r>
        <w:t xml:space="preserve">Sus propiedades:</w:t>
      </w:r>
    </w:p>
    <w:p>
      <w:pPr>
        <w:numPr>
          <w:ilvl w:val="3"/>
          <w:numId w:val="1120"/>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20"/>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20"/>
        </w:numPr>
      </w:pPr>
      <w:r>
        <w:t xml:space="preserve">su elasticidad de sustitución es constante e igual a uno;</w:t>
      </w:r>
    </w:p>
    <w:p>
      <w:pPr>
        <w:numPr>
          <w:ilvl w:val="3"/>
          <w:numId w:val="1120"/>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w:t>
      </w:r>
    </w:p>
    <w:p>
      <w:pPr>
        <w:numPr>
          <w:ilvl w:val="3"/>
          <w:numId w:val="1120"/>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18"/>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 Cobb-Douglas.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w:t>
      </w:r>
      <w:r>
        <w:rPr>
          <w:rStyle w:val="FootnoteReference"/>
        </w:rPr>
        <w:footnoteReference w:id="281"/>
      </w:r>
    </w:p>
    <w:p>
      <w:pPr>
        <w:numPr>
          <w:ilvl w:val="0"/>
          <w:numId w:val="1117"/>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1975) es una aproximación de segundo orden en logaritmos;</w:t>
      </w:r>
      <w:r>
        <w:rPr>
          <w:rStyle w:val="FootnoteReference"/>
        </w:rPr>
        <w:footnoteReference w:id="282"/>
      </w:r>
      <w:r>
        <w:rPr>
          <w:vertAlign w:val="superscript"/>
        </w:rPr>
        <w:t xml:space="preserve">,</w:t>
      </w:r>
      <w:r>
        <w:rPr>
          <w:rStyle w:val="FootnoteReference"/>
        </w:rPr>
        <w:footnoteReference w:id="283"/>
      </w:r>
      <w:r>
        <w:t xml:space="preserve"> </w:t>
      </w:r>
      <w:r>
        <w:t xml:space="preserve">el sistema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(1980) parte de preferencias PIGLOG.</w:t>
      </w:r>
      <w:r>
        <w:rPr>
          <w:rStyle w:val="FootnoteReference"/>
        </w:rPr>
        <w:footnoteReference w:id="284"/>
      </w:r>
      <w:r>
        <w:t xml:space="preserve"> </w:t>
      </w:r>
      <w:r>
        <w:t xml:space="preserve">Se estudian en</w:t>
      </w:r>
      <w:r>
        <w:t xml:space="preserve"> </w:t>
      </w:r>
      <w:r>
        <w:rPr>
          <w:rStyle w:val="Referenciaatema"/>
        </w:rPr>
        <w:t xml:space="preserve">[ver tema 3.A.9]</w:t>
      </w:r>
      <w:r>
        <w:t xml:space="preserve">.</w:t>
      </w:r>
    </w:p>
    <w:p>
      <w:pPr>
        <w:numPr>
          <w:ilvl w:val="0"/>
          <w:numId w:val="1117"/>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p>
    <w:p>
      <w:pPr>
        <w:pStyle w:val="BodyT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η</m:t>
                            </m:r>
                          </m:sup>
                        </m:sSup>
                        <m:r>
                          <m:rPr>
                            <m:sty m:val="p"/>
                          </m:rPr>
                          <m:t>−</m:t>
                        </m:r>
                        <m:r>
                          <m:t>1</m:t>
                        </m:r>
                      </m:num>
                      <m:den>
                        <m:r>
                          <m:t>1</m:t>
                        </m:r>
                        <m:r>
                          <m:rPr>
                            <m:sty m:val="p"/>
                          </m:rPr>
                          <m:t>−</m:t>
                        </m:r>
                        <m:r>
                          <m:t>η</m:t>
                        </m:r>
                      </m:den>
                    </m:f>
                  </m:e>
                  <m:e>
                    <m:r>
                      <m:rPr>
                        <m:nor/>
                        <m:sty m:val="p"/>
                      </m:rPr>
                      <m:t>si </m:t>
                    </m:r>
                    <m:r>
                      <m:t>η</m:t>
                    </m:r>
                    <m:r>
                      <m:rPr>
                        <m:sty m:val="p"/>
                      </m:rPr>
                      <m:t>≥</m:t>
                    </m:r>
                    <m:r>
                      <m:t>0</m:t>
                    </m:r>
                    <m:r>
                      <m:rPr>
                        <m:sty m:val="p"/>
                      </m:rPr>
                      <m:t>,</m:t>
                    </m:r>
                    <m:r>
                      <m:t> </m:t>
                    </m:r>
                    <m:r>
                      <m:t>η</m:t>
                    </m:r>
                    <m:r>
                      <m:rPr>
                        <m:sty m:val="p"/>
                      </m:rPr>
                      <m:t>≠</m:t>
                    </m:r>
                    <m:r>
                      <m:t>1</m:t>
                    </m:r>
                    <m:r>
                      <m:rPr>
                        <m:sty m:val="p"/>
                      </m:rPr>
                      <m:t>,</m:t>
                    </m:r>
                  </m:e>
                </m:mr>
                <m:mr>
                  <m:e>
                    <m:r>
                      <m:rPr>
                        <m:sty m:val="p"/>
                      </m:rPr>
                      <m:t>ln</m:t>
                    </m:r>
                    <m:r>
                      <m:t>C</m:t>
                    </m:r>
                  </m:e>
                  <m:e>
                    <m:r>
                      <m:rPr>
                        <m:nor/>
                        <m:sty m:val="p"/>
                      </m:rPr>
                      <m:t>si </m:t>
                    </m:r>
                    <m:r>
                      <m:t>η</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η</m:t>
        </m:r>
      </m:oMath>
      <w:r>
        <w:t xml:space="preserve">) y un caso particular de las HARA; su elasticidad de sustitución intertemporal es</w:t>
      </w:r>
      <w:r>
        <w:t xml:space="preserve"> </w:t>
      </w:r>
      <m:oMath>
        <m:r>
          <m:t>1</m:t>
        </m:r>
        <m:r>
          <m:rPr>
            <m:sty m:val="p"/>
          </m:rPr>
          <m:t>/</m:t>
        </m:r>
        <m:r>
          <m:t>η</m:t>
        </m:r>
      </m:oMath>
      <w:r>
        <w:t xml:space="preserve"> </w:t>
      </w:r>
      <w:r>
        <w:rPr>
          <w:rStyle w:val="Referenciaatema"/>
        </w:rPr>
        <w:t xml:space="preserve">[ver tema 3.A.10]</w:t>
      </w:r>
      <w:r>
        <w:t xml:space="preserve"> </w:t>
      </w:r>
      <w:r>
        <w:rPr>
          <w:rStyle w:val="Referenciaatema"/>
        </w:rPr>
        <w:t xml:space="preserve">[ver tema 3.A.29]</w:t>
      </w:r>
      <w:r>
        <w:t xml:space="preserve">.</w:t>
      </w:r>
      <w:r>
        <w:rPr>
          <w:rStyle w:val="FootnoteReference"/>
        </w:rPr>
        <w:footnoteReference w:id="285"/>
      </w:r>
    </w:p>
    <w:p>
      <w:pPr>
        <w:numPr>
          <w:ilvl w:val="0"/>
          <w:numId w:val="1117"/>
        </w:numPr>
      </w:pPr>
      <w:r>
        <w:rPr>
          <w:b/>
          <w:bCs/>
        </w:rPr>
        <w:t xml:space="preserve">Preferencias entre consumo y trabajo en macroeconomía</w:t>
      </w:r>
      <w:r>
        <w:t xml:space="preserve"> </w:t>
      </w:r>
      <w:r>
        <w:t xml:space="preserve">(para el test; se desarrollan en</w:t>
      </w:r>
      <w:r>
        <w:t xml:space="preserve"> </w:t>
      </w:r>
      <w:r>
        <w:rPr>
          <w:rStyle w:val="Referenciaatema"/>
        </w:rPr>
        <w:t xml:space="preserve">[ver tema 3.A.29]</w:t>
      </w:r>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21"/>
        </w:numPr>
      </w:pPr>
      <w:r>
        <w:rPr>
          <w:i/>
          <w:iCs/>
          <w:smallCaps/>
        </w:rPr>
        <w:t xml:space="preserve">King</w:t>
      </w:r>
      <w:r>
        <w:rPr>
          <w:i/>
          <w:iCs/>
        </w:rPr>
        <w:t xml:space="preserve">,</w:t>
      </w:r>
      <w:r>
        <w:rPr>
          <w:i/>
          <w:iCs/>
        </w:rPr>
        <w:t xml:space="preserve"> </w:t>
      </w:r>
      <w:r>
        <w:rPr>
          <w:i/>
          <w:iCs/>
          <w:smallCaps/>
        </w:rPr>
        <w:t xml:space="preserve">Plosser</w:t>
      </w:r>
      <w:r>
        <w:rPr>
          <w:i/>
          <w:iCs/>
        </w:rPr>
        <w:t xml:space="preserve"> </w:t>
      </w:r>
      <w:r>
        <w:rPr>
          <w:i/>
          <w:iCs/>
        </w:rPr>
        <w:t xml:space="preserve">y</w:t>
      </w:r>
      <w:r>
        <w:rPr>
          <w:i/>
          <w:iCs/>
        </w:rPr>
        <w:t xml:space="preserve"> </w:t>
      </w:r>
      <w:r>
        <w:rPr>
          <w:i/>
          <w:iCs/>
          <w:smallCaps/>
        </w:rPr>
        <w:t xml:space="preserve">Rebelo</w:t>
      </w:r>
      <w:r>
        <w:t xml:space="preserve"> </w:t>
      </w:r>
      <w:r>
        <w:t xml:space="preserve">(KPR, 1988):</w:t>
      </w:r>
      <w:r>
        <w:rPr>
          <w:rStyle w:val="FootnoteReference"/>
        </w:rPr>
        <w:footnoteReference w:id="286"/>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σ</m:t>
                  </m:r>
                </m:sup>
              </m:sSup>
            </m:num>
            <m:den>
              <m:r>
                <m:t>1</m:t>
              </m:r>
              <m:r>
                <m:rPr>
                  <m:sty m:val="p"/>
                </m:rPr>
                <m:t>−</m:t>
              </m:r>
              <m:r>
                <m:t>σ</m:t>
              </m:r>
            </m:den>
          </m:f>
          <m:r>
            <m:t> </m:t>
          </m:r>
          <m:r>
            <m:t>v</m:t>
          </m:r>
          <m:d>
            <m:dPr>
              <m:begChr m:val="("/>
              <m:sepChr m:val=""/>
              <m:endChr m:val=")"/>
              <m:grow/>
            </m:dPr>
            <m:e>
              <m:r>
                <m:t>1</m:t>
              </m:r>
              <m:r>
                <m:rPr>
                  <m:sty m:val="p"/>
                </m:rPr>
                <m:t>−</m:t>
              </m:r>
              <m:r>
                <m:t>N</m:t>
              </m:r>
            </m:e>
          </m:d>
          <m:r>
            <m:t> </m:t>
          </m:r>
          <m:r>
            <m:rPr>
              <m:nor/>
              <m:sty m:val="p"/>
            </m:rPr>
            <m:t> si </m:t>
          </m:r>
          <m:r>
            <m:t>σ</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σ</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σ</m:t>
        </m:r>
        <m:r>
          <m:rPr>
            <m:sty m:val="p"/>
          </m:rPr>
          <m:t>&lt;</m:t>
        </m:r>
        <m:r>
          <m:t>1</m:t>
        </m:r>
      </m:oMath>
      <w:r>
        <w:t xml:space="preserve">, decreciente y convexa si</w:t>
      </w:r>
      <w:r>
        <w:t xml:space="preserve"> </w:t>
      </w:r>
      <m:oMath>
        <m:r>
          <m:t>σ</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21"/>
        </w:numPr>
      </w:pPr>
      <w:r>
        <w:rPr>
          <w:i/>
          <w:iCs/>
          <w:smallCaps/>
        </w:rPr>
        <w:t xml:space="preserve">Greenwood</w:t>
      </w:r>
      <w:r>
        <w:rPr>
          <w:i/>
          <w:iCs/>
        </w:rPr>
        <w:t xml:space="preserve">,</w:t>
      </w:r>
      <w:r>
        <w:rPr>
          <w:i/>
          <w:iCs/>
        </w:rPr>
        <w:t xml:space="preserve"> </w:t>
      </w:r>
      <w:r>
        <w:rPr>
          <w:i/>
          <w:iCs/>
          <w:smallCaps/>
        </w:rPr>
        <w:t xml:space="preserve">Hercowitz</w:t>
      </w:r>
      <w:r>
        <w:rPr>
          <w:i/>
          <w:iCs/>
        </w:rPr>
        <w:t xml:space="preserve"> </w:t>
      </w:r>
      <w:r>
        <w:rPr>
          <w:i/>
          <w:iCs/>
        </w:rPr>
        <w:t xml:space="preserve">y</w:t>
      </w:r>
      <w:r>
        <w:rPr>
          <w:i/>
          <w:iCs/>
        </w:rPr>
        <w:t xml:space="preserve"> </w:t>
      </w:r>
      <w:r>
        <w:rPr>
          <w:i/>
          <w:iCs/>
          <w:smallCaps/>
        </w:rPr>
        <w:t xml:space="preserve">Huffman</w:t>
      </w:r>
      <w:r>
        <w:t xml:space="preserve"> </w:t>
      </w:r>
      <w:r>
        <w:t xml:space="preserve">(GHH, 1988):</w:t>
      </w:r>
      <w:r>
        <w:rPr>
          <w:rStyle w:val="FootnoteReference"/>
        </w:rPr>
        <w:footnoteReference w:id="287"/>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σ</m:t>
              </m:r>
            </m:den>
          </m:f>
          <m:sSup>
            <m:e>
              <m:d>
                <m:dPr>
                  <m:begChr m:val="("/>
                  <m:sepChr m:val=""/>
                  <m:endChr m:val=")"/>
                  <m:grow/>
                </m:dPr>
                <m:e>
                  <m:r>
                    <m:t>C</m:t>
                  </m:r>
                  <m:r>
                    <m:rPr>
                      <m:sty m:val="p"/>
                    </m:rPr>
                    <m:t>−</m:t>
                  </m:r>
                  <m:r>
                    <m:t>ψ</m:t>
                  </m:r>
                  <m:r>
                    <m:t> </m:t>
                  </m:r>
                  <m:f>
                    <m:fPr>
                      <m:type m:val="bar"/>
                    </m:fPr>
                    <m:num>
                      <m:sSup>
                        <m:e>
                          <m:r>
                            <m:t>N</m:t>
                          </m:r>
                        </m:e>
                        <m:sup>
                          <m:r>
                            <m:t>1</m:t>
                          </m:r>
                          <m:r>
                            <m:rPr>
                              <m:sty m:val="p"/>
                            </m:rPr>
                            <m:t>+</m:t>
                          </m:r>
                          <m:r>
                            <m:t>θ</m:t>
                          </m:r>
                        </m:sup>
                      </m:sSup>
                    </m:num>
                    <m:den>
                      <m:r>
                        <m:t>1</m:t>
                      </m:r>
                      <m:r>
                        <m:rPr>
                          <m:sty m:val="p"/>
                        </m:rPr>
                        <m:t>+</m:t>
                      </m:r>
                      <m:r>
                        <m:t>θ</m:t>
                      </m:r>
                    </m:den>
                  </m:f>
                </m:e>
              </m:d>
            </m:e>
            <m:sup>
              <m:r>
                <m:t>1</m:t>
              </m:r>
              <m:r>
                <m:rPr>
                  <m:sty m:val="p"/>
                </m:rPr>
                <m:t>−</m:t>
              </m:r>
              <m:r>
                <m:t>σ</m:t>
              </m:r>
            </m:sup>
          </m:sSup>
          <m:r>
            <m:rPr>
              <m:sty m:val="p"/>
            </m:rPr>
            <m:t>.</m:t>
          </m:r>
        </m:oMath>
      </m:oMathPara>
    </w:p>
    <w:p>
      <w:pPr>
        <w:numPr>
          <w:ilvl w:val="1"/>
          <w:numId w:val="1000"/>
        </w:numPr>
      </w:pPr>
      <w:r>
        <w:t xml:space="preserve">Consumo y trabajo no son separables, pero la condición de oferta de trabajo,</w:t>
      </w:r>
      <w:r>
        <w:t xml:space="preserve"> </w:t>
      </w:r>
      <m:oMath>
        <m:r>
          <m:t>ψ</m:t>
        </m:r>
        <m:sSup>
          <m:e>
            <m:r>
              <m:t>N</m:t>
            </m:r>
          </m:e>
          <m:sup>
            <m:r>
              <m:t>θ</m:t>
            </m:r>
          </m:sup>
        </m:sSup>
        <m:r>
          <m:rPr>
            <m:sty m:val="p"/>
          </m:rPr>
          <m:t>=</m:t>
        </m:r>
        <m:r>
          <m:t>w</m:t>
        </m:r>
      </m:oMath>
      <w:r>
        <w:t xml:space="preserve">,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21"/>
        </w:numPr>
      </w:pPr>
      <w:r>
        <w:rPr>
          <w:i/>
          <w:iCs/>
          <w:smallCaps/>
        </w:rPr>
        <w:t xml:space="preserve">Jaimovich</w:t>
      </w:r>
      <w:r>
        <w:rPr>
          <w:i/>
          <w:iCs/>
        </w:rPr>
        <w:t xml:space="preserve"> </w:t>
      </w:r>
      <w:r>
        <w:rPr>
          <w:i/>
          <w:iCs/>
        </w:rPr>
        <w:t xml:space="preserve">y</w:t>
      </w:r>
      <w:r>
        <w:rPr>
          <w:i/>
          <w:iCs/>
        </w:rPr>
        <w:t xml:space="preserve"> </w:t>
      </w:r>
      <w:r>
        <w:rPr>
          <w:i/>
          <w:iCs/>
          <w:smallCaps/>
        </w:rPr>
        <w:t xml:space="preserve">Rebelo</w:t>
      </w:r>
      <w:r>
        <w:t xml:space="preserve"> </w:t>
      </w:r>
      <w:r>
        <w:t xml:space="preserve">(JR, 2009):</w:t>
      </w:r>
      <w:r>
        <w:rPr>
          <w:rStyle w:val="FootnoteReference"/>
        </w:rPr>
        <w:footnoteReference w:id="288"/>
      </w:r>
    </w:p>
    <w:p>
      <w:pPr>
        <w:pStyle w:val="BodyT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ψ</m:t>
                      </m:r>
                      <m:sSubSup>
                        <m:e>
                          <m:r>
                            <m:t>N</m:t>
                          </m:r>
                        </m:e>
                        <m:sub>
                          <m:r>
                            <m:t>t</m:t>
                          </m:r>
                        </m:sub>
                        <m:sup>
                          <m:r>
                            <m:t>θ</m:t>
                          </m:r>
                        </m:sup>
                      </m:sSubSup>
                      <m:sSub>
                        <m:e>
                          <m:r>
                            <m:t>X</m:t>
                          </m:r>
                        </m:e>
                        <m:sub>
                          <m:r>
                            <m:t>t</m:t>
                          </m:r>
                        </m:sub>
                      </m:sSub>
                    </m:e>
                  </m:d>
                </m:e>
                <m:sup>
                  <m:r>
                    <m:t>1</m:t>
                  </m:r>
                  <m:r>
                    <m:rPr>
                      <m:sty m:val="p"/>
                    </m:rPr>
                    <m:t>−</m:t>
                  </m:r>
                  <m:r>
                    <m:t>σ</m:t>
                  </m:r>
                </m:sup>
              </m:sSup>
              <m:r>
                <m:rPr>
                  <m:sty m:val="p"/>
                </m:rPr>
                <m:t>−</m:t>
              </m:r>
              <m:r>
                <m:t>1</m:t>
              </m:r>
            </m:num>
            <m:den>
              <m:r>
                <m:t>1</m:t>
              </m:r>
              <m:r>
                <m:rPr>
                  <m:sty m:val="p"/>
                </m:rPr>
                <m:t>−</m:t>
              </m:r>
              <m:r>
                <m:t>σ</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p>
    <w:bookmarkEnd w:id="289"/>
    <w:bookmarkStart w:id="296" w:name="anexo:test"/>
    <w:p>
      <w:pPr>
        <w:pStyle w:val="Heading1"/>
      </w:pPr>
      <w:r>
        <w:t xml:space="preserve">C. Anexo: aspectos relevantes para el test</w:t>
      </w:r>
    </w:p>
    <w:p>
      <w:pPr>
        <w:pStyle w:val="Cajadeanotaciones"/>
      </w:pPr>
      <w:r>
        <w:t xml:space="preserve">Preguntas tipo test del tema (con la numeración del temario anterior, A.6):</w:t>
      </w:r>
      <w:r>
        <w:t xml:space="preserve"> </w:t>
      </w:r>
      <w:hyperlink r:id="rId290">
        <w:r>
          <w:rPr>
            <w:rStyle w:val="Hyperlink"/>
          </w:rPr>
          <w:t xml:space="preserve">https://www.quia.com/quiz/6562883.html</w:t>
        </w:r>
      </w:hyperlink>
    </w:p>
    <w:bookmarkStart w:id="292" w:name="c.1.-bienes-males-y-bienes-neutrales"/>
    <w:p>
      <w:pPr>
        <w:pStyle w:val="Heading2"/>
      </w:pPr>
      <w:r>
        <w:t xml:space="preserve">C.1. Bienes, males y bienes neutrales</w:t>
      </w:r>
    </w:p>
    <w:p>
      <w:pPr>
        <w:pStyle w:val="FirstParagraph"/>
      </w:pPr>
      <w:r>
        <w:t xml:space="preserve">Se mira el signo de las utilidades marginales:</w:t>
      </w:r>
    </w:p>
    <w:bookmarkStart w:id="291" w:name="tab:bienes-males"/>
    <w:p>
      <w:pPr>
        <w:pStyle w:val="TableCaption"/>
      </w:pPr>
      <w:r>
        <w:t xml:space="preserve">Bienes, males y bienes neutrales</w:t>
      </w:r>
    </w:p>
    <w:tbl>
      <w:tblPr>
        <w:tblStyle w:val="Table"/>
        <w:tblW w:type="auto" w:w="0"/>
        <w:tblLook w:firstRow="1" w:lastRow="0" w:firstColumn="0" w:lastColumn="0" w:noHBand="0" w:noVBand="0" w:val="0020"/>
        <w:tblCaption w:val="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291"/>
    <w:p>
      <w:pPr>
        <w:pStyle w:val="BodyText"/>
      </w:pPr>
      <w:r>
        <w:rPr>
          <w:i/>
          <w:iCs/>
        </w:rPr>
        <w:t xml:space="preserve">Fuente: elaboración propia.</w:t>
      </w:r>
    </w:p>
    <w:p>
      <w:pPr>
        <w:numPr>
          <w:ilvl w:val="0"/>
          <w:numId w:val="1122"/>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22"/>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292"/>
    <w:bookmarkStart w:id="293" w:name="X89aaa4113463ea0b65ec494815ed27a54bd6de5"/>
    <w:p>
      <w:pPr>
        <w:pStyle w:val="Heading2"/>
      </w:pPr>
      <w:r>
        <w:t xml:space="preserve">C.2.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r>
          <m:t>R</m:t>
        </m:r>
        <m:r>
          <m:t>M</m:t>
        </m:r>
        <m:sSub>
          <m:e>
            <m:r>
              <m:t>S</m:t>
            </m:r>
          </m:e>
          <m:sub>
            <m:r>
              <m:t>x</m:t>
            </m:r>
            <m:r>
              <m:t>y</m:t>
            </m:r>
          </m:sub>
        </m:sSub>
        <m:r>
          <m:rPr>
            <m:sty m:val="p"/>
          </m:rPr>
          <m:t>=</m:t>
        </m:r>
        <m:r>
          <m:rPr>
            <m:sty m:val="p"/>
          </m:rPr>
          <m:t>−</m:t>
        </m:r>
        <m:r>
          <m:t>m</m:t>
        </m:r>
      </m:oMath>
      <w:r>
        <w:t xml:space="preserve"> </w:t>
      </w:r>
      <w:r>
        <w:t xml:space="preserve">(ecuación (3)).</w:t>
      </w:r>
    </w:p>
    <w:bookmarkEnd w:id="293"/>
    <w:bookmarkStart w:id="295" w:name="X1808954303dbe0c48fe31fc35746bd909f6064d"/>
    <w:p>
      <w:pPr>
        <w:pStyle w:val="Heading2"/>
      </w:pPr>
      <w:r>
        <w:t xml:space="preserve">C.3.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dos bienes (</w:t>
      </w:r>
      <m:oMath>
        <m:r>
          <m:t>m</m:t>
        </m:r>
        <m:r>
          <m:rPr>
            <m:sty m:val="p"/>
          </m:rPr>
          <m:t>&lt;</m:t>
        </m:r>
        <m:r>
          <m:t>0</m:t>
        </m:r>
      </m:oMath>
      <w:r>
        <w:t xml:space="preserve">), las condiciones de la tabla 6 la garantizan, pero</w:t>
      </w:r>
      <w:r>
        <w:t xml:space="preserve"> </w:t>
      </w:r>
      <w:r>
        <w:rPr>
          <w:i/>
          <w:iCs/>
        </w:rPr>
        <w:t xml:space="preserve">no son necesarias</w:t>
      </w:r>
      <w:r>
        <w:t xml:space="preserve">: lo que decide es la derivada total.</w:t>
      </w:r>
    </w:p>
    <w:bookmarkStart w:id="294" w:name="tab:curvatura"/>
    <w:p>
      <w:pPr>
        <w:pStyle w:val="TableCaption"/>
      </w:pPr>
      <w:r>
        <w:t xml:space="preserve">Condiciones suficientes sobre la curvatura de las curvas de indiferencia (dos bienes)</w:t>
      </w:r>
    </w:p>
    <w:tbl>
      <w:tblPr>
        <w:tblStyle w:val="Table"/>
        <w:tblW w:type="auto" w:w="0"/>
        <w:tblLook w:firstRow="1" w:lastRow="0" w:firstColumn="0" w:lastColumn="0" w:noHBand="0" w:noVBand="0" w:val="0020"/>
        <w:tblCaption w:val="Condiciones suficientes sobre la curvatura de las curvas de indiferencia (dos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t>R</m:t>
              </m:r>
              <m:r>
                <m:t>M</m:t>
              </m:r>
              <m:r>
                <m:t>S</m:t>
              </m:r>
              <m:r>
                <m:rPr>
                  <m:sty m:val="p"/>
                </m:rPr>
                <m:t>/</m:t>
              </m:r>
              <m:r>
                <m:rPr>
                  <m:sty m:val="p"/>
                </m:rPr>
                <m:t>∂</m:t>
              </m:r>
              <m:r>
                <m:t>x</m:t>
              </m:r>
              <m:r>
                <m:rPr>
                  <m:sty m:val="p"/>
                </m:rPr>
                <m:t>&lt;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t>R</m:t>
              </m:r>
              <m:r>
                <m:t>M</m:t>
              </m:r>
              <m:r>
                <m:t>S</m:t>
              </m:r>
              <m:r>
                <m:rPr>
                  <m:sty m:val="p"/>
                </m:rPr>
                <m:t>/</m:t>
              </m:r>
              <m:r>
                <m:rPr>
                  <m:sty m:val="p"/>
                </m:rPr>
                <m:t>∂</m:t>
              </m:r>
              <m:r>
                <m:t>x</m:t>
              </m:r>
              <m:r>
                <m:rPr>
                  <m:sty m:val="p"/>
                </m:rPr>
                <m: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t>R</m:t>
              </m:r>
              <m:r>
                <m:t>M</m:t>
              </m:r>
              <m:r>
                <m:t>S</m:t>
              </m:r>
              <m:r>
                <m:rPr>
                  <m:sty m:val="p"/>
                </m:rPr>
                <m:t>/</m:t>
              </m:r>
              <m:r>
                <m:rPr>
                  <m:sty m:val="p"/>
                </m:rPr>
                <m:t>∂</m:t>
              </m:r>
              <m:r>
                <m:t>x</m:t>
              </m:r>
              <m:r>
                <m:rPr>
                  <m:sty m:val="p"/>
                </m:rPr>
                <m:t>&gt;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294"/>
    <w:p>
      <w:pPr>
        <w:pStyle w:val="BodyText"/>
      </w:pPr>
      <w:r>
        <w:rPr>
          <w:i/>
          <w:iCs/>
        </w:rPr>
        <w:t xml:space="preserve">Fuente: elaboración propia.</w:t>
      </w:r>
    </w:p>
    <w:p>
      <w:pPr>
        <w:numPr>
          <w:ilvl w:val="0"/>
          <w:numId w:val="1123"/>
        </w:numPr>
      </w:pPr>
      <w:r>
        <w:t xml:space="preserve">Ejemplos rápidos:</w:t>
      </w:r>
      <w:r>
        <w:t xml:space="preserve"> </w:t>
      </w:r>
      <m:oMath>
        <m:r>
          <m:t>U</m:t>
        </m:r>
        <m:r>
          <m:rPr>
            <m:sty m:val="p"/>
          </m:rPr>
          <m:t>=</m:t>
        </m:r>
        <m:r>
          <m:t>x</m:t>
        </m:r>
        <m:r>
          <m:t>y</m:t>
        </m:r>
      </m:oMath>
      <w:r>
        <w:t xml:space="preserve"> </w:t>
      </w:r>
      <w:r>
        <w:t xml:space="preserve">da</w:t>
      </w:r>
      <w:r>
        <w:t xml:space="preserve"> </w:t>
      </w:r>
      <m:oMath>
        <m:r>
          <m:t>R</m:t>
        </m:r>
        <m:r>
          <m:t>M</m:t>
        </m:r>
        <m:sSub>
          <m:e>
            <m: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r>
          <m:t>R</m:t>
        </m:r>
        <m:r>
          <m:t>M</m:t>
        </m:r>
        <m:sSub>
          <m:e>
            <m: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r>
          <m:t>R</m:t>
        </m:r>
        <m:r>
          <m:t>M</m:t>
        </m:r>
        <m:sSub>
          <m:e>
            <m:r>
              <m:t>S</m:t>
            </m:r>
          </m:e>
          <m:sub>
            <m:r>
              <m:t>x</m:t>
            </m:r>
            <m:r>
              <m:t>y</m:t>
            </m:r>
          </m:sub>
        </m:sSub>
        <m:r>
          <m:rPr>
            <m:sty m:val="p"/>
          </m:rPr>
          <m:t>=</m:t>
        </m:r>
        <m:r>
          <m:t>x</m:t>
        </m:r>
        <m:r>
          <m:rPr>
            <m:sty m:val="p"/>
          </m:rPr>
          <m:t>/</m:t>
        </m:r>
        <m:r>
          <m:t>y</m:t>
        </m:r>
      </m:oMath>
      <w:r>
        <w:t xml:space="preserve"> </w:t>
      </w:r>
      <w:r>
        <w:t xml:space="preserve">(cóncava).</w:t>
      </w:r>
    </w:p>
    <w:bookmarkEnd w:id="295"/>
    <w:bookmarkEnd w:id="296"/>
    <w:bookmarkStart w:id="449" w:name="bibliography"/>
    <w:p>
      <w:pPr>
        <w:pStyle w:val="Heading1"/>
      </w:pPr>
      <w:r>
        <w:t xml:space="preserve">Bibliografía</w:t>
      </w:r>
    </w:p>
    <w:bookmarkStart w:id="448" w:name="refs"/>
    <w:bookmarkStart w:id="298"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97">
        <w:r>
          <w:rPr>
            <w:rStyle w:val="Hyperlink"/>
          </w:rPr>
          <w:t xml:space="preserve">https://doi.org/10.2307/2525382</w:t>
        </w:r>
      </w:hyperlink>
      <w:r>
        <w:t xml:space="preserve">.</w:t>
      </w:r>
    </w:p>
    <w:bookmarkEnd w:id="298"/>
    <w:bookmarkStart w:id="300"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99">
        <w:r>
          <w:rPr>
            <w:rStyle w:val="Hyperlink"/>
          </w:rPr>
          <w:t xml:space="preserve">https://doi.org/10.2307/1927286</w:t>
        </w:r>
      </w:hyperlink>
      <w:r>
        <w:t xml:space="preserve">.</w:t>
      </w:r>
    </w:p>
    <w:bookmarkEnd w:id="300"/>
    <w:bookmarkStart w:id="301"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301"/>
    <w:bookmarkStart w:id="302" w:name="ref-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302"/>
    <w:bookmarkStart w:id="304"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03">
        <w:r>
          <w:rPr>
            <w:rStyle w:val="Hyperlink"/>
          </w:rPr>
          <w:t xml:space="preserve">https://doi.org/10.2307/2228949</w:t>
        </w:r>
      </w:hyperlink>
      <w:r>
        <w:t xml:space="preserve">.</w:t>
      </w:r>
    </w:p>
    <w:bookmarkEnd w:id="304"/>
    <w:bookmarkStart w:id="306" w:name="ref-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05">
        <w:r>
          <w:rPr>
            <w:rStyle w:val="Hyperlink"/>
          </w:rPr>
          <w:t xml:space="preserve">https://doi.org/10.2307/1909829</w:t>
        </w:r>
      </w:hyperlink>
      <w:r>
        <w:t xml:space="preserve">.</w:t>
      </w:r>
    </w:p>
    <w:bookmarkEnd w:id="306"/>
    <w:bookmarkStart w:id="307"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307"/>
    <w:bookmarkStart w:id="308"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308"/>
    <w:bookmarkStart w:id="309"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309"/>
    <w:bookmarkStart w:id="310"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310"/>
    <w:bookmarkStart w:id="312" w:name="ref-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311">
        <w:r>
          <w:rPr>
            <w:rStyle w:val="Hyperlink"/>
          </w:rPr>
          <w:t xml:space="preserve">https://allengoodman.wayne.edu/Research/PUBS/Court_Hedonic.pdf</w:t>
        </w:r>
      </w:hyperlink>
      <w:r>
        <w:t xml:space="preserve">.</w:t>
      </w:r>
    </w:p>
    <w:bookmarkEnd w:id="312"/>
    <w:bookmarkStart w:id="313"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313"/>
    <w:bookmarkStart w:id="314"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314"/>
    <w:bookmarkStart w:id="316"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15">
        <w:r>
          <w:rPr>
            <w:rStyle w:val="Hyperlink"/>
          </w:rPr>
          <w:t xml:space="preserve">https://cowles.yale.edu/sites/default/files/2022-09/m17-all.pdf</w:t>
        </w:r>
      </w:hyperlink>
      <w:r>
        <w:t xml:space="preserve">.</w:t>
      </w:r>
    </w:p>
    <w:bookmarkEnd w:id="316"/>
    <w:bookmarkStart w:id="317"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317"/>
    <w:bookmarkStart w:id="318"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18"/>
    <w:bookmarkStart w:id="319"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19"/>
    <w:bookmarkStart w:id="320" w:name="ref-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320"/>
    <w:bookmarkStart w:id="321"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321"/>
    <w:bookmarkStart w:id="322" w:name="ref-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322"/>
    <w:bookmarkStart w:id="324" w:name="ref-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323">
        <w:r>
          <w:rPr>
            <w:rStyle w:val="Hyperlink"/>
          </w:rPr>
          <w:t xml:space="preserve">https://doi.org/10.2785/055028</w:t>
        </w:r>
      </w:hyperlink>
      <w:r>
        <w:t xml:space="preserve">.</w:t>
      </w:r>
    </w:p>
    <w:bookmarkEnd w:id="324"/>
    <w:bookmarkStart w:id="326" w:name="ref-Eurostat2026Nama10gdp"/>
    <w:p>
      <w:pPr>
        <w:pStyle w:val="Bibliography"/>
      </w:pPr>
      <w:r>
        <w:t xml:space="preserve">———. 2026.</w:t>
      </w:r>
      <w:r>
        <w:t xml:space="preserve"> </w:t>
      </w:r>
      <w:r>
        <w:t xml:space="preserve">«GDP and main components (output, expenditure and income) [nama_10_gdp]»</w:t>
      </w:r>
      <w:r>
        <w:t xml:space="preserve">. 2026.</w:t>
      </w:r>
      <w:r>
        <w:t xml:space="preserve"> </w:t>
      </w:r>
      <w:hyperlink r:id="rId325">
        <w:r>
          <w:rPr>
            <w:rStyle w:val="Hyperlink"/>
          </w:rPr>
          <w:t xml:space="preserve">https://ec.europa.eu/eurostat/databrowser/view/nama_10_gdp/default/table</w:t>
        </w:r>
      </w:hyperlink>
      <w:r>
        <w:t xml:space="preserve">.</w:t>
      </w:r>
    </w:p>
    <w:bookmarkEnd w:id="326"/>
    <w:bookmarkStart w:id="327" w:name="ref-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327"/>
    <w:bookmarkStart w:id="328" w:name="ref-Fisher1918Utility"/>
    <w:p>
      <w:pPr>
        <w:pStyle w:val="Bibliography"/>
      </w:pPr>
      <w:r>
        <w:t xml:space="preserve">———.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328"/>
    <w:bookmarkStart w:id="329" w:name="ref-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329"/>
    <w:bookmarkStart w:id="331" w:name="ref-FulekyAnatomy"/>
    <w:p>
      <w:pPr>
        <w:pStyle w:val="Bibliography"/>
      </w:pPr>
      <w:r>
        <w:t xml:space="preserve">Fuleky, Peter. s. f.</w:t>
      </w:r>
      <w:r>
        <w:t xml:space="preserve"> </w:t>
      </w:r>
      <w:r>
        <w:t xml:space="preserve">«Convex, Concave, Quasiconcave, or What? (Anatomy of a Function)»</w:t>
      </w:r>
      <w:r>
        <w:t xml:space="preserve">. Accedido 10 de octubre de 2026.</w:t>
      </w:r>
      <w:r>
        <w:t xml:space="preserve"> </w:t>
      </w:r>
      <w:hyperlink r:id="rId330">
        <w:r>
          <w:rPr>
            <w:rStyle w:val="Hyperlink"/>
          </w:rPr>
          <w:t xml:space="preserve">https://web.archive.org/web/20260106065001/http://www2.hawaii.edu/~fuleky/anatomy/anatomy.html</w:t>
        </w:r>
      </w:hyperlink>
      <w:r>
        <w:t xml:space="preserve">.</w:t>
      </w:r>
    </w:p>
    <w:bookmarkEnd w:id="331"/>
    <w:bookmarkStart w:id="333"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32">
        <w:r>
          <w:rPr>
            <w:rStyle w:val="Hyperlink"/>
          </w:rPr>
          <w:t xml:space="preserve">https://doi.org/10.2307/2296107</w:t>
        </w:r>
      </w:hyperlink>
      <w:r>
        <w:t xml:space="preserve">.</w:t>
      </w:r>
    </w:p>
    <w:bookmarkEnd w:id="333"/>
    <w:bookmarkStart w:id="335" w:name="ref-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34">
        <w:r>
          <w:rPr>
            <w:rStyle w:val="Hyperlink"/>
          </w:rPr>
          <w:t xml:space="preserve">https://doi.org/10.1006/juec.1997.2071</w:t>
        </w:r>
      </w:hyperlink>
      <w:r>
        <w:t xml:space="preserve">.</w:t>
      </w:r>
    </w:p>
    <w:bookmarkEnd w:id="335"/>
    <w:bookmarkStart w:id="337" w:name="ref-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36">
        <w:r>
          <w:rPr>
            <w:rStyle w:val="Hyperlink"/>
          </w:rPr>
          <w:t xml:space="preserve">https://doi.org/10.2307/1906943</w:t>
        </w:r>
      </w:hyperlink>
      <w:r>
        <w:t xml:space="preserve">.</w:t>
      </w:r>
    </w:p>
    <w:bookmarkEnd w:id="337"/>
    <w:bookmarkStart w:id="339" w:name="ref-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338">
        <w:r>
          <w:rPr>
            <w:rStyle w:val="Hyperlink"/>
          </w:rPr>
          <w:t xml:space="preserve">https://doi.org/10.1111/j.1467-999X.1961.tb00819.x</w:t>
        </w:r>
      </w:hyperlink>
      <w:r>
        <w:t xml:space="preserve">.</w:t>
      </w:r>
    </w:p>
    <w:bookmarkEnd w:id="339"/>
    <w:bookmarkStart w:id="340" w:name="ref-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340"/>
    <w:bookmarkStart w:id="341" w:name="ref-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341"/>
    <w:bookmarkStart w:id="343" w:name="ref-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342">
        <w:r>
          <w:rPr>
            <w:rStyle w:val="Hyperlink"/>
          </w:rPr>
          <w:t xml:space="preserve">https://www.nber.org/system/files/chapters/c6492/c6492.pdf</w:t>
        </w:r>
      </w:hyperlink>
      <w:r>
        <w:t xml:space="preserve">.</w:t>
      </w:r>
    </w:p>
    <w:bookmarkEnd w:id="343"/>
    <w:bookmarkStart w:id="344" w:name="ref-Griliches1971Price"/>
    <w:p>
      <w:pPr>
        <w:pStyle w:val="Bibliography"/>
      </w:pPr>
      <w:r>
        <w:t xml:space="preserve">———, ed. 1971.</w:t>
      </w:r>
      <w:r>
        <w:t xml:space="preserve"> </w:t>
      </w:r>
      <w:r>
        <w:rPr>
          <w:i/>
          <w:iCs/>
        </w:rPr>
        <w:t xml:space="preserve">Price Indexes and Quality Change: Studies in New Methods of Measurement</w:t>
      </w:r>
      <w:r>
        <w:t xml:space="preserve">. Cambridge (Mass.): Harvard University Press.</w:t>
      </w:r>
    </w:p>
    <w:bookmarkEnd w:id="344"/>
    <w:bookmarkStart w:id="346"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45">
        <w:r>
          <w:rPr>
            <w:rStyle w:val="Hyperlink"/>
          </w:rPr>
          <w:t xml:space="preserve">https://doi.org/10.1086/260629</w:t>
        </w:r>
      </w:hyperlink>
      <w:r>
        <w:t xml:space="preserve">.</w:t>
      </w:r>
    </w:p>
    <w:bookmarkEnd w:id="346"/>
    <w:bookmarkStart w:id="348"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347">
        <w:r>
          <w:rPr>
            <w:rStyle w:val="Hyperlink"/>
          </w:rPr>
          <w:t xml:space="preserve">https://doi.org/10.2307/2548574</w:t>
        </w:r>
      </w:hyperlink>
      <w:r>
        <w:t xml:space="preserve">.</w:t>
      </w:r>
    </w:p>
    <w:bookmarkEnd w:id="348"/>
    <w:bookmarkStart w:id="350"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349">
        <w:r>
          <w:rPr>
            <w:rStyle w:val="Hyperlink"/>
          </w:rPr>
          <w:t xml:space="preserve">https://doi.org/10.2307/2549382</w:t>
        </w:r>
      </w:hyperlink>
      <w:r>
        <w:t xml:space="preserve">.</w:t>
      </w:r>
    </w:p>
    <w:bookmarkEnd w:id="350"/>
    <w:bookmarkStart w:id="352"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351">
        <w:r>
          <w:rPr>
            <w:rStyle w:val="Hyperlink"/>
          </w:rPr>
          <w:t xml:space="preserve">https://www.ine.es/daco/daco42/daco4213/resmeto06.pdf</w:t>
        </w:r>
      </w:hyperlink>
      <w:r>
        <w:t xml:space="preserve">.</w:t>
      </w:r>
    </w:p>
    <w:bookmarkEnd w:id="352"/>
    <w:bookmarkStart w:id="354" w:name="ref-INE2026CNTRDemanda"/>
    <w:p>
      <w:pPr>
        <w:pStyle w:val="Bibliography"/>
      </w:pPr>
      <w:r>
        <w:t xml:space="preserve">———. 2026a.</w:t>
      </w:r>
      <w:r>
        <w:t xml:space="preserve"> </w:t>
      </w:r>
      <w:r>
        <w:t xml:space="preserve">«Contabilidad Nacional Trimestral de España: principales agregados. PIB pm. Demanda (precios corrientes) (tabla 67823)»</w:t>
      </w:r>
      <w:r>
        <w:t xml:space="preserve">. 2026.</w:t>
      </w:r>
      <w:r>
        <w:t xml:space="preserve"> </w:t>
      </w:r>
      <w:hyperlink r:id="rId353">
        <w:r>
          <w:rPr>
            <w:rStyle w:val="Hyperlink"/>
          </w:rPr>
          <w:t xml:space="preserve">https://www.ine.es/jaxiT3/Tabla.htm?t=67823</w:t>
        </w:r>
      </w:hyperlink>
      <w:r>
        <w:t xml:space="preserve">.</w:t>
      </w:r>
    </w:p>
    <w:bookmarkEnd w:id="354"/>
    <w:bookmarkStart w:id="356" w:name="ref-INE2026EPFTabla73828"/>
    <w:p>
      <w:pPr>
        <w:pStyle w:val="Bibliography"/>
      </w:pPr>
      <w:r>
        <w:t xml:space="preserve">———.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355">
        <w:r>
          <w:rPr>
            <w:rStyle w:val="Hyperlink"/>
          </w:rPr>
          <w:t xml:space="preserve">https://www.ine.es/jaxiT3/Tabla.htm?t=73828</w:t>
        </w:r>
      </w:hyperlink>
      <w:r>
        <w:t xml:space="preserve">.</w:t>
      </w:r>
    </w:p>
    <w:bookmarkEnd w:id="356"/>
    <w:bookmarkStart w:id="358" w:name="ref-INE2026IPCMetodologia"/>
    <w:p>
      <w:pPr>
        <w:pStyle w:val="Bibliography"/>
      </w:pPr>
      <w:r>
        <w:t xml:space="preserve">———. 2026c.</w:t>
      </w:r>
      <w:r>
        <w:t xml:space="preserve"> </w:t>
      </w:r>
      <w:r>
        <w:t xml:space="preserve">«Índice de Precios de Consumo. Base 2025. Metodología»</w:t>
      </w:r>
      <w:r>
        <w:t xml:space="preserve">. enero de 2026.</w:t>
      </w:r>
      <w:r>
        <w:t xml:space="preserve"> </w:t>
      </w:r>
      <w:hyperlink r:id="rId357">
        <w:r>
          <w:rPr>
            <w:rStyle w:val="Hyperlink"/>
          </w:rPr>
          <w:t xml:space="preserve">https://www.ine.es/metodologia/t25/metodologia_IPC_base_2025.pdf</w:t>
        </w:r>
      </w:hyperlink>
      <w:r>
        <w:t xml:space="preserve">.</w:t>
      </w:r>
    </w:p>
    <w:bookmarkEnd w:id="358"/>
    <w:bookmarkStart w:id="360" w:name="ref-INE2026IPVMetodologia"/>
    <w:p>
      <w:pPr>
        <w:pStyle w:val="Bibliography"/>
      </w:pPr>
      <w:r>
        <w:t xml:space="preserve">———. 2026d.</w:t>
      </w:r>
      <w:r>
        <w:t xml:space="preserve"> </w:t>
      </w:r>
      <w:r>
        <w:t xml:space="preserve">«Índice de Precios de Vivienda. Base 2025. Metodología»</w:t>
      </w:r>
      <w:r>
        <w:t xml:space="preserve">. junio de 2026.</w:t>
      </w:r>
      <w:r>
        <w:t xml:space="preserve"> </w:t>
      </w:r>
      <w:hyperlink r:id="rId359">
        <w:r>
          <w:rPr>
            <w:rStyle w:val="Hyperlink"/>
          </w:rPr>
          <w:t xml:space="preserve">https://www.ine.es/daco/daco42/ipv/metodologia2025.pdf</w:t>
        </w:r>
      </w:hyperlink>
      <w:r>
        <w:t xml:space="preserve">.</w:t>
      </w:r>
    </w:p>
    <w:bookmarkEnd w:id="360"/>
    <w:bookmarkStart w:id="362" w:name="ref-INE2026EPF"/>
    <w:p>
      <w:pPr>
        <w:pStyle w:val="Bibliography"/>
      </w:pPr>
      <w:r>
        <w:t xml:space="preserve">———. 2026e.</w:t>
      </w:r>
      <w:r>
        <w:t xml:space="preserve"> </w:t>
      </w:r>
      <w:r>
        <w:t xml:space="preserve">«Encuesta de Presupuestos Familiares (EPF). Año 2025. Resultados definitivos. Nota de prensa»</w:t>
      </w:r>
      <w:r>
        <w:t xml:space="preserve">. 25 de junio de 2026.</w:t>
      </w:r>
      <w:r>
        <w:t xml:space="preserve"> </w:t>
      </w:r>
      <w:hyperlink r:id="rId361">
        <w:r>
          <w:rPr>
            <w:rStyle w:val="Hyperlink"/>
          </w:rPr>
          <w:t xml:space="preserve">https://www.ine.es/dyngs/Prensa/EPF2025.htm</w:t>
        </w:r>
      </w:hyperlink>
      <w:r>
        <w:t xml:space="preserve">.</w:t>
      </w:r>
    </w:p>
    <w:bookmarkEnd w:id="362"/>
    <w:bookmarkStart w:id="364"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363">
        <w:r>
          <w:rPr>
            <w:rStyle w:val="Hyperlink"/>
          </w:rPr>
          <w:t xml:space="preserve">https://www.ine.es/metodologia/t25/t2530p458.pdf</w:t>
        </w:r>
      </w:hyperlink>
      <w:r>
        <w:t xml:space="preserve">.</w:t>
      </w:r>
    </w:p>
    <w:bookmarkEnd w:id="364"/>
    <w:bookmarkStart w:id="366" w:name="ref-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365">
        <w:r>
          <w:rPr>
            <w:rStyle w:val="Hyperlink"/>
          </w:rPr>
          <w:t xml:space="preserve">https://doi.org/10.1257/aer.99.4.1097</w:t>
        </w:r>
      </w:hyperlink>
      <w:r>
        <w:t xml:space="preserve">.</w:t>
      </w:r>
    </w:p>
    <w:bookmarkEnd w:id="366"/>
    <w:bookmarkStart w:id="367"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67"/>
    <w:bookmarkStart w:id="368" w:name="ref-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368"/>
    <w:bookmarkStart w:id="369" w:name="ref-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69"/>
    <w:bookmarkStart w:id="371" w:name="ref-KahnemanKnetschThaler1990Endowment"/>
    <w:p>
      <w:pPr>
        <w:pStyle w:val="Bibliography"/>
      </w:pPr>
      <w:r>
        <w:t xml:space="preserve">———.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70">
        <w:r>
          <w:rPr>
            <w:rStyle w:val="Hyperlink"/>
          </w:rPr>
          <w:t xml:space="preserve">https://doi.org/10.1086/261737</w:t>
        </w:r>
      </w:hyperlink>
      <w:r>
        <w:t xml:space="preserve">.</w:t>
      </w:r>
    </w:p>
    <w:bookmarkEnd w:id="371"/>
    <w:bookmarkStart w:id="373" w:name="ref-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72">
        <w:r>
          <w:rPr>
            <w:rStyle w:val="Hyperlink"/>
          </w:rPr>
          <w:t xml:space="preserve">https://doi.org/10.2307/1914185</w:t>
        </w:r>
      </w:hyperlink>
      <w:r>
        <w:t xml:space="preserve">.</w:t>
      </w:r>
    </w:p>
    <w:bookmarkEnd w:id="373"/>
    <w:bookmarkStart w:id="375" w:name="ref-KahnemanTversky1984Choices"/>
    <w:p>
      <w:pPr>
        <w:pStyle w:val="Bibliography"/>
      </w:pPr>
      <w:r>
        <w:t xml:space="preserve">———.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374">
        <w:r>
          <w:rPr>
            <w:rStyle w:val="Hyperlink"/>
          </w:rPr>
          <w:t xml:space="preserve">https://doi.org/10.1037/0003-066X.39.4.341</w:t>
        </w:r>
      </w:hyperlink>
      <w:r>
        <w:t xml:space="preserve">.</w:t>
      </w:r>
    </w:p>
    <w:bookmarkEnd w:id="375"/>
    <w:bookmarkStart w:id="377"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76">
        <w:r>
          <w:rPr>
            <w:rStyle w:val="Hyperlink"/>
          </w:rPr>
          <w:t xml:space="preserve">https://doi.org/10.2307/1911539</w:t>
        </w:r>
      </w:hyperlink>
      <w:r>
        <w:t xml:space="preserve">.</w:t>
      </w:r>
    </w:p>
    <w:bookmarkEnd w:id="377"/>
    <w:bookmarkStart w:id="379" w:name="ref-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378">
        <w:r>
          <w:rPr>
            <w:rStyle w:val="Hyperlink"/>
          </w:rPr>
          <w:t xml:space="preserve">https://doi.org/10.1016/0304-3932(88)90030-X</w:t>
        </w:r>
      </w:hyperlink>
      <w:r>
        <w:t xml:space="preserve">.</w:t>
      </w:r>
    </w:p>
    <w:bookmarkEnd w:id="379"/>
    <w:bookmarkStart w:id="381" w:name="ref-KingPlosserRebelo2002Appendix"/>
    <w:p>
      <w:pPr>
        <w:pStyle w:val="Bibliography"/>
      </w:pPr>
      <w:r>
        <w:t xml:space="preserve">———.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380">
        <w:r>
          <w:rPr>
            <w:rStyle w:val="Hyperlink"/>
          </w:rPr>
          <w:t xml:space="preserve">https://doi.org/10.1023/A:1020529028761</w:t>
        </w:r>
      </w:hyperlink>
      <w:r>
        <w:t xml:space="preserve">.</w:t>
      </w:r>
    </w:p>
    <w:bookmarkEnd w:id="381"/>
    <w:bookmarkStart w:id="382" w:name="ref-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382"/>
    <w:bookmarkStart w:id="384" w:name="ref-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83">
        <w:r>
          <w:rPr>
            <w:rStyle w:val="Hyperlink"/>
          </w:rPr>
          <w:t xml:space="preserve">https://www.nobelprize.org/prizes/economic-sciences/2017/press-release/</w:t>
        </w:r>
      </w:hyperlink>
      <w:r>
        <w:t xml:space="preserve">.</w:t>
      </w:r>
    </w:p>
    <w:bookmarkEnd w:id="384"/>
    <w:bookmarkStart w:id="386"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85">
        <w:r>
          <w:rPr>
            <w:rStyle w:val="Hyperlink"/>
          </w:rPr>
          <w:t xml:space="preserve">https://doi.org/10.1086/259131</w:t>
        </w:r>
      </w:hyperlink>
      <w:r>
        <w:t xml:space="preserve">.</w:t>
      </w:r>
    </w:p>
    <w:bookmarkEnd w:id="386"/>
    <w:bookmarkStart w:id="387" w:name="ref-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387"/>
    <w:bookmarkStart w:id="388"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388"/>
    <w:bookmarkStart w:id="390"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89">
        <w:r>
          <w:rPr>
            <w:rStyle w:val="Hyperlink"/>
          </w:rPr>
          <w:t xml:space="preserve">https://www.marxists.org/reference/subject/economics/marshall/bk1ch01.htm</w:t>
        </w:r>
      </w:hyperlink>
      <w:r>
        <w:t xml:space="preserve">.</w:t>
      </w:r>
    </w:p>
    <w:bookmarkEnd w:id="390"/>
    <w:bookmarkStart w:id="391"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91"/>
    <w:bookmarkStart w:id="393"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92">
        <w:r>
          <w:rPr>
            <w:rStyle w:val="Hyperlink"/>
          </w:rPr>
          <w:t xml:space="preserve">https://doi.org/10.2307/2296792</w:t>
        </w:r>
      </w:hyperlink>
      <w:r>
        <w:t xml:space="preserve">.</w:t>
      </w:r>
    </w:p>
    <w:bookmarkEnd w:id="393"/>
    <w:bookmarkStart w:id="395"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94">
        <w:r>
          <w:rPr>
            <w:rStyle w:val="Hyperlink"/>
          </w:rPr>
          <w:t xml:space="preserve">https://doi.org/10.2307/1911540</w:t>
        </w:r>
      </w:hyperlink>
      <w:r>
        <w:t xml:space="preserve">.</w:t>
      </w:r>
    </w:p>
    <w:bookmarkEnd w:id="395"/>
    <w:bookmarkStart w:id="397" w:name="ref-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396">
        <w:r>
          <w:rPr>
            <w:rStyle w:val="Hyperlink"/>
          </w:rPr>
          <w:t xml:space="preserve">https://doi.org/10.11647/OBP.0204</w:t>
        </w:r>
      </w:hyperlink>
      <w:r>
        <w:t xml:space="preserve">.</w:t>
      </w:r>
    </w:p>
    <w:bookmarkEnd w:id="397"/>
    <w:bookmarkStart w:id="398" w:name="ref-Pareto1896Cours"/>
    <w:p>
      <w:pPr>
        <w:pStyle w:val="Bibliography"/>
      </w:pPr>
      <w:r>
        <w:t xml:space="preserve">Pareto, Vilfredo. 1896.</w:t>
      </w:r>
      <w:r>
        <w:t xml:space="preserve"> </w:t>
      </w:r>
      <w:r>
        <w:rPr>
          <w:i/>
          <w:iCs/>
        </w:rPr>
        <w:t xml:space="preserve">Cours d’économie politique</w:t>
      </w:r>
      <w:r>
        <w:t xml:space="preserve">. Lausana: F. Rouge.</w:t>
      </w:r>
    </w:p>
    <w:bookmarkEnd w:id="398"/>
    <w:bookmarkStart w:id="399"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399"/>
    <w:bookmarkStart w:id="400"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400"/>
    <w:bookmarkStart w:id="401" w:name="ref-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401"/>
    <w:bookmarkStart w:id="403" w:name="ref-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402">
        <w:r>
          <w:rPr>
            <w:rStyle w:val="Hyperlink"/>
          </w:rPr>
          <w:t xml:space="preserve">https://doi.org/10.1086/260169</w:t>
        </w:r>
      </w:hyperlink>
      <w:r>
        <w:t xml:space="preserve">.</w:t>
      </w:r>
    </w:p>
    <w:bookmarkEnd w:id="403"/>
    <w:bookmarkStart w:id="404" w:name="ref-Rosen1999Potato"/>
    <w:p>
      <w:pPr>
        <w:pStyle w:val="Bibliography"/>
      </w:pPr>
      <w:r>
        <w:t xml:space="preserve">———.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404"/>
    <w:bookmarkStart w:id="406"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405">
        <w:r>
          <w:rPr>
            <w:rStyle w:val="Hyperlink"/>
          </w:rPr>
          <w:t xml:space="preserve">https://doi.org/10.2307/1905479</w:t>
        </w:r>
      </w:hyperlink>
      <w:r>
        <w:t xml:space="preserve">.</w:t>
      </w:r>
    </w:p>
    <w:bookmarkEnd w:id="406"/>
    <w:bookmarkStart w:id="408"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407">
        <w:r>
          <w:rPr>
            <w:rStyle w:val="Hyperlink"/>
          </w:rPr>
          <w:t xml:space="preserve">https://doi.org/10.2307/2548836</w:t>
        </w:r>
      </w:hyperlink>
      <w:r>
        <w:t xml:space="preserve">.</w:t>
      </w:r>
    </w:p>
    <w:bookmarkEnd w:id="408"/>
    <w:bookmarkStart w:id="410"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409">
        <w:r>
          <w:rPr>
            <w:rStyle w:val="Hyperlink"/>
          </w:rPr>
          <w:t xml:space="preserve">https://doi.org/10.2307/2549561</w:t>
        </w:r>
      </w:hyperlink>
      <w:r>
        <w:t xml:space="preserve">.</w:t>
      </w:r>
    </w:p>
    <w:bookmarkEnd w:id="410"/>
    <w:bookmarkStart w:id="411" w:name="ref-Segura1986Analisis"/>
    <w:p>
      <w:pPr>
        <w:pStyle w:val="Bibliography"/>
      </w:pPr>
      <w:r>
        <w:t xml:space="preserve">Segura, Julio. 1986.</w:t>
      </w:r>
      <w:r>
        <w:t xml:space="preserve"> </w:t>
      </w:r>
      <w:r>
        <w:rPr>
          <w:i/>
          <w:iCs/>
        </w:rPr>
        <w:t xml:space="preserve">Análisis microeconómico</w:t>
      </w:r>
      <w:r>
        <w:t xml:space="preserve">. Alianza Universidad Textos. Madrid: Alianza Editorial.</w:t>
      </w:r>
    </w:p>
    <w:bookmarkEnd w:id="411"/>
    <w:bookmarkStart w:id="412" w:name="ref-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412"/>
    <w:bookmarkStart w:id="413" w:name="ref-Sen1977Rational"/>
    <w:p>
      <w:pPr>
        <w:pStyle w:val="Bibliography"/>
      </w:pPr>
      <w:r>
        <w:t xml:space="preserve">———.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13"/>
    <w:bookmarkStart w:id="415" w:name="ref-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14">
        <w:r>
          <w:rPr>
            <w:rStyle w:val="Hyperlink"/>
          </w:rPr>
          <w:t xml:space="preserve">https://doi.org/10.2307/1884852</w:t>
        </w:r>
      </w:hyperlink>
      <w:r>
        <w:t xml:space="preserve">.</w:t>
      </w:r>
    </w:p>
    <w:bookmarkEnd w:id="415"/>
    <w:bookmarkStart w:id="416"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416"/>
    <w:bookmarkStart w:id="418" w:name="ref-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17">
        <w:r>
          <w:rPr>
            <w:rStyle w:val="Hyperlink"/>
          </w:rPr>
          <w:t xml:space="preserve">https://doi.org/10.1016/0022-0531(73)90066-5</w:t>
        </w:r>
      </w:hyperlink>
      <w:r>
        <w:t xml:space="preserve">.</w:t>
      </w:r>
    </w:p>
    <w:bookmarkEnd w:id="418"/>
    <w:bookmarkStart w:id="420"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19">
        <w:r>
          <w:rPr>
            <w:rStyle w:val="Hyperlink"/>
          </w:rPr>
          <w:t xml:space="preserve">https://doi.org/10.2307/1909201</w:t>
        </w:r>
      </w:hyperlink>
      <w:r>
        <w:t xml:space="preserve">.</w:t>
      </w:r>
    </w:p>
    <w:bookmarkEnd w:id="420"/>
    <w:bookmarkStart w:id="422"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21">
        <w:r>
          <w:rPr>
            <w:rStyle w:val="Hyperlink"/>
          </w:rPr>
          <w:t xml:space="preserve">https://doi.org/10.1086/258464</w:t>
        </w:r>
      </w:hyperlink>
      <w:r>
        <w:t xml:space="preserve">.</w:t>
      </w:r>
    </w:p>
    <w:bookmarkEnd w:id="422"/>
    <w:bookmarkStart w:id="424"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423">
        <w:r>
          <w:rPr>
            <w:rStyle w:val="Hyperlink"/>
          </w:rPr>
          <w:t xml:space="preserve">https://doi.org/10.2307/2227743</w:t>
        </w:r>
      </w:hyperlink>
      <w:r>
        <w:t xml:space="preserve">.</w:t>
      </w:r>
    </w:p>
    <w:bookmarkEnd w:id="424"/>
    <w:bookmarkStart w:id="425"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25"/>
    <w:bookmarkStart w:id="427" w:name="ref-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426">
        <w:r>
          <w:rPr>
            <w:rStyle w:val="Hyperlink"/>
          </w:rPr>
          <w:t xml:space="preserve">https://doi.org/10.1016/0167-2681(80)90051-7</w:t>
        </w:r>
      </w:hyperlink>
      <w:r>
        <w:t xml:space="preserve">.</w:t>
      </w:r>
    </w:p>
    <w:bookmarkEnd w:id="427"/>
    <w:bookmarkStart w:id="429" w:name="ref-Thaler1985Mental"/>
    <w:p>
      <w:pPr>
        <w:pStyle w:val="Bibliography"/>
      </w:pPr>
      <w:r>
        <w:t xml:space="preserve">———.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28">
        <w:r>
          <w:rPr>
            <w:rStyle w:val="Hyperlink"/>
          </w:rPr>
          <w:t xml:space="preserve">https://doi.org/10.1287/mksc.4.3.199</w:t>
        </w:r>
      </w:hyperlink>
      <w:r>
        <w:t xml:space="preserve">.</w:t>
      </w:r>
    </w:p>
    <w:bookmarkEnd w:id="429"/>
    <w:bookmarkStart w:id="431"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30">
        <w:r>
          <w:rPr>
            <w:rStyle w:val="Hyperlink"/>
          </w:rPr>
          <w:t xml:space="preserve">https://www.nobelprize.org/prizes/economic-sciences/1970/summary/</w:t>
        </w:r>
      </w:hyperlink>
      <w:r>
        <w:t xml:space="preserve">.</w:t>
      </w:r>
    </w:p>
    <w:bookmarkEnd w:id="431"/>
    <w:bookmarkStart w:id="433" w:name="ref-Nobel1992Becker"/>
    <w:p>
      <w:pPr>
        <w:pStyle w:val="Bibliography"/>
      </w:pPr>
      <w:r>
        <w:t xml:space="preserve">———. 1992.</w:t>
      </w:r>
      <w:r>
        <w:t xml:space="preserve"> </w:t>
      </w:r>
      <w:r>
        <w:t xml:space="preserve">«The Sveriges Riksbank Prize in Economic Sciences in Memory of Alfred Nobel 1992: Gary S. Becker»</w:t>
      </w:r>
      <w:r>
        <w:t xml:space="preserve">. 1992.</w:t>
      </w:r>
      <w:r>
        <w:t xml:space="preserve"> </w:t>
      </w:r>
      <w:hyperlink r:id="rId432">
        <w:r>
          <w:rPr>
            <w:rStyle w:val="Hyperlink"/>
          </w:rPr>
          <w:t xml:space="preserve">https://www.nobelprize.org/prizes/economic-sciences/1992/summary/</w:t>
        </w:r>
      </w:hyperlink>
      <w:r>
        <w:t xml:space="preserve">.</w:t>
      </w:r>
    </w:p>
    <w:bookmarkEnd w:id="433"/>
    <w:bookmarkStart w:id="435" w:name="ref-Nobel2015Deaton"/>
    <w:p>
      <w:pPr>
        <w:pStyle w:val="Bibliography"/>
      </w:pPr>
      <w:r>
        <w:t xml:space="preserve">———. 2015.</w:t>
      </w:r>
      <w:r>
        <w:t xml:space="preserve"> </w:t>
      </w:r>
      <w:r>
        <w:t xml:space="preserve">«The Sveriges Riksbank Prize in Economic Sciences in Memory of Alfred Nobel 2015: Angus Deaton»</w:t>
      </w:r>
      <w:r>
        <w:t xml:space="preserve">. 2015.</w:t>
      </w:r>
      <w:r>
        <w:t xml:space="preserve"> </w:t>
      </w:r>
      <w:hyperlink r:id="rId434">
        <w:r>
          <w:rPr>
            <w:rStyle w:val="Hyperlink"/>
          </w:rPr>
          <w:t xml:space="preserve">https://www.nobelprize.org/prizes/economic-sciences/2015/summary/</w:t>
        </w:r>
      </w:hyperlink>
      <w:r>
        <w:t xml:space="preserve">.</w:t>
      </w:r>
    </w:p>
    <w:bookmarkEnd w:id="435"/>
    <w:bookmarkStart w:id="437" w:name="ref-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436">
        <w:r>
          <w:rPr>
            <w:rStyle w:val="Hyperlink"/>
          </w:rPr>
          <w:t xml:space="preserve">https://doi.org/10.1787/9789264028159-en</w:t>
        </w:r>
      </w:hyperlink>
      <w:r>
        <w:t xml:space="preserve">.</w:t>
      </w:r>
    </w:p>
    <w:bookmarkEnd w:id="437"/>
    <w:bookmarkStart w:id="439" w:name="ref-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38">
        <w:r>
          <w:rPr>
            <w:rStyle w:val="Hyperlink"/>
          </w:rPr>
          <w:t xml:space="preserve">https://doi.org/10.1126/science.7455683</w:t>
        </w:r>
      </w:hyperlink>
      <w:r>
        <w:t xml:space="preserve">.</w:t>
      </w:r>
    </w:p>
    <w:bookmarkEnd w:id="439"/>
    <w:bookmarkStart w:id="441" w:name="ref-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440">
        <w:r>
          <w:rPr>
            <w:rStyle w:val="Hyperlink"/>
          </w:rPr>
          <w:t xml:space="preserve">https://www.bls.gov/cpi/quality-adjustment/</w:t>
        </w:r>
      </w:hyperlink>
      <w:r>
        <w:t xml:space="preserve">.</w:t>
      </w:r>
    </w:p>
    <w:bookmarkEnd w:id="441"/>
    <w:bookmarkStart w:id="443" w:name="ref-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442">
        <w:r>
          <w:rPr>
            <w:rStyle w:val="Hyperlink"/>
          </w:rPr>
          <w:t xml:space="preserve">https://doi.org/10.2307/1912771</w:t>
        </w:r>
      </w:hyperlink>
      <w:r>
        <w:t xml:space="preserve">.</w:t>
      </w:r>
    </w:p>
    <w:bookmarkEnd w:id="443"/>
    <w:bookmarkStart w:id="444" w:name="ref-Varian2016Intermedia"/>
    <w:p>
      <w:pPr>
        <w:pStyle w:val="Bibliography"/>
      </w:pPr>
      <w:r>
        <w:t xml:space="preserve">———. 2016.</w:t>
      </w:r>
      <w:r>
        <w:t xml:space="preserve"> </w:t>
      </w:r>
      <w:r>
        <w:rPr>
          <w:i/>
          <w:iCs/>
        </w:rPr>
        <w:t xml:space="preserve">Microeconomía intermedia: un enfoque actual</w:t>
      </w:r>
      <w:r>
        <w:t xml:space="preserve">. Traducido por María Esther Rabasco. 9.ª ed. Barcelona: Antoni Bosch.</w:t>
      </w:r>
    </w:p>
    <w:bookmarkEnd w:id="444"/>
    <w:bookmarkStart w:id="445"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445"/>
    <w:bookmarkStart w:id="446" w:name="ref-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446"/>
    <w:bookmarkStart w:id="447"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447"/>
    <w:bookmarkEnd w:id="448"/>
    <w:bookmarkEnd w:id="449"/>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w:t>
      </w:r>
      <w:hyperlink w:anchor="ref-Marshall1890Principles">
        <w:r>
          <w:rPr>
            <w:rStyle w:val="Hyperlink"/>
          </w:rPr>
          <w:t xml:space="preserve">Marshall 1890, lib. I</w:t>
        </w:r>
      </w:hyperlink>
      <w:r>
        <w:t xml:space="preserve">, cap. I, §1)</w:t>
      </w:r>
      <w:r>
        <w:t xml:space="preserve">.</w:t>
      </w:r>
    </w:p>
  </w:footnote>
  <w:footnote w:id="21">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2">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r>
        <w:rPr>
          <w:rStyle w:val="Referenciaatema"/>
        </w:rPr>
        <w:t xml:space="preserve">[ver tema 3.A.16]</w:t>
      </w:r>
      <w:r>
        <w:t xml:space="preserve"> </w:t>
      </w:r>
      <w:r>
        <w:t xml:space="preserve">y del equilibrio general</w:t>
      </w:r>
      <w:r>
        <w:t xml:space="preserve"> </w:t>
      </w:r>
      <w:r>
        <w:rPr>
          <w:rStyle w:val="Referenciaatema"/>
        </w:rPr>
        <w:t xml:space="preserve">[ver tema 3.A.21]</w:t>
      </w:r>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3">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rPr>
          <w:rStyle w:val="FootnoteReference"/>
        </w:rPr>
        <w:footnoteReference w:id="24"/>
      </w:r>
      <w:r>
        <w:t xml:space="preserve"> </w:t>
      </w:r>
      <w:r>
        <w:t xml:space="preserve">Lo muestran las «tecnologías del consumo», que aplican la teoría de la producción a las decisiones de consumo: el enfoque de características de</w:t>
      </w:r>
      <w:r>
        <w:t xml:space="preserve"> </w:t>
      </w:r>
      <w:r>
        <w:rPr>
          <w:smallCaps/>
        </w:rPr>
        <w:t xml:space="preserve">Kelvin Lancaster</w:t>
      </w:r>
      <w:r>
        <w:t xml:space="preserve"> </w:t>
      </w:r>
      <w:r>
        <w:t xml:space="preserve">(1966),</w:t>
      </w:r>
      <w:r>
        <w:rPr>
          <w:rStyle w:val="FootnoteReference"/>
        </w:rPr>
        <w:footnoteReference w:id="25"/>
      </w:r>
      <w:r>
        <w:t xml:space="preserve"> </w:t>
      </w:r>
      <w:r>
        <w:t xml:space="preserve">la producción doméstica de</w:t>
      </w:r>
      <w:r>
        <w:t xml:space="preserve"> </w:t>
      </w:r>
      <w:r>
        <w:rPr>
          <w:smallCaps/>
        </w:rPr>
        <w:t xml:space="preserve">Gary Becker</w:t>
      </w:r>
      <w:r>
        <w:t xml:space="preserve"> </w:t>
      </w:r>
      <w:r>
        <w:t xml:space="preserve">(1965)</w:t>
      </w:r>
      <w:r>
        <w:rPr>
          <w:rStyle w:val="FootnoteReference"/>
        </w:rPr>
        <w:footnoteReference w:id="26"/>
      </w:r>
      <w:r>
        <w:t xml:space="preserve"> </w:t>
      </w:r>
      <w:r>
        <w:t xml:space="preserve">y de</w:t>
      </w:r>
      <w:r>
        <w:t xml:space="preserve"> </w:t>
      </w:r>
      <w:r>
        <w:rPr>
          <w:smallCaps/>
        </w:rPr>
        <w:t xml:space="preserve">Reuben Gronau</w:t>
      </w:r>
      <w:r>
        <w:t xml:space="preserve"> </w:t>
      </w:r>
      <w:r>
        <w:t xml:space="preserve">(1977)</w:t>
      </w:r>
      <w:r>
        <w:rPr>
          <w:rStyle w:val="FootnoteReference"/>
        </w:rPr>
        <w:footnoteReference w:id="27"/>
      </w:r>
      <w:r>
        <w:t xml:space="preserve"> </w:t>
      </w:r>
      <w:r>
        <w:t xml:space="preserve">o la economía de la información de</w:t>
      </w:r>
      <w:r>
        <w:t xml:space="preserve"> </w:t>
      </w:r>
      <w:r>
        <w:rPr>
          <w:smallCaps/>
        </w:rPr>
        <w:t xml:space="preserve">George J. Stigler</w:t>
      </w:r>
      <w:r>
        <w:t xml:space="preserve"> </w:t>
      </w:r>
      <w:r>
        <w:t xml:space="preserve">(1961), en la que la información sobre los bienes es costosa y obliga a un proceso de búsqueda que se combina con el bien físico.</w:t>
      </w:r>
      <w:r>
        <w:rPr>
          <w:rStyle w:val="FootnoteReference"/>
        </w:rPr>
        <w:footnoteReference w:id="28"/>
      </w:r>
    </w:p>
  </w:footnote>
  <w:footnote w:id="29">
    <w:p>
      <w:pPr>
        <w:pStyle w:val="FootnoteText"/>
      </w:pPr>
      <w:r>
        <w:rPr>
          <w:rStyle w:val="FootnoteReference"/>
        </w:rPr>
        <w:footnoteRef/>
      </w:r>
      <w:r>
        <w:t xml:space="preserve"> </w:t>
      </w:r>
      <w:r>
        <w:t xml:space="preserve">(</w:t>
      </w:r>
      <w:hyperlink w:anchor="ref-Eurostat2026Nama10gdp">
        <w:r>
          <w:rPr>
            <w:rStyle w:val="Hyperlink"/>
          </w:rPr>
          <w:t xml:space="preserve">Eurostat 2026</w:t>
        </w:r>
      </w:hyperlink>
      <w:r>
        <w:t xml:space="preserve">;</w:t>
      </w:r>
      <w:r>
        <w:t xml:space="preserve"> </w:t>
      </w:r>
      <w:hyperlink w:anchor="ref-INE2026CNTRDemanda">
        <w:r>
          <w:rPr>
            <w:rStyle w:val="Hyperlink"/>
          </w:rPr>
          <w:t xml:space="preserve">Instituto Nacional de Estadística 2026a</w:t>
        </w:r>
      </w:hyperlink>
      <w:r>
        <w:t xml:space="preserve">)</w:t>
      </w:r>
      <w:r>
        <w:t xml:space="preserve">.</w:t>
      </w:r>
    </w:p>
  </w:footnote>
  <w:footnote w:id="30">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31">
    <w:p>
      <w:pPr>
        <w:pStyle w:val="FootnoteText"/>
      </w:pPr>
      <w:r>
        <w:rPr>
          <w:rStyle w:val="FootnoteReference"/>
        </w:rPr>
        <w:footnoteRef/>
      </w:r>
      <w:r>
        <w:t xml:space="preserve"> </w:t>
      </w:r>
      <w:r>
        <w:t xml:space="preserve">(</w:t>
      </w:r>
      <w:hyperlink w:anchor="ref-Bernoulli1738Specimen">
        <w:r>
          <w:rPr>
            <w:rStyle w:val="Hyperlink"/>
          </w:rPr>
          <w:t xml:space="preserve">Bernoulli 1738</w:t>
        </w:r>
      </w:hyperlink>
      <w:r>
        <w:t xml:space="preserve">)</w:t>
      </w:r>
      <w:r>
        <w:t xml:space="preserve">.</w:t>
      </w:r>
    </w:p>
  </w:footnote>
  <w:footnote w:id="32">
    <w:p>
      <w:pPr>
        <w:pStyle w:val="FootnoteText"/>
      </w:pPr>
      <w:r>
        <w:rPr>
          <w:rStyle w:val="FootnoteReference"/>
        </w:rPr>
        <w:footnoteRef/>
      </w:r>
      <w:r>
        <w:t xml:space="preserve"> </w:t>
      </w:r>
      <w:r>
        <w:t xml:space="preserve">(</w:t>
      </w:r>
      <w:hyperlink w:anchor="ref-Dupuit1844Mesure">
        <w:r>
          <w:rPr>
            <w:rStyle w:val="Hyperlink"/>
          </w:rPr>
          <w:t xml:space="preserve">Dupuit 1844</w:t>
        </w:r>
      </w:hyperlink>
      <w:r>
        <w:t xml:space="preserve">)</w:t>
      </w:r>
      <w:r>
        <w:t xml:space="preserve">.</w:t>
      </w:r>
    </w:p>
  </w:footnote>
  <w:footnote w:id="33">
    <w:p>
      <w:pPr>
        <w:pStyle w:val="FootnoteText"/>
      </w:pPr>
      <w:r>
        <w:rPr>
          <w:rStyle w:val="FootnoteReference"/>
        </w:rPr>
        <w:footnoteRef/>
      </w:r>
      <w:r>
        <w:t xml:space="preserve"> </w:t>
      </w:r>
      <w:r>
        <w:t xml:space="preserve">(</w:t>
      </w:r>
      <w:hyperlink w:anchor="ref-Gossen1854Entwickelung">
        <w:r>
          <w:rPr>
            <w:rStyle w:val="Hyperlink"/>
          </w:rPr>
          <w:t xml:space="preserve">Gossen 1854</w:t>
        </w:r>
      </w:hyperlink>
      <w:r>
        <w:t xml:space="preserve">)</w:t>
      </w:r>
      <w:r>
        <w:t xml:space="preserve">.</w:t>
      </w:r>
    </w:p>
  </w:footnote>
  <w:footnote w:id="35">
    <w:p>
      <w:pPr>
        <w:pStyle w:val="FootnoteText"/>
      </w:pPr>
      <w:r>
        <w:rPr>
          <w:rStyle w:val="FootnoteReference"/>
        </w:rPr>
        <w:footnoteRef/>
      </w:r>
      <w:r>
        <w:t xml:space="preserve"> </w:t>
      </w:r>
      <w:r>
        <w:t xml:space="preserve">(</w:t>
      </w:r>
      <w:hyperlink w:anchor="ref-Walras1874Elements">
        <w:r>
          <w:rPr>
            <w:rStyle w:val="Hyperlink"/>
          </w:rPr>
          <w:t xml:space="preserve">Walras 1874</w:t>
        </w:r>
      </w:hyperlink>
      <w:r>
        <w:t xml:space="preserve">)</w:t>
      </w:r>
      <w:r>
        <w:t xml:space="preserve">.</w:t>
      </w:r>
    </w:p>
  </w:footnote>
  <w:footnote w:id="36">
    <w:p>
      <w:pPr>
        <w:pStyle w:val="FootnoteText"/>
      </w:pPr>
      <w:r>
        <w:rPr>
          <w:rStyle w:val="FootnoteReference"/>
        </w:rPr>
        <w:footnoteRef/>
      </w:r>
      <w:r>
        <w:t xml:space="preserve"> </w:t>
      </w:r>
      <w:r>
        <w:t xml:space="preserve">El nombre de «Ysidro» se debe a su madre, Rosa Florentina Eroles, hija de un exiliado catalán de ideas liberales refugiado en Londres huyendo del absolutismo de Fernando VII.</w:t>
      </w:r>
      <w:r>
        <w:rPr>
          <w:rStyle w:val="FootnoteReference"/>
        </w:rPr>
        <w:footnoteReference w:id="37"/>
      </w:r>
      <w:r>
        <w:t xml:space="preserve"> </w:t>
      </w:r>
      <w:r>
        <w:t xml:space="preserve">Es una de las pocas apariciones de España en la historia del pensamiento económico.</w:t>
      </w:r>
    </w:p>
  </w:footnote>
  <w:footnote w:id="38">
    <w:p>
      <w:pPr>
        <w:pStyle w:val="FootnoteText"/>
      </w:pPr>
      <w:r>
        <w:rPr>
          <w:rStyle w:val="FootnoteReference"/>
        </w:rPr>
        <w:footnoteRef/>
      </w:r>
      <w:r>
        <w:t xml:space="preserve"> </w:t>
      </w:r>
      <w:r>
        <w:t xml:space="preserve">(</w:t>
      </w:r>
      <w:hyperlink w:anchor="ref-Edgeworth1881Mathematical">
        <w:r>
          <w:rPr>
            <w:rStyle w:val="Hyperlink"/>
          </w:rPr>
          <w:t xml:space="preserve">Edgeworth 1881</w:t>
        </w:r>
      </w:hyperlink>
      <w:r>
        <w:t xml:space="preserve">)</w:t>
      </w:r>
      <w:r>
        <w:t xml:space="preserve">.</w:t>
      </w:r>
    </w:p>
  </w:footnote>
  <w:footnote w:id="39">
    <w:p>
      <w:pPr>
        <w:pStyle w:val="FootnoteText"/>
      </w:pPr>
      <w:r>
        <w:rPr>
          <w:rStyle w:val="FootnoteReference"/>
        </w:rPr>
        <w:footnoteRef/>
      </w:r>
      <w:r>
        <w:t xml:space="preserve"> </w:t>
      </w:r>
      <w:r>
        <w:t xml:space="preserve">(</w:t>
      </w:r>
      <w:hyperlink w:anchor="ref-Fisher1892Mathematical">
        <w:r>
          <w:rPr>
            <w:rStyle w:val="Hyperlink"/>
          </w:rPr>
          <w:t xml:space="preserve">Fisher 1892</w:t>
        </w:r>
      </w:hyperlink>
      <w:r>
        <w:t xml:space="preserve">)</w:t>
      </w:r>
      <w:r>
        <w:t xml:space="preserve">.</w:t>
      </w:r>
    </w:p>
  </w:footnote>
  <w:footnote w:id="40">
    <w:p>
      <w:pPr>
        <w:pStyle w:val="FootnoteText"/>
      </w:pPr>
      <w:r>
        <w:rPr>
          <w:rStyle w:val="FootnoteReference"/>
        </w:rPr>
        <w:footnoteRef/>
      </w:r>
      <w:r>
        <w:t xml:space="preserve"> </w:t>
      </w:r>
      <w:r>
        <w:t xml:space="preserve">(</w:t>
      </w:r>
      <w:hyperlink w:anchor="ref-Pareto1906Manuale">
        <w:r>
          <w:rPr>
            <w:rStyle w:val="Hyperlink"/>
          </w:rPr>
          <w:t xml:space="preserve">Pareto 1906</w:t>
        </w:r>
      </w:hyperlink>
      <w:r>
        <w:t xml:space="preserve">)</w:t>
      </w:r>
      <w:r>
        <w:t xml:space="preserve">.</w:t>
      </w:r>
    </w:p>
  </w:footnote>
  <w:footnote w:id="41">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42">
    <w:p>
      <w:pPr>
        <w:pStyle w:val="FootnoteText"/>
      </w:pPr>
      <w:r>
        <w:rPr>
          <w:rStyle w:val="FootnoteReference"/>
        </w:rPr>
        <w:footnoteRef/>
      </w:r>
      <w:r>
        <w:t xml:space="preserve"> </w:t>
      </w:r>
      <w:r>
        <w:t xml:space="preserve">(</w:t>
      </w:r>
      <w:hyperlink w:anchor="ref-Slutsky1915Bilancio">
        <w:r>
          <w:rPr>
            <w:rStyle w:val="Hyperlink"/>
          </w:rPr>
          <w:t xml:space="preserve">Slutsky 1915</w:t>
        </w:r>
      </w:hyperlink>
      <w:r>
        <w:t xml:space="preserve">)</w:t>
      </w:r>
      <w:r>
        <w:t xml:space="preserve">.</w:t>
      </w:r>
    </w:p>
  </w:footnote>
  <w:footnote w:id="43">
    <w:p>
      <w:pPr>
        <w:pStyle w:val="FootnoteText"/>
      </w:pPr>
      <w:r>
        <w:rPr>
          <w:rStyle w:val="FootnoteReference"/>
        </w:rPr>
        <w:footnoteRef/>
      </w:r>
      <w:r>
        <w:t xml:space="preserve"> </w:t>
      </w:r>
      <w:r>
        <w:t xml:space="preserve">(</w:t>
      </w:r>
      <w:hyperlink w:anchor="ref-HicksAllen1934Reconsideration">
        <w:r>
          <w:rPr>
            <w:rStyle w:val="Hyperlink"/>
          </w:rPr>
          <w:t xml:space="preserve">Hicks y Allen 1934</w:t>
        </w:r>
      </w:hyperlink>
      <w:r>
        <w:t xml:space="preserve">)</w:t>
      </w:r>
      <w:r>
        <w:t xml:space="preserve">.</w:t>
      </w:r>
    </w:p>
  </w:footnote>
  <w:footnote w:id="44">
    <w:p>
      <w:pPr>
        <w:pStyle w:val="FootnoteText"/>
      </w:pPr>
      <w:r>
        <w:rPr>
          <w:rStyle w:val="FootnoteReference"/>
        </w:rPr>
        <w:footnoteRef/>
      </w:r>
      <w:r>
        <w:t xml:space="preserve"> </w:t>
      </w:r>
      <w:r>
        <w:t xml:space="preserve">(</w:t>
      </w:r>
      <w:hyperlink w:anchor="ref-Debreu1959Theory">
        <w:r>
          <w:rPr>
            <w:rStyle w:val="Hyperlink"/>
          </w:rPr>
          <w:t xml:space="preserve">Debreu 1959</w:t>
        </w:r>
      </w:hyperlink>
      <w:r>
        <w:t xml:space="preserve">)</w:t>
      </w:r>
      <w:r>
        <w:t xml:space="preserve">.</w:t>
      </w:r>
    </w:p>
  </w:footnote>
  <w:footnote w:id="45">
    <w:p>
      <w:pPr>
        <w:pStyle w:val="FootnoteText"/>
      </w:pPr>
      <w:r>
        <w:rPr>
          <w:rStyle w:val="FootnoteReference"/>
        </w:rPr>
        <w:footnoteRef/>
      </w:r>
      <w:r>
        <w:t xml:space="preserve"> </w:t>
      </w:r>
      <w:r>
        <w:t xml:space="preserve">(</w:t>
      </w:r>
      <w:hyperlink w:anchor="ref-Samuelson1938Note">
        <w:r>
          <w:rPr>
            <w:rStyle w:val="Hyperlink"/>
          </w:rPr>
          <w:t xml:space="preserve">Samuelson 1938</w:t>
        </w:r>
      </w:hyperlink>
      <w:r>
        <w:t xml:space="preserve">,</w:t>
      </w:r>
      <w:r>
        <w:t xml:space="preserve"> </w:t>
      </w:r>
      <w:hyperlink w:anchor="ref-Samuelson1948Consumption">
        <w:r>
          <w:rPr>
            <w:rStyle w:val="Hyperlink"/>
          </w:rPr>
          <w:t xml:space="preserve">1948</w:t>
        </w:r>
      </w:hyperlink>
      <w:r>
        <w:t xml:space="preserve">)</w:t>
      </w:r>
      <w:r>
        <w:t xml:space="preserve">.</w:t>
      </w:r>
    </w:p>
  </w:footnote>
  <w:footnote w:id="46">
    <w:p>
      <w:pPr>
        <w:pStyle w:val="FootnoteText"/>
      </w:pPr>
      <w:r>
        <w:rPr>
          <w:rStyle w:val="FootnoteReference"/>
        </w:rPr>
        <w:footnoteRef/>
      </w:r>
      <w:r>
        <w:t xml:space="preserve"> </w:t>
      </w:r>
      <w:r>
        <w:t xml:space="preserve">(</w:t>
      </w:r>
      <w:hyperlink w:anchor="ref-Houthakker1950Revealed">
        <w:r>
          <w:rPr>
            <w:rStyle w:val="Hyperlink"/>
          </w:rPr>
          <w:t xml:space="preserve">Houthakker 1950</w:t>
        </w:r>
      </w:hyperlink>
      <w:r>
        <w:t xml:space="preserve">)</w:t>
      </w:r>
      <w:r>
        <w:t xml:space="preserve">.</w:t>
      </w:r>
    </w:p>
  </w:footnote>
  <w:footnote w:id="47">
    <w:p>
      <w:pPr>
        <w:pStyle w:val="FootnoteText"/>
      </w:pPr>
      <w:r>
        <w:rPr>
          <w:rStyle w:val="FootnoteReference"/>
        </w:rPr>
        <w:footnoteRef/>
      </w:r>
      <w:r>
        <w:t xml:space="preserve"> </w:t>
      </w:r>
      <w:r>
        <w:t xml:space="preserve">(</w:t>
      </w:r>
      <w:hyperlink w:anchor="ref-Afriat1967Construction">
        <w:r>
          <w:rPr>
            <w:rStyle w:val="Hyperlink"/>
          </w:rPr>
          <w:t xml:space="preserve">Afriat 1967</w:t>
        </w:r>
      </w:hyperlink>
      <w:r>
        <w:t xml:space="preserve">)</w:t>
      </w:r>
      <w:r>
        <w:t xml:space="preserve">.</w:t>
      </w:r>
    </w:p>
  </w:footnote>
  <w:footnote w:id="48">
    <w:p>
      <w:pPr>
        <w:pStyle w:val="FootnoteText"/>
      </w:pPr>
      <w:r>
        <w:rPr>
          <w:rStyle w:val="FootnoteReference"/>
        </w:rPr>
        <w:footnoteRef/>
      </w:r>
      <w:r>
        <w:t xml:space="preserve"> </w:t>
      </w:r>
      <w:r>
        <w:t xml:space="preserve">(</w:t>
      </w:r>
      <w:hyperlink w:anchor="ref-Court1939Hedonic">
        <w:r>
          <w:rPr>
            <w:rStyle w:val="Hyperlink"/>
          </w:rPr>
          <w:t xml:space="preserve">Court 1939</w:t>
        </w:r>
      </w:hyperlink>
      <w:r>
        <w:t xml:space="preserve">;</w:t>
      </w:r>
      <w:r>
        <w:t xml:space="preserve"> </w:t>
      </w:r>
      <w:hyperlink w:anchor="ref-Griliches1961Hedonic">
        <w:r>
          <w:rPr>
            <w:rStyle w:val="Hyperlink"/>
          </w:rPr>
          <w:t xml:space="preserve">Griliches 1961</w:t>
        </w:r>
      </w:hyperlink>
      <w:r>
        <w:t xml:space="preserve">;</w:t>
      </w:r>
      <w:r>
        <w:t xml:space="preserve"> </w:t>
      </w:r>
      <w:hyperlink w:anchor="ref-Rosen1974Hedonic">
        <w:r>
          <w:rPr>
            <w:rStyle w:val="Hyperlink"/>
          </w:rPr>
          <w:t xml:space="preserve">Rosen 1974</w:t>
        </w:r>
      </w:hyperlink>
      <w:r>
        <w:t xml:space="preserve">)</w:t>
      </w:r>
      <w:r>
        <w:t xml:space="preserve">.</w:t>
      </w:r>
    </w:p>
  </w:footnote>
  <w:footnote w:id="50">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55">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r>
        <w:rPr>
          <w:rStyle w:val="Referenciaatema"/>
        </w:rPr>
        <w:t xml:space="preserve">[ver tema 3.A.33]</w:t>
      </w:r>
      <w:r>
        <w:t xml:space="preserve">. Tampoco se analiza la elección entre ocio y trabajo</w:t>
      </w:r>
      <w:r>
        <w:t xml:space="preserve"> </w:t>
      </w:r>
      <w:r>
        <w:rPr>
          <w:rStyle w:val="Referenciaatema"/>
        </w:rPr>
        <w:t xml:space="preserve">[ver tema 3.A.25]</w:t>
      </w:r>
      <w:r>
        <w:t xml:space="preserve">.</w:t>
      </w:r>
    </w:p>
  </w:footnote>
  <w:footnote w:id="62">
    <w:p>
      <w:pPr>
        <w:pStyle w:val="FootnoteText"/>
      </w:pPr>
      <w:r>
        <w:rPr>
          <w:rStyle w:val="FootnoteReference"/>
        </w:rPr>
        <w:footnoteRef/>
      </w:r>
      <w:r>
        <w:t xml:space="preserve"> </w:t>
      </w:r>
      <w:r>
        <w:t xml:space="preserve">(</w:t>
      </w:r>
      <w:hyperlink w:anchor="ref-Debreu1959Theory">
        <w:r>
          <w:rPr>
            <w:rStyle w:val="Hyperlink"/>
          </w:rPr>
          <w:t xml:space="preserve">Debreu 1959, cap. 4</w:t>
        </w:r>
      </w:hyperlink>
      <w:r>
        <w:t xml:space="preserve">;</w:t>
      </w:r>
      <w:r>
        <w:t xml:space="preserve"> </w:t>
      </w:r>
      <w:hyperlink w:anchor="ref-MasColellWhinstonGreen1995">
        <w:r>
          <w:rPr>
            <w:rStyle w:val="Hyperlink"/>
          </w:rPr>
          <w:t xml:space="preserve">Mas-Colell, Whinston, y Green 1995, cap. 3</w:t>
        </w:r>
      </w:hyperlink>
      <w:r>
        <w:t xml:space="preserve">)</w:t>
      </w:r>
      <w:r>
        <w:t xml:space="preserve">.</w:t>
      </w:r>
    </w:p>
  </w:footnote>
  <w:footnote w:id="64">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dos.</w:t>
      </w:r>
    </w:p>
  </w:footnote>
  <w:footnote w:id="65">
    <w:p>
      <w:pPr>
        <w:pStyle w:val="FootnoteText"/>
      </w:pPr>
      <w:r>
        <w:rPr>
          <w:rStyle w:val="FootnoteReference"/>
        </w:rPr>
        <w:footnoteRef/>
      </w:r>
      <w:r>
        <w:t xml:space="preserve"> </w:t>
      </w:r>
      <w:r>
        <w:t xml:space="preserve">En algunos manuales la reflexividad se presenta como corolario de la completitud.</w:t>
      </w:r>
    </w:p>
  </w:footnote>
  <w:footnote w:id="66">
    <w:p>
      <w:pPr>
        <w:pStyle w:val="FootnoteText"/>
      </w:pPr>
      <w:r>
        <w:rPr>
          <w:rStyle w:val="FootnoteReference"/>
        </w:rPr>
        <w:footnoteRef/>
      </w:r>
      <w:r>
        <w:t xml:space="preserve"> </w:t>
      </w:r>
      <w:r>
        <w:t xml:space="preserve">Es decir,</w:t>
      </w:r>
      <w:r>
        <w:t xml:space="preserve"> </w:t>
      </w:r>
      <m:oMath>
        <m:r>
          <m:rPr>
            <m:sty m:val="p"/>
          </m:rPr>
          <m:t>∀</m:t>
        </m:r>
        <m:sSup>
          <m:e>
            <m:r>
              <m:t>x</m:t>
            </m:r>
          </m:e>
          <m:sup>
            <m:r>
              <m:t>0</m:t>
            </m:r>
          </m:sup>
        </m:sSup>
        <m:r>
          <m:rPr>
            <m:sty m:val="p"/>
          </m:rPr>
          <m:t>∈</m:t>
        </m:r>
        <m:r>
          <m:t>S</m:t>
        </m:r>
      </m:oMath>
      <w:r>
        <w:t xml:space="preserve">,</w:t>
      </w:r>
      <w:r>
        <w:t xml:space="preserve"> </w:t>
      </w:r>
      <m:oMath>
        <m:sSup>
          <m:e>
            <m:r>
              <m:t>x</m:t>
            </m:r>
          </m:e>
          <m:sup>
            <m:r>
              <m:t>0</m:t>
            </m:r>
          </m:sup>
        </m:sSup>
        <m:r>
          <m:rPr>
            <m:sty m:val="p"/>
          </m:rPr>
          <m:t>∼</m:t>
        </m:r>
        <m:sSup>
          <m:e>
            <m:r>
              <m:t>x</m:t>
            </m:r>
          </m:e>
          <m:sup>
            <m:r>
              <m:t>0</m:t>
            </m:r>
          </m:sup>
        </m:sSup>
      </m:oMath>
      <w:r>
        <w:t xml:space="preserve">, pero</w:t>
      </w:r>
      <w:r>
        <w:t xml:space="preserve"> </w:t>
      </w:r>
      <m:oMath>
        <m:sSup>
          <m:e>
            <m:r>
              <m:t>x</m:t>
            </m:r>
          </m:e>
          <m:sup>
            <m:r>
              <m:t>0</m:t>
            </m:r>
          </m:sup>
        </m:sSup>
        <m:r>
          <m:rPr>
            <m:sty m:val="p"/>
          </m:rPr>
          <m:t>⊁</m:t>
        </m:r>
        <m:sSup>
          <m:e>
            <m:r>
              <m:t>x</m:t>
            </m:r>
          </m:e>
          <m:sup>
            <m:r>
              <m:t>0</m:t>
            </m:r>
          </m:sup>
        </m:sSup>
      </m:oMath>
      <w:r>
        <w:t xml:space="preserve">.</w:t>
      </w:r>
    </w:p>
  </w:footnote>
  <w:footnote w:id="67">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2"/>
        </w:numPr>
      </w:pPr>
      <w:r>
        <w:t xml:space="preserve">las</w:t>
      </w:r>
      <w:r>
        <w:t xml:space="preserve"> </w:t>
      </w:r>
      <w:r>
        <w:rPr>
          <w:i/>
          <w:iCs/>
        </w:rPr>
        <w:t xml:space="preserve">diferencias apenas perceptibles</w:t>
      </w:r>
      <w:r>
        <w:t xml:space="preserve">: si ofrecemos a alguien elegir entre dos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2"/>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 (</w:t>
      </w:r>
      <w:r>
        <w:t xml:space="preserve">(</w:t>
      </w:r>
      <w:hyperlink w:anchor="ref-TverskyKahneman1981Framing">
        <w:r>
          <w:rPr>
            <w:rStyle w:val="Hyperlink"/>
          </w:rPr>
          <w:t xml:space="preserve">Tversky y Kahneman 1981</w:t>
        </w:r>
      </w:hyperlink>
      <w:r>
        <w:t xml:space="preserve">)</w:t>
      </w:r>
      <w:r>
        <w:t xml:space="preserve">;</w:t>
      </w:r>
      <w:r>
        <w:t xml:space="preserve"> </w:t>
      </w:r>
      <w:r>
        <w:t xml:space="preserve">(</w:t>
      </w:r>
      <w:hyperlink w:anchor="ref-KahnemanTversky1984Choices">
        <w:r>
          <w:rPr>
            <w:rStyle w:val="Hyperlink"/>
          </w:rPr>
          <w:t xml:space="preserve">Kahneman y Tversky 1984</w:t>
        </w:r>
      </w:hyperlink>
      <w:r>
        <w:t xml:space="preserve">)</w:t>
      </w:r>
      <w:r>
        <w:t xml:space="preserve">);</w:t>
      </w:r>
    </w:p>
    <w:p>
      <w:pPr>
        <w:pStyle w:val="FootnoteText"/>
        <w:numPr>
          <w:ilvl w:val="0"/>
          <w:numId w:val="1022"/>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r>
        <w:rPr>
          <w:rStyle w:val="Referenciaatema"/>
        </w:rPr>
        <w:t xml:space="preserve">[ver tema 3.A.24]</w:t>
      </w:r>
      <w:r>
        <w:t xml:space="preserve">.</w:t>
      </w:r>
    </w:p>
  </w:footnote>
  <w:footnote w:id="68">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r>
          <m:rPr>
            <m:sty m:val="p"/>
          </m:rPr>
          <m:t>⇒</m:t>
        </m:r>
        <m:sSup>
          <m:e>
            <m:r>
              <m:t>x</m:t>
            </m:r>
          </m:e>
          <m:sup>
            <m:r>
              <m:t>0</m:t>
            </m:r>
          </m:sup>
        </m:sSup>
        <m:r>
          <m:rPr>
            <m:sty m:val="p"/>
          </m:rPr>
          <m:t>=</m:t>
        </m:r>
        <m:sSup>
          <m:e>
            <m:r>
              <m:t>x</m:t>
            </m:r>
          </m:e>
          <m:sup>
            <m:r>
              <m:t>1</m:t>
            </m:r>
          </m:sup>
        </m:sSup>
      </m:oMath>
      <w:r>
        <w:t xml:space="preserve">), y aquí dos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70">
    <w:p>
      <w:pPr>
        <w:pStyle w:val="FootnoteText"/>
      </w:pPr>
      <w:r>
        <w:rPr>
          <w:rStyle w:val="FootnoteReference"/>
        </w:rPr>
        <w:footnoteRef/>
      </w:r>
      <w:r>
        <w:t xml:space="preserve"> </w:t>
      </w:r>
      <w:r>
        <w:t xml:space="preserve">Se llaman así porque de su cumplimiento se deriva una función de utilidad de buen comportamiento o «regular».</w:t>
      </w:r>
    </w:p>
  </w:footnote>
  <w:footnote w:id="71">
    <w:p>
      <w:pPr>
        <w:pStyle w:val="FootnoteText"/>
      </w:pPr>
      <w:r>
        <w:rPr>
          <w:rStyle w:val="FootnoteReference"/>
        </w:rPr>
        <w:footnoteRef/>
      </w:r>
      <w:r>
        <w:t xml:space="preserve"> </w:t>
      </w:r>
      <w:r>
        <w:t xml:space="preserve">(</w:t>
      </w:r>
      <w:hyperlink w:anchor="ref-Debreu1959Theory">
        <w:r>
          <w:rPr>
            <w:rStyle w:val="Hyperlink"/>
          </w:rPr>
          <w:t xml:space="preserve">Debreu 1959, cap. 4</w:t>
        </w:r>
      </w:hyperlink>
      <w:r>
        <w:t xml:space="preserve">)</w:t>
      </w:r>
      <w:r>
        <w:t xml:space="preserve">.</w:t>
      </w:r>
    </w:p>
  </w:footnote>
  <w:footnote w:id="72">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t xml:space="preserve">Mas-Colell, Whinston, y Green (</w:t>
      </w:r>
      <w:hyperlink w:anchor="ref-MasColellWhinstonGreen1995">
        <w:r>
          <w:rPr>
            <w:rStyle w:val="Hyperlink"/>
          </w:rPr>
          <w:t xml:space="preserve">1995</w:t>
        </w:r>
      </w:hyperlink>
      <w:r>
        <w:t xml:space="preserve">, ejemplo 3.C.1)</w:t>
      </w:r>
      <w:r>
        <w:t xml:space="preserve">;</w:t>
      </w:r>
      <w:r>
        <w:t xml:space="preserve"> </w:t>
      </w:r>
      <w:r>
        <w:t xml:space="preserve">Osborne y Rubinstein (</w:t>
      </w:r>
      <w:hyperlink w:anchor="ref-OsborneRubinstein2020Models">
        <w:r>
          <w:rPr>
            <w:rStyle w:val="Hyperlink"/>
          </w:rPr>
          <w:t xml:space="preserve">2020</w:t>
        </w:r>
      </w:hyperlink>
      <w:r>
        <w:t xml:space="preserve">)</w:t>
      </w:r>
      <w:r>
        <w:t xml:space="preserve">).</w:t>
      </w:r>
    </w:p>
  </w:footnote>
  <w:footnote w:id="73">
    <w:p>
      <w:pPr>
        <w:pStyle w:val="FootnoteText"/>
      </w:pPr>
      <w:r>
        <w:rPr>
          <w:rStyle w:val="FootnoteReference"/>
        </w:rPr>
        <w:footnoteRef/>
      </w:r>
      <w:r>
        <w:t xml:space="preserve"> </w:t>
      </w:r>
      <w:r>
        <w:t xml:space="preserve">(</w:t>
      </w:r>
      <w:hyperlink w:anchor="ref-MasColellWhinstonGreen1995">
        <w:r>
          <w:rPr>
            <w:rStyle w:val="Hyperlink"/>
          </w:rPr>
          <w:t xml:space="preserve">Mas-Colell, Whinston, y Green 1995</w:t>
        </w:r>
      </w:hyperlink>
      <w:r>
        <w:t xml:space="preserve">, def. 3.B.2 y 3.B.3)</w:t>
      </w:r>
      <w:r>
        <w:t xml:space="preserve">.</w:t>
      </w:r>
    </w:p>
  </w:footnote>
  <w:footnote w:id="74">
    <w:p>
      <w:pPr>
        <w:pStyle w:val="FootnoteText"/>
      </w:pPr>
      <w:r>
        <w:rPr>
          <w:rStyle w:val="FootnoteReference"/>
        </w:rPr>
        <w:footnoteRef/>
      </w:r>
      <w:r>
        <w:t xml:space="preserve"> </w:t>
      </w:r>
      <w:r>
        <w:t xml:space="preserve">Es el teorema de</w:t>
      </w:r>
      <w:r>
        <w:t xml:space="preserve"> </w:t>
      </w:r>
      <w:r>
        <w:t xml:space="preserve">Arrow y Enthoven (</w:t>
      </w:r>
      <w:hyperlink w:anchor="ref-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r>
        <w:rPr>
          <w:rStyle w:val="Referenciaatema"/>
        </w:rPr>
        <w:t xml:space="preserve">[ver tema 3.A.22]</w:t>
      </w:r>
      <w:r>
        <w:t xml:space="preserve">.</w:t>
      </w:r>
      <w:r>
        <w:rPr>
          <w:rStyle w:val="FootnoteReference"/>
        </w:rPr>
        <w:footnoteReference w:id="75"/>
      </w:r>
      <w:r>
        <w:t xml:space="preserve"> </w:t>
      </w:r>
      <w:r>
        <w:t xml:space="preserve">Con muchos consumidores, la no convexidad de las preferencias individuales pierde importancia.</w:t>
      </w:r>
      <w:r>
        <w:rPr>
          <w:rStyle w:val="FootnoteReference"/>
        </w:rPr>
        <w:footnoteReference w:id="76"/>
      </w:r>
    </w:p>
  </w:footnote>
  <w:footnote w:id="77">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84">
    <w:p>
      <w:pPr>
        <w:pStyle w:val="FootnoteText"/>
      </w:pPr>
      <w:r>
        <w:rPr>
          <w:rStyle w:val="FootnoteReference"/>
        </w:rPr>
        <w:footnoteRef/>
      </w:r>
      <w:r>
        <w:t xml:space="preserve"> </w:t>
      </w:r>
      <w:r>
        <w:rPr>
          <w:smallCaps/>
        </w:rPr>
        <w:t xml:space="preserve">Vilfredo 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rPr>
          <w:rStyle w:val="FootnoteReference"/>
        </w:rPr>
        <w:footnoteReference w:id="85"/>
      </w:r>
      <w:r>
        <w:t xml:space="preserve"> </w:t>
      </w:r>
      <w:r>
        <w:rPr>
          <w:smallCaps/>
        </w:rPr>
        <w:t xml:space="preserve">Irving Fisher</w:t>
      </w:r>
      <w:r>
        <w:t xml:space="preserve"> </w:t>
      </w:r>
      <w:r>
        <w:t xml:space="preserve">(1918) propuso sustituir el término por</w:t>
      </w:r>
      <w:r>
        <w:t xml:space="preserve"> </w:t>
      </w:r>
      <w:r>
        <w:rPr>
          <w:i/>
          <w:iCs/>
        </w:rPr>
        <w:t xml:space="preserve">wantability</w:t>
      </w:r>
      <w:r>
        <w:t xml:space="preserve">.</w:t>
      </w:r>
      <w:r>
        <w:rPr>
          <w:rStyle w:val="FootnoteReference"/>
        </w:rPr>
        <w:footnoteReference w:id="86"/>
      </w:r>
    </w:p>
  </w:footnote>
  <w:footnote w:id="87">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88">
    <w:p>
      <w:pPr>
        <w:pStyle w:val="FootnoteText"/>
      </w:pPr>
      <w:r>
        <w:rPr>
          <w:rStyle w:val="FootnoteReference"/>
        </w:rPr>
        <w:footnoteRef/>
      </w:r>
      <w:r>
        <w:t xml:space="preserve"> </w:t>
      </w:r>
      <w:r>
        <w:t xml:space="preserve">Véase</w:t>
      </w:r>
      <w:r>
        <w:t xml:space="preserve"> </w:t>
      </w:r>
      <w:r>
        <w:t xml:space="preserve">Mas-Colell, Whinston, y Green (</w:t>
      </w:r>
      <w:hyperlink w:anchor="ref-MasColellWhinstonGreen1995">
        <w:r>
          <w:rPr>
            <w:rStyle w:val="Hyperlink"/>
          </w:rPr>
          <w:t xml:space="preserve">1995, párr. 3.C</w:t>
        </w:r>
      </w:hyperlink>
      <w:r>
        <w:t xml:space="preserve">)</w:t>
      </w:r>
      <w:r>
        <w:t xml:space="preserve"> </w:t>
      </w:r>
      <w:r>
        <w:t xml:space="preserve">o</w:t>
      </w:r>
      <w:r>
        <w:t xml:space="preserve"> </w:t>
      </w:r>
      <w:r>
        <w:t xml:space="preserve">Jehle y Reny (</w:t>
      </w:r>
      <w:hyperlink w:anchor="ref-JehleReny2011Advanced">
        <w:r>
          <w:rPr>
            <w:rStyle w:val="Hyperlink"/>
          </w:rPr>
          <w:t xml:space="preserve">2011, cap. 1</w:t>
        </w:r>
      </w:hyperlink>
      <w:r>
        <w:t xml:space="preserve">)</w:t>
      </w:r>
      <w:r>
        <w:t xml:space="preserve">. Una presentación gráfica de la concavidad y la cuasiconcavidad en</w:t>
      </w:r>
      <w:r>
        <w:t xml:space="preserve"> </w:t>
      </w:r>
      <w:r>
        <w:t xml:space="preserve">Fuleky (</w:t>
      </w:r>
      <w:hyperlink w:anchor="ref-FulekyAnatomy">
        <w:r>
          <w:rPr>
            <w:rStyle w:val="Hyperlink"/>
          </w:rPr>
          <w:t xml:space="preserve">s. f.</w:t>
        </w:r>
      </w:hyperlink>
      <w:r>
        <w:t xml:space="preserve">)</w:t>
      </w:r>
      <w:r>
        <w:t xml:space="preserve">.</w:t>
      </w:r>
    </w:p>
  </w:footnote>
  <w:footnote w:id="89">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90">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96">
    <w:p>
      <w:pPr>
        <w:pStyle w:val="FootnoteText"/>
      </w:pPr>
      <w:r>
        <w:rPr>
          <w:rStyle w:val="FootnoteReference"/>
        </w:rPr>
        <w:footnoteRef/>
      </w:r>
      <w:r>
        <w:t xml:space="preserve"> </w:t>
      </w:r>
      <w:r>
        <w:t xml:space="preserve">Habitualmente la RMS se define en valor absoluto porque, con dos bienes, la pendiente de la curva de indiferencia es negativa. Así lo haremos en todo el tema: la pendiente de la curva es</w:t>
      </w:r>
      <w:r>
        <w:t xml:space="preserve"> </w:t>
      </w:r>
      <m:oMath>
        <m:r>
          <m:rPr>
            <m:sty m:val="p"/>
          </m:rPr>
          <m:t>−</m:t>
        </m:r>
        <m:r>
          <m:t>R</m:t>
        </m:r>
        <m:r>
          <m:t>M</m:t>
        </m:r>
        <m:sSub>
          <m:e>
            <m:r>
              <m:t>S</m:t>
            </m:r>
          </m:e>
          <m:sub>
            <m:r>
              <m:t>12</m:t>
            </m:r>
          </m:sub>
        </m:sSub>
      </m:oMath>
      <w:r>
        <w:t xml:space="preserve">.</w:t>
      </w:r>
    </w:p>
  </w:footnote>
  <w:footnote w:id="97">
    <w:p>
      <w:pPr>
        <w:pStyle w:val="FootnoteText"/>
      </w:pPr>
      <w:r>
        <w:rPr>
          <w:rStyle w:val="FootnoteReference"/>
        </w:rPr>
        <w:footnoteRef/>
      </w:r>
      <w:r>
        <w:t xml:space="preserve"> </w:t>
      </w:r>
      <w:r>
        <w:t xml:space="preserve">(</w:t>
      </w:r>
      <w:hyperlink w:anchor="ref-ArrowEtAl1961Capital">
        <w:r>
          <w:rPr>
            <w:rStyle w:val="Hyperlink"/>
          </w:rPr>
          <w:t xml:space="preserve">Arrow et al. 1961</w:t>
        </w:r>
      </w:hyperlink>
      <w:r>
        <w:t xml:space="preserve">)</w:t>
      </w:r>
      <w:r>
        <w:t xml:space="preserve">.</w:t>
      </w:r>
    </w:p>
  </w:footnote>
  <w:footnote w:id="104">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t xml:space="preserve">Mas-Colell, Whinston, y Green (</w:t>
      </w:r>
      <w:hyperlink w:anchor="ref-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r>
        <w:rPr>
          <w:rStyle w:val="Referenciaatema"/>
        </w:rPr>
        <w:t xml:space="preserve">[ver tema 3.A.9]</w:t>
      </w:r>
      <w:r>
        <w:t xml:space="preserve">.</w:t>
      </w:r>
    </w:p>
  </w:footnote>
  <w:footnote w:id="105">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r>
              <m:t>p</m:t>
            </m:r>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106">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12">
    <w:p>
      <w:pPr>
        <w:pStyle w:val="FootnoteText"/>
      </w:pPr>
      <w:r>
        <w:rPr>
          <w:rStyle w:val="FootnoteReference"/>
        </w:rPr>
        <w:footnoteRef/>
      </w:r>
      <w:r>
        <w:t xml:space="preserve"> </w:t>
      </w:r>
      <w:r>
        <w:t xml:space="preserve">(</w:t>
      </w:r>
      <w:hyperlink w:anchor="ref-SydsaeterEtAl2008Further">
        <w:r>
          <w:rPr>
            <w:rStyle w:val="Hyperlink"/>
          </w:rPr>
          <w:t xml:space="preserve">Sydsæter et al. 2008, cap. 3</w:t>
        </w:r>
      </w:hyperlink>
      <w:r>
        <w:t xml:space="preserve">)</w:t>
      </w:r>
      <w:r>
        <w:t xml:space="preserve">.</w:t>
      </w:r>
    </w:p>
  </w:footnote>
  <w:footnote w:id="113">
    <w:p>
      <w:pPr>
        <w:pStyle w:val="FootnoteText"/>
      </w:pPr>
      <w:r>
        <w:rPr>
          <w:rStyle w:val="FootnoteReference"/>
        </w:rPr>
        <w:footnoteRef/>
      </w:r>
      <w:r>
        <w:t xml:space="preserve"> </w:t>
      </w:r>
      <w:r>
        <w:t xml:space="preserve">(</w:t>
      </w:r>
      <w:hyperlink w:anchor="ref-ArrowEnthoven1961Quasi">
        <w:r>
          <w:rPr>
            <w:rStyle w:val="Hyperlink"/>
          </w:rPr>
          <w:t xml:space="preserve">Arrow y Enthoven 1961</w:t>
        </w:r>
      </w:hyperlink>
      <w:r>
        <w:t xml:space="preserve">)</w:t>
      </w:r>
      <w:r>
        <w:t xml:space="preserve">.</w:t>
      </w:r>
    </w:p>
  </w:footnote>
  <w:footnote w:id="114">
    <w:p>
      <w:pPr>
        <w:pStyle w:val="FootnoteText"/>
      </w:pPr>
      <w:r>
        <w:rPr>
          <w:rStyle w:val="FootnoteReference"/>
        </w:rPr>
        <w:footnoteRef/>
      </w:r>
      <w:r>
        <w:t xml:space="preserve"> </w:t>
      </w:r>
      <w:r>
        <w:t xml:space="preserve">(</w:t>
      </w:r>
      <w:hyperlink w:anchor="ref-KuhnTucker1951Nonlinear">
        <w:r>
          <w:rPr>
            <w:rStyle w:val="Hyperlink"/>
          </w:rPr>
          <w:t xml:space="preserve">Kuhn y Tucker 1951</w:t>
        </w:r>
      </w:hyperlink>
      <w:r>
        <w:t xml:space="preserve">)</w:t>
      </w:r>
      <w:r>
        <w:t xml:space="preserve">.</w:t>
      </w:r>
    </w:p>
  </w:footnote>
  <w:footnote w:id="115">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A).</w:t>
      </w:r>
    </w:p>
  </w:footnote>
  <w:footnote w:id="122">
    <w:p>
      <w:pPr>
        <w:pStyle w:val="FootnoteText"/>
      </w:pPr>
      <w:r>
        <w:rPr>
          <w:rStyle w:val="FootnoteReference"/>
        </w:rPr>
        <w:footnoteRef/>
      </w:r>
      <w:r>
        <w:t xml:space="preserve"> </w:t>
      </w:r>
      <w:r>
        <w:t xml:space="preserve">Esto permitirá, en el apartado II, hacer estática comparativa: estudiar cómo cambian las demandas ante cambios en los parámetros del problema.</w:t>
      </w:r>
    </w:p>
  </w:footnote>
  <w:footnote w:id="123">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24">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25">
    <w:p>
      <w:pPr>
        <w:pStyle w:val="FootnoteText"/>
      </w:pPr>
      <w:r>
        <w:rPr>
          <w:rStyle w:val="FootnoteReference"/>
        </w:rPr>
        <w:footnoteRef/>
      </w:r>
      <w:r>
        <w:t xml:space="preserve"> </w:t>
      </w:r>
      <w:r>
        <w:t xml:space="preserve">Si se multiplican precios y renta por</w:t>
      </w:r>
      <w:r>
        <w:t xml:space="preserve"> </w:t>
      </w:r>
      <m:oMath>
        <m:r>
          <m:t>k</m:t>
        </m:r>
        <m:r>
          <m:rPr>
            <m:sty m:val="p"/>
          </m:rPr>
          <m:t>&gt;</m:t>
        </m:r>
        <m:r>
          <m:t>0</m:t>
        </m:r>
      </m:oMath>
      <w:r>
        <w:t xml:space="preserve">, el conjunto presupuestario no cambia:</w:t>
      </w:r>
      <w:r>
        <w:t xml:space="preserve"> </w:t>
      </w:r>
      <m:oMath>
        <m:r>
          <m:rPr>
            <m:sty m:val="p"/>
          </m:rPr>
          <m:t>{</m:t>
        </m:r>
        <m:r>
          <m:t>x</m:t>
        </m:r>
        <m:r>
          <m:rPr>
            <m:sty m:val="p"/>
          </m:rPr>
          <m:t>:</m:t>
        </m:r>
        <m:r>
          <m:t>k</m:t>
        </m:r>
        <m:r>
          <m:t>p</m:t>
        </m:r>
        <m:r>
          <m:rPr>
            <m:sty m:val="p"/>
          </m:rPr>
          <m:t>⋅</m:t>
        </m:r>
        <m:r>
          <m:t>x</m:t>
        </m:r>
        <m:r>
          <m:rPr>
            <m:sty m:val="p"/>
          </m:rPr>
          <m:t>≤</m:t>
        </m:r>
        <m:r>
          <m:t>k</m:t>
        </m:r>
        <m:bar>
          <m:barPr>
            <m:pos m:val="top"/>
          </m:barPr>
          <m:e>
            <m:r>
              <m:t>W</m:t>
            </m:r>
          </m:e>
        </m:bar>
        <m:r>
          <m:rPr>
            <m:sty m:val="p"/>
          </m:rPr>
          <m:t>}</m:t>
        </m:r>
        <m:r>
          <m:rPr>
            <m:sty m:val="p"/>
          </m:rPr>
          <m:t>=</m:t>
        </m:r>
        <m:r>
          <m:rPr>
            <m:sty m:val="p"/>
          </m:rPr>
          <m:t>{</m:t>
        </m:r>
        <m:r>
          <m:t>x</m:t>
        </m:r>
        <m:r>
          <m:rPr>
            <m:sty m:val="p"/>
          </m:rPr>
          <m:t>:</m:t>
        </m:r>
        <m:r>
          <m:t>p</m:t>
        </m:r>
        <m:r>
          <m:rPr>
            <m:sty m:val="p"/>
          </m:rPr>
          <m:t>⋅</m:t>
        </m:r>
        <m:r>
          <m:t>x</m:t>
        </m:r>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II 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w:t>
      </w:r>
    </w:p>
  </w:footnote>
  <w:footnote w:id="126">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r>
          <m:t>p</m:t>
        </m:r>
        <m:r>
          <m:rPr>
            <m:sty m:val="p"/>
          </m:rPr>
          <m:t>⋅</m:t>
        </m:r>
        <m:r>
          <m:t>z</m:t>
        </m:r>
        <m:d>
          <m:dPr>
            <m:begChr m:val="("/>
            <m:sepChr m:val=""/>
            <m:endChr m:val=")"/>
            <m:grow/>
          </m:dPr>
          <m:e>
            <m:r>
              <m:t>p</m:t>
            </m:r>
          </m:e>
        </m:d>
        <m:r>
          <m:rPr>
            <m:sty m:val="p"/>
          </m:rPr>
          <m:t>=</m:t>
        </m:r>
        <m:r>
          <m:t>0</m:t>
        </m:r>
      </m:oMath>
      <w:r>
        <w:t xml:space="preserve">, que no es sino la suma de las restricciones presupuestarias de todos los consumidores: en el agregado también se agotan todos los recursos</w:t>
      </w:r>
      <w:r>
        <w:t xml:space="preserve"> </w:t>
      </w:r>
      <w:r>
        <w:rPr>
          <w:rStyle w:val="Referenciaatema"/>
        </w:rPr>
        <w:t xml:space="preserve">[ver tema 3.A.21]</w:t>
      </w:r>
      <w:r>
        <w:t xml:space="preserve">.</w:t>
      </w:r>
    </w:p>
  </w:footnote>
  <w:footnote w:id="127">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r>
                  <m:t>x</m:t>
                </m:r>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r>
              <m:t>x</m:t>
            </m:r>
          </m:e>
          <m:sup>
            <m:r>
              <m:rPr>
                <m:sty m:val="p"/>
              </m:rPr>
              <m:t>*</m:t>
            </m:r>
          </m:sup>
        </m:sSup>
      </m:oMath>
      <w:r>
        <w:t xml:space="preserve"> </w:t>
      </w:r>
      <w:r>
        <w:t xml:space="preserve">es distinto de cero.</w:t>
      </w:r>
      <w:r>
        <w:rPr>
          <w:rStyle w:val="FootnoteReference"/>
        </w:rPr>
        <w:footnoteReference w:id="128"/>
      </w:r>
    </w:p>
  </w:footnote>
  <w:footnote w:id="130">
    <w:p>
      <w:pPr>
        <w:pStyle w:val="FootnoteText"/>
      </w:pPr>
      <w:r>
        <w:rPr>
          <w:rStyle w:val="FootnoteReference"/>
        </w:rPr>
        <w:footnoteRef/>
      </w:r>
      <w:r>
        <w:t xml:space="preserve"> </w:t>
      </w:r>
      <w:r>
        <w:t xml:space="preserve">(</w:t>
      </w:r>
      <w:hyperlink w:anchor="ref-MasColellWhinstonGreen1995">
        <w:r>
          <w:rPr>
            <w:rStyle w:val="Hyperlink"/>
          </w:rPr>
          <w:t xml:space="preserve">Mas-Colell, Whinston, y Green 1995</w:t>
        </w:r>
      </w:hyperlink>
      <w:r>
        <w:t xml:space="preserve">, prop. 3.D.3)</w:t>
      </w:r>
      <w:r>
        <w:t xml:space="preserve">.</w:t>
      </w:r>
    </w:p>
  </w:footnote>
  <w:footnote w:id="131">
    <w:p>
      <w:pPr>
        <w:pStyle w:val="FootnoteText"/>
      </w:pPr>
      <w:r>
        <w:rPr>
          <w:rStyle w:val="FootnoteReference"/>
        </w:rPr>
        <w:footnoteRef/>
      </w:r>
      <w:r>
        <w:t xml:space="preserve"> </w:t>
      </w:r>
      <w:r>
        <w:t xml:space="preserve">(</w:t>
      </w:r>
      <w:hyperlink w:anchor="ref-Roy1947Distribution">
        <w:r>
          <w:rPr>
            <w:rStyle w:val="Hyperlink"/>
          </w:rPr>
          <w:t xml:space="preserve">Roy 1947</w:t>
        </w:r>
      </w:hyperlink>
      <w:r>
        <w:t xml:space="preserve">)</w:t>
      </w:r>
      <w:r>
        <w:t xml:space="preserve">.</w:t>
      </w:r>
    </w:p>
  </w:footnote>
  <w:footnote w:id="134">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35">
    <w:p>
      <w:pPr>
        <w:pStyle w:val="FootnoteText"/>
      </w:pPr>
      <w:r>
        <w:rPr>
          <w:rStyle w:val="FootnoteReference"/>
        </w:rPr>
        <w:footnoteRef/>
      </w:r>
      <w:r>
        <w:t xml:space="preserve"> </w:t>
      </w:r>
      <w:r>
        <w:t xml:space="preserve">(</w:t>
      </w:r>
      <w:hyperlink w:anchor="ref-Gorman1953Community">
        <w:r>
          <w:rPr>
            <w:rStyle w:val="Hyperlink"/>
          </w:rPr>
          <w:t xml:space="preserve">Gorman 1953</w:t>
        </w:r>
      </w:hyperlink>
      <w:r>
        <w:t xml:space="preserve">,</w:t>
      </w:r>
      <w:r>
        <w:t xml:space="preserve"> </w:t>
      </w:r>
      <w:hyperlink w:anchor="ref-Gorman1961Class">
        <w:r>
          <w:rPr>
            <w:rStyle w:val="Hyperlink"/>
          </w:rPr>
          <w:t xml:space="preserve">1961</w:t>
        </w:r>
      </w:hyperlink>
      <w:r>
        <w:t xml:space="preserve">)</w:t>
      </w:r>
      <w:r>
        <w:t xml:space="preserve">.</w:t>
      </w:r>
    </w:p>
  </w:footnote>
  <w:footnote w:id="136">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(17) y una demanda positiva de cada bien, las demandas pueden agregarse y representarse por las de un hogar representativo con FIU</w:t>
      </w:r>
      <w:r>
        <w:t xml:space="preserve"> </w:t>
      </w:r>
      <m:oMath>
        <m:r>
          <m:t>V</m:t>
        </m:r>
        <m:d>
          <m:dPr>
            <m:begChr m:val="("/>
            <m:sepChr m:val=""/>
            <m:endChr m:val=")"/>
            <m:grow/>
          </m:dPr>
          <m:e>
            <m:r>
              <m:t>p</m:t>
            </m:r>
            <m:r>
              <m:rPr>
                <m:sty m:val="p"/>
              </m:rPr>
              <m:t>,</m:t>
            </m:r>
            <m:bar>
              <m:barPr>
                <m:pos m:val="top"/>
              </m:barPr>
              <m:e>
                <m:r>
                  <m:t>W</m:t>
                </m:r>
              </m:e>
            </m:bar>
          </m:e>
        </m:d>
        <m:r>
          <m:rPr>
            <m:sty m:val="p"/>
          </m:rPr>
          <m:t>=</m:t>
        </m:r>
        <m:r>
          <m:t>a</m:t>
        </m:r>
        <m:d>
          <m:dPr>
            <m:begChr m:val="("/>
            <m:sepChr m:val=""/>
            <m:endChr m:val=")"/>
            <m:grow/>
          </m:dPr>
          <m:e>
            <m:r>
              <m:t>p</m:t>
            </m:r>
          </m:e>
        </m:d>
        <m:r>
          <m:rPr>
            <m:sty m:val="p"/>
          </m:rPr>
          <m:t>+</m:t>
        </m:r>
        <m:r>
          <m:t>b</m:t>
        </m:r>
        <m:d>
          <m:dPr>
            <m:begChr m:val="("/>
            <m:sepChr m:val=""/>
            <m:endChr m:val=")"/>
            <m:grow/>
          </m:dPr>
          <m:e>
            <m:r>
              <m:t>p</m:t>
            </m:r>
          </m:e>
        </m:d>
        <m:r>
          <m:t> </m:t>
        </m:r>
        <m:bar>
          <m:barPr>
            <m:pos m:val="top"/>
          </m:barPr>
          <m:e>
            <m:r>
              <m:t>W</m:t>
            </m:r>
          </m:e>
        </m:bar>
      </m:oMath>
      <w:r>
        <w:t xml:space="preserve">, donde</w:t>
      </w:r>
      <w:r>
        <w:t xml:space="preserve"> </w:t>
      </w:r>
      <m:oMath>
        <m:r>
          <m:t>a</m:t>
        </m:r>
        <m:d>
          <m:dPr>
            <m:begChr m:val="("/>
            <m:sepChr m:val=""/>
            <m:endChr m:val=")"/>
            <m:grow/>
          </m:dPr>
          <m:e>
            <m:r>
              <m:t>p</m:t>
            </m:r>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r>
              <m:t>p</m:t>
            </m:r>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37">
    <w:p>
      <w:pPr>
        <w:pStyle w:val="FootnoteText"/>
      </w:pPr>
      <w:r>
        <w:rPr>
          <w:rStyle w:val="FootnoteReference"/>
        </w:rPr>
        <w:footnoteRef/>
      </w:r>
      <w:r>
        <w:t xml:space="preserve"> </w:t>
      </w:r>
      <w:r>
        <w:t xml:space="preserve">(</w:t>
      </w:r>
      <w:hyperlink w:anchor="ref-MasColellWhinstonGreen1995">
        <w:r>
          <w:rPr>
            <w:rStyle w:val="Hyperlink"/>
          </w:rPr>
          <w:t xml:space="preserve">Mas-Colell, Whinston, y Green 1995</w:t>
        </w:r>
      </w:hyperlink>
      <w:r>
        <w:t xml:space="preserve">, prop. 4.B.1)</w:t>
      </w:r>
      <w:r>
        <w:t xml:space="preserve">.</w:t>
      </w:r>
    </w:p>
  </w:footnote>
  <w:footnote w:id="138">
    <w:p>
      <w:pPr>
        <w:pStyle w:val="FootnoteText"/>
      </w:pPr>
      <w:r>
        <w:rPr>
          <w:rStyle w:val="FootnoteReference"/>
        </w:rPr>
        <w:footnoteRef/>
      </w:r>
      <w:r>
        <w:t xml:space="preserve"> </w:t>
      </w:r>
      <w:r>
        <w:t xml:space="preserve">(</w:t>
      </w:r>
      <w:hyperlink w:anchor="ref-Muellbauer1975Aggregation">
        <w:r>
          <w:rPr>
            <w:rStyle w:val="Hyperlink"/>
          </w:rPr>
          <w:t xml:space="preserve">Muellbauer 1975</w:t>
        </w:r>
      </w:hyperlink>
      <w:r>
        <w:t xml:space="preserve">,</w:t>
      </w:r>
      <w:r>
        <w:t xml:space="preserve"> </w:t>
      </w:r>
      <w:hyperlink w:anchor="ref-Muellbauer1976Community">
        <w:r>
          <w:rPr>
            <w:rStyle w:val="Hyperlink"/>
          </w:rPr>
          <w:t xml:space="preserve">1976</w:t>
        </w:r>
      </w:hyperlink>
      <w:r>
        <w:t xml:space="preserve">)</w:t>
      </w:r>
      <w:r>
        <w:t xml:space="preserve">.</w:t>
      </w:r>
    </w:p>
  </w:footnote>
  <w:footnote w:id="143">
    <w:p>
      <w:pPr>
        <w:pStyle w:val="FootnoteText"/>
      </w:pPr>
      <w:r>
        <w:rPr>
          <w:rStyle w:val="FootnoteReference"/>
        </w:rPr>
        <w:footnoteRef/>
      </w:r>
      <w:r>
        <w:t xml:space="preserve"> </w:t>
      </w:r>
      <w:r>
        <w:t xml:space="preserve">(</w:t>
      </w:r>
      <w:hyperlink w:anchor="ref-Sonnenschein1973Walras">
        <w:r>
          <w:rPr>
            <w:rStyle w:val="Hyperlink"/>
          </w:rPr>
          <w:t xml:space="preserve">Sonnenschein 1973</w:t>
        </w:r>
      </w:hyperlink>
      <w:r>
        <w:t xml:space="preserve">;</w:t>
      </w:r>
      <w:r>
        <w:t xml:space="preserve"> </w:t>
      </w:r>
      <w:hyperlink w:anchor="ref-Mantel1974Characterization">
        <w:r>
          <w:rPr>
            <w:rStyle w:val="Hyperlink"/>
          </w:rPr>
          <w:t xml:space="preserve">Mantel 1974</w:t>
        </w:r>
      </w:hyperlink>
      <w:r>
        <w:t xml:space="preserve">;</w:t>
      </w:r>
      <w:r>
        <w:t xml:space="preserve"> </w:t>
      </w:r>
      <w:hyperlink w:anchor="ref-Debreu1974Excess">
        <w:r>
          <w:rPr>
            <w:rStyle w:val="Hyperlink"/>
          </w:rPr>
          <w:t xml:space="preserve">Debreu 1974</w:t>
        </w:r>
      </w:hyperlink>
      <w:r>
        <w:t xml:space="preserve">)</w:t>
      </w:r>
      <w:r>
        <w:t xml:space="preserve">.</w:t>
      </w:r>
    </w:p>
  </w:footnote>
  <w:footnote w:id="146">
    <w:p>
      <w:pPr>
        <w:pStyle w:val="FootnoteText"/>
      </w:pPr>
      <w:r>
        <w:rPr>
          <w:rStyle w:val="FootnoteReference"/>
        </w:rPr>
        <w:footnoteRef/>
      </w:r>
      <w:r>
        <w:t xml:space="preserve"> </w:t>
      </w:r>
      <w:r>
        <w:t xml:space="preserve">El análisis de elasticidades lo desarrolló de forma pionera</w:t>
      </w:r>
      <w:r>
        <w:t xml:space="preserve"> </w:t>
      </w:r>
      <w:r>
        <w:rPr>
          <w:smallCaps/>
        </w:rPr>
        <w:t xml:space="preserve">Alfred Marshall</w:t>
      </w:r>
      <w:r>
        <w:t xml:space="preserve">.</w:t>
      </w:r>
      <w:r>
        <w:rPr>
          <w:rStyle w:val="FootnoteReference"/>
        </w:rPr>
        <w:footnoteReference w:id="147"/>
      </w:r>
    </w:p>
  </w:footnote>
  <w:footnote w:id="148">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r>
              <m:t>p</m:t>
            </m:r>
          </m:e>
        </m:d>
        <m:r>
          <m:rPr>
            <m:sty m:val="p"/>
          </m:rPr>
          <m:t>=</m:t>
        </m:r>
        <m:r>
          <m:t>0</m:t>
        </m:r>
      </m:oMath>
      <w:r>
        <w:t xml:space="preserve"> </w:t>
      </w:r>
      <w:r>
        <w:t xml:space="preserve">(apartado I.3, ecuación (17)).</w:t>
      </w:r>
    </w:p>
  </w:footnote>
  <w:footnote w:id="149">
    <w:p>
      <w:pPr>
        <w:pStyle w:val="FootnoteText"/>
      </w:pPr>
      <w:r>
        <w:rPr>
          <w:rStyle w:val="FootnoteReference"/>
        </w:rPr>
        <w:footnoteRef/>
      </w:r>
      <w:r>
        <w:t xml:space="preserve"> </w:t>
      </w:r>
      <w:r>
        <w:t xml:space="preserve">Mas-Colell, Whinston, y Green (</w:t>
      </w:r>
      <w:hyperlink w:anchor="ref-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 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55">
    <w:p>
      <w:pPr>
        <w:pStyle w:val="FootnoteText"/>
      </w:pPr>
      <w:r>
        <w:rPr>
          <w:rStyle w:val="FootnoteReference"/>
        </w:rPr>
        <w:footnoteRef/>
      </w:r>
      <w:r>
        <w:t xml:space="preserve"> </w:t>
      </w:r>
      <w:r>
        <w:t xml:space="preserve">(</w:t>
      </w:r>
      <w:hyperlink w:anchor="ref-Engel1857Productions">
        <w:r>
          <w:rPr>
            <w:rStyle w:val="Hyperlink"/>
          </w:rPr>
          <w:t xml:space="preserve">Engel 1857</w:t>
        </w:r>
      </w:hyperlink>
      <w:r>
        <w:t xml:space="preserve">)</w:t>
      </w:r>
      <w:r>
        <w:t xml:space="preserve">.</w:t>
      </w:r>
    </w:p>
  </w:footnote>
  <w:footnote w:id="156">
    <w:p>
      <w:pPr>
        <w:pStyle w:val="FootnoteText"/>
      </w:pPr>
      <w:r>
        <w:rPr>
          <w:rStyle w:val="FootnoteReference"/>
        </w:rPr>
        <w:footnoteRef/>
      </w:r>
      <w:r>
        <w:t xml:space="preserve"> </w:t>
      </w:r>
      <w:r>
        <w:t xml:space="preserve">(</w:t>
      </w:r>
      <w:hyperlink w:anchor="ref-INE2026EPFTabla73828">
        <w:r>
          <w:rPr>
            <w:rStyle w:val="Hyperlink"/>
          </w:rPr>
          <w:t xml:space="preserve">Instituto Nacional de Estadística 2026b</w:t>
        </w:r>
      </w:hyperlink>
      <w:r>
        <w:t xml:space="preserve">,</w:t>
      </w:r>
      <w:r>
        <w:t xml:space="preserve"> </w:t>
      </w:r>
      <w:hyperlink w:anchor="ref-INE2026EPF">
        <w:r>
          <w:rPr>
            <w:rStyle w:val="Hyperlink"/>
          </w:rPr>
          <w:t xml:space="preserve">2026e</w:t>
        </w:r>
      </w:hyperlink>
      <w:r>
        <w:t xml:space="preserve">)</w:t>
      </w:r>
      <w:r>
        <w:t xml:space="preserve">.</w:t>
      </w:r>
    </w:p>
  </w:footnote>
  <w:footnote w:id="157">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dos años consecutivos, lo que permite construir un panel corto.</w:t>
      </w:r>
      <w:r>
        <w:rPr>
          <w:rStyle w:val="FootnoteReference"/>
        </w:rPr>
        <w:footnoteReference w:id="158"/>
      </w:r>
    </w:p>
  </w:footnote>
  <w:footnote w:id="173">
    <w:p>
      <w:pPr>
        <w:pStyle w:val="FootnoteText"/>
      </w:pPr>
      <w:r>
        <w:rPr>
          <w:rStyle w:val="FootnoteReference"/>
        </w:rPr>
        <w:footnoteRef/>
      </w:r>
      <w:r>
        <w:t xml:space="preserve"> </w:t>
      </w:r>
      <w:r>
        <w:t xml:space="preserve">Hay dos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74">
    <w:p>
      <w:pPr>
        <w:pStyle w:val="FootnoteText"/>
      </w:pPr>
      <w:r>
        <w:rPr>
          <w:rStyle w:val="FootnoteReference"/>
        </w:rPr>
        <w:footnoteRef/>
      </w:r>
      <w:r>
        <w:t xml:space="preserve"> </w:t>
      </w:r>
      <w:r>
        <w:t xml:space="preserve">(</w:t>
      </w:r>
      <w:hyperlink w:anchor="ref-Slutsky1915Bilancio">
        <w:r>
          <w:rPr>
            <w:rStyle w:val="Hyperlink"/>
          </w:rPr>
          <w:t xml:space="preserve">Slutsky 1915</w:t>
        </w:r>
      </w:hyperlink>
      <w:r>
        <w:t xml:space="preserve">)</w:t>
      </w:r>
      <w:r>
        <w:t xml:space="preserve">.</w:t>
      </w:r>
    </w:p>
  </w:footnote>
  <w:footnote w:id="175">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oMath>
      <w:r>
        <w:t xml:space="preserve">, donde</w:t>
      </w:r>
      <w:r>
        <w:t xml:space="preserve"> </w:t>
      </w:r>
      <m:oMath>
        <m:r>
          <m:t>E</m:t>
        </m:r>
        <m:d>
          <m:dPr>
            <m:begChr m:val="("/>
            <m:sepChr m:val=""/>
            <m:endChr m:val=")"/>
            <m:grow/>
          </m:dPr>
          <m:e>
            <m:r>
              <m:t>p</m:t>
            </m:r>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r>
        <w:rPr>
          <w:rStyle w:val="Referenciaatema"/>
        </w:rPr>
        <w:t xml:space="preserve">[ver tema 3.A.9]</w:t>
      </w:r>
      <w:r>
        <w:t xml:space="preserve">.</w:t>
      </w:r>
    </w:p>
  </w:footnote>
  <w:footnote w:id="176">
    <w:p>
      <w:pPr>
        <w:pStyle w:val="FootnoteText"/>
      </w:pPr>
      <w:r>
        <w:rPr>
          <w:rStyle w:val="FootnoteReference"/>
        </w:rPr>
        <w:footnoteRef/>
      </w:r>
      <w:r>
        <w:t xml:space="preserve"> </w:t>
      </w:r>
      <w:r>
        <w:t xml:space="preserve">Se debe a la concavidad de la función de gasto</w:t>
      </w:r>
      <w:r>
        <w:t xml:space="preserve"> </w:t>
      </w:r>
      <w:r>
        <w:rPr>
          <w:rStyle w:val="Referenciaatema"/>
        </w:rPr>
        <w:t xml:space="preserve">[ver tema 3.A.9]</w:t>
      </w:r>
      <w:r>
        <w:t xml:space="preserve">. En el apartado III.1 se obtiene el mismo resultado con el axioma débil de la preferencia revelada, sin recurrir a la utilidad.</w:t>
      </w:r>
    </w:p>
  </w:footnote>
  <w:footnote w:id="177">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78">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rPr>
          <w:rStyle w:val="FootnoteReference"/>
        </w:rPr>
        <w:footnoteReference w:id="179"/>
      </w:r>
      <w:r>
        <w:t xml:space="preserve"> </w:t>
      </w:r>
      <w:r>
        <w:t xml:space="preserve">La evidencia más sólida es la de</w:t>
      </w:r>
      <w:r>
        <w:t xml:space="preserve"> </w:t>
      </w:r>
      <w:r>
        <w:rPr>
          <w:smallCaps/>
        </w:rPr>
        <w:t xml:space="preserve">Jensen</w:t>
      </w:r>
      <w:r>
        <w:t xml:space="preserve"> </w:t>
      </w:r>
      <w:r>
        <w:t xml:space="preserve">y</w:t>
      </w:r>
      <w:r>
        <w:t xml:space="preserve"> </w:t>
      </w:r>
      <w:r>
        <w:rPr>
          <w:smallCaps/>
        </w:rPr>
        <w:t xml:space="preserve">Miller</w:t>
      </w:r>
      <w:r>
        <w:t xml:space="preserve"> </w:t>
      </w:r>
      <w:r>
        <w:t xml:space="preserve">(2008), que subvencionaron el arroz a hogares muy pobres de Hunan (China) y observaron que su consumo</w:t>
      </w:r>
      <w:r>
        <w:t xml:space="preserve"> </w:t>
      </w:r>
      <w:r>
        <w:rPr>
          <w:i/>
          <w:iCs/>
        </w:rPr>
        <w:t xml:space="preserve">caía</w:t>
      </w:r>
      <w:r>
        <w:t xml:space="preserve">.</w:t>
      </w:r>
      <w:r>
        <w:rPr>
          <w:rStyle w:val="FootnoteReference"/>
        </w:rPr>
        <w:footnoteReference w:id="180"/>
      </w:r>
    </w:p>
  </w:footnote>
  <w:footnote w:id="186">
    <w:p>
      <w:pPr>
        <w:pStyle w:val="FootnoteText"/>
      </w:pPr>
      <w:r>
        <w:rPr>
          <w:rStyle w:val="FootnoteReference"/>
        </w:rPr>
        <w:footnoteRef/>
      </w:r>
      <w:r>
        <w:t xml:space="preserve"> </w:t>
      </w:r>
      <w:r>
        <w:t xml:space="preserve">(</w:t>
      </w:r>
      <w:hyperlink w:anchor="ref-Veblen1899Leisure">
        <w:r>
          <w:rPr>
            <w:rStyle w:val="Hyperlink"/>
          </w:rPr>
          <w:t xml:space="preserve">Veblen 1899</w:t>
        </w:r>
      </w:hyperlink>
      <w:r>
        <w:t xml:space="preserve">)</w:t>
      </w:r>
      <w:r>
        <w:t xml:space="preserve">.</w:t>
      </w:r>
    </w:p>
  </w:footnote>
  <w:footnote w:id="187">
    <w:p>
      <w:pPr>
        <w:pStyle w:val="FootnoteText"/>
      </w:pPr>
      <w:r>
        <w:rPr>
          <w:rStyle w:val="FootnoteReference"/>
        </w:rPr>
        <w:footnoteRef/>
      </w:r>
      <w:r>
        <w:t xml:space="preserve"> </w:t>
      </w:r>
      <w:r>
        <w:t xml:space="preserve">(</w:t>
      </w:r>
      <w:hyperlink w:anchor="ref-Leibenstein1950Bandwagon">
        <w:r>
          <w:rPr>
            <w:rStyle w:val="Hyperlink"/>
          </w:rPr>
          <w:t xml:space="preserve">Leibenstein 1950</w:t>
        </w:r>
      </w:hyperlink>
      <w:r>
        <w:t xml:space="preserve">)</w:t>
      </w:r>
      <w:r>
        <w:t xml:space="preserve">.</w:t>
      </w:r>
    </w:p>
  </w:footnote>
  <w:footnote w:id="193">
    <w:p>
      <w:pPr>
        <w:pStyle w:val="FootnoteText"/>
      </w:pPr>
      <w:r>
        <w:rPr>
          <w:rStyle w:val="FootnoteReference"/>
        </w:rPr>
        <w:footnoteRef/>
      </w:r>
      <w:r>
        <w:t xml:space="preserve"> </w:t>
      </w:r>
      <w:r>
        <w:t xml:space="preserve">(</w:t>
      </w:r>
      <w:hyperlink w:anchor="ref-MasColellWhinstonGreen1995">
        <w:r>
          <w:rPr>
            <w:rStyle w:val="Hyperlink"/>
          </w:rPr>
          <w:t xml:space="preserve">Mas-Colell, Whinston, y Green 1995</w:t>
        </w:r>
      </w:hyperlink>
      <w:r>
        <w:t xml:space="preserve">, prop. 3.G.2 y ejercicio 3.G.4;</w:t>
      </w:r>
      <w:r>
        <w:t xml:space="preserve"> </w:t>
      </w:r>
      <w:hyperlink w:anchor="ref-DeatonMuellbauer1980Economics">
        <w:r>
          <w:rPr>
            <w:rStyle w:val="Hyperlink"/>
          </w:rPr>
          <w:t xml:space="preserve">Deaton y Muellbauer 1980b, cap. 2</w:t>
        </w:r>
      </w:hyperlink>
      <w:r>
        <w:t xml:space="preserve">)</w:t>
      </w:r>
      <w:r>
        <w:t xml:space="preserve">.</w:t>
      </w:r>
    </w:p>
  </w:footnote>
  <w:footnote w:id="196">
    <w:p>
      <w:pPr>
        <w:pStyle w:val="FootnoteText"/>
      </w:pPr>
      <w:r>
        <w:rPr>
          <w:rStyle w:val="FootnoteReference"/>
        </w:rPr>
        <w:footnoteRef/>
      </w:r>
      <w:r>
        <w:t xml:space="preserve"> </w:t>
      </w:r>
      <w:r>
        <w:t xml:space="preserve">Por ejemplo, con dos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201">
    <w:p>
      <w:pPr>
        <w:pStyle w:val="FootnoteText"/>
      </w:pPr>
      <w:r>
        <w:rPr>
          <w:rStyle w:val="FootnoteReference"/>
        </w:rPr>
        <w:footnoteRef/>
      </w:r>
      <w:r>
        <w:t xml:space="preserve"> </w:t>
      </w:r>
      <w:r>
        <w:t xml:space="preserve">(</w:t>
      </w:r>
      <w:hyperlink w:anchor="ref-Samuelson1938Note">
        <w:r>
          <w:rPr>
            <w:rStyle w:val="Hyperlink"/>
          </w:rPr>
          <w:t xml:space="preserve">Samuelson 1938</w:t>
        </w:r>
      </w:hyperlink>
      <w:r>
        <w:t xml:space="preserve">,</w:t>
      </w:r>
      <w:r>
        <w:t xml:space="preserve"> </w:t>
      </w:r>
      <w:hyperlink w:anchor="ref-Samuelson1948Consumption">
        <w:r>
          <w:rPr>
            <w:rStyle w:val="Hyperlink"/>
          </w:rPr>
          <w:t xml:space="preserve">1948</w:t>
        </w:r>
      </w:hyperlink>
      <w:r>
        <w:t xml:space="preserve">)</w:t>
      </w:r>
      <w:r>
        <w:t xml:space="preserve">.</w:t>
      </w:r>
    </w:p>
  </w:footnote>
  <w:footnote w:id="202">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r>
        <w:rPr>
          <w:rStyle w:val="Referenciaatema"/>
        </w:rPr>
        <w:t xml:space="preserve">[ver tema 3.A.9]</w:t>
      </w:r>
      <w:r>
        <w:t xml:space="preserve">.</w:t>
      </w:r>
    </w:p>
  </w:footnote>
  <w:footnote w:id="203">
    <w:p>
      <w:pPr>
        <w:pStyle w:val="FootnoteText"/>
      </w:pPr>
      <w:r>
        <w:rPr>
          <w:rStyle w:val="FootnoteReference"/>
        </w:rPr>
        <w:footnoteRef/>
      </w:r>
      <w:r>
        <w:t xml:space="preserve"> </w:t>
      </w:r>
      <w:r>
        <w:rPr>
          <w:smallCaps/>
        </w:rPr>
        <w:t xml:space="preserve">Paul 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rPr>
          <w:rStyle w:val="FootnoteReference"/>
        </w:rPr>
        <w:footnoteReference w:id="204"/>
      </w:r>
    </w:p>
  </w:footnote>
  <w:footnote w:id="206">
    <w:p>
      <w:pPr>
        <w:pStyle w:val="FootnoteText"/>
      </w:pPr>
      <w:r>
        <w:rPr>
          <w:rStyle w:val="FootnoteReference"/>
        </w:rPr>
        <w:footnoteRef/>
      </w:r>
      <w:r>
        <w:t xml:space="preserve"> </w:t>
      </w:r>
      <w:r>
        <w:t xml:space="preserve">No del consumidor representativo: la agregación no conserva el axioma débil (apartado I.3).</w:t>
      </w:r>
    </w:p>
  </w:footnote>
  <w:footnote w:id="208">
    <w:p>
      <w:pPr>
        <w:pStyle w:val="FootnoteText"/>
      </w:pPr>
      <w:r>
        <w:rPr>
          <w:rStyle w:val="FootnoteReference"/>
        </w:rPr>
        <w:footnoteRef/>
      </w:r>
      <w:r>
        <w:t xml:space="preserve"> </w:t>
      </w:r>
      <w:r>
        <w:t xml:space="preserve">Es decir: si en la situación 0 se eligió</w:t>
      </w:r>
      <w:r>
        <w:t xml:space="preserve"> </w:t>
      </w:r>
      <m:oMath>
        <m:sSup>
          <m:e>
            <m:r>
              <m:t>x</m:t>
            </m:r>
          </m:e>
          <m:sup>
            <m:r>
              <m:t>0</m:t>
            </m:r>
          </m:sup>
        </m:sSup>
      </m:oMath>
      <w:r>
        <w:t xml:space="preserve"> </w:t>
      </w:r>
      <w:r>
        <w:t xml:space="preserve">pudiendo comprar</w:t>
      </w:r>
      <w:r>
        <w:t xml:space="preserve"> </w:t>
      </w:r>
      <m:oMath>
        <m:sSup>
          <m:e>
            <m:r>
              <m:t>x</m:t>
            </m:r>
          </m:e>
          <m:sup>
            <m:r>
              <m:t>1</m:t>
            </m:r>
          </m:sup>
        </m:sSup>
      </m:oMath>
      <w:r>
        <w:t xml:space="preserve">, en cualquier otra situación en la que se elija</w:t>
      </w:r>
      <w:r>
        <w:t xml:space="preserve"> </w:t>
      </w:r>
      <m:oMath>
        <m:sSup>
          <m:e>
            <m:r>
              <m:t>x</m:t>
            </m:r>
          </m:e>
          <m:sup>
            <m:r>
              <m:t>1</m:t>
            </m:r>
          </m:sup>
        </m:sSup>
      </m:oMath>
      <w:r>
        <w:t xml:space="preserve"> </w:t>
      </w:r>
      <w:r>
        <w:t xml:space="preserve">la cesta</w:t>
      </w:r>
      <w:r>
        <w:t xml:space="preserve"> </w:t>
      </w:r>
      <m:oMath>
        <m:sSup>
          <m:e>
            <m:r>
              <m:t>x</m:t>
            </m:r>
          </m:e>
          <m:sup>
            <m:r>
              <m:t>0</m:t>
            </m:r>
          </m:sup>
        </m:sSup>
      </m:oMath>
      <w:r>
        <w:t xml:space="preserve"> </w:t>
      </w:r>
      <w:r>
        <w:t xml:space="preserve">no puede ser asequible. El axioma no exige que la renta se mantenga constante: compara dos situaciones de precios y renta cualesquiera.</w:t>
      </w:r>
    </w:p>
  </w:footnote>
  <w:footnote w:id="213">
    <w:p>
      <w:pPr>
        <w:pStyle w:val="FootnoteText"/>
      </w:pPr>
      <w:r>
        <w:rPr>
          <w:rStyle w:val="FootnoteReference"/>
        </w:rPr>
        <w:footnoteRef/>
      </w:r>
      <w:r>
        <w:t xml:space="preserve"> </w:t>
      </w:r>
      <w:r>
        <w:t xml:space="preserve">Si</w:t>
      </w:r>
      <w:r>
        <w:t xml:space="preserve"> </w:t>
      </w:r>
      <m:oMath>
        <m:sSup>
          <m:e>
            <m:r>
              <m:t>p</m:t>
            </m:r>
          </m:e>
          <m:sup>
            <m:r>
              <m:t>1</m:t>
            </m:r>
          </m:sup>
        </m:sSup>
        <m:r>
          <m:rPr>
            <m:sty m:val="p"/>
          </m:rPr>
          <m:t>=</m:t>
        </m:r>
        <m:r>
          <m:t>k</m:t>
        </m:r>
        <m:sSup>
          <m:e>
            <m:r>
              <m:t>p</m:t>
            </m:r>
          </m:e>
          <m:sup>
            <m:r>
              <m:t>0</m:t>
            </m:r>
          </m:sup>
        </m:sSup>
      </m:oMath>
      <w:r>
        <w:t xml:space="preserve"> </w:t>
      </w:r>
      <w:r>
        <w:t xml:space="preserve">y</w:t>
      </w:r>
      <w:r>
        <w:t xml:space="preserve"> </w:t>
      </w:r>
      <m:oMath>
        <m:sSup>
          <m:e>
            <m:bar>
              <m:barPr>
                <m:pos m:val="top"/>
              </m:barPr>
              <m:e>
                <m:r>
                  <m:t>W</m:t>
                </m:r>
              </m:e>
            </m:bar>
          </m:e>
          <m:sup>
            <m:r>
              <m:t>1</m:t>
            </m:r>
          </m:sup>
        </m:sSup>
        <m:r>
          <m:rPr>
            <m:sty m:val="p"/>
          </m:rPr>
          <m:t>=</m:t>
        </m:r>
        <m:r>
          <m:t>k</m:t>
        </m:r>
        <m:sSup>
          <m:e>
            <m:bar>
              <m:barPr>
                <m:pos m:val="top"/>
              </m:barPr>
              <m:e>
                <m:r>
                  <m:t>W</m:t>
                </m:r>
              </m:e>
            </m:bar>
          </m:e>
          <m:sup>
            <m:r>
              <m:t>0</m:t>
            </m:r>
          </m:sup>
        </m:sSup>
      </m:oMath>
      <w:r>
        <w:t xml:space="preserve"> </w:t>
      </w:r>
      <w:r>
        <w:t xml:space="preserve">con</w:t>
      </w:r>
      <w:r>
        <w:t xml:space="preserve"> </w:t>
      </w:r>
      <m:oMath>
        <m:r>
          <m:t>k</m:t>
        </m:r>
        <m:r>
          <m:rPr>
            <m:sty m:val="p"/>
          </m:rPr>
          <m:t>&gt;</m:t>
        </m:r>
        <m:r>
          <m:t>0</m:t>
        </m:r>
      </m:oMath>
      <w:r>
        <w:t xml:space="preserve">, el conjunto presupuestario es el mismo. Si las cestas elegidas fueran distintas, cada una sería asequible cuando se eligió la otra, y se violaría el ADPR.</w:t>
      </w:r>
    </w:p>
  </w:footnote>
  <w:footnote w:id="214">
    <w:p>
      <w:pPr>
        <w:pStyle w:val="FootnoteText"/>
      </w:pPr>
      <w:r>
        <w:rPr>
          <w:rStyle w:val="FootnoteReference"/>
        </w:rPr>
        <w:footnoteRef/>
      </w:r>
      <w:r>
        <w:t xml:space="preserve"> </w:t>
      </w:r>
      <w:r>
        <w:t xml:space="preserve">(</w:t>
      </w:r>
      <w:hyperlink w:anchor="ref-MasColellWhinstonGreen1995">
        <w:r>
          <w:rPr>
            <w:rStyle w:val="Hyperlink"/>
          </w:rPr>
          <w:t xml:space="preserve">Mas-Colell, Whinston, y Green 1995</w:t>
        </w:r>
      </w:hyperlink>
      <w:r>
        <w:t xml:space="preserve">, prop. 2.F.1)</w:t>
      </w:r>
      <w:r>
        <w:t xml:space="preserve">.</w:t>
      </w:r>
    </w:p>
  </w:footnote>
  <w:footnote w:id="215">
    <w:p>
      <w:pPr>
        <w:pStyle w:val="FootnoteText"/>
      </w:pPr>
      <w:r>
        <w:rPr>
          <w:rStyle w:val="FootnoteReference"/>
        </w:rPr>
        <w:footnoteRef/>
      </w:r>
      <w:r>
        <w:t xml:space="preserve"> </w:t>
      </w:r>
      <w:r>
        <w:t xml:space="preserve">(</w:t>
      </w:r>
      <w:hyperlink w:anchor="ref-MasColellWhinstonGreen1995">
        <w:r>
          <w:rPr>
            <w:rStyle w:val="Hyperlink"/>
          </w:rPr>
          <w:t xml:space="preserve">Mas-Colell, Whinston, y Green 1995</w:t>
        </w:r>
      </w:hyperlink>
      <w:r>
        <w:t xml:space="preserve">, prop. 2.F.2)</w:t>
      </w:r>
      <w:r>
        <w:t xml:space="preserve">.</w:t>
      </w:r>
    </w:p>
  </w:footnote>
  <w:footnote w:id="216">
    <w:p>
      <w:pPr>
        <w:pStyle w:val="FootnoteText"/>
      </w:pPr>
      <w:r>
        <w:rPr>
          <w:rStyle w:val="FootnoteReference"/>
        </w:rPr>
        <w:footnoteRef/>
      </w:r>
      <w:r>
        <w:t xml:space="preserve"> </w:t>
      </w:r>
      <w:r>
        <w:t xml:space="preserve">(</w:t>
      </w:r>
      <w:hyperlink w:anchor="ref-Rose1958Consistency">
        <w:r>
          <w:rPr>
            <w:rStyle w:val="Hyperlink"/>
          </w:rPr>
          <w:t xml:space="preserve">Rose 1958</w:t>
        </w:r>
      </w:hyperlink>
      <w:r>
        <w:t xml:space="preserve">)</w:t>
      </w:r>
      <w:r>
        <w:t xml:space="preserve">.</w:t>
      </w:r>
    </w:p>
  </w:footnote>
  <w:footnote w:id="217">
    <w:p>
      <w:pPr>
        <w:pStyle w:val="FootnoteText"/>
      </w:pPr>
      <w:r>
        <w:rPr>
          <w:rStyle w:val="FootnoteReference"/>
        </w:rPr>
        <w:footnoteRef/>
      </w:r>
      <w:r>
        <w:t xml:space="preserve"> </w:t>
      </w:r>
      <w:r>
        <w:t xml:space="preserve">(</w:t>
      </w:r>
      <w:hyperlink w:anchor="ref-KihlstromMasColellSonnenschein1976">
        <w:r>
          <w:rPr>
            <w:rStyle w:val="Hyperlink"/>
          </w:rPr>
          <w:t xml:space="preserve">Kihlstrom, Mas-Colell, y Sonnenschein 1976</w:t>
        </w:r>
      </w:hyperlink>
      <w:r>
        <w:t xml:space="preserve">)</w:t>
      </w:r>
      <w:r>
        <w:t xml:space="preserve">.</w:t>
      </w:r>
    </w:p>
  </w:footnote>
  <w:footnote w:id="219">
    <w:p>
      <w:pPr>
        <w:pStyle w:val="FootnoteText"/>
      </w:pPr>
      <w:r>
        <w:rPr>
          <w:rStyle w:val="FootnoteReference"/>
        </w:rPr>
        <w:footnoteRef/>
      </w:r>
      <w:r>
        <w:t xml:space="preserve"> </w:t>
      </w:r>
      <w:r>
        <w:t xml:space="preserve">(</w:t>
      </w:r>
      <w:hyperlink w:anchor="ref-Houthakker1950Revealed">
        <w:r>
          <w:rPr>
            <w:rStyle w:val="Hyperlink"/>
          </w:rPr>
          <w:t xml:space="preserve">Houthakker 1950</w:t>
        </w:r>
      </w:hyperlink>
      <w:r>
        <w:t xml:space="preserve">)</w:t>
      </w:r>
      <w:r>
        <w:t xml:space="preserve">.</w:t>
      </w:r>
    </w:p>
  </w:footnote>
  <w:footnote w:id="220">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MasColellWhinstonGreen1995">
        <w:r>
          <w:rPr>
            <w:rStyle w:val="Hyperlink"/>
          </w:rPr>
          <w:t xml:space="preserve">Mas-Colell, Whinston, y Green 1995, párr. 3.J</w:t>
        </w:r>
      </w:hyperlink>
      <w:r>
        <w:t xml:space="preserve">)</w:t>
      </w:r>
      <w:r>
        <w:t xml:space="preserve">.</w:t>
      </w:r>
    </w:p>
  </w:footnote>
  <w:footnote w:id="221">
    <w:p>
      <w:pPr>
        <w:pStyle w:val="FootnoteText"/>
      </w:pPr>
      <w:r>
        <w:rPr>
          <w:rStyle w:val="FootnoteReference"/>
        </w:rPr>
        <w:footnoteRef/>
      </w:r>
      <w:r>
        <w:t xml:space="preserve"> </w:t>
      </w:r>
      <w:r>
        <w:t xml:space="preserve">(</w:t>
      </w:r>
      <w:hyperlink w:anchor="ref-Afriat1967Construction">
        <w:r>
          <w:rPr>
            <w:rStyle w:val="Hyperlink"/>
          </w:rPr>
          <w:t xml:space="preserve">Afriat 1967</w:t>
        </w:r>
      </w:hyperlink>
      <w:r>
        <w:t xml:space="preserve">;</w:t>
      </w:r>
      <w:r>
        <w:t xml:space="preserve"> </w:t>
      </w:r>
      <w:hyperlink w:anchor="ref-Varian1982Nonparametric">
        <w:r>
          <w:rPr>
            <w:rStyle w:val="Hyperlink"/>
          </w:rPr>
          <w:t xml:space="preserve">Varian 1982</w:t>
        </w:r>
      </w:hyperlink>
      <w:r>
        <w:t xml:space="preserve">)</w:t>
      </w:r>
      <w:r>
        <w:t xml:space="preserve">.</w:t>
      </w:r>
    </w:p>
  </w:footnote>
  <w:footnote w:id="227">
    <w:p>
      <w:pPr>
        <w:pStyle w:val="FootnoteText"/>
      </w:pPr>
      <w:r>
        <w:rPr>
          <w:rStyle w:val="FootnoteReference"/>
        </w:rPr>
        <w:footnoteRef/>
      </w:r>
      <w:r>
        <w:t xml:space="preserve"> </w:t>
      </w:r>
      <w:r>
        <w:t xml:space="preserve">(</w:t>
      </w:r>
      <w:hyperlink w:anchor="ref-Sen1973Behaviour">
        <w:r>
          <w:rPr>
            <w:rStyle w:val="Hyperlink"/>
          </w:rPr>
          <w:t xml:space="preserve">Sen 1973</w:t>
        </w:r>
      </w:hyperlink>
      <w:r>
        <w:t xml:space="preserve">)</w:t>
      </w:r>
      <w:r>
        <w:t xml:space="preserve">.</w:t>
      </w:r>
    </w:p>
  </w:footnote>
  <w:footnote w:id="234">
    <w:p>
      <w:pPr>
        <w:pStyle w:val="FootnoteText"/>
      </w:pPr>
      <w:r>
        <w:rPr>
          <w:rStyle w:val="FootnoteReference"/>
        </w:rPr>
        <w:footnoteRef/>
      </w:r>
      <w:r>
        <w:t xml:space="preserve"> </w:t>
      </w:r>
      <w:r>
        <w:t xml:space="preserve">(</w:t>
      </w:r>
      <w:hyperlink w:anchor="ref-Becker1965Allocation">
        <w:r>
          <w:rPr>
            <w:rStyle w:val="Hyperlink"/>
          </w:rPr>
          <w:t xml:space="preserve">Becker 1965</w:t>
        </w:r>
      </w:hyperlink>
      <w:r>
        <w:t xml:space="preserve">)</w:t>
      </w:r>
      <w:r>
        <w:t xml:space="preserve">.</w:t>
      </w:r>
    </w:p>
  </w:footnote>
  <w:footnote w:id="235">
    <w:p>
      <w:pPr>
        <w:pStyle w:val="FootnoteText"/>
      </w:pPr>
      <w:r>
        <w:rPr>
          <w:rStyle w:val="FootnoteReference"/>
        </w:rPr>
        <w:footnoteRef/>
      </w:r>
      <w:r>
        <w:t xml:space="preserve"> </w:t>
      </w:r>
      <w:r>
        <w:rPr>
          <w:smallCaps/>
        </w:rPr>
        <w:t xml:space="preserve">Gary Becker</w:t>
      </w:r>
      <w:r>
        <w:t xml:space="preserve"> </w:t>
      </w:r>
      <w:r>
        <w:t xml:space="preserve">recibió el Premio Nobel de Economía en 1992 por haber extendido el análisis microeconómico a un amplio abanico de conductas e interacciones humanas, incluidas las que no pasan por el mercado.</w:t>
      </w:r>
      <w:r>
        <w:rPr>
          <w:rStyle w:val="FootnoteReference"/>
        </w:rPr>
        <w:footnoteReference w:id="236"/>
      </w:r>
    </w:p>
  </w:footnote>
  <w:footnote w:id="237">
    <w:p>
      <w:pPr>
        <w:pStyle w:val="FootnoteText"/>
      </w:pPr>
      <w:r>
        <w:rPr>
          <w:rStyle w:val="FootnoteReference"/>
        </w:rPr>
        <w:footnoteRef/>
      </w:r>
      <w:r>
        <w:t xml:space="preserve"> </w:t>
      </w:r>
      <w:r>
        <w:t xml:space="preserve">(</w:t>
      </w:r>
      <w:hyperlink w:anchor="ref-Lancaster1966New">
        <w:r>
          <w:rPr>
            <w:rStyle w:val="Hyperlink"/>
          </w:rPr>
          <w:t xml:space="preserve">Lancaster 1966</w:t>
        </w:r>
      </w:hyperlink>
      <w:r>
        <w:t xml:space="preserve">)</w:t>
      </w:r>
      <w:r>
        <w:t xml:space="preserve">.</w:t>
      </w:r>
    </w:p>
  </w:footnote>
  <w:footnote w:id="238">
    <w:p>
      <w:pPr>
        <w:pStyle w:val="FootnoteText"/>
      </w:pPr>
      <w:r>
        <w:rPr>
          <w:rStyle w:val="FootnoteReference"/>
        </w:rPr>
        <w:footnoteRef/>
      </w:r>
      <w:r>
        <w:t xml:space="preserve"> </w:t>
      </w:r>
      <w:r>
        <w:t xml:space="preserve">(</w:t>
      </w:r>
      <w:hyperlink w:anchor="ref-Gronau1977Leisure">
        <w:r>
          <w:rPr>
            <w:rStyle w:val="Hyperlink"/>
          </w:rPr>
          <w:t xml:space="preserve">Gronau 1977</w:t>
        </w:r>
      </w:hyperlink>
      <w:r>
        <w:t xml:space="preserve">)</w:t>
      </w:r>
      <w:r>
        <w:t xml:space="preserve">.</w:t>
      </w:r>
    </w:p>
  </w:footnote>
  <w:footnote w:id="240">
    <w:p>
      <w:pPr>
        <w:pStyle w:val="FootnoteText"/>
      </w:pPr>
      <w:r>
        <w:rPr>
          <w:rStyle w:val="FootnoteReference"/>
        </w:rPr>
        <w:footnoteRef/>
      </w:r>
      <w:r>
        <w:t xml:space="preserve"> </w:t>
      </w:r>
      <w:r>
        <w:t xml:space="preserve">(</w:t>
      </w:r>
      <w:hyperlink w:anchor="ref-Court1939Hedonic">
        <w:r>
          <w:rPr>
            <w:rStyle w:val="Hyperlink"/>
          </w:rPr>
          <w:t xml:space="preserve">Court 1939</w:t>
        </w:r>
      </w:hyperlink>
      <w:r>
        <w:t xml:space="preserve">;</w:t>
      </w:r>
      <w:r>
        <w:t xml:space="preserve"> </w:t>
      </w:r>
      <w:hyperlink w:anchor="ref-Goodman1998Court">
        <w:r>
          <w:rPr>
            <w:rStyle w:val="Hyperlink"/>
          </w:rPr>
          <w:t xml:space="preserve">Goodman 1998</w:t>
        </w:r>
      </w:hyperlink>
      <w:r>
        <w:t xml:space="preserve">)</w:t>
      </w:r>
      <w:r>
        <w:t xml:space="preserve">.</w:t>
      </w:r>
    </w:p>
  </w:footnote>
  <w:footnote w:id="241">
    <w:p>
      <w:pPr>
        <w:pStyle w:val="FootnoteText"/>
      </w:pPr>
      <w:r>
        <w:rPr>
          <w:rStyle w:val="FootnoteReference"/>
        </w:rPr>
        <w:footnoteRef/>
      </w:r>
      <w:r>
        <w:t xml:space="preserve"> </w:t>
      </w:r>
      <w:r>
        <w:t xml:space="preserve">(</w:t>
      </w:r>
      <w:hyperlink w:anchor="ref-Griliches1961Hedonic">
        <w:r>
          <w:rPr>
            <w:rStyle w:val="Hyperlink"/>
          </w:rPr>
          <w:t xml:space="preserve">Griliches 1961</w:t>
        </w:r>
      </w:hyperlink>
      <w:r>
        <w:t xml:space="preserve">;</w:t>
      </w:r>
      <w:r>
        <w:t xml:space="preserve"> </w:t>
      </w:r>
      <w:hyperlink w:anchor="ref-Griliches1971Price">
        <w:r>
          <w:rPr>
            <w:rStyle w:val="Hyperlink"/>
          </w:rPr>
          <w:t xml:space="preserve">Griliches 1971</w:t>
        </w:r>
      </w:hyperlink>
      <w:r>
        <w:t xml:space="preserve">)</w:t>
      </w:r>
      <w:r>
        <w:t xml:space="preserve">.</w:t>
      </w:r>
    </w:p>
  </w:footnote>
  <w:footnote w:id="242">
    <w:p>
      <w:pPr>
        <w:pStyle w:val="FootnoteText"/>
      </w:pPr>
      <w:r>
        <w:rPr>
          <w:rStyle w:val="FootnoteReference"/>
        </w:rPr>
        <w:footnoteRef/>
      </w:r>
      <w:r>
        <w:t xml:space="preserve"> </w:t>
      </w:r>
      <w:r>
        <w:t xml:space="preserve">(</w:t>
      </w:r>
      <w:hyperlink w:anchor="ref-Rosen1974Hedonic">
        <w:r>
          <w:rPr>
            <w:rStyle w:val="Hyperlink"/>
          </w:rPr>
          <w:t xml:space="preserve">Rosen 1974</w:t>
        </w:r>
      </w:hyperlink>
      <w:r>
        <w:t xml:space="preserve">)</w:t>
      </w:r>
      <w:r>
        <w:t xml:space="preserve">.</w:t>
      </w:r>
    </w:p>
  </w:footnote>
  <w:footnote w:id="249">
    <w:p>
      <w:pPr>
        <w:pStyle w:val="FootnoteText"/>
      </w:pPr>
      <w:r>
        <w:rPr>
          <w:rStyle w:val="FootnoteReference"/>
        </w:rPr>
        <w:footnoteRef/>
      </w:r>
      <w:r>
        <w:t xml:space="preserve"> </w:t>
      </w:r>
      <w:r>
        <w:t xml:space="preserve">(</w:t>
      </w:r>
      <w:hyperlink w:anchor="ref-EkelandHeckmanNesheim2004">
        <w:r>
          <w:rPr>
            <w:rStyle w:val="Hyperlink"/>
          </w:rPr>
          <w:t xml:space="preserve">Ekeland, Heckman, y Nesheim 2004</w:t>
        </w:r>
      </w:hyperlink>
      <w:r>
        <w:t xml:space="preserve">)</w:t>
      </w:r>
      <w:r>
        <w:t xml:space="preserve">.</w:t>
      </w:r>
    </w:p>
  </w:footnote>
  <w:footnote w:id="251">
    <w:p>
      <w:pPr>
        <w:pStyle w:val="FootnoteText"/>
      </w:pPr>
      <w:r>
        <w:rPr>
          <w:rStyle w:val="FootnoteReference"/>
        </w:rPr>
        <w:footnoteRef/>
      </w:r>
      <w:r>
        <w:t xml:space="preserve"> </w:t>
      </w:r>
      <w:r>
        <w:t xml:space="preserve">(</w:t>
      </w:r>
      <w:hyperlink w:anchor="ref-Boskin1996Toward">
        <w:r>
          <w:rPr>
            <w:rStyle w:val="Hyperlink"/>
          </w:rPr>
          <w:t xml:space="preserve">Boskin et al. 1996</w:t>
        </w:r>
      </w:hyperlink>
      <w:r>
        <w:t xml:space="preserve">)</w:t>
      </w:r>
      <w:r>
        <w:t xml:space="preserve">.</w:t>
      </w:r>
    </w:p>
  </w:footnote>
  <w:footnote w:id="252">
    <w:p>
      <w:pPr>
        <w:pStyle w:val="FootnoteText"/>
      </w:pPr>
      <w:r>
        <w:rPr>
          <w:rStyle w:val="FootnoteReference"/>
        </w:rPr>
        <w:footnoteRef/>
      </w:r>
      <w:r>
        <w:t xml:space="preserve"> </w:t>
      </w:r>
      <w:r>
        <w:t xml:space="preserve">(</w:t>
      </w:r>
      <w:hyperlink w:anchor="ref-Eurostat2024HICPManual">
        <w:r>
          <w:rPr>
            <w:rStyle w:val="Hyperlink"/>
          </w:rPr>
          <w:t xml:space="preserve">Eurostat 2024</w:t>
        </w:r>
      </w:hyperlink>
      <w:r>
        <w:t xml:space="preserve">;</w:t>
      </w:r>
      <w:r>
        <w:t xml:space="preserve"> </w:t>
      </w:r>
      <w:hyperlink w:anchor="ref-Triplett2006Handbook">
        <w:r>
          <w:rPr>
            <w:rStyle w:val="Hyperlink"/>
          </w:rPr>
          <w:t xml:space="preserve">Triplett 2006</w:t>
        </w:r>
      </w:hyperlink>
      <w:r>
        <w:t xml:space="preserve">)</w:t>
      </w:r>
      <w:r>
        <w:t xml:space="preserve">.</w:t>
      </w:r>
    </w:p>
  </w:footnote>
  <w:footnote w:id="253">
    <w:p>
      <w:pPr>
        <w:pStyle w:val="FootnoteText"/>
      </w:pPr>
      <w:r>
        <w:rPr>
          <w:rStyle w:val="FootnoteReference"/>
        </w:rPr>
        <w:footnoteRef/>
      </w:r>
      <w:r>
        <w:t xml:space="preserve"> </w:t>
      </w:r>
      <w:r>
        <w:t xml:space="preserve">(</w:t>
      </w:r>
      <w:hyperlink w:anchor="ref-BLS2026QualityAdjustment">
        <w:r>
          <w:rPr>
            <w:rStyle w:val="Hyperlink"/>
          </w:rPr>
          <w:t xml:space="preserve">U.S. Bureau of Labor Statistics 2026</w:t>
        </w:r>
      </w:hyperlink>
      <w:r>
        <w:t xml:space="preserve">)</w:t>
      </w:r>
      <w:r>
        <w:t xml:space="preserve">.</w:t>
      </w:r>
    </w:p>
  </w:footnote>
  <w:footnote w:id="254">
    <w:p>
      <w:pPr>
        <w:pStyle w:val="FootnoteText"/>
      </w:pPr>
      <w:r>
        <w:rPr>
          <w:rStyle w:val="FootnoteReference"/>
        </w:rPr>
        <w:footnoteRef/>
      </w:r>
      <w:r>
        <w:t xml:space="preserve"> </w:t>
      </w:r>
      <w:r>
        <w:t xml:space="preserve">(</w:t>
      </w:r>
      <w:hyperlink w:anchor="ref-INE2026IPCMetodologia">
        <w:r>
          <w:rPr>
            <w:rStyle w:val="Hyperlink"/>
          </w:rPr>
          <w:t xml:space="preserve">Instituto Nacional de Estadística 2026c, 40-41</w:t>
        </w:r>
      </w:hyperlink>
      <w:r>
        <w:t xml:space="preserve">)</w:t>
      </w:r>
      <w:r>
        <w:t xml:space="preserve">.</w:t>
      </w:r>
    </w:p>
  </w:footnote>
  <w:footnote w:id="255">
    <w:p>
      <w:pPr>
        <w:pStyle w:val="FootnoteText"/>
      </w:pPr>
      <w:r>
        <w:rPr>
          <w:rStyle w:val="FootnoteReference"/>
        </w:rPr>
        <w:footnoteRef/>
      </w:r>
      <w:r>
        <w:t xml:space="preserve"> </w:t>
      </w:r>
      <w:r>
        <w:t xml:space="preserve">(</w:t>
      </w:r>
      <w:hyperlink w:anchor="ref-INE2026IPVMetodologia">
        <w:r>
          <w:rPr>
            <w:rStyle w:val="Hyperlink"/>
          </w:rPr>
          <w:t xml:space="preserve">Instituto Nacional de Estadística 2026d</w:t>
        </w:r>
      </w:hyperlink>
      <w:r>
        <w:t xml:space="preserve">)</w:t>
      </w:r>
      <w:r>
        <w:t xml:space="preserve">.</w:t>
      </w:r>
    </w:p>
  </w:footnote>
  <w:footnote w:id="256">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61">
    <w:p>
      <w:pPr>
        <w:pStyle w:val="FootnoteText"/>
      </w:pPr>
      <w:r>
        <w:rPr>
          <w:rStyle w:val="FootnoteReference"/>
        </w:rPr>
        <w:footnoteRef/>
      </w:r>
      <w:r>
        <w:t xml:space="preserve"> </w:t>
      </w:r>
      <w:r>
        <w:t xml:space="preserve">(</w:t>
      </w:r>
      <w:hyperlink w:anchor="ref-DeatonMuellbauer1980AIDS">
        <w:r>
          <w:rPr>
            <w:rStyle w:val="Hyperlink"/>
          </w:rPr>
          <w:t xml:space="preserve">Deaton y Muellbauer 1980a</w:t>
        </w:r>
      </w:hyperlink>
      <w:r>
        <w:t xml:space="preserve">)</w:t>
      </w:r>
      <w:r>
        <w:t xml:space="preserve">.</w:t>
      </w:r>
    </w:p>
  </w:footnote>
  <w:footnote w:id="262">
    <w:p>
      <w:pPr>
        <w:pStyle w:val="FootnoteText"/>
      </w:pPr>
      <w:r>
        <w:rPr>
          <w:rStyle w:val="FootnoteReference"/>
        </w:rPr>
        <w:footnoteRef/>
      </w:r>
      <w:r>
        <w:t xml:space="preserve"> </w:t>
      </w:r>
      <w:r>
        <w:t xml:space="preserve">(</w:t>
      </w:r>
      <w:hyperlink w:anchor="ref-Friedman1953Methodology">
        <w:r>
          <w:rPr>
            <w:rStyle w:val="Hyperlink"/>
          </w:rPr>
          <w:t xml:space="preserve">Friedman 1953</w:t>
        </w:r>
      </w:hyperlink>
      <w:r>
        <w:t xml:space="preserve">)</w:t>
      </w:r>
      <w:r>
        <w:t xml:space="preserve">.</w:t>
      </w:r>
    </w:p>
  </w:footnote>
  <w:footnote w:id="263">
    <w:p>
      <w:pPr>
        <w:pStyle w:val="FootnoteText"/>
      </w:pPr>
      <w:r>
        <w:rPr>
          <w:rStyle w:val="FootnoteReference"/>
        </w:rPr>
        <w:footnoteRef/>
      </w:r>
      <w:r>
        <w:t xml:space="preserve"> </w:t>
      </w:r>
      <w:r>
        <w:t xml:space="preserve">(</w:t>
      </w:r>
      <w:hyperlink w:anchor="ref-Simon1955Behavioral">
        <w:r>
          <w:rPr>
            <w:rStyle w:val="Hyperlink"/>
          </w:rPr>
          <w:t xml:space="preserve">Simon 1955</w:t>
        </w:r>
      </w:hyperlink>
      <w:r>
        <w:t xml:space="preserve">;</w:t>
      </w:r>
      <w:r>
        <w:t xml:space="preserve"> </w:t>
      </w:r>
      <w:hyperlink w:anchor="ref-KahnemanTversky1979Prospect">
        <w:r>
          <w:rPr>
            <w:rStyle w:val="Hyperlink"/>
          </w:rPr>
          <w:t xml:space="preserve">Kahneman y Tversky 1979</w:t>
        </w:r>
      </w:hyperlink>
      <w:r>
        <w:t xml:space="preserve">;</w:t>
      </w:r>
      <w:r>
        <w:t xml:space="preserve"> </w:t>
      </w:r>
      <w:hyperlink w:anchor="ref-Thaler1980Positive">
        <w:r>
          <w:rPr>
            <w:rStyle w:val="Hyperlink"/>
          </w:rPr>
          <w:t xml:space="preserve">Thaler 1980</w:t>
        </w:r>
      </w:hyperlink>
      <w:r>
        <w:t xml:space="preserve">,</w:t>
      </w:r>
      <w:r>
        <w:t xml:space="preserve"> </w:t>
      </w:r>
      <w:hyperlink w:anchor="ref-Thaler1985Mental">
        <w:r>
          <w:rPr>
            <w:rStyle w:val="Hyperlink"/>
          </w:rPr>
          <w:t xml:space="preserve">1985</w:t>
        </w:r>
      </w:hyperlink>
      <w:r>
        <w:t xml:space="preserve">)</w:t>
      </w:r>
      <w:r>
        <w:t xml:space="preserve">.</w:t>
      </w:r>
    </w:p>
  </w:footnote>
  <w:footnote w:id="264">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rPr>
          <w:rStyle w:val="FootnoteReference"/>
        </w:rPr>
        <w:footnoteReference w:id="265"/>
      </w:r>
      <w:r>
        <w:t xml:space="preserve"> </w:t>
      </w:r>
      <w:r>
        <w:t xml:space="preserve">El</w:t>
      </w:r>
      <w:r>
        <w:t xml:space="preserve"> </w:t>
      </w:r>
      <w:r>
        <w:rPr>
          <w:i/>
          <w:iCs/>
        </w:rPr>
        <w:t xml:space="preserve">efecto dotación</w:t>
      </w:r>
      <w:r>
        <w:t xml:space="preserve"> </w:t>
      </w:r>
      <w:r>
        <w:t xml:space="preserve">consiste en valorar más un bien cuando se posee que cuando no se posee, y se explica por la aversión a las pérdidas: una pérdida pesa más que una ganancia de la misma cuantía (</w:t>
      </w:r>
      <w:r>
        <w:t xml:space="preserve">(</w:t>
      </w:r>
      <w:hyperlink w:anchor="ref-KahnemanTversky1979Prospect">
        <w:r>
          <w:rPr>
            <w:rStyle w:val="Hyperlink"/>
          </w:rPr>
          <w:t xml:space="preserve">Kahneman y Tversky 1979</w:t>
        </w:r>
      </w:hyperlink>
      <w:r>
        <w:t xml:space="preserve">)</w:t>
      </w:r>
      <w:r>
        <w:t xml:space="preserve">;</w:t>
      </w:r>
      <w:r>
        <w:t xml:space="preserve"> </w:t>
      </w:r>
      <w:r>
        <w:t xml:space="preserve">(</w:t>
      </w:r>
      <w:hyperlink w:anchor="ref-KahnemanKnetschThaler1990Endowment">
        <w:r>
          <w:rPr>
            <w:rStyle w:val="Hyperlink"/>
          </w:rPr>
          <w:t xml:space="preserve">Kahneman, Knetsch, y Thaler 1990</w:t>
        </w:r>
      </w:hyperlink>
      <w:r>
        <w:t xml:space="preserve">)</w:t>
      </w:r>
      <w:r>
        <w:t xml:space="preserve">). Con la</w:t>
      </w:r>
      <w:r>
        <w:t xml:space="preserve"> </w:t>
      </w:r>
      <w:r>
        <w:rPr>
          <w:i/>
          <w:iCs/>
        </w:rPr>
        <w:t xml:space="preserve">contabilidad mental</w:t>
      </w:r>
      <w:r>
        <w:t xml:space="preserve">, el consumidor reparte su renta en «cuentas» separadas y evalúa cada decisión por separado, por ejemplo fijándose en el porcentaje de descuento y no en el ahorro absoluto. Las</w:t>
      </w:r>
      <w:r>
        <w:t xml:space="preserve"> </w:t>
      </w:r>
      <w:r>
        <w:rPr>
          <w:i/>
          <w:iCs/>
        </w:rPr>
        <w:t xml:space="preserve">preferencias sociales</w:t>
      </w:r>
      <w:r>
        <w:t xml:space="preserve"> </w:t>
      </w:r>
      <w:r>
        <w:t xml:space="preserve">muestran que la equidad también cuenta: no se considera justo que una ferretería suba el precio de las palas de nieve tras una nevada, aunque responda a la demanda.</w:t>
      </w:r>
      <w:r>
        <w:rPr>
          <w:rStyle w:val="FootnoteReference"/>
        </w:rPr>
        <w:footnoteReference w:id="266"/>
      </w:r>
    </w:p>
  </w:footnote>
  <w:footnote w:id="267">
    <w:p>
      <w:pPr>
        <w:pStyle w:val="FootnoteText"/>
      </w:pPr>
      <w:r>
        <w:rPr>
          <w:rStyle w:val="FootnoteReference"/>
        </w:rPr>
        <w:footnoteRef/>
      </w:r>
      <w:r>
        <w:t xml:space="preserve"> </w:t>
      </w:r>
      <w:r>
        <w:t xml:space="preserve">(</w:t>
      </w:r>
      <w:hyperlink w:anchor="ref-Sen1977Rational">
        <w:r>
          <w:rPr>
            <w:rStyle w:val="Hyperlink"/>
          </w:rPr>
          <w:t xml:space="preserve">Sen 1977</w:t>
        </w:r>
      </w:hyperlink>
      <w:r>
        <w:t xml:space="preserve">)</w:t>
      </w:r>
      <w:r>
        <w:t xml:space="preserve">.</w:t>
      </w:r>
    </w:p>
  </w:footnote>
  <w:footnote w:id="268">
    <w:p>
      <w:pPr>
        <w:pStyle w:val="FootnoteText"/>
      </w:pPr>
      <w:r>
        <w:rPr>
          <w:rStyle w:val="FootnoteReference"/>
        </w:rPr>
        <w:footnoteRef/>
      </w:r>
      <w:r>
        <w:t xml:space="preserve"> </w:t>
      </w:r>
      <w:r>
        <w:rPr>
          <w:smallCaps/>
        </w:rPr>
        <w:t xml:space="preserve">Angus Deaton</w:t>
      </w:r>
      <w:r>
        <w:t xml:space="preserve"> </w:t>
      </w:r>
      <w:r>
        <w:t xml:space="preserve">recibió el Premio Nobel de Economía en 2015 «por su análisis del consumo, la pobreza y el bienestar».</w:t>
      </w:r>
      <w:r>
        <w:rPr>
          <w:rStyle w:val="FootnoteReference"/>
        </w:rPr>
        <w:footnoteReference w:id="269"/>
      </w:r>
    </w:p>
  </w:footnote>
  <w:footnote w:id="271">
    <w:p>
      <w:pPr>
        <w:pStyle w:val="FootnoteText"/>
      </w:pPr>
      <w:r>
        <w:rPr>
          <w:rStyle w:val="FootnoteReference"/>
        </w:rPr>
        <w:footnoteRef/>
      </w:r>
      <w:r>
        <w:t xml:space="preserve"> </w:t>
      </w:r>
      <w:r>
        <w:t xml:space="preserve">(</w:t>
      </w:r>
      <w:hyperlink w:anchor="ref-Marshall1890Principles">
        <w:r>
          <w:rPr>
            <w:rStyle w:val="Hyperlink"/>
          </w:rPr>
          <w:t xml:space="preserve">Marshall 1890</w:t>
        </w:r>
      </w:hyperlink>
      <w:r>
        <w:t xml:space="preserve">)</w:t>
      </w:r>
      <w:r>
        <w:t xml:space="preserve">.</w:t>
      </w:r>
    </w:p>
  </w:footnote>
  <w:footnote w:id="272">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r>
        <w:rPr>
          <w:rStyle w:val="Referenciaatema"/>
        </w:rPr>
        <w:t xml:space="preserve">[ver tema 3.A.10]</w:t>
      </w:r>
      <w:r>
        <w:t xml:space="preserve">.</w:t>
      </w:r>
    </w:p>
  </w:footnote>
  <w:footnote w:id="278">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rPr>
          <w:rStyle w:val="FootnoteReference"/>
        </w:rPr>
        <w:footnoteReference w:id="279"/>
      </w:r>
      <w:r>
        <w:t xml:space="preserve"> </w:t>
      </w:r>
      <w:r>
        <w:t xml:space="preserve">La función toma su nombre de</w:t>
      </w:r>
      <w:r>
        <w:t xml:space="preserve"> </w:t>
      </w:r>
      <w:r>
        <w:rPr>
          <w:smallCaps/>
        </w:rPr>
        <w:t xml:space="preserve">Charles Cobb</w:t>
      </w:r>
      <w:r>
        <w:t xml:space="preserve"> </w:t>
      </w:r>
      <w:r>
        <w:t xml:space="preserve">y</w:t>
      </w:r>
      <w:r>
        <w:t xml:space="preserve"> </w:t>
      </w:r>
      <w:r>
        <w:rPr>
          <w:smallCaps/>
        </w:rPr>
        <w:t xml:space="preserve">Paul Douglas</w:t>
      </w:r>
      <w:r>
        <w:t xml:space="preserve"> </w:t>
      </w:r>
      <w:r>
        <w:t xml:space="preserve">(1928), que la usaron como función de producción.</w:t>
      </w:r>
      <w:r>
        <w:rPr>
          <w:rStyle w:val="FootnoteReference"/>
        </w:rPr>
        <w:footnoteReference w:id="280"/>
      </w:r>
    </w:p>
  </w:footnote>
  <w:footnote w:id="281">
    <w:p>
      <w:pPr>
        <w:pStyle w:val="FootnoteText"/>
      </w:pPr>
      <w:r>
        <w:rPr>
          <w:rStyle w:val="FootnoteReference"/>
        </w:rPr>
        <w:footnoteRef/>
      </w:r>
      <w:r>
        <w:t xml:space="preserve"> </w:t>
      </w:r>
      <w:r>
        <w:t xml:space="preserve">(</w:t>
      </w:r>
      <w:hyperlink w:anchor="ref-Geary1950Note">
        <w:r>
          <w:rPr>
            <w:rStyle w:val="Hyperlink"/>
          </w:rPr>
          <w:t xml:space="preserve">Geary 1950</w:t>
        </w:r>
      </w:hyperlink>
      <w:r>
        <w:t xml:space="preserve">;</w:t>
      </w:r>
      <w:r>
        <w:t xml:space="preserve"> </w:t>
      </w:r>
      <w:hyperlink w:anchor="ref-Stone1954Linear">
        <w:r>
          <w:rPr>
            <w:rStyle w:val="Hyperlink"/>
          </w:rPr>
          <w:t xml:space="preserve">Stone 1954</w:t>
        </w:r>
      </w:hyperlink>
      <w:r>
        <w:t xml:space="preserve">)</w:t>
      </w:r>
      <w:r>
        <w:t xml:space="preserve">.</w:t>
      </w:r>
    </w:p>
  </w:footnote>
  <w:footnote w:id="282">
    <w:p>
      <w:pPr>
        <w:pStyle w:val="FootnoteText"/>
      </w:pPr>
      <w:r>
        <w:rPr>
          <w:rStyle w:val="FootnoteReference"/>
        </w:rPr>
        <w:footnoteRef/>
      </w:r>
      <w:r>
        <w:t xml:space="preserve"> </w:t>
      </w:r>
      <w:r>
        <w:t xml:space="preserve">(</w:t>
      </w:r>
      <w:hyperlink w:anchor="ref-ChristensenJorgensonLau1975Utility">
        <w:r>
          <w:rPr>
            <w:rStyle w:val="Hyperlink"/>
          </w:rPr>
          <w:t xml:space="preserve">Christensen, Jorgenson, y Lau 1975</w:t>
        </w:r>
      </w:hyperlink>
      <w:r>
        <w:t xml:space="preserve">)</w:t>
      </w:r>
      <w:r>
        <w:t xml:space="preserve">.</w:t>
      </w:r>
    </w:p>
  </w:footnote>
  <w:footnote w:id="283">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84">
    <w:p>
      <w:pPr>
        <w:pStyle w:val="FootnoteText"/>
      </w:pPr>
      <w:r>
        <w:rPr>
          <w:rStyle w:val="FootnoteReference"/>
        </w:rPr>
        <w:footnoteRef/>
      </w:r>
      <w:r>
        <w:t xml:space="preserve"> </w:t>
      </w:r>
      <w:r>
        <w:t xml:space="preserve">(</w:t>
      </w:r>
      <w:hyperlink w:anchor="ref-DeatonMuellbauer1980AIDS">
        <w:r>
          <w:rPr>
            <w:rStyle w:val="Hyperlink"/>
          </w:rPr>
          <w:t xml:space="preserve">Deaton y Muellbauer 1980a</w:t>
        </w:r>
      </w:hyperlink>
      <w:r>
        <w:t xml:space="preserve">)</w:t>
      </w:r>
      <w:r>
        <w:t xml:space="preserve">.</w:t>
      </w:r>
    </w:p>
  </w:footnote>
  <w:footnote w:id="285">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η</m:t>
        </m:r>
        <m:r>
          <m:rPr>
            <m:sty m:val="p"/>
          </m:rPr>
          <m:t>→</m:t>
        </m:r>
        <m:r>
          <m:t>1</m:t>
        </m:r>
      </m:oMath>
      <w:r>
        <w:t xml:space="preserve"> </w:t>
      </w:r>
      <w:r>
        <w:t xml:space="preserve">sea</w:t>
      </w:r>
      <w:r>
        <w:t xml:space="preserve"> </w:t>
      </w:r>
      <m:oMath>
        <m:r>
          <m:rPr>
            <m:sty m:val="p"/>
          </m:rPr>
          <m:t>ln</m:t>
        </m:r>
        <m:r>
          <m:t>C</m:t>
        </m:r>
      </m:oMath>
      <w:r>
        <w:t xml:space="preserve">.</w:t>
      </w:r>
    </w:p>
  </w:footnote>
  <w:footnote w:id="286">
    <w:p>
      <w:pPr>
        <w:pStyle w:val="FootnoteText"/>
      </w:pPr>
      <w:r>
        <w:rPr>
          <w:rStyle w:val="FootnoteReference"/>
        </w:rPr>
        <w:footnoteRef/>
      </w:r>
      <w:r>
        <w:t xml:space="preserve"> </w:t>
      </w:r>
      <w:r>
        <w:t xml:space="preserve">(</w:t>
      </w:r>
      <w:hyperlink w:anchor="ref-KingPlosserRebelo1988Production">
        <w:r>
          <w:rPr>
            <w:rStyle w:val="Hyperlink"/>
          </w:rPr>
          <w:t xml:space="preserve">King, Plosser, y Rebelo 1988</w:t>
        </w:r>
      </w:hyperlink>
      <w:r>
        <w:t xml:space="preserve">,</w:t>
      </w:r>
      <w:r>
        <w:t xml:space="preserve"> </w:t>
      </w:r>
      <w:hyperlink w:anchor="ref-KingPlosserRebelo2002Appendix">
        <w:r>
          <w:rPr>
            <w:rStyle w:val="Hyperlink"/>
          </w:rPr>
          <w:t xml:space="preserve">2002</w:t>
        </w:r>
      </w:hyperlink>
      <w:r>
        <w:t xml:space="preserve">)</w:t>
      </w:r>
      <w:r>
        <w:t xml:space="preserve">.</w:t>
      </w:r>
    </w:p>
  </w:footnote>
  <w:footnote w:id="287">
    <w:p>
      <w:pPr>
        <w:pStyle w:val="FootnoteText"/>
      </w:pPr>
      <w:r>
        <w:rPr>
          <w:rStyle w:val="FootnoteReference"/>
        </w:rPr>
        <w:footnoteRef/>
      </w:r>
      <w:r>
        <w:t xml:space="preserve"> </w:t>
      </w:r>
      <w:r>
        <w:t xml:space="preserve">(</w:t>
      </w:r>
      <w:hyperlink w:anchor="ref-GreenwoodHercowitzHuffman1988">
        <w:r>
          <w:rPr>
            <w:rStyle w:val="Hyperlink"/>
          </w:rPr>
          <w:t xml:space="preserve">Greenwood, Hercowitz, y Huffman 1988</w:t>
        </w:r>
      </w:hyperlink>
      <w:r>
        <w:t xml:space="preserve">)</w:t>
      </w:r>
      <w:r>
        <w:t xml:space="preserve">.</w:t>
      </w:r>
    </w:p>
  </w:footnote>
  <w:footnote w:id="288">
    <w:p>
      <w:pPr>
        <w:pStyle w:val="FootnoteText"/>
      </w:pPr>
      <w:r>
        <w:rPr>
          <w:rStyle w:val="FootnoteReference"/>
        </w:rPr>
        <w:footnoteRef/>
      </w:r>
      <w:r>
        <w:t xml:space="preserve"> </w:t>
      </w:r>
      <w:r>
        <w:t xml:space="preserve">(</w:t>
      </w:r>
      <w:hyperlink w:anchor="ref-JaimovichRebelo2009News">
        <w:r>
          <w:rPr>
            <w:rStyle w:val="Hyperlink"/>
          </w:rPr>
          <w:t xml:space="preserve">Jaimovich y Rebelo 2009</w:t>
        </w:r>
      </w:hyperlink>
      <w:r>
        <w:t xml:space="preserve">)</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spacing w:after="120"/>
      <w:jc w:val="both"/>
    </w:pPr>
    <w:rPr>
      <w:rFonts w:ascii="Palatino Linotype" w:cs="Palatino Linotype" w:eastAsia="Palatino Linotype" w:hAnsi="Palatino Linotype"/>
      <w:sz w:val="22"/>
    </w:rPr>
  </w:style>
  <w:style w:customStyle="1" w:styleId="Compact" w:type="paragraph">
    <w:name w:val="Compact"/>
    <w:basedOn w:val="BodyText"/>
    <w:qFormat/>
    <w:pPr>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shd w:color="auto" w:fill="E2EFD9" w:val="clear"/>
    </w:pPr>
    <w:rPr>
      <w:rFonts w:ascii="Palatino Linotype" w:cs="Palatino Linotype" w:eastAsia="Palatino Linotype" w:hAnsi="Palatino Linotype"/>
      <w:b/>
      <w:caps w:val="0"/>
      <w:color w:val="5F2987"/>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Palatino Linotype" w:cs="Palatino Linotype" w:eastAsia="Palatino Linotype" w:hAnsi="Palatino Linotype"/>
      <w:b/>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Palatino Linotype" w:cs="Palatino Linotype" w:eastAsia="Palatino Linotype" w:hAnsi="Palatino Linotype"/>
      <w:b/>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Palatino Linotype" w:cs="Palatino Linotype" w:eastAsia="Palatino Linotype" w:hAnsi="Palatino Linotype"/>
      <w:b/>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Referenciaatema" w:type="character">
    <w:name w:val="Referencia a tema"/>
    <w:rPr>
      <w:color w:val="76717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9" Target="media/rId209.png" /><Relationship Type="http://schemas.openxmlformats.org/officeDocument/2006/relationships/image" Id="rId222" Target="media/rId222.png" /><Relationship Type="http://schemas.openxmlformats.org/officeDocument/2006/relationships/image" Id="rId78" Target="media/rId78.png" /><Relationship Type="http://schemas.openxmlformats.org/officeDocument/2006/relationships/image" Id="rId98" Target="media/rId98.png" /><Relationship Type="http://schemas.openxmlformats.org/officeDocument/2006/relationships/image" Id="rId107" Target="media/rId107.png" /><Relationship Type="http://schemas.openxmlformats.org/officeDocument/2006/relationships/image" Id="rId91" Target="media/rId91.png" /><Relationship Type="http://schemas.openxmlformats.org/officeDocument/2006/relationships/image" Id="rId273" Target="media/rId273.png" /><Relationship Type="http://schemas.openxmlformats.org/officeDocument/2006/relationships/image" Id="rId182" Target="media/rId182.png" /><Relationship Type="http://schemas.openxmlformats.org/officeDocument/2006/relationships/image" Id="rId139" Target="media/rId139.png" /><Relationship Type="http://schemas.openxmlformats.org/officeDocument/2006/relationships/image" Id="rId159" Target="media/rId159.png" /><Relationship Type="http://schemas.openxmlformats.org/officeDocument/2006/relationships/image" Id="rId51" Target="media/rId51.png" /><Relationship Type="http://schemas.openxmlformats.org/officeDocument/2006/relationships/image" Id="rId244" Target="media/rId244.png" /><Relationship Type="http://schemas.openxmlformats.org/officeDocument/2006/relationships/image" Id="rId166" Target="media/rId166.png" /><Relationship Type="http://schemas.openxmlformats.org/officeDocument/2006/relationships/image" Id="rId228" Target="media/rId228.png" /><Relationship Type="http://schemas.openxmlformats.org/officeDocument/2006/relationships/image" Id="rId57" Target="media/rId57.png" /><Relationship Type="http://schemas.openxmlformats.org/officeDocument/2006/relationships/image" Id="rId150" Target="media/rId150.png" /><Relationship Type="http://schemas.openxmlformats.org/officeDocument/2006/relationships/image" Id="rId117" Target="media/rId117.png" /><Relationship Type="http://schemas.openxmlformats.org/officeDocument/2006/relationships/hyperlink" Id="rId311" Target="https://allengoodman.wayne.edu/Research/PUBS/Court_Hedonic.pdf" TargetMode="External" /><Relationship Type="http://schemas.openxmlformats.org/officeDocument/2006/relationships/hyperlink" Id="rId315" Target="https://cowles.yale.edu/sites/default/files/2022-09/m17-all.pdf" TargetMode="External" /><Relationship Type="http://schemas.openxmlformats.org/officeDocument/2006/relationships/hyperlink" Id="rId334" Target="https://doi.org/10.1006/juec.1997.2071" TargetMode="External" /><Relationship Type="http://schemas.openxmlformats.org/officeDocument/2006/relationships/hyperlink" Id="rId417" Target="https://doi.org/10.1016/0022-0531(73)90066-5" TargetMode="External" /><Relationship Type="http://schemas.openxmlformats.org/officeDocument/2006/relationships/hyperlink" Id="rId426" Target="https://doi.org/10.1016/0167-2681(80)90051-7" TargetMode="External" /><Relationship Type="http://schemas.openxmlformats.org/officeDocument/2006/relationships/hyperlink" Id="rId378" Target="https://doi.org/10.1016/0304-3932(88)90030-X" TargetMode="External" /><Relationship Type="http://schemas.openxmlformats.org/officeDocument/2006/relationships/hyperlink" Id="rId380" Target="https://doi.org/10.1023/A:1020529028761" TargetMode="External" /><Relationship Type="http://schemas.openxmlformats.org/officeDocument/2006/relationships/hyperlink" Id="rId374" Target="https://doi.org/10.1037/0003-066X.39.4.341" TargetMode="External" /><Relationship Type="http://schemas.openxmlformats.org/officeDocument/2006/relationships/hyperlink" Id="rId421" Target="https://doi.org/10.1086/258464" TargetMode="External" /><Relationship Type="http://schemas.openxmlformats.org/officeDocument/2006/relationships/hyperlink" Id="rId385" Target="https://doi.org/10.1086/259131" TargetMode="External" /><Relationship Type="http://schemas.openxmlformats.org/officeDocument/2006/relationships/hyperlink" Id="rId402" Target="https://doi.org/10.1086/260169" TargetMode="External" /><Relationship Type="http://schemas.openxmlformats.org/officeDocument/2006/relationships/hyperlink" Id="rId345" Target="https://doi.org/10.1086/260629" TargetMode="External" /><Relationship Type="http://schemas.openxmlformats.org/officeDocument/2006/relationships/hyperlink" Id="rId370" Target="https://doi.org/10.1086/261737" TargetMode="External" /><Relationship Type="http://schemas.openxmlformats.org/officeDocument/2006/relationships/hyperlink" Id="rId338" Target="https://doi.org/10.1111/j.1467-999X.1961.tb00819.x" TargetMode="External" /><Relationship Type="http://schemas.openxmlformats.org/officeDocument/2006/relationships/hyperlink" Id="rId438" Target="https://doi.org/10.1126/science.7455683" TargetMode="External" /><Relationship Type="http://schemas.openxmlformats.org/officeDocument/2006/relationships/hyperlink" Id="rId396" Target="https://doi.org/10.11647/OBP.0204" TargetMode="External" /><Relationship Type="http://schemas.openxmlformats.org/officeDocument/2006/relationships/hyperlink" Id="rId365" Target="https://doi.org/10.1257/aer.99.4.1097" TargetMode="External" /><Relationship Type="http://schemas.openxmlformats.org/officeDocument/2006/relationships/hyperlink" Id="rId428" Target="https://doi.org/10.1287/mksc.4.3.199" TargetMode="External" /><Relationship Type="http://schemas.openxmlformats.org/officeDocument/2006/relationships/hyperlink" Id="rId436" Target="https://doi.org/10.1787/9789264028159-en" TargetMode="External" /><Relationship Type="http://schemas.openxmlformats.org/officeDocument/2006/relationships/hyperlink" Id="rId414" Target="https://doi.org/10.2307/1884852" TargetMode="External" /><Relationship Type="http://schemas.openxmlformats.org/officeDocument/2006/relationships/hyperlink" Id="rId405" Target="https://doi.org/10.2307/1905479" TargetMode="External" /><Relationship Type="http://schemas.openxmlformats.org/officeDocument/2006/relationships/hyperlink" Id="rId336" Target="https://doi.org/10.2307/1906943" TargetMode="External" /><Relationship Type="http://schemas.openxmlformats.org/officeDocument/2006/relationships/hyperlink" Id="rId419" Target="https://doi.org/10.2307/1909201" TargetMode="External" /><Relationship Type="http://schemas.openxmlformats.org/officeDocument/2006/relationships/hyperlink" Id="rId305" Target="https://doi.org/10.2307/1909829" TargetMode="External" /><Relationship Type="http://schemas.openxmlformats.org/officeDocument/2006/relationships/hyperlink" Id="rId376" Target="https://doi.org/10.2307/1911539" TargetMode="External" /><Relationship Type="http://schemas.openxmlformats.org/officeDocument/2006/relationships/hyperlink" Id="rId394" Target="https://doi.org/10.2307/1911540" TargetMode="External" /><Relationship Type="http://schemas.openxmlformats.org/officeDocument/2006/relationships/hyperlink" Id="rId442" Target="https://doi.org/10.2307/1912771" TargetMode="External" /><Relationship Type="http://schemas.openxmlformats.org/officeDocument/2006/relationships/hyperlink" Id="rId372" Target="https://doi.org/10.2307/1914185" TargetMode="External" /><Relationship Type="http://schemas.openxmlformats.org/officeDocument/2006/relationships/hyperlink" Id="rId299" Target="https://doi.org/10.2307/1927286" TargetMode="External" /><Relationship Type="http://schemas.openxmlformats.org/officeDocument/2006/relationships/hyperlink" Id="rId423" Target="https://doi.org/10.2307/2227743" TargetMode="External" /><Relationship Type="http://schemas.openxmlformats.org/officeDocument/2006/relationships/hyperlink" Id="rId303" Target="https://doi.org/10.2307/2228949" TargetMode="External" /><Relationship Type="http://schemas.openxmlformats.org/officeDocument/2006/relationships/hyperlink" Id="rId332" Target="https://doi.org/10.2307/2296107" TargetMode="External" /><Relationship Type="http://schemas.openxmlformats.org/officeDocument/2006/relationships/hyperlink" Id="rId392" Target="https://doi.org/10.2307/2296792" TargetMode="External" /><Relationship Type="http://schemas.openxmlformats.org/officeDocument/2006/relationships/hyperlink" Id="rId297" Target="https://doi.org/10.2307/2525382" TargetMode="External" /><Relationship Type="http://schemas.openxmlformats.org/officeDocument/2006/relationships/hyperlink" Id="rId347" Target="https://doi.org/10.2307/2548574" TargetMode="External" /><Relationship Type="http://schemas.openxmlformats.org/officeDocument/2006/relationships/hyperlink" Id="rId407" Target="https://doi.org/10.2307/2548836" TargetMode="External" /><Relationship Type="http://schemas.openxmlformats.org/officeDocument/2006/relationships/hyperlink" Id="rId349" Target="https://doi.org/10.2307/2549382" TargetMode="External" /><Relationship Type="http://schemas.openxmlformats.org/officeDocument/2006/relationships/hyperlink" Id="rId409" Target="https://doi.org/10.2307/2549561" TargetMode="External" /><Relationship Type="http://schemas.openxmlformats.org/officeDocument/2006/relationships/hyperlink" Id="rId323" Target="https://doi.org/10.2785/055028" TargetMode="External" /><Relationship Type="http://schemas.openxmlformats.org/officeDocument/2006/relationships/hyperlink" Id="rId325" Target="https://ec.europa.eu/eurostat/databrowser/view/nama_10_gdp/default/table" TargetMode="External" /><Relationship Type="http://schemas.openxmlformats.org/officeDocument/2006/relationships/hyperlink" Id="rId189" Target="https://policonomics.com/es/video-a10-demandas-marshalliana-hicksiana/" TargetMode="External" /><Relationship Type="http://schemas.openxmlformats.org/officeDocument/2006/relationships/hyperlink" Id="rId330" Target="https://web.archive.org/web/20260106065001/http://www2.hawaii.edu/~fuleky/anatomy/anatomy.html" TargetMode="External" /><Relationship Type="http://schemas.openxmlformats.org/officeDocument/2006/relationships/hyperlink" Id="rId440" Target="https://www.bls.gov/cpi/quality-adjustment/" TargetMode="External" /><Relationship Type="http://schemas.openxmlformats.org/officeDocument/2006/relationships/hyperlink" Id="rId351" Target="https://www.ine.es/daco/daco42/daco4213/resmeto06.pdf" TargetMode="External" /><Relationship Type="http://schemas.openxmlformats.org/officeDocument/2006/relationships/hyperlink" Id="rId359" Target="https://www.ine.es/daco/daco42/ipv/metodologia2025.pdf" TargetMode="External" /><Relationship Type="http://schemas.openxmlformats.org/officeDocument/2006/relationships/hyperlink" Id="rId361" Target="https://www.ine.es/dyngs/Prensa/EPF2025.htm" TargetMode="External" /><Relationship Type="http://schemas.openxmlformats.org/officeDocument/2006/relationships/hyperlink" Id="rId353" Target="https://www.ine.es/jaxiT3/Tabla.htm?t=67823" TargetMode="External" /><Relationship Type="http://schemas.openxmlformats.org/officeDocument/2006/relationships/hyperlink" Id="rId355" Target="https://www.ine.es/jaxiT3/Tabla.htm?t=73828" TargetMode="External" /><Relationship Type="http://schemas.openxmlformats.org/officeDocument/2006/relationships/hyperlink" Id="rId357" Target="https://www.ine.es/metodologia/t25/metodologia_IPC_base_2025.pdf" TargetMode="External" /><Relationship Type="http://schemas.openxmlformats.org/officeDocument/2006/relationships/hyperlink" Id="rId363" Target="https://www.ine.es/metodologia/t25/t2530p458.pdf" TargetMode="External" /><Relationship Type="http://schemas.openxmlformats.org/officeDocument/2006/relationships/hyperlink" Id="rId389" Target="https://www.marxists.org/reference/subject/economics/marshall/bk1ch01.htm" TargetMode="External" /><Relationship Type="http://schemas.openxmlformats.org/officeDocument/2006/relationships/hyperlink" Id="rId342" Target="https://www.nber.org/system/files/chapters/c6492/c6492.pdf" TargetMode="External" /><Relationship Type="http://schemas.openxmlformats.org/officeDocument/2006/relationships/hyperlink" Id="rId430" Target="https://www.nobelprize.org/prizes/economic-sciences/1970/summary/" TargetMode="External" /><Relationship Type="http://schemas.openxmlformats.org/officeDocument/2006/relationships/hyperlink" Id="rId432" Target="https://www.nobelprize.org/prizes/economic-sciences/1992/summary/" TargetMode="External" /><Relationship Type="http://schemas.openxmlformats.org/officeDocument/2006/relationships/hyperlink" Id="rId434" Target="https://www.nobelprize.org/prizes/economic-sciences/2015/summary/" TargetMode="External" /><Relationship Type="http://schemas.openxmlformats.org/officeDocument/2006/relationships/hyperlink" Id="rId383" Target="https://www.nobelprize.org/prizes/economic-sciences/2017/press-release/" TargetMode="External" /><Relationship Type="http://schemas.openxmlformats.org/officeDocument/2006/relationships/hyperlink" Id="rId290" Target="https://www.quia.com/quiz/6562883.html" TargetMode="External" /><Relationship Type="http://schemas.openxmlformats.org/officeDocument/2006/relationships/hyperlink" Id="rId188" Target="https://www.youtube.com/watch?v=J0PSPX2B5FI" TargetMode="External" /></Relationships>
</file>

<file path=word/_rels/footnotes.xml.rels><?xml version="1.0" encoding="UTF-8"?><Relationships xmlns="http://schemas.openxmlformats.org/package/2006/relationships"><Relationship Type="http://schemas.openxmlformats.org/officeDocument/2006/relationships/hyperlink" Id="rId311" Target="https://allengoodman.wayne.edu/Research/PUBS/Court_Hedonic.pdf" TargetMode="External" /><Relationship Type="http://schemas.openxmlformats.org/officeDocument/2006/relationships/hyperlink" Id="rId315" Target="https://cowles.yale.edu/sites/default/files/2022-09/m17-all.pdf" TargetMode="External" /><Relationship Type="http://schemas.openxmlformats.org/officeDocument/2006/relationships/hyperlink" Id="rId334" Target="https://doi.org/10.1006/juec.1997.2071" TargetMode="External" /><Relationship Type="http://schemas.openxmlformats.org/officeDocument/2006/relationships/hyperlink" Id="rId417" Target="https://doi.org/10.1016/0022-0531(73)90066-5" TargetMode="External" /><Relationship Type="http://schemas.openxmlformats.org/officeDocument/2006/relationships/hyperlink" Id="rId426" Target="https://doi.org/10.1016/0167-2681(80)90051-7" TargetMode="External" /><Relationship Type="http://schemas.openxmlformats.org/officeDocument/2006/relationships/hyperlink" Id="rId378" Target="https://doi.org/10.1016/0304-3932(88)90030-X" TargetMode="External" /><Relationship Type="http://schemas.openxmlformats.org/officeDocument/2006/relationships/hyperlink" Id="rId380" Target="https://doi.org/10.1023/A:1020529028761" TargetMode="External" /><Relationship Type="http://schemas.openxmlformats.org/officeDocument/2006/relationships/hyperlink" Id="rId374" Target="https://doi.org/10.1037/0003-066X.39.4.341" TargetMode="External" /><Relationship Type="http://schemas.openxmlformats.org/officeDocument/2006/relationships/hyperlink" Id="rId421" Target="https://doi.org/10.1086/258464" TargetMode="External" /><Relationship Type="http://schemas.openxmlformats.org/officeDocument/2006/relationships/hyperlink" Id="rId385" Target="https://doi.org/10.1086/259131" TargetMode="External" /><Relationship Type="http://schemas.openxmlformats.org/officeDocument/2006/relationships/hyperlink" Id="rId402" Target="https://doi.org/10.1086/260169" TargetMode="External" /><Relationship Type="http://schemas.openxmlformats.org/officeDocument/2006/relationships/hyperlink" Id="rId345" Target="https://doi.org/10.1086/260629" TargetMode="External" /><Relationship Type="http://schemas.openxmlformats.org/officeDocument/2006/relationships/hyperlink" Id="rId370" Target="https://doi.org/10.1086/261737" TargetMode="External" /><Relationship Type="http://schemas.openxmlformats.org/officeDocument/2006/relationships/hyperlink" Id="rId338" Target="https://doi.org/10.1111/j.1467-999X.1961.tb00819.x" TargetMode="External" /><Relationship Type="http://schemas.openxmlformats.org/officeDocument/2006/relationships/hyperlink" Id="rId438" Target="https://doi.org/10.1126/science.7455683" TargetMode="External" /><Relationship Type="http://schemas.openxmlformats.org/officeDocument/2006/relationships/hyperlink" Id="rId396" Target="https://doi.org/10.11647/OBP.0204" TargetMode="External" /><Relationship Type="http://schemas.openxmlformats.org/officeDocument/2006/relationships/hyperlink" Id="rId365" Target="https://doi.org/10.1257/aer.99.4.1097" TargetMode="External" /><Relationship Type="http://schemas.openxmlformats.org/officeDocument/2006/relationships/hyperlink" Id="rId428" Target="https://doi.org/10.1287/mksc.4.3.199" TargetMode="External" /><Relationship Type="http://schemas.openxmlformats.org/officeDocument/2006/relationships/hyperlink" Id="rId436" Target="https://doi.org/10.1787/9789264028159-en" TargetMode="External" /><Relationship Type="http://schemas.openxmlformats.org/officeDocument/2006/relationships/hyperlink" Id="rId414" Target="https://doi.org/10.2307/1884852" TargetMode="External" /><Relationship Type="http://schemas.openxmlformats.org/officeDocument/2006/relationships/hyperlink" Id="rId405" Target="https://doi.org/10.2307/1905479" TargetMode="External" /><Relationship Type="http://schemas.openxmlformats.org/officeDocument/2006/relationships/hyperlink" Id="rId336" Target="https://doi.org/10.2307/1906943" TargetMode="External" /><Relationship Type="http://schemas.openxmlformats.org/officeDocument/2006/relationships/hyperlink" Id="rId419" Target="https://doi.org/10.2307/1909201" TargetMode="External" /><Relationship Type="http://schemas.openxmlformats.org/officeDocument/2006/relationships/hyperlink" Id="rId305" Target="https://doi.org/10.2307/1909829" TargetMode="External" /><Relationship Type="http://schemas.openxmlformats.org/officeDocument/2006/relationships/hyperlink" Id="rId376" Target="https://doi.org/10.2307/1911539" TargetMode="External" /><Relationship Type="http://schemas.openxmlformats.org/officeDocument/2006/relationships/hyperlink" Id="rId394" Target="https://doi.org/10.2307/1911540" TargetMode="External" /><Relationship Type="http://schemas.openxmlformats.org/officeDocument/2006/relationships/hyperlink" Id="rId442" Target="https://doi.org/10.2307/1912771" TargetMode="External" /><Relationship Type="http://schemas.openxmlformats.org/officeDocument/2006/relationships/hyperlink" Id="rId372" Target="https://doi.org/10.2307/1914185" TargetMode="External" /><Relationship Type="http://schemas.openxmlformats.org/officeDocument/2006/relationships/hyperlink" Id="rId299" Target="https://doi.org/10.2307/1927286" TargetMode="External" /><Relationship Type="http://schemas.openxmlformats.org/officeDocument/2006/relationships/hyperlink" Id="rId423" Target="https://doi.org/10.2307/2227743" TargetMode="External" /><Relationship Type="http://schemas.openxmlformats.org/officeDocument/2006/relationships/hyperlink" Id="rId303" Target="https://doi.org/10.2307/2228949" TargetMode="External" /><Relationship Type="http://schemas.openxmlformats.org/officeDocument/2006/relationships/hyperlink" Id="rId332" Target="https://doi.org/10.2307/2296107" TargetMode="External" /><Relationship Type="http://schemas.openxmlformats.org/officeDocument/2006/relationships/hyperlink" Id="rId392" Target="https://doi.org/10.2307/2296792" TargetMode="External" /><Relationship Type="http://schemas.openxmlformats.org/officeDocument/2006/relationships/hyperlink" Id="rId297" Target="https://doi.org/10.2307/2525382" TargetMode="External" /><Relationship Type="http://schemas.openxmlformats.org/officeDocument/2006/relationships/hyperlink" Id="rId347" Target="https://doi.org/10.2307/2548574" TargetMode="External" /><Relationship Type="http://schemas.openxmlformats.org/officeDocument/2006/relationships/hyperlink" Id="rId407" Target="https://doi.org/10.2307/2548836" TargetMode="External" /><Relationship Type="http://schemas.openxmlformats.org/officeDocument/2006/relationships/hyperlink" Id="rId349" Target="https://doi.org/10.2307/2549382" TargetMode="External" /><Relationship Type="http://schemas.openxmlformats.org/officeDocument/2006/relationships/hyperlink" Id="rId409" Target="https://doi.org/10.2307/2549561" TargetMode="External" /><Relationship Type="http://schemas.openxmlformats.org/officeDocument/2006/relationships/hyperlink" Id="rId323" Target="https://doi.org/10.2785/055028" TargetMode="External" /><Relationship Type="http://schemas.openxmlformats.org/officeDocument/2006/relationships/hyperlink" Id="rId325" Target="https://ec.europa.eu/eurostat/databrowser/view/nama_10_gdp/default/table" TargetMode="External" /><Relationship Type="http://schemas.openxmlformats.org/officeDocument/2006/relationships/hyperlink" Id="rId189" Target="https://policonomics.com/es/video-a10-demandas-marshalliana-hicksiana/" TargetMode="External" /><Relationship Type="http://schemas.openxmlformats.org/officeDocument/2006/relationships/hyperlink" Id="rId330" Target="https://web.archive.org/web/20260106065001/http://www2.hawaii.edu/~fuleky/anatomy/anatomy.html" TargetMode="External" /><Relationship Type="http://schemas.openxmlformats.org/officeDocument/2006/relationships/hyperlink" Id="rId440" Target="https://www.bls.gov/cpi/quality-adjustment/" TargetMode="External" /><Relationship Type="http://schemas.openxmlformats.org/officeDocument/2006/relationships/hyperlink" Id="rId351" Target="https://www.ine.es/daco/daco42/daco4213/resmeto06.pdf" TargetMode="External" /><Relationship Type="http://schemas.openxmlformats.org/officeDocument/2006/relationships/hyperlink" Id="rId359" Target="https://www.ine.es/daco/daco42/ipv/metodologia2025.pdf" TargetMode="External" /><Relationship Type="http://schemas.openxmlformats.org/officeDocument/2006/relationships/hyperlink" Id="rId361" Target="https://www.ine.es/dyngs/Prensa/EPF2025.htm" TargetMode="External" /><Relationship Type="http://schemas.openxmlformats.org/officeDocument/2006/relationships/hyperlink" Id="rId353" Target="https://www.ine.es/jaxiT3/Tabla.htm?t=67823" TargetMode="External" /><Relationship Type="http://schemas.openxmlformats.org/officeDocument/2006/relationships/hyperlink" Id="rId355" Target="https://www.ine.es/jaxiT3/Tabla.htm?t=73828" TargetMode="External" /><Relationship Type="http://schemas.openxmlformats.org/officeDocument/2006/relationships/hyperlink" Id="rId357" Target="https://www.ine.es/metodologia/t25/metodologia_IPC_base_2025.pdf" TargetMode="External" /><Relationship Type="http://schemas.openxmlformats.org/officeDocument/2006/relationships/hyperlink" Id="rId363" Target="https://www.ine.es/metodologia/t25/t2530p458.pdf" TargetMode="External" /><Relationship Type="http://schemas.openxmlformats.org/officeDocument/2006/relationships/hyperlink" Id="rId389" Target="https://www.marxists.org/reference/subject/economics/marshall/bk1ch01.htm" TargetMode="External" /><Relationship Type="http://schemas.openxmlformats.org/officeDocument/2006/relationships/hyperlink" Id="rId342" Target="https://www.nber.org/system/files/chapters/c6492/c6492.pdf" TargetMode="External" /><Relationship Type="http://schemas.openxmlformats.org/officeDocument/2006/relationships/hyperlink" Id="rId430" Target="https://www.nobelprize.org/prizes/economic-sciences/1970/summary/" TargetMode="External" /><Relationship Type="http://schemas.openxmlformats.org/officeDocument/2006/relationships/hyperlink" Id="rId432" Target="https://www.nobelprize.org/prizes/economic-sciences/1992/summary/" TargetMode="External" /><Relationship Type="http://schemas.openxmlformats.org/officeDocument/2006/relationships/hyperlink" Id="rId434" Target="https://www.nobelprize.org/prizes/economic-sciences/2015/summary/" TargetMode="External" /><Relationship Type="http://schemas.openxmlformats.org/officeDocument/2006/relationships/hyperlink" Id="rId383" Target="https://www.nobelprize.org/prizes/economic-sciences/2017/press-release/" TargetMode="External" /><Relationship Type="http://schemas.openxmlformats.org/officeDocument/2006/relationships/hyperlink" Id="rId290" Target="https://www.quia.com/quiz/6562883.html" TargetMode="External" /><Relationship Type="http://schemas.openxmlformats.org/officeDocument/2006/relationships/hyperlink" Id="rId188"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language>es-ES</dc:language>
  <cp:keywords/>
  <dcterms:created xsi:type="dcterms:W3CDTF">2026-10-10T19:30:14Z</dcterms:created>
  <dcterms:modified xsi:type="dcterms:W3CDTF">2026-10-10T19:30:14Z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o">
    <vt:lpwstr>3A08</vt:lpwstr>
  </property>
  <property fmtid="{D5CDD505-2E9C-101B-9397-08002B2CF9AE}" pid="3" name="bibliography">
    <vt:lpwstr>C:\Users\vgutierrez\Documents\src\victorgutierrezmarcos.github.io-revision\oposicion\temario\fuentes\3A08\3A08.bib</vt:lpwstr>
  </property>
  <property fmtid="{D5CDD505-2E9C-101B-9397-08002B2CF9AE}" pid="4" name="carpeta">
    <vt:lpwstr>tercer-ejercicio</vt:lpwstr>
  </property>
  <property fmtid="{D5CDD505-2E9C-101B-9397-08002B2CF9AE}" pid="5" name="codigo">
    <vt:lpwstr>3.A.8</vt:lpwstr>
  </property>
  <property fmtid="{D5CDD505-2E9C-101B-9397-08002B2CF9AE}" pid="6" name="date">
    <vt:lpwstr>Fecha de la última actualización: 10/10/2026</vt:lpwstr>
  </property>
  <property fmtid="{D5CDD505-2E9C-101B-9397-08002B2CF9AE}" pid="7" name="ejercicio">
    <vt:lpwstr>Tercer ejercicio</vt:lpwstr>
  </property>
  <property fmtid="{D5CDD505-2E9C-101B-9397-08002B2CF9AE}" pid="8" name="fecha">
    <vt:lpwstr>10/10/2026</vt:lpwstr>
  </property>
  <property fmtid="{D5CDD505-2E9C-101B-9397-08002B2CF9AE}" pid="9" name="graficos-docx">
    <vt:lpwstr>C:\Users\vgutierrez\Documents\src\victorgutierrezmarcos.github.io-revision\oposicion\temario\fuentes\3A08\graficos</vt:lpwstr>
  </property>
  <property fmtid="{D5CDD505-2E9C-101B-9397-08002B2CF9AE}" pid="10" name="link-citations">
    <vt:lpwstr>True</vt:lpwstr>
  </property>
  <property fmtid="{D5CDD505-2E9C-101B-9397-08002B2CF9AE}" pid="11" name="reference-section-title">
    <vt:lpwstr>Bibliografía</vt:lpwstr>
  </property>
  <property fmtid="{D5CDD505-2E9C-101B-9397-08002B2CF9AE}" pid="12" name="titulo">
    <vt:lpwstr>Teoría de la demanda del consumidor (I). Axiomas sobre las preferencias, función de utilidad y función de demanda marshalliana. La teoría de la preferencia revelada. Precios hedónicos.</vt:lpwstr>
  </property>
</Properties>
</file>