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88.png" ContentType="image/png"/>
  <Override PartName="/word/media/rId61.png" ContentType="image/png"/>
  <Override PartName="/word/media/rId85.png" ContentType="image/png"/>
  <Override PartName="/word/media/rId94.png" ContentType="image/png"/>
  <Override PartName="/word/media/rId40.png" ContentType="image/png"/>
  <Override PartName="/word/media/rId75.png" ContentType="image/png"/>
  <Override PartName="/word/media/rId239.png" ContentType="image/png"/>
  <Override PartName="/word/media/rId159.png" ContentType="image/png"/>
  <Override PartName="/word/media/rId155.png" ContentType="image/png"/>
  <Override PartName="/word/media/rId119.png" ContentType="image/png"/>
  <Override PartName="/word/media/rId135.png" ContentType="image/png"/>
  <Override PartName="/word/media/rId45.png" ContentType="image/png"/>
  <Override PartName="/word/media/rId29.png" ContentType="image/png"/>
  <Override PartName="/word/media/rId202.png" ContentType="image/png"/>
  <Override PartName="/word/media/rId244.png" ContentType="image/png"/>
  <Override PartName="/word/media/rId216.png" ContentType="image/png"/>
  <Override PartName="/word/media/rId142.png" ContentType="image/png"/>
  <Override PartName="/word/media/rId193.png" ContentType="image/png"/>
  <Override PartName="/word/media/rId36.png" ContentType="image/png"/>
  <Override PartName="/word/media/rId80.png" ContentType="image/png"/>
  <Override PartName="/word/media/rId129.png" ContentType="image/png"/>
  <Override PartName="/word/media/rId103.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10/10/2026</w:t>
      </w:r>
    </w:p>
    <w:bookmarkStart w:id="27"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t xml:space="preserve">Marshall (</w:t>
      </w:r>
      <w:hyperlink w:anchor="ref-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dos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r>
        <w:rPr>
          <w:rStyle w:val="Referenciaatema"/>
        </w:rPr>
        <w:t xml:space="preserve">[ver tema 3.A.16]</w:t>
      </w:r>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Eurostat2026Nama10gdp">
        <w:r>
          <w:rPr>
            <w:rStyle w:val="Hyperlink"/>
          </w:rPr>
          <w:t xml:space="preserve">Eurostat 2026</w:t>
        </w:r>
      </w:hyperlink>
      <w:r>
        <w:t xml:space="preserve">;</w:t>
      </w:r>
      <w:r>
        <w:t xml:space="preserve"> </w:t>
      </w:r>
      <w:hyperlink w:anchor="ref-INE2026CNTRDemanda">
        <w:r>
          <w:rPr>
            <w:rStyle w:val="Hyperlink"/>
          </w:rPr>
          <w:t xml:space="preserve">Instituto Nacional de Estadística 2026a</w:t>
        </w:r>
      </w:hyperlink>
      <w:r>
        <w:t xml:space="preserve">)</w:t>
      </w:r>
      <w:r>
        <w:t xml:space="preserve">.</w:t>
      </w:r>
    </w:p>
    <w:p>
      <w:pPr>
        <w:numPr>
          <w:ilvl w:val="0"/>
          <w:numId w:val="1001"/>
        </w:numPr>
      </w:pPr>
      <w:r>
        <w:rPr>
          <w:b/>
          <w:bCs/>
          <w:i/>
          <w:iCs/>
        </w:rPr>
        <w:t xml:space="preserve">Contextualización</w:t>
      </w:r>
      <w:r>
        <w:t xml:space="preserve">:</w:t>
      </w:r>
    </w:p>
    <w:p>
      <w:pPr>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3"/>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t xml:space="preserve">Bernoulli (</w:t>
      </w:r>
      <w:hyperlink w:anchor="ref-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r>
        <w:rPr>
          <w:rStyle w:val="Referenciaatema"/>
        </w:rPr>
        <w:t xml:space="preserve">[ver tema 3.A.10]</w:t>
      </w:r>
      <w:r>
        <w:t xml:space="preserve">.</w:t>
      </w:r>
    </w:p>
    <w:p>
      <w:pPr>
        <w:numPr>
          <w:ilvl w:val="2"/>
          <w:numId w:val="1006"/>
        </w:numPr>
      </w:pPr>
      <w:r>
        <w:t xml:space="preserve">Dupuit (</w:t>
      </w:r>
      <w:hyperlink w:anchor="ref-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numPr>
          <w:ilvl w:val="2"/>
          <w:numId w:val="1006"/>
        </w:numPr>
      </w:pPr>
      <w:r>
        <w:t xml:space="preserve">Gossen (</w:t>
      </w:r>
      <w:hyperlink w:anchor="ref-Gossen1854Entwickelung">
        <w:r>
          <w:rPr>
            <w:rStyle w:val="Hyperlink"/>
          </w:rPr>
          <w:t xml:space="preserve">1854</w:t>
        </w:r>
      </w:hyperlink>
      <w:r>
        <w:t xml:space="preserve">)</w:t>
      </w:r>
      <w:r>
        <w:t xml:space="preserve"> </w:t>
      </w:r>
      <w:r>
        <w:t xml:space="preserve">formula sus dos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4" w:name="ley:gossen2"/>
      <w:bookmarkEnd w:id="24"/>
      <w:r>
        <w:t xml:space="preserve"> </w:t>
      </w:r>
      <w:r>
        <w:t xml:space="preserve">el individuo reparte su renta de modo que la última unidad monetaria gastada en cada bien le reporte la misma utilidad,</w:t>
      </w:r>
      <w:r>
        <w:t xml:space="preserve"> </w:t>
      </w:r>
      <m:oMath>
        <m:f>
          <m:fPr>
            <m:type m:val="bar"/>
          </m:fPr>
          <m:num>
            <m:r>
              <m:t>U</m:t>
            </m:r>
            <m:r>
              <m:t>M</m:t>
            </m:r>
            <m:sSub>
              <m:e>
                <m:r>
                  <m:t>g</m:t>
                </m:r>
              </m:e>
              <m:sub>
                <m:r>
                  <m:t>1</m:t>
                </m:r>
              </m:sub>
            </m:sSub>
          </m:num>
          <m:den>
            <m:sSub>
              <m:e>
                <m:r>
                  <m:t>p</m:t>
                </m:r>
              </m:e>
              <m:sub>
                <m:r>
                  <m:t>1</m:t>
                </m:r>
              </m:sub>
            </m:sSub>
          </m:den>
        </m:f>
        <m:r>
          <m:rPr>
            <m:sty m:val="p"/>
          </m:rPr>
          <m:t>=</m:t>
        </m:r>
        <m:r>
          <m:rPr>
            <m:sty m:val="p"/>
          </m:rPr>
          <m:t>…</m:t>
        </m:r>
        <m:r>
          <m:rPr>
            <m:sty m:val="p"/>
          </m:rPr>
          <m:t>=</m:t>
        </m:r>
        <m:f>
          <m:fPr>
            <m:type m:val="bar"/>
          </m:fPr>
          <m:num>
            <m:r>
              <m:t>U</m:t>
            </m:r>
            <m:r>
              <m:t>M</m:t>
            </m:r>
            <m:sSub>
              <m:e>
                <m: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setenta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t xml:space="preserve">Walras (</w:t>
      </w:r>
      <w:hyperlink w:anchor="ref-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E).</w:t>
      </w:r>
    </w:p>
    <w:p>
      <w:pPr>
        <w:numPr>
          <w:ilvl w:val="1"/>
          <w:numId w:val="1005"/>
        </w:numPr>
      </w:pPr>
      <w:r>
        <w:t xml:space="preserve">Edgeworth (</w:t>
      </w:r>
      <w:hyperlink w:anchor="ref-Edgeworth1881Mathematical">
        <w:r>
          <w:rPr>
            <w:rStyle w:val="Hyperlink"/>
          </w:rPr>
          <w:t xml:space="preserve">1881</w:t>
        </w:r>
      </w:hyperlink>
      <w:r>
        <w:t xml:space="preserve">)</w:t>
      </w:r>
      <w:r>
        <w:rPr>
          <w:rStyle w:val="FootnoteReference"/>
        </w:rPr>
        <w:footnoteReference w:id="25"/>
      </w:r>
      <w:r>
        <w:t xml:space="preserve"> </w:t>
      </w:r>
      <w:r>
        <w:t xml:space="preserve">define la utilidad como función de las cantidades de todos los bienes e idea las curvas de indiferencia.</w:t>
      </w:r>
      <w:r>
        <w:t xml:space="preserve"> </w:t>
      </w:r>
      <w:r>
        <w:t xml:space="preserve">Fisher (</w:t>
      </w:r>
      <w:hyperlink w:anchor="ref-Fisher1892Mathematical">
        <w:r>
          <w:rPr>
            <w:rStyle w:val="Hyperlink"/>
          </w:rPr>
          <w:t xml:space="preserve">1892</w:t>
        </w:r>
      </w:hyperlink>
      <w:r>
        <w:t xml:space="preserve">)</w:t>
      </w:r>
      <w:r>
        <w:t xml:space="preserve"> </w:t>
      </w:r>
      <w:r>
        <w:t xml:space="preserve">y, sobre todo,</w:t>
      </w:r>
      <w:r>
        <w:t xml:space="preserve"> </w:t>
      </w:r>
      <w:r>
        <w:t xml:space="preserve">Pareto (</w:t>
      </w:r>
      <w:hyperlink w:anchor="ref-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6"/>
      </w:r>
      <w:r>
        <w:t xml:space="preserve"> </w:t>
      </w:r>
      <w:r>
        <w:t xml:space="preserve">Hoy se acepta que solo importa la utilidad ordinal: la función de utilidad es un instrumento cómodo para representar una relación de preferencia.</w:t>
      </w:r>
    </w:p>
    <w:p>
      <w:pPr>
        <w:numPr>
          <w:ilvl w:val="1"/>
          <w:numId w:val="1005"/>
        </w:numPr>
      </w:pPr>
      <w:r>
        <w:t xml:space="preserve">Slutsky (</w:t>
      </w:r>
      <w:hyperlink w:anchor="ref-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t xml:space="preserve">Hicks y Allen (</w:t>
      </w:r>
      <w:hyperlink w:anchor="ref-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t xml:space="preserve">Debreu (</w:t>
      </w:r>
      <w:hyperlink w:anchor="ref-Debreu1959Theory">
        <w:r>
          <w:rPr>
            <w:rStyle w:val="Hyperlink"/>
          </w:rPr>
          <w:t xml:space="preserve">1959</w:t>
        </w:r>
      </w:hyperlink>
      <w:r>
        <w:t xml:space="preserve">)</w:t>
      </w:r>
      <w:r>
        <w:t xml:space="preserve"> </w:t>
      </w:r>
      <w:r>
        <w:t xml:space="preserve">le da su forma axiomática actual.</w:t>
      </w:r>
    </w:p>
    <w:p>
      <w:pPr>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t xml:space="preserve">Houthakker (</w:t>
      </w:r>
      <w:hyperlink w:anchor="ref-Houthakker1950Revealed">
        <w:r>
          <w:rPr>
            <w:rStyle w:val="Hyperlink"/>
          </w:rPr>
          <w:t xml:space="preserve">1950</w:t>
        </w:r>
      </w:hyperlink>
      <w:r>
        <w:t xml:space="preserve">)</w:t>
      </w:r>
      <w:r>
        <w:t xml:space="preserve">, que</w:t>
      </w:r>
      <w:r>
        <w:t xml:space="preserve"> </w:t>
      </w:r>
      <w:r>
        <w:t xml:space="preserve">Afriat (</w:t>
      </w:r>
      <w:hyperlink w:anchor="ref-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Antonelli1886Teoria">
        <w:r>
          <w:rPr>
            <w:rStyle w:val="Hyperlink"/>
          </w:rPr>
          <w:t xml:space="preserve">Antonelli 1886</w:t>
        </w:r>
      </w:hyperlink>
      <w:r>
        <w:t xml:space="preserve">;</w:t>
      </w:r>
      <w:r>
        <w:t xml:space="preserve"> </w:t>
      </w:r>
      <w:hyperlink w:anchor="ref-HurwiczUzawa1971Integrability">
        <w:r>
          <w:rPr>
            <w:rStyle w:val="Hyperlink"/>
          </w:rPr>
          <w:t xml:space="preserve">Hurwicz y Uzawa 1971</w:t>
        </w:r>
      </w:hyperlink>
      <w:r>
        <w:t xml:space="preserve">;</w:t>
      </w:r>
      <w:r>
        <w:t xml:space="preserve"> </w:t>
      </w:r>
      <w:hyperlink w:anchor="ref-KihlstromMasColellSonnenschein1976">
        <w:r>
          <w:rPr>
            <w:rStyle w:val="Hyperlink"/>
          </w:rPr>
          <w:t xml:space="preserve">Kihlstrom, Mas-Colell y Sonnenschein 1976</w:t>
        </w:r>
      </w:hyperlink>
      <w:r>
        <w:t xml:space="preserve">)</w:t>
      </w:r>
      <w:r>
        <w:t xml:space="preserve">, se estudia junto a la dualidad</w:t>
      </w:r>
      <w:r>
        <w:t xml:space="preserve"> </w:t>
      </w:r>
      <w:r>
        <w:rPr>
          <w:rStyle w:val="Referenciaatema"/>
        </w:rPr>
        <w:t xml:space="preserve">[ver tema 3.A.9]</w:t>
      </w:r>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t xml:space="preserve">Becker (</w:t>
      </w:r>
      <w:hyperlink w:anchor="ref-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t xml:space="preserve">Court (</w:t>
      </w:r>
      <w:hyperlink w:anchor="ref-Court1939Hedonic">
        <w:r>
          <w:rPr>
            <w:rStyle w:val="Hyperlink"/>
          </w:rPr>
          <w:t xml:space="preserve">1939</w:t>
        </w:r>
      </w:hyperlink>
      <w:r>
        <w:t xml:space="preserve">)</w:t>
      </w:r>
      <w:r>
        <w:t xml:space="preserve"> </w:t>
      </w:r>
      <w:r>
        <w:t xml:space="preserve">acuña el término,</w:t>
      </w:r>
      <w:r>
        <w:t xml:space="preserve"> </w:t>
      </w:r>
      <w:r>
        <w:t xml:space="preserve">Griliches (</w:t>
      </w:r>
      <w:hyperlink w:anchor="ref-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t xml:space="preserve">Rosen (</w:t>
      </w:r>
      <w:hyperlink w:anchor="ref-Rosen1974Hedonic">
        <w:r>
          <w:rPr>
            <w:rStyle w:val="Hyperlink"/>
          </w:rPr>
          <w:t xml:space="preserve">1974</w:t>
        </w:r>
      </w:hyperlink>
      <w:r>
        <w:t xml:space="preserve">)</w:t>
      </w:r>
      <w:r>
        <w:t xml:space="preserve"> </w:t>
      </w:r>
      <w:r>
        <w:t xml:space="preserve">le da fundamento teórico.</w:t>
      </w:r>
    </w:p>
    <w:p>
      <w:pPr>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numPr>
          <w:ilvl w:val="0"/>
          <w:numId w:val="1001"/>
        </w:numPr>
      </w:pPr>
      <w:r>
        <w:rPr>
          <w:b/>
          <w:bCs/>
          <w:i/>
          <w:iCs/>
        </w:rPr>
        <w:t xml:space="preserve">Estructura</w:t>
      </w:r>
      <w:r>
        <w:t xml:space="preserve">: la exposición se organiza en tres partes.</w:t>
      </w:r>
    </w:p>
    <w:p>
      <w:pPr>
        <w:numPr>
          <w:ilvl w:val="1"/>
          <w:numId w:val="1010"/>
        </w:numPr>
      </w:pPr>
      <w:r>
        <w:rPr>
          <w:b/>
          <w:bCs/>
        </w:rPr>
        <w:t xml:space="preserve">I. Fundamentos de la teoría de la elección racional</w:t>
      </w:r>
      <w:r>
        <w:t xml:space="preserve">: presentaremos los ingredientes del modelo, las preferencias con su representación mediante una función de utilidad y la restricción presupuestaria (I.1); plantearemos el problema de maximización de la utilidad y su equilibrio, interior o de esquina (I.2), y obtendremos su solución: la demanda marshalliana individual, la función indirecta de utilidad y, por agregación, la demanda de mercado (I.3).</w:t>
      </w:r>
    </w:p>
    <w:p>
      <w:pPr>
        <w:numPr>
          <w:ilvl w:val="1"/>
          <w:numId w:val="1010"/>
        </w:numPr>
      </w:pPr>
      <w:r>
        <w:rPr>
          <w:b/>
          <w:bCs/>
        </w:rPr>
        <w:t xml:space="preserve">II. Estática comparativa</w:t>
      </w:r>
      <w:r>
        <w:t xml:space="preserve">: con análisis gráfico y de elasticidades, estudiaremos cómo responde la demanda a las variaciones en la renta (II.1) y en los precios, propio y cruzado, con la ecuación de</w:t>
      </w:r>
      <w:r>
        <w:t xml:space="preserve"> </w:t>
      </w:r>
      <w:r>
        <w:rPr>
          <w:smallCaps/>
        </w:rPr>
        <w:t xml:space="preserve">Slutsky</w:t>
      </w:r>
      <w:r>
        <w:t xml:space="preserve"> </w:t>
      </w:r>
      <w:r>
        <w:t xml:space="preserve">(II.2), y valoraremos la teoría para enlazar con sus desarrollos (II.3).</w:t>
      </w:r>
    </w:p>
    <w:p>
      <w:pPr>
        <w:numPr>
          <w:ilvl w:val="1"/>
          <w:numId w:val="1010"/>
        </w:numPr>
      </w:pPr>
      <w:r>
        <w:rPr>
          <w:b/>
          <w:bCs/>
        </w:rPr>
        <w:t xml:space="preserve">III. Otros desarrollos</w:t>
      </w:r>
      <w:r>
        <w:t xml:space="preserve">: la teoría de la preferencia revelada, que parte de la conducta observada y no de preferencias inobservables (III.1); la producción doméstica, que introduce el tiempo y la «tecnología del consumo» (III.2), y los precios hedónicos, que valoran empíricamente los bienes por sus características (III.3).</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(Engel)</w:t>
      </w:r>
      <w:r>
        <w:br/>
      </w:r>
      <w:r>
        <w:t xml:space="preserve">2. Variaciones en los precios (Slutsky, Cournot)</w:t>
      </w:r>
      <w:r>
        <w:br/>
      </w:r>
      <w:r>
        <w:t xml:space="preserve">3. Valoración</w:t>
      </w:r>
      <w:r>
        <w:br/>
      </w:r>
      <w:r>
        <w:t xml:space="preserve">III. Otros desarrollos de la teoría de la demanda</w:t>
      </w:r>
      <w:r>
        <w:br/>
      </w:r>
      <w:r>
        <w:t xml:space="preserve">1. Preferencia revelada (Samuelson, Houthakker, Afriat)</w:t>
      </w:r>
      <w:r>
        <w:br/>
      </w:r>
      <w:r>
        <w:t xml:space="preserve">2. Producción doméstica (Becker)</w:t>
      </w:r>
      <w:r>
        <w:br/>
      </w:r>
      <w:r>
        <w:t xml:space="preserve">3. Precios hedónicos (Griliches, Rosen)</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tres desarrollos que acercan la teoría a lo observable (preferencia revelada, producción doméstica y precios hedónicos). Reparto orientativo del cante: I, 10 minutos (I.1, 5; I.2, 3; I.3, 2); II, 7 (II.1, 2; II.2, 4; II.3, 1); III, 7 (3 + 1,5 + 2,5).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27"/>
    <w:bookmarkStart w:id="125" w:name="X259e28cd8918d972b8412f8d61c55997d28be0b"/>
    <w:p>
      <w:pPr>
        <w:pStyle w:val="Heading1"/>
      </w:pPr>
      <w:r>
        <w:t xml:space="preserve">I.</w:t>
      </w:r>
      <w:r>
        <w:t xml:space="preserve"> </w:t>
      </w:r>
      <w:r>
        <w:t xml:space="preserve">Análisis de la teoría neoclásica de la demanda del consumidor (I): fundamentos de la teoría de la elección racional</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99" w:name="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dos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28"/>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1 resume el camino que recorre este apartado.</w:t>
      </w:r>
    </w:p>
    <w:bookmarkStart w:id="32" w:name="fig:esquema-ingredientes"/>
    <w:p>
      <w:pPr>
        <w:pStyle w:val="ImageCaption"/>
      </w:pPr>
      <w:r>
        <w:t xml:space="preserve">Gráfico 1.–</w:t>
      </w:r>
      <w:r>
        <w:t xml:space="preserve"> </w:t>
      </w:r>
      <w:r>
        <w:t xml:space="preserve">De las preferencias a la demanda de mercado</w:t>
      </w:r>
    </w:p>
    <w:p>
      <w:pPr>
        <w:pStyle w:val="CaptionedFigure"/>
      </w:pPr>
      <w:r>
        <w:drawing>
          <wp:inline>
            <wp:extent cx="5969000" cy="2135412"/>
            <wp:effectExtent b="0" l="0" r="0" t="0"/>
            <wp:docPr descr="" title="" id="30" name="Picture"/>
            <a:graphic>
              <a:graphicData uri="http://schemas.openxmlformats.org/drawingml/2006/picture">
                <pic:pic>
                  <pic:nvPicPr>
                    <pic:cNvPr descr="C:\Users\vgutierrez\Documents\src\victorgutierrezmarcos.github.io-revision\oposicion\temario\fuentes\3A08\graficos/esquema-ingredientes.png" id="31" name="Picture"/>
                    <pic:cNvPicPr>
                      <a:picLocks noChangeArrowheads="1" noChangeAspect="1"/>
                    </pic:cNvPicPr>
                  </pic:nvPicPr>
                  <pic:blipFill>
                    <a:blip r:embed="rId29"/>
                    <a:stretch>
                      <a:fillRect/>
                    </a:stretch>
                  </pic:blipFill>
                  <pic:spPr bwMode="auto">
                    <a:xfrm>
                      <a:off x="0" y="0"/>
                      <a:ext cx="5969000" cy="2135412"/>
                    </a:xfrm>
                    <a:prstGeom prst="rect">
                      <a:avLst/>
                    </a:prstGeom>
                    <a:noFill/>
                    <a:ln w="9525">
                      <a:noFill/>
                      <a:headEnd/>
                      <a:tailEnd/>
                    </a:ln>
                  </pic:spPr>
                </pic:pic>
              </a:graphicData>
            </a:graphic>
          </wp:inline>
        </w:drawing>
      </w:r>
    </w:p>
    <w:bookmarkEnd w:id="32"/>
    <w:p>
      <w:pPr>
        <w:pStyle w:val="Piedeimagen"/>
      </w:pPr>
      <w:r>
        <w:t xml:space="preserve">Fuente: elaboración propia.</w:t>
      </w:r>
    </w:p>
    <w:p>
      <w:pPr>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r>
        <w:rPr>
          <w:rStyle w:val="Referenciaatema"/>
        </w:rPr>
        <w:t xml:space="preserve">[ver tema 3.A.10]</w:t>
      </w:r>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r>
        <w:rPr>
          <w:rStyle w:val="Referenciaatema"/>
        </w:rPr>
        <w:t xml:space="preserve">[ver tema 3.A.25]</w:t>
      </w:r>
      <w:r>
        <w:t xml:space="preserve"> </w:t>
      </w:r>
      <w:r>
        <w:t xml:space="preserve">y de las decisiones intertemporales</w:t>
      </w:r>
      <w:r>
        <w:t xml:space="preserve"> </w:t>
      </w:r>
      <w:r>
        <w:rPr>
          <w:rStyle w:val="Referenciaatema"/>
        </w:rPr>
        <w:t xml:space="preserve">[ver tema 3.A.29]</w:t>
      </w:r>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3), los siete axiomas con lo que garantiza cada uno y agrupados por su papel (gráfico 4: con los cuatro primeros ya existe la función de utilidad, por el teorema de</w:t>
      </w:r>
      <w:r>
        <w:t xml:space="preserve"> </w:t>
      </w:r>
      <w:r>
        <w:rPr>
          <w:smallCaps/>
        </w:rPr>
        <w:t xml:space="preserve">Debreu</w:t>
      </w:r>
      <w:r>
        <w:t xml:space="preserve">), la función de utilidad ordinal como superficie cuyos cortes dan las curvas de indiferencia (gráfico 6), las propiedades de las curvas con el axioma que da cada una (gráfico 8), la RMS y la elasticidad de sustitución, nombrando los tres casos de la CES. El gráfico 5 puede dibujarse añadiendo un axioma cada vez. Después, el conjunto presupuestario y la recta de balance. Los cuatro casos de la relación binaria, las propiedades del conjunto de elección, la cuasiconcavidad en tres dimensiones y el detalle de la CES son de profundización.</w:t>
      </w:r>
    </w:p>
    <w:bookmarkStart w:id="90" w:name="X780faed3f455d31815eab79510e59af42ef5a56"/>
    <w:p>
      <w:pPr>
        <w:pStyle w:val="Heading3"/>
      </w:pPr>
      <w:r>
        <w:t xml:space="preserve">I.1.1.</w:t>
      </w:r>
      <w:r>
        <w:t xml:space="preserve"> </w:t>
      </w:r>
      <w:r>
        <w:t xml:space="preserve">Conjunto de elección, preferencias y función de utilidad</w:t>
      </w:r>
    </w:p>
    <w:bookmarkStart w:id="35" w:name="conjunto-de-elección"/>
    <w:p>
      <w:pPr>
        <w:pStyle w:val="Heading4"/>
      </w:pPr>
      <w:r>
        <w:t xml:space="preserve">Conjunto de elección</w:t>
      </w:r>
    </w:p>
    <w:p>
      <w:pPr>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r>
          <m:t>x</m:t>
        </m:r>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3"/>
      </w:r>
    </w:p>
    <w:p>
      <w:pPr>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34"/>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r>
              <m:t>x</m:t>
            </m:r>
          </m:e>
          <m:sup>
            <m:r>
              <m:t>k</m:t>
            </m:r>
          </m:sup>
        </m:sSup>
        <m:r>
          <m:rPr>
            <m:sty m:val="p"/>
          </m:rPr>
          <m:t>∈</m:t>
        </m:r>
        <m:r>
          <m:t>S</m:t>
        </m:r>
      </m:oMath>
      <w:r>
        <w:t xml:space="preserve"> </w:t>
      </w:r>
      <w:r>
        <w:t xml:space="preserve">y</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r>
          <m:t>x</m:t>
        </m:r>
        <m:r>
          <m:rPr>
            <m:sty m:val="p"/>
          </m:rPr>
          <m:t>≥</m:t>
        </m:r>
        <m:r>
          <m:t>0</m:t>
        </m:r>
      </m:oMath>
      <w:r>
        <w:t xml:space="preserve"> </w:t>
      </w:r>
      <w:r>
        <w:t xml:space="preserve">para toda</w:t>
      </w:r>
      <w:r>
        <w:t xml:space="preserve"> </w:t>
      </w:r>
      <m:oMath>
        <m:r>
          <m:t>x</m:t>
        </m:r>
        <m:r>
          <m:rPr>
            <m:sty m:val="p"/>
          </m:rPr>
          <m:t>∈</m:t>
        </m:r>
        <m:r>
          <m:t>S</m:t>
        </m:r>
      </m:oMath>
      <w:r>
        <w:t xml:space="preserve">, porque las cantidades consumidas nunca son negativas; en el caso habitual contiene la cesta nula,</w:t>
      </w:r>
      <w:r>
        <w:t xml:space="preserve"> </w:t>
      </w:r>
      <m:oMath>
        <m:r>
          <m:t>0</m:t>
        </m:r>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dos cestas factibles, cualquier combinación convexa de ellas también lo es,</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r>
          <m:rPr>
            <m:sty m:val="p"/>
          </m:rPr>
          <m:t>∈</m:t>
        </m:r>
        <m:r>
          <m:t>S</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35"/>
    <w:bookmarkStart w:id="44" w:name="preferencias"/>
    <w:p>
      <w:pPr>
        <w:pStyle w:val="Heading4"/>
      </w:pPr>
      <w:r>
        <w:t xml:space="preserve">Preferencias</w:t>
      </w:r>
    </w:p>
    <w:p>
      <w:pPr>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r>
              <m:t>x</m:t>
            </m:r>
          </m:e>
          <m:sup>
            <m:r>
              <m:t>0</m:t>
            </m:r>
          </m:sup>
        </m:sSup>
        <m:r>
          <m:rPr>
            <m:sty m:val="p"/>
          </m:rPr>
          <m:t>≽</m:t>
        </m:r>
        <m:sSup>
          <m:e>
            <m:r>
              <m:t>x</m:t>
            </m:r>
          </m:e>
          <m:sup>
            <m:r>
              <m:t>1</m:t>
            </m:r>
          </m:sup>
        </m:sSup>
      </m:oMath>
      <w:r>
        <w:t xml:space="preserve"> </w:t>
      </w:r>
      <w:r>
        <w:t xml:space="preserve">(el par</w:t>
      </w:r>
      <w:r>
        <w:t xml:space="preserve"> </w:t>
      </w:r>
      <m:oMath>
        <m:d>
          <m:dPr>
            <m:begChr m:val="("/>
            <m:sepChr m:val=""/>
            <m:endChr m:val=")"/>
            <m:grow/>
          </m:dPr>
          <m:e>
            <m:sSup>
              <m:e>
                <m:r>
                  <m:t>x</m:t>
                </m:r>
              </m:e>
              <m:sup>
                <m:r>
                  <m:t>0</m:t>
                </m:r>
              </m:sup>
            </m:sSup>
            <m:r>
              <m:rPr>
                <m:sty m:val="p"/>
              </m:rPr>
              <m:t>,</m:t>
            </m:r>
            <m:sSup>
              <m:e>
                <m:r>
                  <m:t>x</m:t>
                </m:r>
              </m:e>
              <m:sup>
                <m:r>
                  <m:t>1</m:t>
                </m:r>
              </m:sup>
            </m:sSup>
          </m:e>
        </m:d>
      </m:oMath>
      <w:r>
        <w:t xml:space="preserve"> </w:t>
      </w:r>
      <w:r>
        <w:t xml:space="preserve">pertenece a la relación) para indicar que, para el consumidor,</w:t>
      </w:r>
      <w:r>
        <w:t xml:space="preserve"> </w:t>
      </w:r>
      <m:oMath>
        <m:sSup>
          <m:e>
            <m:r>
              <m:t>x</m:t>
            </m:r>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r>
              <m:t>x</m:t>
            </m:r>
          </m:e>
          <m:sup>
            <m:r>
              <m:t>1</m:t>
            </m:r>
          </m:sup>
        </m:sSup>
      </m:oMath>
      <w:r>
        <w:t xml:space="preserve">. Es la</w:t>
      </w:r>
      <w:r>
        <w:t xml:space="preserve"> </w:t>
      </w:r>
      <w:r>
        <w:rPr>
          <w:b/>
          <w:bCs/>
        </w:rPr>
        <w:t xml:space="preserve">preferencia débil</w:t>
      </w:r>
      <w:r>
        <w:t xml:space="preserve">, la relación primitiva de la teoría.</w:t>
      </w:r>
    </w:p>
    <w:p>
      <w:pPr>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 </w:t>
      </w:r>
      <w:r>
        <w:t xml:space="preserve">(</w:t>
      </w:r>
      <m:oMath>
        <m:sSup>
          <m:e>
            <m:r>
              <m:t>x</m:t>
            </m:r>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r>
              <m:t>x</m:t>
            </m:r>
          </m:e>
          <m:sup>
            <m:r>
              <m:t>1</m:t>
            </m:r>
          </m:sup>
        </m:sSup>
      </m:oMath>
      <w:r>
        <w:t xml:space="preserve">);</w:t>
      </w:r>
    </w:p>
    <w:p>
      <w:pPr>
        <w:numPr>
          <w:ilvl w:val="2"/>
          <w:numId w:val="1020"/>
        </w:numPr>
      </w:pPr>
      <w:r>
        <w:rPr>
          <w:b/>
          <w:bCs/>
        </w:rPr>
        <w:t xml:space="preserve">indiferencia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w:t>
      </w:r>
      <w:r>
        <w:t xml:space="preserve">(</w:t>
      </w:r>
      <m:oMath>
        <m:sSup>
          <m:e>
            <m:r>
              <m:t>x</m:t>
            </m:r>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r>
              <m:t>x</m:t>
            </m:r>
          </m:e>
          <m:sup>
            <m:r>
              <m:t>1</m:t>
            </m:r>
          </m:sup>
        </m:sSup>
      </m:oMath>
      <w:r>
        <w:t xml:space="preserve">).</w:t>
      </w:r>
    </w:p>
    <w:p>
      <w:pPr>
        <w:numPr>
          <w:ilvl w:val="1"/>
          <w:numId w:val="1000"/>
        </w:numPr>
      </w:pPr>
      <w:r>
        <w:t xml:space="preserve">Se escribe también</w:t>
      </w:r>
      <w:r>
        <w:t xml:space="preserve"> </w:t>
      </w:r>
      <m:oMath>
        <m:sSup>
          <m:e>
            <m:r>
              <m:t>x</m:t>
            </m:r>
          </m:e>
          <m:sup>
            <m:r>
              <m:t>1</m:t>
            </m:r>
          </m:sup>
        </m:sSup>
        <m:r>
          <m:rPr>
            <m:sty m:val="p"/>
          </m:rPr>
          <m:t>≼</m:t>
        </m:r>
        <m:sSup>
          <m:e>
            <m:r>
              <m:t>x</m:t>
            </m:r>
          </m:e>
          <m:sup>
            <m:r>
              <m:t>0</m:t>
            </m:r>
          </m:sup>
        </m:sSup>
      </m:oMath>
      <w:r>
        <w:t xml:space="preserve"> </w:t>
      </w:r>
      <w:r>
        <w:t xml:space="preserve">por</w:t>
      </w:r>
      <w:r>
        <w:t xml:space="preserve"> </w:t>
      </w:r>
      <m:oMath>
        <m:sSup>
          <m:e>
            <m:r>
              <m:t>x</m:t>
            </m:r>
          </m:e>
          <m:sup>
            <m:r>
              <m:t>0</m:t>
            </m:r>
          </m:sup>
        </m:sSup>
        <m:r>
          <m:rPr>
            <m:sty m:val="p"/>
          </m:rPr>
          <m:t>≽</m:t>
        </m:r>
        <m:sSup>
          <m:e>
            <m:r>
              <m:t>x</m:t>
            </m:r>
          </m:e>
          <m:sup>
            <m:r>
              <m:t>1</m:t>
            </m:r>
          </m:sup>
        </m:sSup>
      </m:oMath>
      <w:r>
        <w:t xml:space="preserve">, y</w:t>
      </w:r>
      <w:r>
        <w:t xml:space="preserve"> </w:t>
      </w:r>
      <m:oMath>
        <m:sSup>
          <m:e>
            <m:r>
              <m:t>x</m:t>
            </m:r>
          </m:e>
          <m:sup>
            <m:r>
              <m:t>1</m:t>
            </m:r>
          </m:sup>
        </m:sSup>
        <m:r>
          <m:rPr>
            <m:sty m:val="p"/>
          </m:rPr>
          <m:t>≺</m:t>
        </m:r>
        <m:sSup>
          <m:e>
            <m:r>
              <m:t>x</m:t>
            </m:r>
          </m:e>
          <m:sup>
            <m:r>
              <m:t>0</m:t>
            </m:r>
          </m:sup>
        </m:sSup>
      </m:oMath>
      <w:r>
        <w:t xml:space="preserve"> </w:t>
      </w:r>
      <w:r>
        <w:t xml:space="preserve">por</w:t>
      </w:r>
      <w:r>
        <w:t xml:space="preserve"> </w:t>
      </w:r>
      <m:oMath>
        <m:sSup>
          <m:e>
            <m:r>
              <m:t>x</m:t>
            </m:r>
          </m:e>
          <m:sup>
            <m:r>
              <m:t>0</m:t>
            </m:r>
          </m:sup>
        </m:sSup>
        <m:r>
          <m:rPr>
            <m:sty m:val="p"/>
          </m:rPr>
          <m:t>≻</m:t>
        </m:r>
        <m:sSup>
          <m:e>
            <m:r>
              <m:t>x</m:t>
            </m:r>
          </m:e>
          <m:sup>
            <m:r>
              <m:t>1</m:t>
            </m:r>
          </m:sup>
        </m:sSup>
      </m:oMath>
      <w:r>
        <w:t xml:space="preserve">.</w:t>
      </w:r>
    </w:p>
    <w:p>
      <w:pPr>
        <w:numPr>
          <w:ilvl w:val="1"/>
          <w:numId w:val="1019"/>
        </w:numPr>
      </w:pPr>
      <w:r>
        <w:t xml:space="preserve">Entre dos cestas cualesquiera caben cuatro casos lógicos (gráfico 2):</w:t>
      </w:r>
    </w:p>
    <w:p>
      <w:pPr>
        <w:numPr>
          <w:ilvl w:val="2"/>
          <w:numId w:val="1021"/>
        </w:numPr>
      </w:pPr>
      <m:oMath>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w:t>
      </w:r>
    </w:p>
    <w:p>
      <w:pPr>
        <w:numPr>
          <w:ilvl w:val="2"/>
          <w:numId w:val="1021"/>
        </w:numPr>
      </w:pPr>
      <w:r>
        <w:t xml:space="preserve">no</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1</m:t>
            </m:r>
          </m:sup>
        </m:sSup>
        <m:r>
          <m:rPr>
            <m:sty m:val="p"/>
          </m:rPr>
          <m:t>≻</m:t>
        </m:r>
        <m:sSup>
          <m:e>
            <m:r>
              <m:t>x</m:t>
            </m:r>
          </m:e>
          <m:sup>
            <m:r>
              <m:t>0</m:t>
            </m:r>
          </m:sup>
        </m:sSup>
      </m:oMath>
      <w:r>
        <w:t xml:space="preserve">;</w:t>
      </w:r>
    </w:p>
    <w:p>
      <w:pPr>
        <w:numPr>
          <w:ilvl w:val="2"/>
          <w:numId w:val="1021"/>
        </w:numPr>
      </w:pP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w:t>
      </w:r>
    </w:p>
    <w:p>
      <w:pPr>
        <w:numPr>
          <w:ilvl w:val="2"/>
          <w:numId w:val="1021"/>
        </w:numPr>
      </w:pPr>
      <w:r>
        <w:t xml:space="preserve">ni</w:t>
      </w:r>
      <w:r>
        <w:t xml:space="preserve"> </w:t>
      </w:r>
      <m:oMath>
        <m:sSup>
          <m:e>
            <m:r>
              <m:t>x</m:t>
            </m:r>
          </m:e>
          <m:sup>
            <m:r>
              <m:t>0</m:t>
            </m:r>
          </m:sup>
        </m:sSup>
        <m:r>
          <m:rPr>
            <m:sty m:val="p"/>
          </m:rPr>
          <m:t>≽</m:t>
        </m:r>
        <m:sSup>
          <m:e>
            <m:r>
              <m:t>x</m:t>
            </m:r>
          </m:e>
          <m:sup>
            <m:r>
              <m:t>1</m:t>
            </m:r>
          </m:sup>
        </m:sSup>
      </m:oMath>
      <w:r>
        <w:t xml:space="preserve"> </w:t>
      </w:r>
      <w:r>
        <w:t xml:space="preserve">ni</w:t>
      </w:r>
      <w:r>
        <w:t xml:space="preserve"> </w:t>
      </w:r>
      <m:oMath>
        <m:sSup>
          <m:e>
            <m:r>
              <m:t>x</m:t>
            </m:r>
          </m:e>
          <m:sup>
            <m:r>
              <m:t>1</m:t>
            </m:r>
          </m:sup>
        </m:sSup>
        <m:r>
          <m:rPr>
            <m:sty m:val="p"/>
          </m:rPr>
          <m:t>≽</m:t>
        </m:r>
        <m:sSup>
          <m:e>
            <m:r>
              <m:t>x</m:t>
            </m:r>
          </m:e>
          <m:sup>
            <m:r>
              <m:t>0</m:t>
            </m:r>
          </m:sup>
        </m:sSup>
      </m:oMath>
      <w:r>
        <w:t xml:space="preserve">: las cestas no son comparables.</w:t>
      </w:r>
    </w:p>
    <w:p>
      <w:pPr>
        <w:numPr>
          <w:ilvl w:val="1"/>
          <w:numId w:val="1019"/>
        </w:numPr>
      </w:pPr>
      <w:r>
        <w:t xml:space="preserve">Para cada cesta</w:t>
      </w:r>
      <w:r>
        <w:t xml:space="preserve"> </w:t>
      </w:r>
      <m:oMath>
        <m:sSup>
          <m:e>
            <m:r>
              <m:t>x</m:t>
            </m:r>
          </m:e>
          <m:sup>
            <m:r>
              <m:t>0</m:t>
            </m:r>
          </m:sup>
        </m:sSup>
      </m:oMath>
      <w:r>
        <w:t xml:space="preserve">, la relación define tres conjuntos (gráfico 3):</w:t>
      </w:r>
    </w:p>
    <w:p>
      <w:pPr>
        <w:numPr>
          <w:ilvl w:val="2"/>
          <w:numId w:val="1022"/>
        </w:numPr>
      </w:pPr>
      <w:r>
        <w:t xml:space="preserve">el</w:t>
      </w:r>
      <w:r>
        <w:t xml:space="preserve"> </w:t>
      </w:r>
      <w:r>
        <w:rPr>
          <w:b/>
          <w:bCs/>
        </w:rPr>
        <w:t xml:space="preserve">conjunto «al menos tan bueno como»</w:t>
      </w:r>
      <w:r>
        <w:rPr>
          <w:b/>
          <w:bCs/>
        </w:rPr>
        <w:t xml:space="preserve"> </w:t>
      </w:r>
      <m:oMath>
        <m:sSup>
          <m:e>
            <m:r>
              <m:t>x</m:t>
            </m:r>
          </m:e>
          <m:sup>
            <m:r>
              <m:t>0</m:t>
            </m:r>
          </m:sup>
        </m:sSup>
      </m:oMath>
      <w:r>
        <w:t xml:space="preserve"> </w:t>
      </w:r>
      <w:r>
        <w:t xml:space="preserve">o de contorno superior,</w:t>
      </w:r>
      <w:r>
        <w:t xml:space="preserve"> </w:t>
      </w:r>
      <m:oMath>
        <m:r>
          <m:t>B</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r>
              <m:t>x</m:t>
            </m:r>
          </m:e>
          <m:sup>
            <m:r>
              <m:t>0</m:t>
            </m:r>
          </m:sup>
        </m:sSup>
      </m:oMath>
      <w:r>
        <w:t xml:space="preserve"> </w:t>
      </w:r>
      <w:r>
        <w:t xml:space="preserve">o de contorno inferior,</w:t>
      </w:r>
      <w:r>
        <w:t xml:space="preserve"> </w:t>
      </w:r>
      <m:oMath>
        <m:r>
          <m:t>H</m:t>
        </m:r>
        <m:d>
          <m:dPr>
            <m:begChr m:val="("/>
            <m:sepChr m:val=""/>
            <m:endChr m:val=")"/>
            <m:grow/>
          </m:dPr>
          <m:e>
            <m:sSup>
              <m:e>
                <m:r>
                  <m:t>x</m:t>
                </m:r>
              </m:e>
              <m:sup>
                <m:r>
                  <m:t>0</m:t>
                </m:r>
              </m:sup>
            </m:sSup>
          </m:e>
        </m:d>
        <m:r>
          <m:rPr>
            <m:sty m:val="p"/>
          </m:rPr>
          <m:t>=</m:t>
        </m:r>
        <m:r>
          <m:rPr>
            <m:sty m:val="p"/>
          </m:rPr>
          <m:t>{</m:t>
        </m:r>
        <m:r>
          <m:t>x</m:t>
        </m:r>
        <m:r>
          <m:rPr>
            <m:sty m:val="p"/>
          </m:rPr>
          <m:t>∈</m:t>
        </m:r>
        <m:r>
          <m:t>S</m:t>
        </m:r>
        <m:r>
          <m:rPr>
            <m:sty m:val="p"/>
          </m:rPr>
          <m:t>:</m:t>
        </m:r>
        <m:sSup>
          <m:e>
            <m:r>
              <m:t>x</m:t>
            </m:r>
          </m:e>
          <m:sup>
            <m:r>
              <m:t>0</m:t>
            </m:r>
          </m:sup>
        </m:sSup>
        <m:r>
          <m:rPr>
            <m:sty m:val="p"/>
          </m:rPr>
          <m:t>≽</m:t>
        </m:r>
        <m:r>
          <m:t>x</m:t>
        </m:r>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r>
              <m:t>x</m:t>
            </m:r>
          </m:e>
          <m:sup>
            <m:r>
              <m:t>0</m:t>
            </m:r>
          </m:sup>
        </m:sSup>
      </m:oMath>
      <w:r>
        <w:t xml:space="preserve">,</w:t>
      </w:r>
      <w:r>
        <w:t xml:space="preserve"> </w:t>
      </w:r>
      <m:oMath>
        <m:r>
          <m:t>I</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r>
          <m:rPr>
            <m:sty m:val="p"/>
          </m:rPr>
          <m:t>=</m:t>
        </m:r>
        <m:r>
          <m:t>B</m:t>
        </m:r>
        <m:d>
          <m:dPr>
            <m:begChr m:val="("/>
            <m:sepChr m:val=""/>
            <m:endChr m:val=")"/>
            <m:grow/>
          </m:dPr>
          <m:e>
            <m:sSup>
              <m:e>
                <m:r>
                  <m:t>x</m:t>
                </m:r>
              </m:e>
              <m:sup>
                <m:r>
                  <m:t>0</m:t>
                </m:r>
              </m:sup>
            </m:sSup>
          </m:e>
        </m:d>
        <m:r>
          <m:rPr>
            <m:sty m:val="p"/>
          </m:rPr>
          <m:t>∩</m:t>
        </m:r>
        <m:r>
          <m:t>H</m:t>
        </m:r>
        <m:d>
          <m:dPr>
            <m:begChr m:val="("/>
            <m:sepChr m:val=""/>
            <m:endChr m:val=")"/>
            <m:grow/>
          </m:dPr>
          <m:e>
            <m:sSup>
              <m:e>
                <m:r>
                  <m:t>x</m:t>
                </m:r>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r>
                  <m:t>x</m:t>
                </m:r>
              </m:e>
              <m:sup>
                <m:r>
                  <m:t>0</m:t>
                </m:r>
              </m:sup>
            </m:sSup>
          </m:e>
        </m:d>
      </m:oMath>
      <w:r>
        <w:t xml:space="preserve"> </w:t>
      </w:r>
      <w:r>
        <w:t xml:space="preserve">y</w:t>
      </w:r>
      <w:r>
        <w:t xml:space="preserve"> </w:t>
      </w:r>
      <m:oMath>
        <m:r>
          <m:t>H</m:t>
        </m:r>
        <m:d>
          <m:dPr>
            <m:begChr m:val="("/>
            <m:sepChr m:val=""/>
            <m:endChr m:val=")"/>
            <m:grow/>
          </m:dPr>
          <m:e>
            <m:sSup>
              <m:e>
                <m:r>
                  <m:t>x</m:t>
                </m:r>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r>
              <m:t>x</m:t>
            </m:r>
          </m:e>
          <m:sup>
            <m:r>
              <m:t>0</m:t>
            </m:r>
          </m:sup>
        </m:sSup>
      </m:oMath>
      <w:r>
        <w:t xml:space="preserve">.</w:t>
      </w:r>
    </w:p>
    <w:bookmarkStart w:id="39" w:name="fig:preferencias-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 title="" id="37" name="Picture"/>
            <a:graphic>
              <a:graphicData uri="http://schemas.openxmlformats.org/drawingml/2006/picture">
                <pic:pic>
                  <pic:nvPicPr>
                    <pic:cNvPr descr="C:\Users\vgutierrez\Documents\src\victorgutierrezmarcos.github.io-revision\oposicion\temario\fuentes\3A08\graficos/preferencias-venn.png" id="38" name="Picture"/>
                    <pic:cNvPicPr>
                      <a:picLocks noChangeArrowheads="1" noChangeAspect="1"/>
                    </pic:cNvPicPr>
                  </pic:nvPicPr>
                  <pic:blipFill>
                    <a:blip r:embed="rId36"/>
                    <a:stretch>
                      <a:fillRect/>
                    </a:stretch>
                  </pic:blipFill>
                  <pic:spPr bwMode="auto">
                    <a:xfrm>
                      <a:off x="0" y="0"/>
                      <a:ext cx="3003146" cy="1703414"/>
                    </a:xfrm>
                    <a:prstGeom prst="rect">
                      <a:avLst/>
                    </a:prstGeom>
                    <a:noFill/>
                    <a:ln w="9525">
                      <a:noFill/>
                      <a:headEnd/>
                      <a:tailEnd/>
                    </a:ln>
                  </pic:spPr>
                </pic:pic>
              </a:graphicData>
            </a:graphic>
          </wp:inline>
        </w:drawing>
      </w:r>
    </w:p>
    <w:bookmarkEnd w:id="39"/>
    <w:p>
      <w:pPr>
        <w:pStyle w:val="Piedeimagen"/>
      </w:pPr>
      <w:r>
        <w:t xml:space="preserve">Fuente: elaboración propia basada en</w:t>
      </w:r>
      <w:r>
        <w:t xml:space="preserve"> </w:t>
      </w:r>
      <w:r>
        <w:t xml:space="preserve">Osborne y Rubinstein (</w:t>
      </w:r>
      <w:hyperlink w:anchor="ref-OsborneRubinstein2020Models">
        <w:r>
          <w:rPr>
            <w:rStyle w:val="Hyperlink"/>
          </w:rPr>
          <w:t xml:space="preserve">2020</w:t>
        </w:r>
      </w:hyperlink>
      <w:r>
        <w:t xml:space="preserve">)</w:t>
      </w:r>
      <w:r>
        <w:t xml:space="preserve">.</w:t>
      </w:r>
    </w:p>
    <w:bookmarkStart w:id="43" w:name="fig:conjuntos-contorno"/>
    <w:p>
      <w:pPr>
        <w:pStyle w:val="ImageCaption"/>
      </w:pPr>
      <w:r>
        <w:t xml:space="preserve">Gráfico 3.–</w:t>
      </w:r>
      <w:r>
        <w:t xml:space="preserve"> </w:t>
      </w:r>
      <w:r>
        <w:t xml:space="preserve">Conjuntos «al menos tan bueno como»</w:t>
      </w:r>
      <w:r>
        <w:t xml:space="preserve"> </w:t>
      </w:r>
      <m:oMath>
        <m:sSup>
          <m:e>
            <m:r>
              <m:t>x</m:t>
            </m:r>
          </m:e>
          <m:sup>
            <m:r>
              <m:t>0</m:t>
            </m:r>
          </m:sup>
        </m:sSup>
      </m:oMath>
      <w:r>
        <w:t xml:space="preserve">, «no mejor que»</w:t>
      </w:r>
      <w:r>
        <w:t xml:space="preserve"> </w:t>
      </w:r>
      <m:oMath>
        <m:sSup>
          <m:e>
            <m:r>
              <m:t>x</m:t>
            </m:r>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 title="" id="41" name="Picture"/>
            <a:graphic>
              <a:graphicData uri="http://schemas.openxmlformats.org/drawingml/2006/picture">
                <pic:pic>
                  <pic:nvPicPr>
                    <pic:cNvPr descr="C:\Users\vgutierrez\Documents\src\victorgutierrezmarcos.github.io-revision\oposicion\temario\fuentes\3A08\graficos/conjuntos-contorno.png" id="42" name="Picture"/>
                    <pic:cNvPicPr>
                      <a:picLocks noChangeArrowheads="1" noChangeAspect="1"/>
                    </pic:cNvPicPr>
                  </pic:nvPicPr>
                  <pic:blipFill>
                    <a:blip r:embed="rId40"/>
                    <a:stretch>
                      <a:fillRect/>
                    </a:stretch>
                  </pic:blipFill>
                  <pic:spPr bwMode="auto">
                    <a:xfrm>
                      <a:off x="0" y="0"/>
                      <a:ext cx="3431293" cy="2440438"/>
                    </a:xfrm>
                    <a:prstGeom prst="rect">
                      <a:avLst/>
                    </a:prstGeom>
                    <a:noFill/>
                    <a:ln w="9525">
                      <a:noFill/>
                      <a:headEnd/>
                      <a:tailEnd/>
                    </a:ln>
                  </pic:spPr>
                </pic:pic>
              </a:graphicData>
            </a:graphic>
          </wp:inline>
        </w:drawing>
      </w:r>
    </w:p>
    <w:bookmarkEnd w:id="43"/>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párr. 3.B</w:t>
        </w:r>
      </w:hyperlink>
      <w:r>
        <w:t xml:space="preserve">)</w:t>
      </w:r>
      <w:r>
        <w:t xml:space="preserve">.</w:t>
      </w:r>
    </w:p>
    <w:bookmarkEnd w:id="44"/>
    <w:bookmarkStart w:id="49" w:name="axiomas-sobre-las-preferencias"/>
    <w:p>
      <w:pPr>
        <w:pStyle w:val="Heading4"/>
      </w:pPr>
      <w:r>
        <w:t xml:space="preserve">Axiomas sobre las preferencias</w:t>
      </w:r>
    </w:p>
    <w:p>
      <w:pPr>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Debreu1959Theory">
        <w:r>
          <w:rPr>
            <w:rStyle w:val="Hyperlink"/>
          </w:rPr>
          <w:t xml:space="preserve">Debreu 1959, cap. 4</w:t>
        </w:r>
      </w:hyperlink>
      <w:r>
        <w:t xml:space="preserve">;</w:t>
      </w:r>
      <w:r>
        <w:t xml:space="preserve"> </w:t>
      </w:r>
      <w:hyperlink w:anchor="ref-MasColellWhinstonGreen1995">
        <w:r>
          <w:rPr>
            <w:rStyle w:val="Hyperlink"/>
          </w:rPr>
          <w:t xml:space="preserve">Mas-Colell, Whinston y Green 1995, cap. 3</w:t>
        </w:r>
      </w:hyperlink>
      <w:r>
        <w:t xml:space="preserve">)</w:t>
      </w:r>
      <w:r>
        <w:t xml:space="preserve">. No todos hacen falta para lo mismo (gráfico 4, que resume también qué garantiza cada uno):</w:t>
      </w:r>
    </w:p>
    <w:p>
      <w:pPr>
        <w:numPr>
          <w:ilvl w:val="1"/>
          <w:numId w:val="1024"/>
        </w:numPr>
      </w:pPr>
      <w:r>
        <w:t xml:space="preserve">los tres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r>
        <w:rPr>
          <w:rStyle w:val="Referenciaatema"/>
        </w:rPr>
        <w:t xml:space="preserve">[ver tema 3.A.9]</w:t>
      </w:r>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48" w:name="fig:esquema-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 title="" id="46" name="Picture"/>
            <a:graphic>
              <a:graphicData uri="http://schemas.openxmlformats.org/drawingml/2006/picture">
                <pic:pic>
                  <pic:nvPicPr>
                    <pic:cNvPr descr="C:\Users\vgutierrez\Documents\src\victorgutierrezmarcos.github.io-revision\oposicion\temario\fuentes\3A08\graficos/esquema-axiomas.png" id="47" name="Picture"/>
                    <pic:cNvPicPr>
                      <a:picLocks noChangeArrowheads="1" noChangeAspect="1"/>
                    </pic:cNvPicPr>
                  </pic:nvPicPr>
                  <pic:blipFill>
                    <a:blip r:embed="rId45"/>
                    <a:stretch>
                      <a:fillRect/>
                    </a:stretch>
                  </pic:blipFill>
                  <pic:spPr bwMode="auto">
                    <a:xfrm>
                      <a:off x="0" y="0"/>
                      <a:ext cx="5969000" cy="1845118"/>
                    </a:xfrm>
                    <a:prstGeom prst="rect">
                      <a:avLst/>
                    </a:prstGeom>
                    <a:noFill/>
                    <a:ln w="9525">
                      <a:noFill/>
                      <a:headEnd/>
                      <a:tailEnd/>
                    </a:ln>
                  </pic:spPr>
                </pic:pic>
              </a:graphicData>
            </a:graphic>
          </wp:inline>
        </w:drawing>
      </w:r>
    </w:p>
    <w:bookmarkEnd w:id="48"/>
    <w:p>
      <w:pPr>
        <w:pStyle w:val="Piedeimagen"/>
      </w:pPr>
      <w:r>
        <w:t xml:space="preserve">Fuente: elaboración propia basada en</w:t>
      </w:r>
      <w:r>
        <w:t xml:space="preserve"> </w:t>
      </w:r>
      <w:r>
        <w:t xml:space="preserve">Debreu (</w:t>
      </w:r>
      <w:hyperlink w:anchor="ref-Debreu1959Theory">
        <w:r>
          <w:rPr>
            <w:rStyle w:val="Hyperlink"/>
          </w:rPr>
          <w:t xml:space="preserve">1959, cap. 4</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cap. 3</w:t>
        </w:r>
      </w:hyperlink>
      <w:r>
        <w:t xml:space="preserve">)</w:t>
      </w:r>
      <w:r>
        <w:t xml:space="preserve">.</w:t>
      </w:r>
    </w:p>
    <w:bookmarkEnd w:id="49"/>
    <w:bookmarkStart w:id="55" w:name="Xcef9b0c685a4a43c1b959531edfc3d133a00dcb"/>
    <w:p>
      <w:pPr>
        <w:pStyle w:val="Heading4"/>
      </w:pPr>
      <w:r>
        <w:t xml:space="preserve">Axiomas de preorden completo (racionalidad)</w:t>
      </w:r>
    </w:p>
    <w:p>
      <w:pPr>
        <w:numPr>
          <w:ilvl w:val="0"/>
          <w:numId w:val="1025"/>
        </w:numPr>
      </w:pPr>
      <w:r>
        <w:rPr>
          <w:b/>
          <w:bCs/>
        </w:rPr>
        <w:t xml:space="preserve">Completitud</w:t>
      </w:r>
      <w:r>
        <w:t xml:space="preserve">: ante dos cestas cualesquiera, el consumidor siempre es capaz de compararlas:</w:t>
      </w:r>
      <w:r>
        <w:t xml:space="preserve"> </w:t>
      </w:r>
      <m:oMath>
        <m:r>
          <m:rPr>
            <m:sty m:val="p"/>
          </m:rPr>
          <m:t>∀</m:t>
        </m:r>
        <m:sSup>
          <m:e>
            <m:r>
              <m:t>x</m:t>
            </m:r>
          </m:e>
          <m:sup>
            <m:r>
              <m:t>0</m:t>
            </m:r>
          </m:sup>
        </m:sSup>
        <m:r>
          <m:rPr>
            <m:sty m:val="p"/>
          </m:rPr>
          <m:t>,</m:t>
        </m:r>
        <m:sSup>
          <m:e>
            <m:r>
              <m:t>x</m:t>
            </m:r>
          </m:e>
          <m:sup>
            <m:r>
              <m:t>1</m:t>
            </m:r>
          </m:sup>
        </m:sSup>
        <m:r>
          <m:rPr>
            <m:sty m:val="p"/>
          </m:rPr>
          <m:t>∈</m:t>
        </m:r>
        <m:r>
          <m:t>S</m:t>
        </m:r>
      </m:oMath>
      <w:r>
        <w:t xml:space="preserve">,</w:t>
      </w:r>
      <w:r>
        <w:t xml:space="preserve"> </w:t>
      </w:r>
      <m:oMath>
        <m:sSup>
          <m:e>
            <m:r>
              <m:t>x</m:t>
            </m:r>
          </m:e>
          <m:sup>
            <m:r>
              <m:t>0</m:t>
            </m:r>
          </m:sup>
        </m:sSup>
        <m:r>
          <m:rPr>
            <m:sty m:val="p"/>
          </m:rPr>
          <m:t>≽</m:t>
        </m:r>
        <m:sSup>
          <m:e>
            <m:r>
              <m:t>x</m:t>
            </m:r>
          </m:e>
          <m:sup>
            <m:r>
              <m:t>1</m:t>
            </m:r>
          </m:sup>
        </m:sSup>
      </m:oMath>
      <w:r>
        <w:t xml:space="preserve"> </w:t>
      </w:r>
      <w:r>
        <w:t xml:space="preserve">o</w:t>
      </w:r>
      <w:r>
        <w:t xml:space="preserve"> </w:t>
      </w:r>
      <m:oMath>
        <m:sSup>
          <m:e>
            <m:r>
              <m:t>x</m:t>
            </m:r>
          </m:e>
          <m:sup>
            <m:r>
              <m:t>1</m:t>
            </m:r>
          </m:sup>
        </m:sSup>
        <m:r>
          <m:rPr>
            <m:sty m:val="p"/>
          </m:rPr>
          <m:t>≽</m:t>
        </m:r>
        <m:sSup>
          <m:e>
            <m:r>
              <m:t>x</m:t>
            </m:r>
          </m:e>
          <m:sup>
            <m:r>
              <m:t>0</m:t>
            </m:r>
          </m:sup>
        </m:sSup>
      </m:oMath>
      <w:r>
        <w:t xml:space="preserve"> </w:t>
      </w:r>
      <w:r>
        <w:t xml:space="preserve">(o ambas). Descarta el caso de cestas no comparables.</w:t>
      </w:r>
      <w:r>
        <w:rPr>
          <w:rStyle w:val="FootnoteReference"/>
        </w:rPr>
        <w:footnoteReference w:id="50"/>
      </w:r>
    </w:p>
    <w:p>
      <w:pPr>
        <w:numPr>
          <w:ilvl w:val="0"/>
          <w:numId w:val="1025"/>
        </w:numPr>
      </w:pPr>
      <w:r>
        <w:rPr>
          <w:b/>
          <w:bCs/>
        </w:rPr>
        <w:t xml:space="preserve">Reflexividad</w:t>
      </w:r>
      <w:r>
        <w:t xml:space="preserve">:</w:t>
      </w:r>
      <w:r>
        <w:rPr>
          <w:rStyle w:val="FootnoteReference"/>
        </w:rPr>
        <w:footnoteReference w:id="51"/>
      </w:r>
      <w:r>
        <w:t xml:space="preserve"> </w:t>
      </w:r>
      <w:r>
        <w:t xml:space="preserve">toda cesta es al menos tan buena como sí misma:</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La indiferencia es reflexiva, pero la preferencia estricta no lo es.</w:t>
      </w:r>
      <w:r>
        <w:rPr>
          <w:rStyle w:val="FootnoteReference"/>
        </w:rPr>
        <w:footnoteReference w:id="52"/>
      </w:r>
    </w:p>
    <w:p>
      <w:pPr>
        <w:numPr>
          <w:ilvl w:val="0"/>
          <w:numId w:val="1025"/>
        </w:numPr>
      </w:pPr>
      <w:r>
        <w:rPr>
          <w:b/>
          <w:bCs/>
        </w:rPr>
        <w:t xml:space="preserve">Transitividad</w:t>
      </w:r>
      <w:r>
        <w:t xml:space="preserve">:</w:t>
      </w:r>
      <w:r>
        <w:t xml:space="preserve"> </w:t>
      </w:r>
      <m:oMath>
        <m:r>
          <m:rPr>
            <m:sty m:val="p"/>
          </m:rPr>
          <m:t>∀</m:t>
        </m:r>
        <m:sSup>
          <m:e>
            <m:r>
              <m:t>x</m:t>
            </m:r>
          </m:e>
          <m:sup>
            <m:r>
              <m:t>0</m:t>
            </m:r>
          </m:sup>
        </m:sSup>
        <m:r>
          <m:rPr>
            <m:sty m:val="p"/>
          </m:rPr>
          <m:t>,</m:t>
        </m:r>
        <m:sSup>
          <m:e>
            <m:r>
              <m:t>x</m:t>
            </m:r>
          </m:e>
          <m:sup>
            <m:r>
              <m:t>1</m:t>
            </m:r>
          </m:sup>
        </m:sSup>
        <m:r>
          <m:rPr>
            <m:sty m:val="p"/>
          </m:rPr>
          <m:t>,</m:t>
        </m:r>
        <m:sSup>
          <m:e>
            <m:r>
              <m:t>x</m:t>
            </m:r>
          </m:e>
          <m:sup>
            <m:r>
              <m:t>2</m:t>
            </m:r>
          </m:sup>
        </m:sSup>
        <m:r>
          <m:rPr>
            <m:sty m:val="p"/>
          </m:rPr>
          <m:t>∈</m:t>
        </m:r>
        <m:r>
          <m:t>S</m:t>
        </m:r>
      </m:oMath>
      <w:r>
        <w:t xml:space="preserve">, si</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2</m:t>
            </m:r>
          </m:sup>
        </m:sSup>
      </m:oMath>
      <w:r>
        <w:t xml:space="preserve">, entonces</w:t>
      </w:r>
      <w:r>
        <w:t xml:space="preserve"> </w:t>
      </w:r>
      <m:oMath>
        <m:sSup>
          <m:e>
            <m:r>
              <m:t>x</m:t>
            </m:r>
          </m:e>
          <m:sup>
            <m:r>
              <m:t>0</m:t>
            </m:r>
          </m:sup>
        </m:sSup>
        <m:r>
          <m:rPr>
            <m:sty m:val="p"/>
          </m:rPr>
          <m:t>≽</m:t>
        </m:r>
        <m:sSup>
          <m:e>
            <m:r>
              <m:t>x</m:t>
            </m:r>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53"/>
      </w:r>
    </w:p>
    <w:p>
      <w:pPr>
        <w:numPr>
          <w:ilvl w:val="0"/>
          <w:numId w:val="1027"/>
        </w:numPr>
      </w:pPr>
      <w:r>
        <w:t xml:space="preserve">Estos tres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54"/>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r>
              <m:t>x</m:t>
            </m:r>
          </m:e>
          <m:sup>
            <m:r>
              <m:t>0</m:t>
            </m:r>
          </m:sup>
        </m:sSup>
        <m:r>
          <m:rPr>
            <m:sty m:val="p"/>
          </m:rPr>
          <m:t>∈</m:t>
        </m:r>
        <m:r>
          <m:t>I</m:t>
        </m:r>
        <m:d>
          <m:dPr>
            <m:begChr m:val="("/>
            <m:sepChr m:val=""/>
            <m:endChr m:val=")"/>
            <m:grow/>
          </m:dPr>
          <m:e>
            <m:sSup>
              <m:e>
                <m:r>
                  <m:t>x</m:t>
                </m:r>
              </m:e>
              <m:sup>
                <m:r>
                  <m:t>0</m:t>
                </m:r>
              </m:sup>
            </m:sSup>
          </m:e>
        </m:d>
      </m:oMath>
      <w:r>
        <w:t xml:space="preserve">) y cada cesta pertenece a</w:t>
      </w:r>
      <w:r>
        <w:t xml:space="preserve"> </w:t>
      </w:r>
      <w:r>
        <w:rPr>
          <w:i/>
          <w:iCs/>
        </w:rPr>
        <w:t xml:space="preserve">uno solo</w:t>
      </w:r>
      <w:r>
        <w:t xml:space="preserve"> </w:t>
      </w:r>
      <w:r>
        <w:t xml:space="preserve">de ellos (transitividad: si dos conjuntos de indiferencia compartieran una cesta, serían el mismo). Los conjuntos de indiferencia no se cortan y quedan ordenados entre sí, que es lo que permitirá representarlos con curvas de indiferencia y numerarlos con una función de utilidad (gráfico 5, panel de los axiomas 1-3).</w:t>
      </w:r>
    </w:p>
    <w:bookmarkEnd w:id="55"/>
    <w:bookmarkStart w:id="65" w:name="axiomas-de-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56"/>
      </w:r>
    </w:p>
    <w:p>
      <w:pPr>
        <w:numPr>
          <w:ilvl w:val="0"/>
          <w:numId w:val="1030"/>
        </w:numPr>
      </w:pPr>
      <w:r>
        <w:rPr>
          <w:b/>
          <w:bCs/>
        </w:rPr>
        <w:t xml:space="preserve">Continuidad</w:t>
      </w:r>
      <w:r>
        <w:t xml:space="preserve">: para toda cesta</w:t>
      </w:r>
      <w:r>
        <w:t xml:space="preserve"> </w:t>
      </w:r>
      <m:oMath>
        <m:sSup>
          <m:e>
            <m:r>
              <m:t>x</m:t>
            </m:r>
          </m:e>
          <m:sup>
            <m:r>
              <m:t>0</m:t>
            </m:r>
          </m:sup>
        </m:sSup>
      </m:oMath>
      <w:r>
        <w:t xml:space="preserve">, los conjuntos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 inferior</w:t>
      </w:r>
      <w:r>
        <w:t xml:space="preserve"> </w:t>
      </w:r>
      <m:oMath>
        <m:r>
          <m:rPr>
            <m:sty m:val="p"/>
          </m:rPr>
          <m:t>{</m:t>
        </m:r>
        <m:r>
          <m:t>x</m:t>
        </m:r>
        <m:r>
          <m:rPr>
            <m:sty m:val="p"/>
          </m:rPr>
          <m:t>∈</m:t>
        </m:r>
        <m:r>
          <m:t>S</m:t>
        </m:r>
        <m:r>
          <m:rPr>
            <m:sty m:val="p"/>
          </m:rPr>
          <m:t>:</m:t>
        </m:r>
        <m:sSup>
          <m:e>
            <m:r>
              <m:t>x</m:t>
            </m:r>
          </m:e>
          <m:sup>
            <m:r>
              <m:t>0</m:t>
            </m:r>
          </m:sup>
        </m:sSup>
        <m:r>
          <m:rPr>
            <m:sty m:val="p"/>
          </m:rPr>
          <m:t>≽</m:t>
        </m:r>
        <m:r>
          <m:t>x</m:t>
        </m:r>
        <m:r>
          <m:rPr>
            <m:sty m:val="p"/>
          </m:rPr>
          <m:t>}</m:t>
        </m:r>
      </m:oMath>
      <w:r>
        <w:t xml:space="preserve"> </w:t>
      </w:r>
      <w:r>
        <w:t xml:space="preserve">son cerrados. Intuitivamente, no hay «saltos» en las preferencias: si</w:t>
      </w:r>
      <w:r>
        <w:t xml:space="preserve"> </w:t>
      </w:r>
      <m:oMath>
        <m:r>
          <m:t>x</m:t>
        </m:r>
        <m:r>
          <m:rPr>
            <m:sty m:val="p"/>
          </m:rPr>
          <m:t>≻</m:t>
        </m:r>
        <m:r>
          <m:t>y</m:t>
        </m:r>
      </m:oMath>
      <w:r>
        <w:t xml:space="preserve">, las cestas suficientemente próximas a</w:t>
      </w:r>
      <w:r>
        <w:t xml:space="preserve"> </w:t>
      </w:r>
      <m:oMath>
        <m:r>
          <m:t>x</m:t>
        </m:r>
      </m:oMath>
      <w:r>
        <w:t xml:space="preserve"> </w:t>
      </w:r>
      <w:r>
        <w:t xml:space="preserve">siguen siendo preferidas a</w:t>
      </w:r>
      <w:r>
        <w:t xml:space="preserve"> </w:t>
      </w:r>
      <m:oMath>
        <m:r>
          <m:t>y</m:t>
        </m:r>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Debreu1959Theory">
        <w:r>
          <w:rPr>
            <w:rStyle w:val="Hyperlink"/>
          </w:rPr>
          <w:t xml:space="preserve">Debreu 1959, cap. 4</w:t>
        </w:r>
      </w:hyperlink>
      <w:r>
        <w:t xml:space="preserve">)</w:t>
      </w:r>
      <w:r>
        <w:t xml:space="preserve">. Basta con estos cuatro axiomas: la monotonía, la convexidad y la diferenciabilidad no hacen falta para que la función exista.</w:t>
      </w:r>
      <w:r>
        <w:rPr>
          <w:rStyle w:val="FootnoteReference"/>
        </w:rPr>
        <w:footnoteReference w:id="57"/>
      </w:r>
      <w:r>
        <w:t xml:space="preserve"> </w:t>
      </w:r>
      <w:r>
        <w:t xml:space="preserve">Las preferencias lexicográficas cumplen el preorden completo, pero no la continuidad, y no pueden representarse con ninguna función de utilidad.</w:t>
      </w:r>
      <w:r>
        <w:rPr>
          <w:rStyle w:val="FootnoteReference"/>
        </w:rPr>
        <w:footnoteReference w:id="58"/>
      </w:r>
    </w:p>
    <w:p>
      <w:pPr>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r>
          <m:t>x</m:t>
        </m:r>
      </m:oMath>
      <w:r>
        <w:t xml:space="preserve"> </w:t>
      </w:r>
      <w:r>
        <w:t xml:space="preserve">y todo entorno de</w:t>
      </w:r>
      <w:r>
        <w:t xml:space="preserve"> </w:t>
      </w:r>
      <m:oMath>
        <m:r>
          <m:t>x</m:t>
        </m:r>
      </m:oMath>
      <w:r>
        <w:t xml:space="preserve">, por pequeño que sea, existe en él una cesta</w:t>
      </w:r>
      <w:r>
        <w:t xml:space="preserve"> </w:t>
      </w:r>
      <m:oMath>
        <m:r>
          <m:t>y</m:t>
        </m:r>
        <m:r>
          <m:rPr>
            <m:sty m:val="p"/>
          </m:rPr>
          <m:t>≻</m:t>
        </m:r>
        <m:r>
          <m:t>x</m:t>
        </m:r>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r>
          <m:t>x</m:t>
        </m:r>
        <m:r>
          <m:rPr>
            <m:sty m:val="p"/>
          </m:rPr>
          <m:t>≫</m:t>
        </m:r>
        <m:r>
          <m:t>y</m:t>
        </m:r>
        <m:r>
          <m:rPr>
            <m:sty m:val="p"/>
          </m:rPr>
          <m:t>⇒</m:t>
        </m:r>
        <m:r>
          <m:t>x</m:t>
        </m:r>
        <m:r>
          <m:rPr>
            <m:sty m:val="p"/>
          </m:rPr>
          <m:t>≻</m:t>
        </m:r>
        <m:r>
          <m:t>y</m:t>
        </m:r>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r>
          <m:t>x</m:t>
        </m:r>
        <m:r>
          <m:rPr>
            <m:sty m:val="p"/>
          </m:rPr>
          <m:t>≥</m:t>
        </m:r>
        <m:r>
          <m:t>y</m:t>
        </m:r>
      </m:oMath>
      <w:r>
        <w:t xml:space="preserve">,</w:t>
      </w:r>
      <w:r>
        <w:t xml:space="preserve"> </w:t>
      </w:r>
      <m:oMath>
        <m:r>
          <m:t>x</m:t>
        </m:r>
        <m:r>
          <m:rPr>
            <m:sty m:val="p"/>
          </m:rPr>
          <m:t>≠</m:t>
        </m:r>
        <m:r>
          <m:t>y</m:t>
        </m:r>
        <m:r>
          <m:rPr>
            <m:sty m:val="p"/>
          </m:rPr>
          <m:t>⇒</m:t>
        </m:r>
        <m:r>
          <m:t>x</m:t>
        </m:r>
        <m:r>
          <m:rPr>
            <m:sty m:val="p"/>
          </m:rPr>
          <m:t>≻</m:t>
        </m:r>
        <m:r>
          <m:t>y</m:t>
        </m:r>
      </m:oMath>
      <w:r>
        <w:t xml:space="preserve">. Las curvas de indiferencia son</w:t>
      </w:r>
      <w:r>
        <w:t xml:space="preserve"> </w:t>
      </w:r>
      <w:r>
        <w:rPr>
          <w:i/>
          <w:iCs/>
        </w:rPr>
        <w:t xml:space="preserve">estrictamente decrecientes</w:t>
      </w:r>
      <w:r>
        <w:t xml:space="preserve"> </w:t>
      </w:r>
      <w:r>
        <w:t xml:space="preserve">(</w:t>
      </w:r>
      <w:hyperlink w:anchor="ref-MasColellWhinstonGreen1995">
        <w:r>
          <w:rPr>
            <w:rStyle w:val="Hyperlink"/>
          </w:rPr>
          <w:t xml:space="preserve">Mas-Colell, Whinston y Green 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es convexo; es decir,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2</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2</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59"/>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0</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0"/>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dos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64" w:name="fig:axiomas-curva-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942070" cy="4620931"/>
            <wp:effectExtent b="0" l="0" r="0" t="0"/>
            <wp:docPr descr="" title="" id="62" name="Picture"/>
            <a:graphic>
              <a:graphicData uri="http://schemas.openxmlformats.org/drawingml/2006/picture">
                <pic:pic>
                  <pic:nvPicPr>
                    <pic:cNvPr descr="C:\Users\vgutierrez\Documents\src\victorgutierrezmarcos.github.io-revision\oposicion\temario\fuentes\3A08\graficos/axiomas-curva-indiferencia.png" id="63" name="Picture"/>
                    <pic:cNvPicPr>
                      <a:picLocks noChangeArrowheads="1" noChangeAspect="1"/>
                    </pic:cNvPicPr>
                  </pic:nvPicPr>
                  <pic:blipFill>
                    <a:blip r:embed="rId61"/>
                    <a:stretch>
                      <a:fillRect/>
                    </a:stretch>
                  </pic:blipFill>
                  <pic:spPr bwMode="auto">
                    <a:xfrm>
                      <a:off x="0" y="0"/>
                      <a:ext cx="5942070" cy="4620931"/>
                    </a:xfrm>
                    <a:prstGeom prst="rect">
                      <a:avLst/>
                    </a:prstGeom>
                    <a:noFill/>
                    <a:ln w="9525">
                      <a:noFill/>
                      <a:headEnd/>
                      <a:tailEnd/>
                    </a:ln>
                  </pic:spPr>
                </pic:pic>
              </a:graphicData>
            </a:graphic>
          </wp:inline>
        </w:drawing>
      </w:r>
    </w:p>
    <w:bookmarkEnd w:id="64"/>
    <w:p>
      <w:pPr>
        <w:pStyle w:val="Piedeimagen"/>
      </w:pPr>
      <w:r>
        <w:t xml:space="preserve">Fuente: elaboración propia basada en</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65"/>
    <w:bookmarkStart w:id="79" w:name="función-de-utilidad"/>
    <w:p>
      <w:pPr>
        <w:pStyle w:val="Heading4"/>
      </w:pPr>
      <w:r>
        <w:t xml:space="preserve">Función de utilidad</w:t>
      </w:r>
    </w:p>
    <w:p>
      <w:pPr>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66"/>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rPr>
          <w:rStyle w:val="Referenciaatema"/>
        </w:rPr>
        <w:t xml:space="preserve">[ver tema 3.A.10]</w:t>
      </w:r>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67"/>
      </w:r>
    </w:p>
    <w:p>
      <w:pPr>
        <w:pStyle w:val="BodyText"/>
      </w:pPr>
      <m:oMathPara>
        <m:oMathParaPr>
          <m:jc m:val="center"/>
        </m:oMathParaPr>
        <m:oMath>
          <m:r>
            <m:rPr>
              <m:sty m:val="p"/>
            </m:rPr>
            <m:t>∀</m:t>
          </m:r>
          <m:sSup>
            <m:e>
              <m:r>
                <m:t>x</m:t>
              </m:r>
            </m:e>
            <m:sup>
              <m:r>
                <m:t>1</m:t>
              </m:r>
            </m:sup>
          </m:sSup>
          <m:r>
            <m:rPr>
              <m:sty m:val="p"/>
            </m:rPr>
            <m:t>,</m:t>
          </m:r>
          <m:sSup>
            <m:e>
              <m:r>
                <m:t>x</m:t>
              </m:r>
            </m:e>
            <m:sup>
              <m:r>
                <m:t>2</m:t>
              </m:r>
            </m:sup>
          </m:sSup>
          <m:r>
            <m:rPr>
              <m:sty m:val="p"/>
            </m:rPr>
            <m:t>∈</m:t>
          </m:r>
          <m:r>
            <m:t>S</m:t>
          </m:r>
          <m:r>
            <m:rPr>
              <m:sty m:val="p"/>
            </m:rPr>
            <m:t>:</m:t>
          </m:r>
          <m:r>
            <m:t> </m:t>
          </m:r>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oMath>
      <w:r>
        <w:t xml:space="preserve">) y un número mayor a los conjuntos mejores (</w:t>
      </w:r>
      <m:oMath>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&gt;</m:t>
        </m:r>
        <m:r>
          <m:t>U</m:t>
        </m:r>
        <m:d>
          <m:dPr>
            <m:begChr m:val="("/>
            <m:sepChr m:val=""/>
            <m:endChr m:val=")"/>
            <m:grow/>
          </m:dPr>
          <m:e>
            <m:sSup>
              <m:e>
                <m:r>
                  <m:t>x</m:t>
                </m:r>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MasColellWhinstonGreen1995">
        <w:r>
          <w:rPr>
            <w:rStyle w:val="Hyperlink"/>
          </w:rPr>
          <w:t xml:space="preserve">Mas-Colell, Whinston y Green 1995</w:t>
        </w:r>
      </w:hyperlink>
      <w:r>
        <w:t xml:space="preserve">, prop. 3.C.1)</w:t>
      </w:r>
      <w:r>
        <w:t xml:space="preserve">: se traza la diagonal</w:t>
      </w:r>
      <w:r>
        <w:t xml:space="preserve"> </w:t>
      </w:r>
      <m:oMath>
        <m:r>
          <m:rPr>
            <m:sty m:val="p"/>
          </m:rPr>
          <m:t>{</m:t>
        </m:r>
        <m:r>
          <m:t>α</m:t>
        </m:r>
        <m:r>
          <m:t>e</m:t>
        </m:r>
        <m:r>
          <m:rPr>
            <m:sty m:val="p"/>
          </m:rPr>
          <m:t>:</m:t>
        </m:r>
        <m:r>
          <m:t>α</m:t>
        </m:r>
        <m:r>
          <m:rPr>
            <m:sty m:val="p"/>
          </m:rPr>
          <m:t>≥</m:t>
        </m:r>
        <m:r>
          <m:t>0</m:t>
        </m:r>
        <m:r>
          <m:rPr>
            <m:sty m:val="p"/>
          </m:rPr>
          <m:t>}</m:t>
        </m:r>
      </m:oMath>
      <w:r>
        <w:t xml:space="preserve">, con</w:t>
      </w:r>
      <w:r>
        <w:t xml:space="preserve"> </w:t>
      </w:r>
      <m:oMath>
        <m:r>
          <m:t>e</m:t>
        </m:r>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r>
              <m:t>x</m:t>
            </m:r>
          </m:e>
        </m:d>
        <m:r>
          <m:t> </m:t>
        </m:r>
        <m:r>
          <m:t>e</m:t>
        </m:r>
        <m:r>
          <m:rPr>
            <m:sty m:val="p"/>
          </m:rPr>
          <m:t>∼</m:t>
        </m:r>
        <m:r>
          <m:t>x</m:t>
        </m:r>
      </m:oMath>
      <w:r>
        <w:t xml:space="preserve">, y basta tomar</w:t>
      </w:r>
      <w:r>
        <w:t xml:space="preserve"> </w:t>
      </w:r>
      <m:oMath>
        <m:r>
          <m:t>U</m:t>
        </m:r>
        <m:d>
          <m:dPr>
            <m:begChr m:val="("/>
            <m:sepChr m:val=""/>
            <m:endChr m:val=")"/>
            <m:grow/>
          </m:dPr>
          <m:e>
            <m:r>
              <m:t>x</m:t>
            </m:r>
          </m:e>
        </m:d>
        <m:r>
          <m:rPr>
            <m:sty m:val="p"/>
          </m:rPr>
          <m:t>=</m:t>
        </m:r>
        <m:r>
          <m:t>α</m:t>
        </m:r>
        <m:d>
          <m:dPr>
            <m:begChr m:val="("/>
            <m:sepChr m:val=""/>
            <m:endChr m:val=")"/>
            <m:grow/>
          </m:dPr>
          <m:e>
            <m:r>
              <m:t>x</m:t>
            </m:r>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6), con dos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71" w:name="fig:superficie-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68347" cy="2758490"/>
            <wp:effectExtent b="0" l="0" r="0" t="0"/>
            <wp:docPr descr="" title="" id="69" name="Picture"/>
            <a:graphic>
              <a:graphicData uri="http://schemas.openxmlformats.org/drawingml/2006/picture">
                <pic:pic>
                  <pic:nvPicPr>
                    <pic:cNvPr descr="C:\Users\vgutierrez\Documents\src\victorgutierrezmarcos.github.io-revision\oposicion\temario\fuentes\3A08\graficos/superficie-utilidad.png" id="70" name="Picture"/>
                    <pic:cNvPicPr>
                      <a:picLocks noChangeArrowheads="1" noChangeAspect="1"/>
                    </pic:cNvPicPr>
                  </pic:nvPicPr>
                  <pic:blipFill>
                    <a:blip r:embed="rId68"/>
                    <a:stretch>
                      <a:fillRect/>
                    </a:stretch>
                  </pic:blipFill>
                  <pic:spPr bwMode="auto">
                    <a:xfrm>
                      <a:off x="0" y="0"/>
                      <a:ext cx="5168347" cy="2758490"/>
                    </a:xfrm>
                    <a:prstGeom prst="rect">
                      <a:avLst/>
                    </a:prstGeom>
                    <a:noFill/>
                    <a:ln w="9525">
                      <a:noFill/>
                      <a:headEnd/>
                      <a:tailEnd/>
                    </a:ln>
                  </pic:spPr>
                </pic:pic>
              </a:graphicData>
            </a:graphic>
          </wp:inline>
        </w:drawing>
      </w:r>
    </w:p>
    <w:bookmarkEnd w:id="71"/>
    <w:p>
      <w:pPr>
        <w:pStyle w:val="Piedeimagen"/>
      </w:pPr>
      <w:r>
        <w:t xml:space="preserve">Fuente: elaboración propia basada en</w:t>
      </w:r>
      <w:r>
        <w:t xml:space="preserve"> </w:t>
      </w:r>
      <w:r>
        <w:t xml:space="preserve">Varian (</w:t>
      </w:r>
      <w:hyperlink w:anchor="ref-Varian2016Intermedia">
        <w:r>
          <w:rPr>
            <w:rStyle w:val="Hyperlink"/>
          </w:rPr>
          <w:t xml:space="preserve">2016, cap. 4</w:t>
        </w:r>
      </w:hyperlink>
      <w:r>
        <w:t xml:space="preserve">)</w:t>
      </w:r>
      <w:r>
        <w:t xml:space="preserve">.</w:t>
      </w:r>
    </w:p>
    <w:p>
      <w:pPr>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r>
          <m:t>x</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oMath>
      <w:r>
        <w:t xml:space="preserve"> </w:t>
      </w:r>
      <w:r>
        <w:t xml:space="preserve">son convexos y las curvas de indiferencia, convexas;</w:t>
      </w:r>
      <w:r>
        <w:rPr>
          <w:rStyle w:val="FootnoteReference"/>
        </w:rPr>
        <w:footnoteReference w:id="7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73"/>
      </w:r>
      <w:r>
        <w:rPr>
          <w:vertAlign w:val="superscript"/>
        </w:rPr>
        <w:t xml:space="preserve">,</w:t>
      </w:r>
      <w:r>
        <w:rPr>
          <w:rStyle w:val="FootnoteReference"/>
        </w:rPr>
        <w:footnoteReference w:id="74"/>
      </w:r>
    </w:p>
    <w:bookmarkStart w:id="78" w:name="fig: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969000" cy="1859524"/>
            <wp:effectExtent b="0" l="0" r="0" t="0"/>
            <wp:docPr descr="" title="" id="76" name="Picture"/>
            <a:graphic>
              <a:graphicData uri="http://schemas.openxmlformats.org/drawingml/2006/picture">
                <pic:pic>
                  <pic:nvPicPr>
                    <pic:cNvPr descr="C:\Users\vgutierrez\Documents\src\victorgutierrezmarcos.github.io-revision\oposicion\temario\fuentes\3A08\graficos/cuasiconcavidad.png" id="77" name="Picture"/>
                    <pic:cNvPicPr>
                      <a:picLocks noChangeArrowheads="1" noChangeAspect="1"/>
                    </pic:cNvPicPr>
                  </pic:nvPicPr>
                  <pic:blipFill>
                    <a:blip r:embed="rId75"/>
                    <a:stretch>
                      <a:fillRect/>
                    </a:stretch>
                  </pic:blipFill>
                  <pic:spPr bwMode="auto">
                    <a:xfrm>
                      <a:off x="0" y="0"/>
                      <a:ext cx="5969000" cy="1859524"/>
                    </a:xfrm>
                    <a:prstGeom prst="rect">
                      <a:avLst/>
                    </a:prstGeom>
                    <a:noFill/>
                    <a:ln w="9525">
                      <a:noFill/>
                      <a:headEnd/>
                      <a:tailEnd/>
                    </a:ln>
                  </pic:spPr>
                </pic:pic>
              </a:graphicData>
            </a:graphic>
          </wp:inline>
        </w:drawing>
      </w:r>
    </w:p>
    <w:bookmarkEnd w:id="78"/>
    <w:p>
      <w:pPr>
        <w:pStyle w:val="Piedeimagen"/>
      </w:pPr>
      <w:r>
        <w:t xml:space="preserve">Fuente: elaboración propia basada en</w:t>
      </w:r>
      <w:r>
        <w:t xml:space="preserve"> </w:t>
      </w:r>
      <w:r>
        <w:t xml:space="preserve">Pérez Domínguez (</w:t>
      </w:r>
      <w:hyperlink w:anchor="ref-Perez2004Microeconomia">
        <w:r>
          <w:rPr>
            <w:rStyle w:val="Hyperlink"/>
          </w:rPr>
          <w:t xml:space="preserve">2004</w:t>
        </w:r>
      </w:hyperlink>
      <w:r>
        <w:t xml:space="preserve">)</w:t>
      </w:r>
      <w:r>
        <w:t xml:space="preserve">.</w:t>
      </w:r>
    </w:p>
    <w:bookmarkEnd w:id="79"/>
    <w:bookmarkStart w:id="89" w:name="Xe5a477787d3dbfed86cfaa7121490e73d4fd14e"/>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r>
              <m:t>x</m:t>
            </m:r>
          </m:e>
          <m:sup>
            <m:r>
              <m:t>0</m:t>
            </m:r>
          </m:sup>
        </m:sSup>
      </m:oMath>
      <w:r>
        <w:t xml:space="preserve"> </w:t>
      </w:r>
      <w:r>
        <w:t xml:space="preserve">cuando las preferencias son regulares,</w:t>
      </w:r>
    </w:p>
    <w:p>
      <w:pPr>
        <w:pStyle w:val="BodyText"/>
      </w:pPr>
      <m:oMathPara>
        <m:oMathParaPr>
          <m:jc m:val="center"/>
        </m:oMathParaPr>
        <m:oMath>
          <m:r>
            <m:t>I</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r>
            <m:rPr>
              <m:sty m:val="p"/>
            </m:rPr>
            <m:t>=</m:t>
          </m:r>
          <m:r>
            <m:rPr>
              <m:sty m:val="p"/>
            </m:rPr>
            <m:t>{</m:t>
          </m:r>
          <m:r>
            <m:t>x</m:t>
          </m:r>
          <m:r>
            <m:rPr>
              <m:sty m:val="p"/>
            </m:rPr>
            <m:t>∈</m:t>
          </m:r>
          <m:r>
            <m:t>S</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r>
              <m:t>x</m:t>
            </m:r>
          </m:e>
          <m:sup>
            <m:r>
              <m:t>0</m:t>
            </m:r>
          </m:sup>
        </m:sSup>
      </m:oMath>
      <w:r>
        <w:t xml:space="preserve"> </w:t>
      </w:r>
      <w:r>
        <w:t xml:space="preserve">y del de cestas no mejores que</w:t>
      </w:r>
      <w:r>
        <w:t xml:space="preserve"> </w:t>
      </w:r>
      <m:oMath>
        <m:sSup>
          <m:e>
            <m:r>
              <m:t>x</m:t>
            </m:r>
          </m:e>
          <m:sup>
            <m:r>
              <m:t>0</m:t>
            </m:r>
          </m:sup>
        </m:sSup>
      </m:oMath>
      <w:r>
        <w:t xml:space="preserve"> </w:t>
      </w:r>
      <w:r>
        <w:t xml:space="preserve">(gráfico 3), y la proyección en el plano del corte de la superficie de utilidad a la altura</w:t>
      </w:r>
      <w:r>
        <w:t xml:space="preserve"> </w:t>
      </w:r>
      <m:oMath>
        <m:r>
          <m:t>U</m:t>
        </m:r>
        <m:d>
          <m:dPr>
            <m:begChr m:val="("/>
            <m:sepChr m:val=""/>
            <m:endChr m:val=")"/>
            <m:grow/>
          </m:dPr>
          <m:e>
            <m:sSup>
              <m:e>
                <m:r>
                  <m:t>x</m:t>
                </m:r>
              </m:e>
              <m:sup>
                <m:r>
                  <m:t>0</m:t>
                </m:r>
              </m:sup>
            </m:sSup>
          </m:e>
        </m:d>
      </m:oMath>
      <w:r>
        <w:t xml:space="preserve"> </w:t>
      </w:r>
      <w:r>
        <w:t xml:space="preserve">(gráfico 6). Con dos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p>
    <w:p>
      <w:pPr>
        <w:pStyle w:val="BodyT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39"/>
        </w:numPr>
      </w:pPr>
      <w:r>
        <w:rPr>
          <w:b/>
          <w:bCs/>
        </w:rPr>
        <w:t xml:space="preserve">Propiedades</w:t>
      </w:r>
      <w:r>
        <w:t xml:space="preserve"> </w:t>
      </w:r>
      <w:r>
        <w:t xml:space="preserve">de las curvas de indiferencia (con preferencias regulares), cada una con el axioma que la garantiza (gráfico 8):</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dos niveles de utilidad;</w:t>
      </w:r>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r>
                  <m:t>x</m:t>
                </m:r>
              </m:e>
              <m:sup>
                <m:r>
                  <m:t>0</m:t>
                </m:r>
              </m:sup>
            </m:sSup>
          </m:e>
        </m:d>
      </m:oMath>
      <w:r>
        <w:t xml:space="preserve"> </w:t>
      </w:r>
      <w:r>
        <w:t xml:space="preserve">y</w:t>
      </w:r>
      <w:r>
        <w:t xml:space="preserve"> </w:t>
      </w:r>
      <m:oMath>
        <m:r>
          <m:t>H</m:t>
        </m:r>
        <m:d>
          <m:dPr>
            <m:begChr m:val="("/>
            <m:sepChr m:val=""/>
            <m:endChr m:val=")"/>
            <m:grow/>
          </m:dPr>
          <m:e>
            <m:sSup>
              <m:e>
                <m:r>
                  <m:t>x</m:t>
                </m:r>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r>
              <m:t>x</m:t>
            </m:r>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r>
              <m:t>x</m:t>
            </m:r>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r>
          <m:t>x</m:t>
        </m:r>
        <m:r>
          <m:rPr>
            <m:sty m:val="p"/>
          </m:rPr>
          <m:t>′</m:t>
        </m:r>
      </m:oMath>
      <w:r>
        <w:t xml:space="preserve"> </w:t>
      </w:r>
      <w:r>
        <w:t xml:space="preserve">y</w:t>
      </w:r>
      <w:r>
        <w:t xml:space="preserve"> </w:t>
      </w:r>
      <m:oMath>
        <m:r>
          <m:t>x</m:t>
        </m:r>
        <m:r>
          <m:rPr>
            <m:sty m:val="p"/>
          </m:rPr>
          <m:t>″</m:t>
        </m:r>
      </m:oMath>
      <w:r>
        <w:t xml:space="preserve"> </w:t>
      </w:r>
      <w:r>
        <w:t xml:space="preserve">son indiferentes, cualquier combinación</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oMath>
      <w:r>
        <w:t xml:space="preserve"> </w:t>
      </w:r>
      <w:r>
        <w:t xml:space="preserve">es al menos tan buena (panel d), así que el segmento que las une queda en el conjunto «al menos tan bueno como»</w:t>
      </w:r>
      <w:r>
        <w:t xml:space="preserve"> </w:t>
      </w:r>
      <m:oMath>
        <m:r>
          <m:t>x</m:t>
        </m:r>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t xml:space="preserve">no tienen vértices, por la diferenciabilidad (axioma 7): la pendiente es única en cada punto.</w:t>
      </w:r>
    </w:p>
    <w:bookmarkStart w:id="83" w:name="fig:propiedades-curvas-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 title="" id="81" name="Picture"/>
            <a:graphic>
              <a:graphicData uri="http://schemas.openxmlformats.org/drawingml/2006/picture">
                <pic:pic>
                  <pic:nvPicPr>
                    <pic:cNvPr descr="C:\Users\vgutierrez\Documents\src\victorgutierrezmarcos.github.io-revision\oposicion\temario\fuentes\3A08\graficos/propiedades-curvas-indiferencia.png" id="82" name="Picture"/>
                    <pic:cNvPicPr>
                      <a:picLocks noChangeArrowheads="1" noChangeAspect="1"/>
                    </pic:cNvPicPr>
                  </pic:nvPicPr>
                  <pic:blipFill>
                    <a:blip r:embed="rId80"/>
                    <a:stretch>
                      <a:fillRect/>
                    </a:stretch>
                  </pic:blipFill>
                  <pic:spPr bwMode="auto">
                    <a:xfrm>
                      <a:off x="0" y="0"/>
                      <a:ext cx="4761608" cy="5027670"/>
                    </a:xfrm>
                    <a:prstGeom prst="rect">
                      <a:avLst/>
                    </a:prstGeom>
                    <a:noFill/>
                    <a:ln w="9525">
                      <a:noFill/>
                      <a:headEnd/>
                      <a:tailEnd/>
                    </a:ln>
                  </pic:spPr>
                </pic:pic>
              </a:graphicData>
            </a:graphic>
          </wp:inline>
        </w:drawing>
      </w:r>
    </w:p>
    <w:bookmarkEnd w:id="83"/>
    <w:p>
      <w:pPr>
        <w:pStyle w:val="Piedeimagen"/>
      </w:pPr>
      <w:r>
        <w:t xml:space="preserve">Fuente: elaboración propia basada en</w:t>
      </w:r>
      <w:r>
        <w:t xml:space="preserve"> </w:t>
      </w:r>
      <w:r>
        <w:t xml:space="preserve">Varian (</w:t>
      </w:r>
      <w:hyperlink w:anchor="ref-Varian2016Intermedia">
        <w:r>
          <w:rPr>
            <w:rStyle w:val="Hyperlink"/>
          </w:rPr>
          <w:t xml:space="preserve">2016, cap. 3</w:t>
        </w:r>
      </w:hyperlink>
      <w:r>
        <w:t xml:space="preserve">)</w:t>
      </w:r>
      <w:r>
        <w:t xml:space="preserve"> </w:t>
      </w:r>
      <w:r>
        <w:t xml:space="preserve">y</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(3):</w:t>
      </w:r>
      <w:r>
        <w:rPr>
          <w:rStyle w:val="FootnoteReference"/>
        </w:rPr>
        <w:footnoteReference w:id="84"/>
      </w:r>
    </w:p>
    <w:p>
      <w:pPr>
        <w:pStyle w:val="BodyText"/>
      </w:pPr>
      <m:oMathPara>
        <m:oMathParaPr>
          <m:jc m:val="center"/>
        </m:oMathParaPr>
        <m:oMath>
          <m:r>
            <m:t>R</m:t>
          </m:r>
          <m:r>
            <m:t>M</m:t>
          </m:r>
          <m:sSub>
            <m:e>
              <m: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dos bienes y la variación porcentual de la RMS. Es un número puro que mide la curvatura de la curva de indiferencia:</w:t>
      </w:r>
    </w:p>
    <w:p>
      <w:pPr>
        <w:pStyle w:val="BodyT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r>
                <m:t>R</m:t>
              </m:r>
              <m:r>
                <m:t>M</m:t>
              </m:r>
              <m:sSub>
                <m:e>
                  <m: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p>
    <w:p>
      <w:pPr>
        <w:pStyle w:val="BodyT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numPr>
          <w:ilvl w:val="0"/>
          <w:numId w:val="1000"/>
        </w:numPr>
      </w:pPr>
      <w:r>
        <w:t xml:space="preserve">Incluye como casos particulares las formas más usadas</w:t>
      </w:r>
      <w:r>
        <w:t xml:space="preserve"> </w:t>
      </w:r>
      <w:r>
        <w:t xml:space="preserve">(</w:t>
      </w:r>
      <w:hyperlink w:anchor="ref-ArrowEtAl1961Capital">
        <w:r>
          <w:rPr>
            <w:rStyle w:val="Hyperlink"/>
          </w:rPr>
          <w:t xml:space="preserve">Arrow 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88" w:name="fig:ces-curvas-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 title="" id="86" name="Picture"/>
            <a:graphic>
              <a:graphicData uri="http://schemas.openxmlformats.org/drawingml/2006/picture">
                <pic:pic>
                  <pic:nvPicPr>
                    <pic:cNvPr descr="C:\Users\vgutierrez\Documents\src\victorgutierrezmarcos.github.io-revision\oposicion\temario\fuentes\3A08\graficos/ces-curvas-indiferencia.png" id="87" name="Picture"/>
                    <pic:cNvPicPr>
                      <a:picLocks noChangeArrowheads="1" noChangeAspect="1"/>
                    </pic:cNvPicPr>
                  </pic:nvPicPr>
                  <pic:blipFill>
                    <a:blip r:embed="rId85"/>
                    <a:stretch>
                      <a:fillRect/>
                    </a:stretch>
                  </pic:blipFill>
                  <pic:spPr bwMode="auto">
                    <a:xfrm>
                      <a:off x="0" y="0"/>
                      <a:ext cx="2568882" cy="2471020"/>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t xml:space="preserve">Besanko, Braeutigam y Gibbs (</w:t>
      </w:r>
      <w:hyperlink w:anchor="ref-BesankoBraeutigamGibbs2020">
        <w:r>
          <w:rPr>
            <w:rStyle w:val="Hyperlink"/>
          </w:rPr>
          <w:t xml:space="preserve">2020</w:t>
        </w:r>
      </w:hyperlink>
      <w:r>
        <w:t xml:space="preserve">)</w:t>
      </w:r>
      <w:r>
        <w:t xml:space="preserve">.</w:t>
      </w:r>
    </w:p>
    <w:bookmarkEnd w:id="89"/>
    <w:bookmarkEnd w:id="90"/>
    <w:bookmarkStart w:id="98" w:name="restricción-presupuestaria"/>
    <w:p>
      <w:pPr>
        <w:pStyle w:val="Heading3"/>
      </w:pPr>
      <w:r>
        <w:t xml:space="preserve">I.1.2.</w:t>
      </w:r>
      <w:r>
        <w:t xml:space="preserve"> </w:t>
      </w:r>
      <w:r>
        <w:t xml:space="preserve">Restricción presupuestaria</w:t>
      </w:r>
    </w:p>
    <w:p>
      <w:pPr>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dos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91"/>
      </w:r>
    </w:p>
    <w:p>
      <w:pPr>
        <w:pStyle w:val="BodyText"/>
      </w:pPr>
      <m:oMathPara>
        <m:oMathParaPr>
          <m:jc m:val="center"/>
        </m:oMathParaPr>
        <m:oMath>
          <m:r>
            <m:t>p</m:t>
          </m:r>
          <m:r>
            <m:rPr>
              <m:sty m:val="p"/>
            </m:rPr>
            <m:t>⋅</m:t>
          </m:r>
          <m:r>
            <m:t>x</m:t>
          </m:r>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r>
              <m:t>p</m:t>
            </m:r>
            <m:r>
              <m:rPr>
                <m:sty m:val="p"/>
              </m:rPr>
              <m:t>,</m:t>
            </m:r>
            <m:bar>
              <m:barPr>
                <m:pos m:val="top"/>
              </m:barPr>
              <m:e>
                <m:r>
                  <m:t>W</m:t>
                </m:r>
              </m:e>
            </m:bar>
          </m:e>
        </m:d>
        <m:r>
          <m:rPr>
            <m:sty m:val="p"/>
          </m:rPr>
          <m:t>=</m:t>
        </m:r>
        <m:r>
          <m:rPr>
            <m:sty m:val="p"/>
          </m:rPr>
          <m:t>{</m:t>
        </m:r>
        <m:r>
          <m:t>x</m:t>
        </m:r>
        <m:r>
          <m:rPr>
            <m:sty m:val="p"/>
          </m:rPr>
          <m:t>∈</m:t>
        </m:r>
        <m:r>
          <m:t>S</m:t>
        </m:r>
        <m:r>
          <m:rPr>
            <m:sty m:val="p"/>
          </m:rPr>
          <m:t>:</m:t>
        </m:r>
        <m:r>
          <m:t>p</m:t>
        </m:r>
        <m:r>
          <m:rPr>
            <m:sty m:val="p"/>
          </m:rPr>
          <m:t>⋅</m:t>
        </m:r>
        <m:r>
          <m:t>x</m:t>
        </m:r>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b/>
          <w:bCs/>
        </w:rPr>
        <w:t xml:space="preserve">propiedades</w:t>
      </w:r>
      <w:r>
        <w:t xml:space="preserve">:</w:t>
      </w:r>
      <w:r>
        <w:rPr>
          <w:rStyle w:val="FootnoteReference"/>
        </w:rPr>
        <w:footnoteReference w:id="92"/>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r>
          <m:t>p</m:t>
        </m:r>
        <m:r>
          <m:rPr>
            <m:sty m:val="p"/>
          </m:rPr>
          <m:t>≫</m:t>
        </m:r>
        <m:r>
          <m:t>0</m:t>
        </m:r>
      </m:oMath>
      <w:r>
        <w:t xml:space="preserve">);</w:t>
      </w:r>
      <w:r>
        <w:rPr>
          <w:rStyle w:val="FootnoteReference"/>
        </w:rPr>
        <w:footnoteReference w:id="93"/>
      </w:r>
      <w:r>
        <w:t xml:space="preserve"> </w:t>
      </w:r>
      <w:r>
        <w:t xml:space="preserve">(iv) es</w:t>
      </w:r>
      <w:r>
        <w:t xml:space="preserve"> </w:t>
      </w:r>
      <w:r>
        <w:rPr>
          <w:i/>
          <w:iCs/>
        </w:rPr>
        <w:t xml:space="preserve">convexo</w:t>
      </w:r>
      <w:r>
        <w:t xml:space="preserve">: contiene toda combinación convexa de dos de sus cestas.</w:t>
      </w:r>
    </w:p>
    <w:p>
      <w:pPr>
        <w:numPr>
          <w:ilvl w:val="0"/>
          <w:numId w:val="1045"/>
        </w:numPr>
      </w:pPr>
      <w:r>
        <w:t xml:space="preserve">Con dos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97" w:name="fig:conjunto-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 title="" id="95" name="Picture"/>
            <a:graphic>
              <a:graphicData uri="http://schemas.openxmlformats.org/drawingml/2006/picture">
                <pic:pic>
                  <pic:nvPicPr>
                    <pic:cNvPr descr="C:\Users\vgutierrez\Documents\src\victorgutierrezmarcos.github.io-revision\oposicion\temario\fuentes\3A08\graficos/conjunto-presupuestario.png" id="96" name="Picture"/>
                    <pic:cNvPicPr>
                      <a:picLocks noChangeArrowheads="1" noChangeAspect="1"/>
                    </pic:cNvPicPr>
                  </pic:nvPicPr>
                  <pic:blipFill>
                    <a:blip r:embed="rId94"/>
                    <a:stretch>
                      <a:fillRect/>
                    </a:stretch>
                  </pic:blipFill>
                  <pic:spPr bwMode="auto">
                    <a:xfrm>
                      <a:off x="0" y="0"/>
                      <a:ext cx="4672920" cy="1877731"/>
                    </a:xfrm>
                    <a:prstGeom prst="rect">
                      <a:avLst/>
                    </a:prstGeom>
                    <a:noFill/>
                    <a:ln w="9525">
                      <a:noFill/>
                      <a:headEnd/>
                      <a:tailEnd/>
                    </a:ln>
                  </pic:spPr>
                </pic:pic>
              </a:graphicData>
            </a:graphic>
          </wp:inline>
        </w:drawing>
      </w:r>
    </w:p>
    <w:bookmarkEnd w:id="97"/>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w:t>
        </w:r>
      </w:hyperlink>
      <w:r>
        <w:t xml:space="preserve">)</w:t>
      </w:r>
      <w:r>
        <w:t xml:space="preserve">.</w:t>
      </w:r>
    </w:p>
    <w:p>
      <w:pPr>
        <w:numPr>
          <w:ilvl w:val="0"/>
          <w:numId w:val="1048"/>
        </w:numPr>
      </w:pPr>
      <w:r>
        <w:t xml:space="preserve">Una vez analizadas las dos herramientas, preferencias y restricción presupuestaria, puede plantearse el problema del consumidor y obtener su equilibrio.</w:t>
      </w:r>
    </w:p>
    <w:bookmarkEnd w:id="98"/>
    <w:bookmarkEnd w:id="99"/>
    <w:bookmarkStart w:id="108" w:name="X4b77e76cbef72498f0eb361c131cad54f1e86d2"/>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11). Los teoremas de optimización son de profundización; el anexo A representa el problema en tres dimensiones y muestra por qué la restricción se satura.</w:t>
      </w:r>
    </w:p>
    <w:bookmarkStart w:id="101" w:name="X4385465e5c2df8a90f79e9e3c7358ad568b2978"/>
    <w:p>
      <w:pPr>
        <w:pStyle w:val="Heading3"/>
      </w:pPr>
      <w:r>
        <w:t xml:space="preserve">I.2.1.</w:t>
      </w:r>
      <w:r>
        <w:t xml:space="preserve"> </w:t>
      </w:r>
      <w:r>
        <w:t xml:space="preserve">Planteamiento y condiciones de Kuhn-Tucker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x</m:t>
              </m:r>
            </m:e>
            <m:sub>
              <m:r>
                <m:t>i</m:t>
              </m:r>
            </m:sub>
          </m:sSub>
          <m:r>
            <m:rPr>
              <m:sty m:val="p"/>
            </m:rPr>
            <m:t>≥</m:t>
          </m:r>
          <m:r>
            <m:t>0</m:t>
          </m:r>
          <m:r>
            <m:rPr>
              <m:sty m:val="p"/>
            </m:rPr>
            <m:t>.</m:t>
          </m:r>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SydsaeterEtAl2008Further">
        <w:r>
          <w:rPr>
            <w:rStyle w:val="Hyperlink"/>
          </w:rPr>
          <w:t xml:space="preserve">Sydsæter 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ArrowEnthoven1961Quasi">
        <w:r>
          <w:rPr>
            <w:rStyle w:val="Hyperlink"/>
          </w:rPr>
          <w:t xml:space="preserve">Arrow y Enthoven 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t xml:space="preserve">Kuhn y Tucker (</w:t>
      </w:r>
      <w:hyperlink w:anchor="ref-KuhnTucker1951Nonlinear">
        <w:r>
          <w:rPr>
            <w:rStyle w:val="Hyperlink"/>
          </w:rPr>
          <w:t xml:space="preserve">1951</w:t>
        </w:r>
      </w:hyperlink>
      <w:r>
        <w:t xml:space="preserve">)</w:t>
      </w:r>
      <w:r>
        <w:t xml:space="preserve">, a partir de la función lagrangiana:</w:t>
      </w:r>
    </w:p>
    <w:p>
      <w:pPr>
        <w:pStyle w:val="BodyT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00"/>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r>
              <m:t>x</m:t>
            </m:r>
          </m:e>
          <m:sup>
            <m:r>
              <m:rPr>
                <m:sty m:val="p"/>
              </m:rPr>
              <m:t>*</m:t>
            </m:r>
          </m:sup>
        </m:sSup>
      </m:oMath>
      <w:r>
        <w:t xml:space="preserve"> </w:t>
      </w:r>
      <w:r>
        <w:t xml:space="preserve">sea solución son:</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r>
                  <m:t>p</m:t>
                </m:r>
                <m:r>
                  <m:rPr>
                    <m:sty m:val="p"/>
                  </m:rPr>
                  <m:t>⋅</m:t>
                </m:r>
                <m:r>
                  <m:t>x</m:t>
                </m:r>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r>
                      <m:t>p</m:t>
                    </m:r>
                    <m:r>
                      <m:rPr>
                        <m:sty m:val="p"/>
                      </m:rPr>
                      <m:t>⋅</m:t>
                    </m:r>
                    <m:r>
                      <m:t>x</m:t>
                    </m:r>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numPr>
          <w:ilvl w:val="1"/>
          <w:numId w:val="1053"/>
        </w:numPr>
      </w:pPr>
      <w:r>
        <w:t xml:space="preserve">La</w:t>
      </w:r>
      <w:r>
        <w:t xml:space="preserve"> </w:t>
      </w:r>
      <w:r>
        <w:rPr>
          <w:i/>
          <w:iCs/>
        </w:rPr>
        <w:t xml:space="preserve">holgura complementaria</w:t>
      </w:r>
      <w:r>
        <w:t xml:space="preserve"> </w:t>
      </w:r>
      <w:r>
        <w:t xml:space="preserve">dice que, para cada bien, al menos una de las dos desigualdades se cumple con igualdad: 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w:t>
      </w:r>
      <w:r>
        <w:t xml:space="preserve">(la última unidad monetaria gastada en él rinde</w:t>
      </w:r>
      <w:r>
        <w:t xml:space="preserve"> </w:t>
      </w:r>
      <m:oMath>
        <m:r>
          <m:t>λ</m:t>
        </m:r>
      </m:oMath>
      <w:r>
        <w:t xml:space="preserve">), 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 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A).</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01"/>
    <w:bookmarkStart w:id="102" w:name="solución-interior"/>
    <w:p>
      <w:pPr>
        <w:pStyle w:val="Heading3"/>
      </w:pPr>
      <w:r>
        <w:t xml:space="preserve">I.2.2.</w:t>
      </w:r>
      <w:r>
        <w:t xml:space="preserve"> </w:t>
      </w:r>
      <w:r>
        <w:t xml:space="preserve">Solución interior</w:t>
      </w:r>
    </w:p>
    <w:p>
      <w:pPr>
        <w:numPr>
          <w:ilvl w:val="0"/>
          <w:numId w:val="1054"/>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(10) se cumple con igualdad para todos los bienes y, despejando</w:t>
      </w:r>
      <w:r>
        <w:t xml:space="preserve"> </w:t>
      </w:r>
      <m:oMath>
        <m:r>
          <m:t>λ</m:t>
        </m:r>
      </m:oMath>
      <w:r>
        <w:t xml:space="preserve">:</w:t>
      </w:r>
    </w:p>
    <w:p>
      <w:pPr>
        <w:pStyle w:val="BodyT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(pág. ).</w:t>
      </w:r>
    </w:p>
    <w:p>
      <w:pPr>
        <w:numPr>
          <w:ilvl w:val="1"/>
          <w:numId w:val="1055"/>
        </w:numPr>
      </w:pPr>
      <w:r>
        <w:t xml:space="preserve">Con dos bienes, la tasa a la que el consumidor está dispuesto a intercambiar los bienes (RMS) se iguala a la que fija el mercado (cociente de precios): la curva de indiferencia es tangente a la recta de balance.</w:t>
      </w:r>
    </w:p>
    <w:p>
      <w:pPr>
        <w:pStyle w:val="BodyText"/>
      </w:pPr>
      <m:oMathPara>
        <m:oMathParaPr>
          <m:jc m:val="center"/>
        </m:oMathParaPr>
        <m:oMath>
          <m:r>
            <m:t>R</m:t>
          </m:r>
          <m:r>
            <m:t>M</m:t>
          </m:r>
          <m:sSub>
            <m:e>
              <m: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02"/>
    <w:bookmarkStart w:id="107" w:name="solución-de-esquina"/>
    <w:p>
      <w:pPr>
        <w:pStyle w:val="Heading3"/>
      </w:pPr>
      <w:r>
        <w:t xml:space="preserve">I.2.3.</w:t>
      </w:r>
      <w:r>
        <w:t xml:space="preserve"> </w:t>
      </w:r>
      <w:r>
        <w:t xml:space="preserve">Solución de esquina</w:t>
      </w:r>
    </w:p>
    <w:p>
      <w:pPr>
        <w:numPr>
          <w:ilvl w:val="0"/>
          <w:numId w:val="1056"/>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06" w:name="fig:solucion-interior-esquina"/>
    <w:p>
      <w:pPr>
        <w:pStyle w:val="ImageCaption"/>
      </w:pPr>
      <w:r>
        <w:t xml:space="preserve">Gráfico 11.–</w:t>
      </w:r>
      <w:r>
        <w:t xml:space="preserve"> </w:t>
      </w:r>
      <w:r>
        <w:t xml:space="preserve">Solución interior (tangencia) y solución de esquina</w:t>
      </w:r>
    </w:p>
    <w:p>
      <w:pPr>
        <w:pStyle w:val="CaptionedFigure"/>
      </w:pPr>
      <w:r>
        <w:drawing>
          <wp:inline>
            <wp:extent cx="5021554" cy="1877731"/>
            <wp:effectExtent b="0" l="0" r="0" t="0"/>
            <wp:docPr descr="" title="" id="104" name="Picture"/>
            <a:graphic>
              <a:graphicData uri="http://schemas.openxmlformats.org/drawingml/2006/picture">
                <pic:pic>
                  <pic:nvPicPr>
                    <pic:cNvPr descr="C:\Users\vgutierrez\Documents\src\victorgutierrezmarcos.github.io-revision\oposicion\temario\fuentes\3A08\graficos/solucion-interior-esquina.png" id="105" name="Picture"/>
                    <pic:cNvPicPr>
                      <a:picLocks noChangeArrowheads="1" noChangeAspect="1"/>
                    </pic:cNvPicPr>
                  </pic:nvPicPr>
                  <pic:blipFill>
                    <a:blip r:embed="rId103"/>
                    <a:stretch>
                      <a:fillRect/>
                    </a:stretch>
                  </pic:blipFill>
                  <pic:spPr bwMode="auto">
                    <a:xfrm>
                      <a:off x="0" y="0"/>
                      <a:ext cx="5021554" cy="1877731"/>
                    </a:xfrm>
                    <a:prstGeom prst="rect">
                      <a:avLst/>
                    </a:prstGeom>
                    <a:noFill/>
                    <a:ln w="9525">
                      <a:noFill/>
                      <a:headEnd/>
                      <a:tailEnd/>
                    </a:ln>
                  </pic:spPr>
                </pic:pic>
              </a:graphicData>
            </a:graphic>
          </wp:inline>
        </w:drawing>
      </w:r>
    </w:p>
    <w:bookmarkEnd w:id="106"/>
    <w:p>
      <w:pPr>
        <w:pStyle w:val="Piedeimagen"/>
      </w:pPr>
      <w:r>
        <w:t xml:space="preserve">Fuente: elaboración propia basada en</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Varian (</w:t>
      </w:r>
      <w:hyperlink w:anchor="ref-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07"/>
    <w:bookmarkEnd w:id="108"/>
    <w:bookmarkStart w:id="124" w:name="solución-al-problema-de-maximización"/>
    <w:p>
      <w:pPr>
        <w:pStyle w:val="Heading2"/>
      </w:pPr>
      <w:r>
        <w:t xml:space="preserve">I.3.</w:t>
      </w:r>
      <w:r>
        <w:t xml:space="preserve"> </w:t>
      </w:r>
      <w:r>
        <w:t xml:space="preserve">Solución al problema de maximización</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dos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15" w:name="demanda-individual-marshalliana"/>
    <w:p>
      <w:pPr>
        <w:pStyle w:val="Heading3"/>
      </w:pPr>
      <w:r>
        <w:t xml:space="preserve">I.3.1.</w:t>
      </w:r>
      <w:r>
        <w:t xml:space="preserve"> </w:t>
      </w:r>
      <w:r>
        <w:t xml:space="preserve">Demanda individual marshalliana</w:t>
      </w:r>
    </w:p>
    <w:p>
      <w:pPr>
        <w:numPr>
          <w:ilvl w:val="0"/>
          <w:numId w:val="1057"/>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09"/>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p>
      <w:pPr>
        <w:pStyle w:val="BodyText"/>
      </w:pPr>
      <m:oMathPara>
        <m:oMathParaPr>
          <m:jc m:val="center"/>
        </m:oMathParaPr>
        <m:oMath>
          <m:sSup>
            <m:e>
              <m:r>
                <m:t>x</m:t>
              </m:r>
            </m:e>
            <m:sup>
              <m:r>
                <m:rPr>
                  <m:sty m:val="p"/>
                </m:rPr>
                <m:t>*</m:t>
              </m:r>
            </m:sup>
          </m:sSup>
          <m:r>
            <m:rPr>
              <m:sty m:val="p"/>
            </m:rPr>
            <m:t>=</m:t>
          </m:r>
          <m:r>
            <m:t>x</m:t>
          </m:r>
          <m:d>
            <m:dPr>
              <m:begChr m:val="("/>
              <m:sepChr m:val=""/>
              <m:endChr m:val=")"/>
              <m:grow/>
            </m:dPr>
            <m:e>
              <m:r>
                <m:t>p</m:t>
              </m:r>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numPr>
          <w:ilvl w:val="0"/>
          <w:numId w:val="1057"/>
        </w:numPr>
      </w:pPr>
      <w:r>
        <w:t xml:space="preserve">Sus</w:t>
      </w:r>
      <w:r>
        <w:t xml:space="preserve"> </w:t>
      </w:r>
      <w:r>
        <w:rPr>
          <w:b/>
          <w:bCs/>
        </w:rPr>
        <w:t xml:space="preserve">propiedades</w:t>
      </w:r>
      <w:r>
        <w:t xml:space="preserve">:</w:t>
      </w:r>
    </w:p>
    <w:p>
      <w:pPr>
        <w:numPr>
          <w:ilvl w:val="1"/>
          <w:numId w:val="1058"/>
        </w:numPr>
      </w:pPr>
      <w:r>
        <w:rPr>
          <w:i/>
          <w:iCs/>
        </w:rPr>
        <w:t xml:space="preserve">Existe y es única</w:t>
      </w:r>
      <w:r>
        <w:t xml:space="preserve">.</w:t>
      </w:r>
      <w:r>
        <w:rPr>
          <w:rStyle w:val="FootnoteReference"/>
        </w:rPr>
        <w:footnoteReference w:id="110"/>
      </w:r>
    </w:p>
    <w:p>
      <w:pPr>
        <w:numPr>
          <w:ilvl w:val="1"/>
          <w:numId w:val="1058"/>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11"/>
      </w:r>
    </w:p>
    <w:p>
      <w:pPr>
        <w:numPr>
          <w:ilvl w:val="1"/>
          <w:numId w:val="1058"/>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t xml:space="preserve"> </w:t>
      </w:r>
      <m:oMath>
        <m:r>
          <m:t>x</m:t>
        </m:r>
        <m:d>
          <m:dPr>
            <m:begChr m:val="("/>
            <m:sepChr m:val=""/>
            <m:endChr m:val=")"/>
            <m:grow/>
          </m:dPr>
          <m:e>
            <m:r>
              <m:t>k</m:t>
            </m:r>
            <m:r>
              <m:t>p</m:t>
            </m:r>
            <m:r>
              <m:rPr>
                <m:sty m:val="p"/>
              </m:rPr>
              <m:t>,</m:t>
            </m:r>
            <m:r>
              <m:t>k</m:t>
            </m:r>
            <m:bar>
              <m:barPr>
                <m:pos m:val="top"/>
              </m:barPr>
              <m:e>
                <m:r>
                  <m:t>W</m:t>
                </m:r>
              </m:e>
            </m:bar>
          </m:e>
        </m:d>
        <m:r>
          <m:rPr>
            <m:sty m:val="p"/>
          </m:rPr>
          <m:t>=</m:t>
        </m:r>
        <m:r>
          <m:t>x</m:t>
        </m:r>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w:t>
      </w:r>
      <w:r>
        <w:rPr>
          <w:rStyle w:val="FootnoteReference"/>
        </w:rPr>
        <w:footnoteReference w:id="112"/>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58"/>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13"/>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58"/>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14"/>
      </w:r>
    </w:p>
    <w:bookmarkEnd w:id="115"/>
    <w:bookmarkStart w:id="116" w:name="la-función-indirecta-de-utilidad"/>
    <w:p>
      <w:pPr>
        <w:pStyle w:val="Heading3"/>
      </w:pPr>
      <w:r>
        <w:t xml:space="preserve">I.3.2.</w:t>
      </w:r>
      <w:r>
        <w:t xml:space="preserve"> </w:t>
      </w:r>
      <w:r>
        <w:t xml:space="preserve">La función indirecta de utilidad</w:t>
      </w:r>
    </w:p>
    <w:p>
      <w:pPr>
        <w:numPr>
          <w:ilvl w:val="0"/>
          <w:numId w:val="1059"/>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w:t>
      </w:r>
    </w:p>
    <w:p>
      <w:pPr>
        <w:pStyle w:val="BodyText"/>
      </w:pPr>
      <m:oMathPara>
        <m:oMathParaPr>
          <m:jc m:val="center"/>
        </m:oMathParaPr>
        <m:oMath>
          <m:r>
            <m:t>V</m:t>
          </m:r>
          <m:d>
            <m:dPr>
              <m:begChr m:val="("/>
              <m:sepChr m:val=""/>
              <m:endChr m:val=")"/>
              <m:grow/>
            </m:dPr>
            <m:e>
              <m:r>
                <m:t>p</m:t>
              </m:r>
              <m:r>
                <m:rPr>
                  <m:sty m:val="p"/>
                </m:rPr>
                <m:t>,</m:t>
              </m:r>
              <m:bar>
                <m:barPr>
                  <m:pos m:val="top"/>
                </m:barPr>
                <m:e>
                  <m:r>
                    <m:t>W</m:t>
                  </m:r>
                </m:e>
              </m:bar>
            </m:e>
          </m:d>
          <m:r>
            <m:rPr>
              <m:sty m:val="p"/>
            </m:rPr>
            <m:t>=</m:t>
          </m:r>
          <m:r>
            <m:t>U</m:t>
          </m:r>
          <m:d>
            <m:dPr>
              <m:begChr m:val="("/>
              <m:sepChr m:val=""/>
              <m:endChr m:val=")"/>
              <m:grow/>
            </m:dPr>
            <m:e>
              <m:r>
                <m:t>x</m:t>
              </m:r>
              <m:d>
                <m:dPr>
                  <m:begChr m:val="("/>
                  <m:sepChr m:val=""/>
                  <m:endChr m:val=")"/>
                  <m:grow/>
                </m:dPr>
                <m:e>
                  <m:r>
                    <m:t>p</m:t>
                  </m:r>
                  <m:r>
                    <m:rPr>
                      <m:sty m:val="p"/>
                    </m:rPr>
                    <m:t>,</m:t>
                  </m:r>
                  <m:bar>
                    <m:barPr>
                      <m:pos m:val="top"/>
                    </m:barPr>
                    <m:e>
                      <m:r>
                        <m:t>W</m:t>
                      </m:r>
                    </m:e>
                  </m:bar>
                </m:e>
              </m:d>
            </m:e>
          </m:d>
          <m:r>
            <m:rPr>
              <m:sty m:val="p"/>
            </m:rPr>
            <m:t>=</m:t>
          </m:r>
          <m:limLow>
            <m:e>
              <m:r>
                <m:rPr>
                  <m:sty m:val="p"/>
                </m:rPr>
                <m:t>max</m:t>
              </m:r>
            </m:e>
            <m:lim>
              <m:r>
                <m:t>x</m:t>
              </m:r>
            </m:lim>
          </m:limLow>
          <m:d>
            <m:dPr>
              <m:begChr m:val="{"/>
              <m:sepChr m:val=""/>
              <m:endChr m:val="}"/>
              <m:grow/>
            </m:dPr>
            <m:e>
              <m:r>
                <m:t>U</m:t>
              </m:r>
              <m:d>
                <m:dPr>
                  <m:begChr m:val="("/>
                  <m:sepChr m:val=""/>
                  <m:endChr m:val=")"/>
                  <m:grow/>
                </m:dPr>
                <m:e>
                  <m:r>
                    <m:t>x</m:t>
                  </m:r>
                </m:e>
              </m:d>
              <m:r>
                <m:t> </m:t>
              </m:r>
              <m:r>
                <m:rPr>
                  <m:sty m:val="p"/>
                </m:rPr>
                <m:t>:</m:t>
              </m:r>
              <m:r>
                <m:t> </m:t>
              </m:r>
              <m:r>
                <m:t>p</m:t>
              </m:r>
              <m:r>
                <m:rPr>
                  <m:sty m:val="p"/>
                </m:rPr>
                <m:t>⋅</m:t>
              </m:r>
              <m:r>
                <m:t>x</m:t>
              </m:r>
              <m:r>
                <m:rPr>
                  <m:sty m:val="p"/>
                </m:rPr>
                <m:t>≤</m:t>
              </m:r>
              <m:bar>
                <m:barPr>
                  <m:pos m:val="top"/>
                </m:barPr>
                <m:e>
                  <m:r>
                    <m:t>W</m:t>
                  </m:r>
                </m:e>
              </m:bar>
              <m:r>
                <m:rPr>
                  <m:sty m:val="p"/>
                </m:rPr>
                <m:t>,</m:t>
              </m:r>
              <m:r>
                <m:t> </m:t>
              </m:r>
              <m:r>
                <m:t>x</m:t>
              </m:r>
              <m:r>
                <m:rPr>
                  <m:sty m:val="p"/>
                </m:rPr>
                <m:t>≥</m:t>
              </m:r>
              <m:r>
                <m:t>0</m:t>
              </m:r>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r>
              <m:t>x</m:t>
            </m:r>
          </m:e>
        </m:d>
      </m:oMath>
      <w:r>
        <w:t xml:space="preserve"> </w:t>
      </w:r>
      <w:r>
        <w:t xml:space="preserve">depende directamente de las cantidades.</w:t>
      </w:r>
    </w:p>
    <w:p>
      <w:pPr>
        <w:numPr>
          <w:ilvl w:val="0"/>
          <w:numId w:val="1059"/>
        </w:numPr>
      </w:pPr>
      <w:r>
        <w:rPr>
          <w:b/>
          <w:bCs/>
        </w:rPr>
        <w:t xml:space="preserve">Propiedades</w:t>
      </w:r>
      <w:r>
        <w:t xml:space="preserve"> </w:t>
      </w:r>
      <w:r>
        <w:t xml:space="preserve">de la FIU</w:t>
      </w:r>
      <w:r>
        <w:t xml:space="preserve"> </w:t>
      </w:r>
      <w:r>
        <w:t xml:space="preserve">(</w:t>
      </w:r>
      <w:hyperlink w:anchor="ref-MasColellWhinstonGreen1995">
        <w:r>
          <w:rPr>
            <w:rStyle w:val="Hyperlink"/>
          </w:rPr>
          <w:t xml:space="preserve">Mas-Colell, Whinston y Green 1995</w:t>
        </w:r>
      </w:hyperlink>
      <w:r>
        <w:t xml:space="preserve">, prop. 3.D.3)</w:t>
      </w:r>
      <w:r>
        <w:t xml:space="preserve">:</w:t>
      </w:r>
    </w:p>
    <w:p>
      <w:pPr>
        <w:numPr>
          <w:ilvl w:val="1"/>
          <w:numId w:val="106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p>
    <w:p>
      <w:pPr>
        <w:numPr>
          <w:ilvl w:val="1"/>
          <w:numId w:val="106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un cambio equiproporcional de precios y renta no altera la cesta elegida ni, por tanto, el bienestar;</w:t>
      </w:r>
    </w:p>
    <w:p>
      <w:pPr>
        <w:numPr>
          <w:ilvl w:val="1"/>
          <w:numId w:val="1060"/>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0"/>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el conjunto</w:t>
      </w:r>
      <w:r>
        <w:t xml:space="preserve"> </w:t>
      </w:r>
      <m:oMath>
        <m:r>
          <m:rPr>
            <m:sty m:val="p"/>
          </m:rPr>
          <m:t>{</m:t>
        </m:r>
        <m:d>
          <m:dPr>
            <m:begChr m:val="("/>
            <m:sepChr m:val=""/>
            <m:endChr m:val=")"/>
            <m:grow/>
          </m:dPr>
          <m:e>
            <m:r>
              <m:t>p</m:t>
            </m:r>
            <m:r>
              <m:rPr>
                <m:sty m:val="p"/>
              </m:rPr>
              <m:t>,</m:t>
            </m:r>
            <m:bar>
              <m:barPr>
                <m:pos m:val="top"/>
              </m:barPr>
              <m:e>
                <m:r>
                  <m:t>W</m:t>
                </m:r>
              </m:e>
            </m:bar>
          </m:e>
        </m:d>
        <m:r>
          <m:rPr>
            <m:sty m:val="p"/>
          </m:rPr>
          <m:t>:</m:t>
        </m:r>
        <m:r>
          <m:t>V</m:t>
        </m:r>
        <m:d>
          <m:dPr>
            <m:begChr m:val="("/>
            <m:sepChr m:val=""/>
            <m:endChr m:val=")"/>
            <m:grow/>
          </m:dPr>
          <m:e>
            <m:r>
              <m:t>p</m:t>
            </m:r>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λ</m:t>
            </m:r>
            <m:r>
              <m:t>p</m:t>
            </m:r>
            <m:r>
              <m:rPr>
                <m:sty m:val="p"/>
              </m:rPr>
              <m:t>+</m:t>
            </m:r>
            <m:d>
              <m:dPr>
                <m:begChr m:val="("/>
                <m:sepChr m:val=""/>
                <m:endChr m:val=")"/>
                <m:grow/>
              </m:dPr>
              <m:e>
                <m:r>
                  <m:t>1</m:t>
                </m:r>
                <m:r>
                  <m:rPr>
                    <m:sty m:val="p"/>
                  </m:rPr>
                  <m:t>−</m:t>
                </m:r>
                <m:r>
                  <m:t>λ</m:t>
                </m:r>
              </m:e>
            </m:d>
            <m:r>
              <m:t>p</m:t>
            </m:r>
            <m:r>
              <m:rPr>
                <m:sty m:val="p"/>
              </m:rPr>
              <m:t>′</m:t>
            </m:r>
            <m:r>
              <m:rPr>
                <m:sty m:val="p"/>
              </m:rPr>
              <m:t>,</m:t>
            </m:r>
            <m:r>
              <m:t> </m:t>
            </m:r>
            <m:r>
              <m:t>λ</m:t>
            </m:r>
            <m:bar>
              <m:barPr>
                <m:pos m:val="top"/>
              </m:barPr>
              <m:e>
                <m:r>
                  <m:t>W</m:t>
                </m:r>
              </m:e>
            </m:bar>
            <m:r>
              <m:rPr>
                <m:sty m:val="p"/>
              </m:rPr>
              <m:t>+</m:t>
            </m:r>
            <m:d>
              <m:dPr>
                <m:begChr m:val="("/>
                <m:sepChr m:val=""/>
                <m:endChr m:val=")"/>
                <m:grow/>
              </m:dPr>
              <m:e>
                <m:r>
                  <m:t>1</m:t>
                </m:r>
                <m:r>
                  <m:rPr>
                    <m:sty m:val="p"/>
                  </m:rPr>
                  <m:t>−</m:t>
                </m:r>
                <m:r>
                  <m:t>λ</m:t>
                </m:r>
              </m:e>
            </m:d>
            <m:bar>
              <m:barPr>
                <m:pos m:val="top"/>
              </m:barPr>
              <m:e>
                <m:r>
                  <m:t>W</m:t>
                </m:r>
              </m:e>
            </m:bar>
            <m:r>
              <m:rPr>
                <m:sty m:val="p"/>
              </m:rPr>
              <m:t>′</m:t>
            </m:r>
          </m:e>
        </m:d>
      </m:oMath>
      <w:r>
        <w:t xml:space="preserve"> </w:t>
      </w:r>
      <w:r>
        <w:t xml:space="preserve">es asequible con al menos uno de los dos presupuestos extremos; por tanto, la utilidad alcanzable con el promedio no supera la mayor de las dos. No depende de la convexidad de las preferencias;</w:t>
      </w:r>
    </w:p>
    <w:p>
      <w:pPr>
        <w:numPr>
          <w:ilvl w:val="1"/>
          <w:numId w:val="1060"/>
        </w:numPr>
      </w:pPr>
      <w:r>
        <w:t xml:space="preserve">cumple la</w:t>
      </w:r>
      <w:r>
        <w:t xml:space="preserve"> </w:t>
      </w:r>
      <w:r>
        <w:rPr>
          <w:b/>
          <w:bCs/>
        </w:rPr>
        <w:t xml:space="preserve">identidad de</w:t>
      </w:r>
      <w:r>
        <w:t xml:space="preserve"> </w:t>
      </w:r>
      <w:r>
        <w:t xml:space="preserve">Roy (</w:t>
      </w:r>
      <w:hyperlink w:anchor="ref-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B.4).</w:t>
      </w:r>
    </w:p>
    <w:p>
      <w:pPr>
        <w:numPr>
          <w:ilvl w:val="0"/>
          <w:numId w:val="1059"/>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r>
        <w:rPr>
          <w:rStyle w:val="Referenciaatema"/>
        </w:rPr>
        <w:t xml:space="preserve">[ver tema 3.A.9]</w:t>
      </w:r>
      <w:r>
        <w:t xml:space="preserve">.</w:t>
      </w:r>
    </w:p>
    <w:bookmarkEnd w:id="116"/>
    <w:bookmarkStart w:id="123" w:name="X083a1de7da77891d95bac17c3ecc4049e03e924"/>
    <w:p>
      <w:pPr>
        <w:pStyle w:val="Heading3"/>
      </w:pPr>
      <w:r>
        <w:t xml:space="preserve">I.3.3.</w:t>
      </w:r>
      <w:r>
        <w:t xml:space="preserve"> </w:t>
      </w:r>
      <w:r>
        <w:t xml:space="preserve">Curva de demanda de mercado: agregación y efecto renta nulo</w:t>
      </w:r>
    </w:p>
    <w:p>
      <w:pPr>
        <w:numPr>
          <w:ilvl w:val="0"/>
          <w:numId w:val="1061"/>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p>
    <w:p>
      <w:pPr>
        <w:pStyle w:val="BodyText"/>
      </w:pPr>
      <m:oMathPara>
        <m:oMathParaPr>
          <m:jc m:val="center"/>
        </m:oMathParaPr>
        <m:oMath>
          <m:sSub>
            <m:e>
              <m:r>
                <m:t>X</m:t>
              </m:r>
            </m:e>
            <m:sub>
              <m:r>
                <m:t>i</m:t>
              </m:r>
            </m:sub>
          </m:sSub>
          <m:d>
            <m:dPr>
              <m:begChr m:val="("/>
              <m:sepChr m:val=""/>
              <m:endChr m:val=")"/>
              <m:grow/>
            </m:dPr>
            <m:e>
              <m:r>
                <m:t>p</m:t>
              </m:r>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r>
                <m:t>p</m:t>
              </m:r>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numPr>
          <w:ilvl w:val="0"/>
          <w:numId w:val="1061"/>
        </w:numPr>
      </w:pPr>
      <w:r>
        <w:rPr>
          <w:b/>
          <w:b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2"/>
        </w:numPr>
      </w:pPr>
      <w:r>
        <w:rPr>
          <w:b/>
          <w:bCs/>
        </w:rPr>
        <w:t xml:space="preserve">Condición de</w:t>
      </w:r>
      <w:r>
        <w:t xml:space="preserve"> </w:t>
      </w:r>
      <w:r>
        <w:t xml:space="preserve">Gorman (</w:t>
      </w:r>
      <w:hyperlink w:anchor="ref-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17"/>
      </w:r>
      <w:r>
        <w:t xml:space="preserve"> </w:t>
      </w:r>
      <w:r>
        <w:t xml:space="preserve">la</w:t>
      </w:r>
      <w:r>
        <w:t xml:space="preserve"> </w:t>
      </w:r>
      <w:r>
        <w:rPr>
          <w:b/>
          <w:bCs/>
        </w:rPr>
        <w:t xml:space="preserve">forma polar de</w:t>
      </w:r>
      <w:r>
        <w:t xml:space="preserve"> </w:t>
      </w:r>
      <w:r>
        <w:t xml:space="preserve">Gorman (</w:t>
      </w:r>
      <w:hyperlink w:anchor="ref-Gorman1961Class">
        <w:r>
          <w:rPr>
            <w:rStyle w:val="Hyperlink"/>
          </w:rPr>
          <w:t xml:space="preserve">1961</w:t>
        </w:r>
      </w:hyperlink>
      <w:r>
        <w:t xml:space="preserve">)</w:t>
      </w:r>
      <w:r>
        <w:t xml:space="preserve">:</w:t>
      </w:r>
    </w:p>
    <w:p>
      <w:pPr>
        <w:pStyle w:val="BodyText"/>
      </w:pPr>
      <m:oMathPara>
        <m:oMathParaPr>
          <m:jc m:val="center"/>
        </m:oMathParaPr>
        <m:oMath>
          <m:sSub>
            <m:e>
              <m:r>
                <m:t>V</m:t>
              </m:r>
            </m:e>
            <m:sub>
              <m:r>
                <m:t>h</m:t>
              </m:r>
            </m:sub>
          </m:sSub>
          <m:d>
            <m:dPr>
              <m:begChr m:val="("/>
              <m:sepChr m:val=""/>
              <m:endChr m:val=")"/>
              <m:grow/>
            </m:dPr>
            <m:e>
              <m:r>
                <m:t>p</m:t>
              </m:r>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r>
                <m:t>p</m:t>
              </m:r>
            </m:e>
          </m:d>
          <m:r>
            <m:rPr>
              <m:sty m:val="p"/>
            </m:rPr>
            <m:t>+</m:t>
          </m:r>
          <m:r>
            <m:t>b</m:t>
          </m:r>
          <m:d>
            <m:dPr>
              <m:begChr m:val="("/>
              <m:sepChr m:val=""/>
              <m:endChr m:val=")"/>
              <m:grow/>
            </m:dPr>
            <m:e>
              <m:r>
                <m:t>p</m:t>
              </m:r>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r>
              <m:t>p</m:t>
            </m:r>
          </m:e>
        </m:d>
      </m:oMath>
      <w:r>
        <w:t xml:space="preserve"> </w:t>
      </w:r>
      <w:r>
        <w:rPr>
          <w:i/>
          <w:iCs/>
        </w:rPr>
        <w:t xml:space="preserve">común</w:t>
      </w:r>
      <w:r>
        <w:t xml:space="preserve"> </w:t>
      </w:r>
      <w:r>
        <w:t xml:space="preserve">a todos.</w:t>
      </w:r>
      <w:r>
        <w:rPr>
          <w:rStyle w:val="FootnoteReference"/>
        </w:rPr>
        <w:footnoteReference w:id="118"/>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MasColellWhinstonGreen1995">
        <w:r>
          <w:rPr>
            <w:rStyle w:val="Hyperlink"/>
          </w:rPr>
          <w:t xml:space="preserve">Mas-Colell, Whinston y Green 1995</w:t>
        </w:r>
      </w:hyperlink>
      <w:r>
        <w:t xml:space="preserve">, prop. 4.B.1)</w:t>
      </w:r>
      <w:r>
        <w:t xml:space="preserve">.</w:t>
      </w:r>
    </w:p>
    <w:p>
      <w:pPr>
        <w:numPr>
          <w:ilvl w:val="1"/>
          <w:numId w:val="1062"/>
        </w:numPr>
      </w:pPr>
      <w:r>
        <w:t xml:space="preserve">Casos particulares:</w:t>
      </w:r>
    </w:p>
    <w:p>
      <w:pPr>
        <w:numPr>
          <w:ilvl w:val="2"/>
          <w:numId w:val="1063"/>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r>
              <m:t>p</m:t>
            </m:r>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3"/>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2"/>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r>
        <w:rPr>
          <w:rStyle w:val="Referenciaatema"/>
        </w:rPr>
        <w:t xml:space="preserve">[ver tema 3.A.24]</w:t>
      </w:r>
      <w:r>
        <w:t xml:space="preserve">.</w:t>
      </w:r>
      <w:r>
        <w:t xml:space="preserve"> </w:t>
      </w:r>
      <w:r>
        <w:t xml:space="preserve">Muellbauer (</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r>
        <w:rPr>
          <w:rStyle w:val="Referenciaatema"/>
        </w:rPr>
        <w:t xml:space="preserve">[ver tema 3.A.9]</w:t>
      </w:r>
      <w:r>
        <w:t xml:space="preserve">.</w:t>
      </w:r>
    </w:p>
    <w:bookmarkStart w:id="122" w:name="fig:engel-gorman"/>
    <w:p>
      <w:pPr>
        <w:pStyle w:val="ImageCaption"/>
      </w:pPr>
      <w:r>
        <w:t xml:space="preserve">Gráfico 12.–</w:t>
      </w:r>
      <w:r>
        <w:t xml:space="preserve"> </w:t>
      </w:r>
      <w:r>
        <w:t xml:space="preserve">Forma polar de Gorman: curvas de Engel rectas y paralelas de dos consumidores</w:t>
      </w:r>
    </w:p>
    <w:p>
      <w:pPr>
        <w:pStyle w:val="CaptionedFigure"/>
      </w:pPr>
      <w:r>
        <w:drawing>
          <wp:inline>
            <wp:extent cx="2483253" cy="1883847"/>
            <wp:effectExtent b="0" l="0" r="0" t="0"/>
            <wp:docPr descr="" title="" id="120" name="Picture"/>
            <a:graphic>
              <a:graphicData uri="http://schemas.openxmlformats.org/drawingml/2006/picture">
                <pic:pic>
                  <pic:nvPicPr>
                    <pic:cNvPr descr="C:\Users\vgutierrez\Documents\src\victorgutierrezmarcos.github.io-revision\oposicion\temario\fuentes\3A08\graficos/engel-gorman.png" id="121" name="Picture"/>
                    <pic:cNvPicPr>
                      <a:picLocks noChangeArrowheads="1" noChangeAspect="1"/>
                    </pic:cNvPicPr>
                  </pic:nvPicPr>
                  <pic:blipFill>
                    <a:blip r:embed="rId119"/>
                    <a:stretch>
                      <a:fillRect/>
                    </a:stretch>
                  </pic:blipFill>
                  <pic:spPr bwMode="auto">
                    <a:xfrm>
                      <a:off x="0" y="0"/>
                      <a:ext cx="2483253" cy="1883847"/>
                    </a:xfrm>
                    <a:prstGeom prst="rect">
                      <a:avLst/>
                    </a:prstGeom>
                    <a:noFill/>
                    <a:ln w="9525">
                      <a:noFill/>
                      <a:headEnd/>
                      <a:tailEnd/>
                    </a:ln>
                  </pic:spPr>
                </pic:pic>
              </a:graphicData>
            </a:graphic>
          </wp:inline>
        </w:drawing>
      </w:r>
    </w:p>
    <w:bookmarkEnd w:id="122"/>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cap. 4</w:t>
        </w:r>
      </w:hyperlink>
      <w:r>
        <w:t xml:space="preserve">)</w:t>
      </w:r>
      <w:r>
        <w:t xml:space="preserve">.</w:t>
      </w:r>
    </w:p>
    <w:p>
      <w:pPr>
        <w:numPr>
          <w:ilvl w:val="0"/>
          <w:numId w:val="1064"/>
        </w:numPr>
      </w:pPr>
      <w:r>
        <w:rPr>
          <w:b/>
          <w:bCs/>
        </w:rPr>
        <w:t xml:space="preserve">El efecto renta nulo</w:t>
      </w:r>
      <w:r>
        <w:t xml:space="preserve"> </w:t>
      </w:r>
      <w:r>
        <w:t xml:space="preserve">(preferencias cuasilineales) es el caso más usado en equilibrio parcial porque:</w:t>
      </w:r>
    </w:p>
    <w:p>
      <w:pPr>
        <w:numPr>
          <w:ilvl w:val="1"/>
          <w:numId w:val="1065"/>
        </w:numPr>
      </w:pPr>
      <w:r>
        <w:t xml:space="preserve">la demanda de cada bien depende solo de los precios, y la agregación es inmediata;</w:t>
      </w:r>
    </w:p>
    <w:p>
      <w:pPr>
        <w:numPr>
          <w:ilvl w:val="1"/>
          <w:numId w:val="1065"/>
        </w:numPr>
      </w:pPr>
      <w:r>
        <w:t xml:space="preserve">la demanda marshalliana coincide con la hicksiana (la que mantiene constante la utilidad), y el excedente del consumidor es una medida exacta del bienestar</w:t>
      </w:r>
      <w:r>
        <w:t xml:space="preserve"> </w:t>
      </w:r>
      <w:r>
        <w:rPr>
          <w:rStyle w:val="Referenciaatema"/>
        </w:rPr>
        <w:t xml:space="preserve">[ver tema 3.A.9]</w:t>
      </w:r>
      <w:r>
        <w:t xml:space="preserve"> </w:t>
      </w:r>
      <w:r>
        <w:rPr>
          <w:rStyle w:val="Referenciaatema"/>
        </w:rPr>
        <w:t xml:space="preserve">[ver tema 3.A.16]</w:t>
      </w:r>
      <w:r>
        <w:t xml:space="preserve">.</w:t>
      </w:r>
    </w:p>
    <w:p>
      <w:pPr>
        <w:numPr>
          <w:ilvl w:val="0"/>
          <w:numId w:val="1064"/>
        </w:numPr>
      </w:pPr>
      <w:r>
        <w:rPr>
          <w:b/>
          <w:bCs/>
        </w:rPr>
        <w:t xml:space="preserve">Problemas del efecto renta nulo</w:t>
      </w:r>
      <w:r>
        <w:t xml:space="preserve">:</w:t>
      </w:r>
    </w:p>
    <w:p>
      <w:pPr>
        <w:numPr>
          <w:ilvl w:val="1"/>
          <w:numId w:val="1066"/>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6"/>
        </w:numPr>
      </w:pPr>
      <w:r>
        <w:t xml:space="preserve">exige que toda la renta adicional vaya al numerario, lo que solo es razonable para bienes que pesan poco en el gasto;</w:t>
      </w:r>
    </w:p>
    <w:p>
      <w:pPr>
        <w:numPr>
          <w:ilvl w:val="1"/>
          <w:numId w:val="1066"/>
        </w:numPr>
      </w:pPr>
      <w:r>
        <w:t xml:space="preserve">si la renta de algún consumidor es baja, aparecen soluciones de esquina en el numerario y la forma deja de valer;</w:t>
      </w:r>
    </w:p>
    <w:p>
      <w:pPr>
        <w:numPr>
          <w:ilvl w:val="1"/>
          <w:numId w:val="1066"/>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numPr>
          <w:ilvl w:val="0"/>
          <w:numId w:val="1064"/>
        </w:numPr>
      </w:pPr>
      <w:r>
        <w:rPr>
          <w:b/>
          <w:bCs/>
        </w:rPr>
        <w:t xml:space="preserve">Segundo problema: ¿hereda la demanda agregada las propiedades de la individual?</w:t>
      </w:r>
      <w:r>
        <w:t xml:space="preserve"> </w:t>
      </w:r>
      <w:r>
        <w:t xml:space="preserve">Solo en parte. Se conservan la continuidad, la homogeneidad de grado cero y la ley de</w:t>
      </w:r>
      <w:r>
        <w:t xml:space="preserve"> </w:t>
      </w:r>
      <w:r>
        <w:rPr>
          <w:smallCaps/>
        </w:rPr>
        <w:t xml:space="preserve">Walras</w:t>
      </w:r>
      <w:r>
        <w:t xml:space="preserve">, pero no el axioma débil de la preferencia revelada ni la simetría y negatividad de la matriz de</w:t>
      </w:r>
      <w:r>
        <w:t xml:space="preserve"> </w:t>
      </w:r>
      <w:r>
        <w:rPr>
          <w:smallCaps/>
        </w:rPr>
        <w:t xml:space="preserve">Slutsky</w:t>
      </w:r>
      <w:r>
        <w:t xml:space="preserve">: los efectos renta de consumidores distintos no se cancelan. 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Sonnenschein1973Walras">
        <w:r>
          <w:rPr>
            <w:rStyle w:val="Hyperlink"/>
          </w:rPr>
          <w:t xml:space="preserve">Sonnenschein 1973</w:t>
        </w:r>
      </w:hyperlink>
      <w:r>
        <w:t xml:space="preserve">;</w:t>
      </w:r>
      <w:r>
        <w:t xml:space="preserve"> </w:t>
      </w:r>
      <w:hyperlink w:anchor="ref-Mantel1974Characterization">
        <w:r>
          <w:rPr>
            <w:rStyle w:val="Hyperlink"/>
          </w:rPr>
          <w:t xml:space="preserve">Mantel 1974</w:t>
        </w:r>
      </w:hyperlink>
      <w:r>
        <w:t xml:space="preserve">;</w:t>
      </w:r>
      <w:r>
        <w:t xml:space="preserve"> </w:t>
      </w:r>
      <w:hyperlink w:anchor="ref-Debreu1974Excess">
        <w:r>
          <w:rPr>
            <w:rStyle w:val="Hyperlink"/>
          </w:rPr>
          <w:t xml:space="preserve">Debreu 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la función de exceso de demanda agregada de alguna economía: no se garantizan la unicidad ni la estabilidad del equilibrio</w:t>
      </w:r>
      <w:r>
        <w:t xml:space="preserve"> </w:t>
      </w:r>
      <w:r>
        <w:rPr>
          <w:rStyle w:val="Referenciaatema"/>
        </w:rPr>
        <w:t xml:space="preserve">[ver tema 3.A.21]</w:t>
      </w:r>
      <w:r>
        <w:t xml:space="preserve">.</w:t>
      </w:r>
    </w:p>
    <w:p>
      <w:pPr>
        <w:pStyle w:val="Ideaclave"/>
      </w:pPr>
      <w:r>
        <w:t xml:space="preserve">La demanda de mercado solo depende de los precios y de la renta total, como la de un consumidor representativo, si las curvas de Engel de todos los consumidores son rectas y paralelas (forma polar de Gorman). El efecto renta nulo es el caso más cómodo, pero también el más restrictivo.</w:t>
      </w:r>
    </w:p>
    <w:p>
      <w:pPr>
        <w:numPr>
          <w:ilvl w:val="0"/>
          <w:numId w:val="1067"/>
        </w:numPr>
      </w:pPr>
      <w:r>
        <w:rPr>
          <w:b/>
          <w:b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23"/>
    <w:bookmarkEnd w:id="124"/>
    <w:bookmarkEnd w:id="125"/>
    <w:bookmarkStart w:id="174" w:name="Xfc271646a2d08b145c758d58cda4d7e1396cb1d"/>
    <w:p>
      <w:pPr>
        <w:pStyle w:val="Heading1"/>
      </w:pPr>
      <w:r>
        <w:t xml:space="preserve">II.</w:t>
      </w:r>
      <w:r>
        <w:t xml:space="preserve"> </w:t>
      </w:r>
      <w:r>
        <w:t xml:space="preserve">Análisis de la teoría neoclásica de la demanda del consumidor (II): estática comparativa (análisis gráfico y de elasticidades)</w:t>
      </w:r>
    </w:p>
    <w:p>
      <w:pPr>
        <w:pStyle w:val="Notaalopositor"/>
      </w:pPr>
      <w:r>
        <w:rPr>
          <w:b/>
          <w:bCs/>
        </w:rPr>
        <w:t xml:space="preserve">Nota al opositor. </w:t>
      </w:r>
      <w:r>
        <w:t xml:space="preserve">En el cante: variaciones en la renta (unos 2 minutos), variaciones en los precios, propio y cruzado (4), y valoración (1). Se dibujan la curva de renta-consumo con la curva de</w:t>
      </w:r>
      <w:r>
        <w:t xml:space="preserve"> </w:t>
      </w:r>
      <w:r>
        <w:rPr>
          <w:smallCaps/>
        </w:rPr>
        <w:t xml:space="preserve">Engel</w:t>
      </w:r>
      <w:r>
        <w:t xml:space="preserve"> </w:t>
      </w:r>
      <w:r>
        <w:t xml:space="preserve">(gráfico 13) y la descomposición de</w:t>
      </w:r>
      <w:r>
        <w:t xml:space="preserve"> </w:t>
      </w:r>
      <w:r>
        <w:rPr>
          <w:smallCaps/>
        </w:rPr>
        <w:t xml:space="preserve">Slutsky</w:t>
      </w:r>
      <w:r>
        <w:t xml:space="preserve"> </w:t>
      </w:r>
      <w:r>
        <w:t xml:space="preserve">con la curva de demanda (gráfico 17),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corresponden a</w:t>
      </w:r>
      <w:r>
        <w:t xml:space="preserve"> </w:t>
      </w:r>
      <w:r>
        <w:rPr>
          <w:rStyle w:val="Referenciaatema"/>
        </w:rPr>
        <w:t xml:space="preserve">[ver tema 3.A.9]</w:t>
      </w:r>
      <w:r>
        <w:t xml:space="preserve">: en el cante solo se enuncian, y el anexo B 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numPr>
          <w:ilvl w:val="0"/>
          <w:numId w:val="1068"/>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69"/>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I.3),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26"/>
      </w:r>
    </w:p>
    <w:p>
      <w:pPr>
        <w:numPr>
          <w:ilvl w:val="1"/>
          <w:numId w:val="1069"/>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41" w:name="variaciones-en-la-renta"/>
    <w:p>
      <w:pPr>
        <w:pStyle w:val="Heading2"/>
      </w:pPr>
      <w:r>
        <w:t xml:space="preserve">II.1.</w:t>
      </w:r>
      <w:r>
        <w:t xml:space="preserve"> </w:t>
      </w:r>
      <w:r>
        <w:t xml:space="preserve">Variaciones en la renta</w:t>
      </w:r>
    </w:p>
    <w:bookmarkStart w:id="133" w:name="X00d7a6127e524b5ad67e3c0da51f148ad967ae1"/>
    <w:p>
      <w:pPr>
        <w:pStyle w:val="Heading3"/>
      </w:pPr>
      <w:r>
        <w:t xml:space="preserve">II.1.1.</w:t>
      </w:r>
      <w:r>
        <w:t xml:space="preserve"> </w:t>
      </w:r>
      <w:r>
        <w:t xml:space="preserve">Análisis gráfico: curva de renta-consumo y curva de Engel</w:t>
      </w:r>
    </w:p>
    <w:p>
      <w:pPr>
        <w:numPr>
          <w:ilvl w:val="0"/>
          <w:numId w:val="1070"/>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1"/>
        </w:numPr>
      </w:pPr>
      <w:r>
        <w:t xml:space="preserve">Si los dos bienes son normales, tiene pendiente positiva; en el tramo en que uno de ellos es inferior, la pendiente es negativa.</w:t>
      </w:r>
    </w:p>
    <w:p>
      <w:pPr>
        <w:numPr>
          <w:ilvl w:val="1"/>
          <w:numId w:val="1071"/>
        </w:numPr>
      </w:pPr>
      <w:r>
        <w:t xml:space="preserve">Con preferencias homotéticas, la CRC es una semirrecta que parte del origen: la proporción en que se consumen los bienes no depende de la renta.</w:t>
      </w:r>
      <w:r>
        <w:rPr>
          <w:rStyle w:val="FootnoteReference"/>
        </w:rPr>
        <w:footnoteReference w:id="127"/>
      </w:r>
    </w:p>
    <w:p>
      <w:pPr>
        <w:numPr>
          <w:ilvl w:val="0"/>
          <w:numId w:val="1070"/>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28"/>
      </w:r>
    </w:p>
    <w:p>
      <w:pPr>
        <w:numPr>
          <w:ilvl w:val="1"/>
          <w:numId w:val="1072"/>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2"/>
        </w:numPr>
      </w:pPr>
      <w:r>
        <w:t xml:space="preserve">Un bien puede ser normal hasta cierto nivel de renta e inferior a partir de él (gráfico 13, panel derecho). Es lo que ocurre con bienes que el consumidor sustituye por otros de más calidad cuando su renta aumenta; pueden servir de ejemplo la comida rápida o las marcas blancas.</w:t>
      </w:r>
    </w:p>
    <w:bookmarkStart w:id="132" w:name="fig:renta-consumo-engel"/>
    <w:p>
      <w:pPr>
        <w:pStyle w:val="ImageCaption"/>
      </w:pPr>
      <w:r>
        <w:t xml:space="preserve">Gráfico 13.–</w:t>
      </w:r>
      <w:r>
        <w:t xml:space="preserve"> </w:t>
      </w:r>
      <w:r>
        <w:t xml:space="preserve">Curva de renta-consumo y curva de Engel de un bien normal hasta cierto nivel de renta e inferior a partir de él</w:t>
      </w:r>
    </w:p>
    <w:p>
      <w:pPr>
        <w:pStyle w:val="CaptionedFigure"/>
      </w:pPr>
      <w:r>
        <w:drawing>
          <wp:inline>
            <wp:extent cx="4948157" cy="2208016"/>
            <wp:effectExtent b="0" l="0" r="0" t="0"/>
            <wp:docPr descr="" title="" id="130" name="Picture"/>
            <a:graphic>
              <a:graphicData uri="http://schemas.openxmlformats.org/drawingml/2006/picture">
                <pic:pic>
                  <pic:nvPicPr>
                    <pic:cNvPr descr="C:\Users\vgutierrez\Documents\src\victorgutierrezmarcos.github.io-revision\oposicion\temario\fuentes\3A08\graficos/renta-consumo-engel.png" id="131" name="Picture"/>
                    <pic:cNvPicPr>
                      <a:picLocks noChangeArrowheads="1" noChangeAspect="1"/>
                    </pic:cNvPicPr>
                  </pic:nvPicPr>
                  <pic:blipFill>
                    <a:blip r:embed="rId129"/>
                    <a:stretch>
                      <a:fillRect/>
                    </a:stretch>
                  </pic:blipFill>
                  <pic:spPr bwMode="auto">
                    <a:xfrm>
                      <a:off x="0" y="0"/>
                      <a:ext cx="4948157" cy="2208016"/>
                    </a:xfrm>
                    <a:prstGeom prst="rect">
                      <a:avLst/>
                    </a:prstGeom>
                    <a:noFill/>
                    <a:ln w="9525">
                      <a:noFill/>
                      <a:headEnd/>
                      <a:tailEnd/>
                    </a:ln>
                  </pic:spPr>
                </pic:pic>
              </a:graphicData>
            </a:graphic>
          </wp:inline>
        </w:drawing>
      </w:r>
    </w:p>
    <w:bookmarkEnd w:id="132"/>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párr. 2.E</w:t>
        </w:r>
      </w:hyperlink>
      <w:r>
        <w:t xml:space="preserve">)</w:t>
      </w:r>
      <w:r>
        <w:t xml:space="preserve">.</w:t>
      </w:r>
    </w:p>
    <w:bookmarkEnd w:id="133"/>
    <w:bookmarkStart w:id="139" w:name="X8e567229056a96ed8d15c772b0e1b6baa7629b3"/>
    <w:p>
      <w:pPr>
        <w:pStyle w:val="Heading3"/>
      </w:pPr>
      <w:r>
        <w:t xml:space="preserve">II.1.2.</w:t>
      </w:r>
      <w:r>
        <w:t xml:space="preserve"> </w:t>
      </w:r>
      <w:r>
        <w:t xml:space="preserve">Análisis de elasticidades: elasticidad-renta y ley de Engel</w:t>
      </w:r>
    </w:p>
    <w:p>
      <w:pPr>
        <w:numPr>
          <w:ilvl w:val="0"/>
          <w:numId w:val="1073"/>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p>
    <w:p>
      <w:pPr>
        <w:pStyle w:val="BodyT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numPr>
          <w:ilvl w:val="0"/>
          <w:numId w:val="1073"/>
        </w:numPr>
      </w:pPr>
      <w:r>
        <w:t xml:space="preserve">Según su valor, los bienes se clasifican (tabla 1) en:</w:t>
      </w:r>
    </w:p>
    <w:p>
      <w:pPr>
        <w:numPr>
          <w:ilvl w:val="1"/>
          <w:numId w:val="1074"/>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4"/>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numPr>
          <w:ilvl w:val="1"/>
          <w:numId w:val="1074"/>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5"/>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5"/>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numPr>
          <w:ilvl w:val="0"/>
          <w:numId w:val="1073"/>
        </w:numPr>
      </w:pPr>
      <w:r>
        <w:t xml:space="preserve">La</w:t>
      </w:r>
      <w:r>
        <w:t xml:space="preserve"> </w:t>
      </w:r>
      <w:r>
        <w:rPr>
          <w:b/>
          <w:bCs/>
        </w:rPr>
        <w:t xml:space="preserve">ley de</w:t>
      </w:r>
      <w:r>
        <w:t xml:space="preserve"> </w:t>
      </w:r>
      <w:r>
        <w:t xml:space="preserve">Engel (</w:t>
      </w:r>
      <w:hyperlink w:anchor="ref-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6"/>
        </w:numPr>
      </w:pPr>
      <w:r>
        <w:t xml:space="preserve">Se sigue cumpliendo. En España, los hogares del quintil de menor gasto dedicaron en 2025 el 19,6 % de su presupuesto a alimentos y bebidas no alcohólicas, frente al 12,3 % del quintil de mayor gasto; la media fue el 16,0 % (gráfico 14). La relación solo se rompe, ligeramente, entre los dos primeros quintiles</w:t>
      </w:r>
      <w:r>
        <w:t xml:space="preserve"> </w:t>
      </w:r>
      <w:r>
        <w:t xml:space="preserve">(</w:t>
      </w:r>
      <w:hyperlink w:anchor="ref-INE2026EPFTabla73828">
        <w:r>
          <w:rPr>
            <w:rStyle w:val="Hyperlink"/>
          </w:rPr>
          <w:t xml:space="preserve">Instituto Nacional de Estadística 2026b</w:t>
        </w:r>
      </w:hyperlink>
      <w:r>
        <w:t xml:space="preserve">,</w:t>
      </w:r>
      <w:r>
        <w:t xml:space="preserve"> </w:t>
      </w:r>
      <w:hyperlink w:anchor="ref-INE2026EPF">
        <w:r>
          <w:rPr>
            <w:rStyle w:val="Hyperlink"/>
          </w:rPr>
          <w:t xml:space="preserve">2026e</w:t>
        </w:r>
      </w:hyperlink>
      <w:r>
        <w:t xml:space="preserve">)</w:t>
      </w:r>
      <w:r>
        <w:t xml:space="preserve">.</w:t>
      </w:r>
      <w:r>
        <w:rPr>
          <w:rStyle w:val="FootnoteReference"/>
        </w:rPr>
        <w:footnoteReference w:id="134"/>
      </w:r>
    </w:p>
    <w:bookmarkStart w:id="138" w:name="fig:epf-alimentos-quintil"/>
    <w:p>
      <w:pPr>
        <w:pStyle w:val="ImageCaption"/>
      </w:pPr>
      <w:r>
        <w:t xml:space="preserve">Gráfico 14.–</w:t>
      </w:r>
      <w:r>
        <w:t xml:space="preserve"> </w:t>
      </w:r>
      <w:r>
        <w:t xml:space="preserve">Ley de Engel en España: peso de los alimentos y bebidas no alcohólicas en el gasto de los hogares, por quintiles de gasto (2025)</w:t>
      </w:r>
    </w:p>
    <w:p>
      <w:pPr>
        <w:pStyle w:val="CaptionedFigure"/>
      </w:pPr>
      <w:r>
        <w:drawing>
          <wp:inline>
            <wp:extent cx="3669832" cy="2373158"/>
            <wp:effectExtent b="0" l="0" r="0" t="0"/>
            <wp:docPr descr="" title="" id="136" name="Picture"/>
            <a:graphic>
              <a:graphicData uri="http://schemas.openxmlformats.org/drawingml/2006/picture">
                <pic:pic>
                  <pic:nvPicPr>
                    <pic:cNvPr descr="C:\Users\vgutierrez\Documents\src\victorgutierrezmarcos.github.io-revision\oposicion\temario\fuentes\3A08\graficos/epf-alimentos-quintil.png" id="137" name="Picture"/>
                    <pic:cNvPicPr>
                      <a:picLocks noChangeArrowheads="1" noChangeAspect="1"/>
                    </pic:cNvPicPr>
                  </pic:nvPicPr>
                  <pic:blipFill>
                    <a:blip r:embed="rId135"/>
                    <a:stretch>
                      <a:fillRect/>
                    </a:stretch>
                  </pic:blipFill>
                  <pic:spPr bwMode="auto">
                    <a:xfrm>
                      <a:off x="0" y="0"/>
                      <a:ext cx="3669832" cy="2373158"/>
                    </a:xfrm>
                    <a:prstGeom prst="rect">
                      <a:avLst/>
                    </a:prstGeom>
                    <a:noFill/>
                    <a:ln w="9525">
                      <a:noFill/>
                      <a:headEnd/>
                      <a:tailEnd/>
                    </a:ln>
                  </pic:spPr>
                </pic:pic>
              </a:graphicData>
            </a:graphic>
          </wp:inline>
        </w:drawing>
      </w:r>
    </w:p>
    <w:bookmarkEnd w:id="138"/>
    <w:p>
      <w:pPr>
        <w:pStyle w:val="Piedeimagen"/>
      </w:pPr>
      <w:r>
        <w:t xml:space="preserve">Fuente: INE, Encuesta de Presupuestos Familiares 2025, tabla 73828 (consulta: 10/10/2026).</w:t>
      </w:r>
    </w:p>
    <w:bookmarkEnd w:id="139"/>
    <w:bookmarkStart w:id="140" w:name="agregación-de-engel"/>
    <w:p>
      <w:pPr>
        <w:pStyle w:val="Heading3"/>
      </w:pPr>
      <w:r>
        <w:t xml:space="preserve">II.1.3.</w:t>
      </w:r>
      <w:r>
        <w:t xml:space="preserve"> </w:t>
      </w:r>
      <w:r>
        <w:t xml:space="preserve">Agregación de Engel</w:t>
      </w:r>
    </w:p>
    <w:p>
      <w:pPr>
        <w:numPr>
          <w:ilvl w:val="0"/>
          <w:numId w:val="1077"/>
        </w:numPr>
      </w:pPr>
      <w:r>
        <w:t xml:space="preserve">Además de ser continua, homogénea de grado cero y cumplir la ley de</w:t>
      </w:r>
      <w:r>
        <w:t xml:space="preserve"> </w:t>
      </w:r>
      <w:r>
        <w:rPr>
          <w:smallCaps/>
        </w:rPr>
        <w:t xml:space="preserve">Walras</w:t>
      </w:r>
      <w:r>
        <w:t xml:space="preserve"> </w:t>
      </w:r>
      <w:r>
        <w:t xml:space="preserve">(apartado I.3),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B.2).</w:t>
      </w:r>
    </w:p>
    <w:p>
      <w:pPr>
        <w:numPr>
          <w:ilvl w:val="1"/>
          <w:numId w:val="1078"/>
        </w:numPr>
      </w:pPr>
      <w:r>
        <w:t xml:space="preserve">La media de las elasticidades-renta, ponderada por las participaciones en el gasto, es igual a uno: cuando aumenta la renta, el gasto total aumenta en la misma cuantía.</w:t>
      </w:r>
    </w:p>
    <w:p>
      <w:pPr>
        <w:numPr>
          <w:ilvl w:val="1"/>
          <w:numId w:val="1078"/>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40"/>
    <w:bookmarkEnd w:id="141"/>
    <w:bookmarkStart w:id="172" w:name="variaciones-en-los-precios"/>
    <w:p>
      <w:pPr>
        <w:pStyle w:val="Heading2"/>
      </w:pPr>
      <w:r>
        <w:t xml:space="preserve">II.2.</w:t>
      </w:r>
      <w:r>
        <w:t xml:space="preserve"> </w:t>
      </w:r>
      <w:r>
        <w:t xml:space="preserve">Variaciones en los precios</w:t>
      </w:r>
    </w:p>
    <w:bookmarkStart w:id="146" w:name="Xf591af55287106a99823aea6d369c3f7413ec18"/>
    <w:p>
      <w:pPr>
        <w:pStyle w:val="Heading3"/>
      </w:pPr>
      <w:r>
        <w:t xml:space="preserve">II.2.1.</w:t>
      </w:r>
      <w:r>
        <w:t xml:space="preserve"> </w:t>
      </w:r>
      <w:r>
        <w:t xml:space="preserve">Análisis gráfico: curva de precio-consumo y curva de demanda</w:t>
      </w:r>
    </w:p>
    <w:p>
      <w:pPr>
        <w:numPr>
          <w:ilvl w:val="0"/>
          <w:numId w:val="1079"/>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79"/>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15). Un cambio en esos otros parámetros desplaza la curva.</w:t>
      </w:r>
    </w:p>
    <w:bookmarkStart w:id="145" w:name="fig:precio-consumo-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 title="" id="143" name="Picture"/>
            <a:graphic>
              <a:graphicData uri="http://schemas.openxmlformats.org/drawingml/2006/picture">
                <pic:pic>
                  <pic:nvPicPr>
                    <pic:cNvPr descr="C:\Users\vgutierrez\Documents\src\victorgutierrezmarcos.github.io-revision\oposicion\temario\fuentes\3A08\graficos/precio-consumo-demanda.png" id="144" name="Picture"/>
                    <pic:cNvPicPr>
                      <a:picLocks noChangeArrowheads="1" noChangeAspect="1"/>
                    </pic:cNvPicPr>
                  </pic:nvPicPr>
                  <pic:blipFill>
                    <a:blip r:embed="rId142"/>
                    <a:stretch>
                      <a:fillRect/>
                    </a:stretch>
                  </pic:blipFill>
                  <pic:spPr bwMode="auto">
                    <a:xfrm>
                      <a:off x="0" y="0"/>
                      <a:ext cx="2920575" cy="4397682"/>
                    </a:xfrm>
                    <a:prstGeom prst="rect">
                      <a:avLst/>
                    </a:prstGeom>
                    <a:noFill/>
                    <a:ln w="9525">
                      <a:noFill/>
                      <a:headEnd/>
                      <a:tailEnd/>
                    </a:ln>
                  </pic:spPr>
                </pic:pic>
              </a:graphicData>
            </a:graphic>
          </wp:inline>
        </w:drawing>
      </w:r>
    </w:p>
    <w:bookmarkEnd w:id="145"/>
    <w:p>
      <w:pPr>
        <w:pStyle w:val="Piedeimagen"/>
      </w:pPr>
      <w:r>
        <w:t xml:space="preserve">Fuente: elaboración propia basada en</w:t>
      </w:r>
      <w:r>
        <w:t xml:space="preserve"> </w:t>
      </w:r>
      <w:r>
        <w:t xml:space="preserve">Varian (</w:t>
      </w:r>
      <w:hyperlink w:anchor="ref-Varian2016Intermedia">
        <w:r>
          <w:rPr>
            <w:rStyle w:val="Hyperlink"/>
          </w:rPr>
          <w:t xml:space="preserve">2016, cap. 6</w:t>
        </w:r>
      </w:hyperlink>
      <w:r>
        <w:t xml:space="preserve">)</w:t>
      </w:r>
      <w:r>
        <w:t xml:space="preserve">.</w:t>
      </w:r>
    </w:p>
    <w:bookmarkEnd w:id="146"/>
    <w:bookmarkStart w:id="169" w:name="análisis-de-elasticidades"/>
    <w:p>
      <w:pPr>
        <w:pStyle w:val="Heading3"/>
      </w:pPr>
      <w:r>
        <w:t xml:space="preserve">II.2.2.</w:t>
      </w:r>
      <w:r>
        <w:t xml:space="preserve"> </w:t>
      </w:r>
      <w:r>
        <w:t xml:space="preserve">Análisis de elasticidades</w:t>
      </w:r>
    </w:p>
    <w:bookmarkStart w:id="148" w:name="elasticidad-precio-propio"/>
    <w:p>
      <w:pPr>
        <w:pStyle w:val="Heading4"/>
      </w:pPr>
      <w:r>
        <w:t xml:space="preserve">Elasticidad-precio propio</w:t>
      </w:r>
    </w:p>
    <w:p>
      <w:pPr>
        <w:numPr>
          <w:ilvl w:val="0"/>
          <w:numId w:val="1080"/>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p>
    <w:p>
      <w:pPr>
        <w:pStyle w:val="BodyT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1"/>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1"/>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47" w:name="tab:clasificacion-elasticidades"/>
    <w:p>
      <w:pPr>
        <w:pStyle w:val="TableCaption"/>
      </w:pPr>
      <w:r>
        <w:t xml:space="preserve">Clasificación de los bienes según sus elasticidades-renta y precio propio</w:t>
      </w:r>
    </w:p>
    <w:tbl>
      <w:tblPr>
        <w:tblStyle w:val="Table"/>
        <w:tblW w:type="auto" w:w="0"/>
        <w:tblLook w:firstRow="1" w:lastRow="0" w:firstColumn="0" w:lastColumn="0" w:noHBand="0" w:noVBand="0" w:val="0020"/>
        <w:tblCaption w:val="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smallCaps/>
              </w:rPr>
              <w:t xml:space="preserve">Giffen</w:t>
            </w:r>
            <w:r>
              <w:t xml:space="preserve"> </w:t>
            </w:r>
            <w: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t xml:space="preserve">Ordinario, demanda elástica</w:t>
            </w:r>
          </w:p>
        </w:tc>
      </w:tr>
    </w:tbl>
    <w:bookmarkEnd w:id="147"/>
    <w:p>
      <w:pPr>
        <w:pStyle w:val="BodyText"/>
      </w:pPr>
      <w:r>
        <w:rPr>
          <w:i/>
          <w:iCs/>
        </w:rPr>
        <w:t xml:space="preserve">Fuente: elaboración propia.</w:t>
      </w:r>
    </w:p>
    <w:bookmarkEnd w:id="148"/>
    <w:bookmarkStart w:id="165" w:name="X48ba6469c19ce68a111ea029ce3090ff64e14be"/>
    <w:p>
      <w:pPr>
        <w:pStyle w:val="Heading4"/>
      </w:pPr>
      <w:r>
        <w:t xml:space="preserve">Efecto sustitución y efecto renta: la ecuación de Slutsky para el precio propio</w:t>
      </w:r>
    </w:p>
    <w:p>
      <w:pPr>
        <w:numPr>
          <w:ilvl w:val="0"/>
          <w:numId w:val="1082"/>
        </w:numPr>
      </w:pPr>
      <w:r>
        <w:t xml:space="preserve">Una variación del precio de un bien tiene dos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49"/>
      </w:r>
    </w:p>
    <w:p>
      <w:pPr>
        <w:numPr>
          <w:ilvl w:val="0"/>
          <w:numId w:val="1082"/>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r>
        <w:rPr>
          <w:rStyle w:val="Referenciaatema"/>
        </w:rPr>
        <w:t xml:space="preserve">[ver tema 3.A.9]</w:t>
      </w:r>
      <w:r>
        <w:t xml:space="preserve">.</w:t>
      </w:r>
    </w:p>
    <w:p>
      <w:pPr>
        <w:numPr>
          <w:ilvl w:val="0"/>
          <w:numId w:val="1082"/>
        </w:numPr>
      </w:pPr>
      <w:r>
        <w:t xml:space="preserve">La</w:t>
      </w:r>
      <w:r>
        <w:t xml:space="preserve"> </w:t>
      </w:r>
      <w:r>
        <w:rPr>
          <w:b/>
          <w:bCs/>
        </w:rPr>
        <w:t xml:space="preserve">ecuación de</w:t>
      </w:r>
      <w:r>
        <w:t xml:space="preserve"> </w:t>
      </w:r>
      <w:r>
        <w:t xml:space="preserve">Slutsky (</w:t>
      </w:r>
      <w:hyperlink w:anchor="ref-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50"/>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w:t>
      </w:r>
    </w:p>
    <w:p>
      <w:pPr>
        <w:numPr>
          <w:ilvl w:val="1"/>
          <w:numId w:val="1083"/>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51"/>
      </w:r>
    </w:p>
    <w:p>
      <w:pPr>
        <w:numPr>
          <w:ilvl w:val="1"/>
          <w:numId w:val="1083"/>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52"/>
      </w:r>
    </w:p>
    <w:p>
      <w:pPr>
        <w:numPr>
          <w:ilvl w:val="0"/>
          <w:numId w:val="1082"/>
        </w:numPr>
      </w:pPr>
      <w:r>
        <w:t xml:space="preserve">De la combinación de ambos efectos sale la</w:t>
      </w:r>
      <w:r>
        <w:t xml:space="preserve"> </w:t>
      </w:r>
      <w:r>
        <w:rPr>
          <w:b/>
          <w:bCs/>
        </w:rPr>
        <w:t xml:space="preserve">clasificación de los bienes</w:t>
      </w:r>
      <w:r>
        <w:t xml:space="preserve"> </w:t>
      </w:r>
      <w:r>
        <w:t xml:space="preserve">(tabla 2):</w:t>
      </w:r>
    </w:p>
    <w:p>
      <w:pPr>
        <w:numPr>
          <w:ilvl w:val="1"/>
          <w:numId w:val="1084"/>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dos efectos van en el mismo sentido (</w:t>
      </w:r>
      <w:r>
        <w:rPr>
          <w:i/>
          <w:iCs/>
        </w:rPr>
        <w:t xml:space="preserve">ley de la demanda</w:t>
      </w:r>
      <w:r>
        <w:t xml:space="preserve">);</w:t>
      </w:r>
    </w:p>
    <w:p>
      <w:pPr>
        <w:numPr>
          <w:ilvl w:val="1"/>
          <w:numId w:val="1084"/>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53"/>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54" w:name="tab:slutsky-propio"/>
    <w:p>
      <w:pPr>
        <w:pStyle w:val="TableCaption"/>
      </w:pP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Ecuación de Slutsky para la descomposición de la variación del precio propio"/>
      </w:tblPr>
      <w:tblGrid>
        <w:gridCol w:w="2640"/>
        <w:gridCol w:w="2640"/>
        <w:gridCol w:w="2640"/>
      </w:tblGrid>
      <w:tr>
        <w:trPr>
          <w:tblHeader w:val="on"/>
        </w:trPr>
        <w:tc>
          <w:tcPr/>
          <w:p>
            <w:pPr>
              <w:pStyle w:val="Celdatceesalvia"/>
              <w:jc w:val="left"/>
            </w:pPr>
            <m:oMath>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p>
            <w:pPr>
              <w:pStyle w:val="Celdatceesalvia"/>
              <w:jc w:val="left"/>
            </w:pPr>
            <m:oMath>
              <m:limLow>
                <m:e>
                  <m:limLow>
                    <m:e>
                      <m:r>
                        <m:rPr>
                          <m:sty m:val="p"/>
                        </m:rPr>
                        <m:t>−</m:t>
                      </m:r>
                      <m:r>
                        <m:t> </m:t>
                      </m:r>
                      <m:sSub>
                        <m:e>
                          <m:r>
                            <m:t>x</m:t>
                          </m:r>
                        </m:e>
                        <m:sub>
                          <m:r>
                            <m:t>i</m:t>
                          </m: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p>
            <w:pPr>
              <w:pStyle w:val="Celdatceesalvia"/>
              <w:jc w:val="left"/>
            </w:pPr>
            <m:oMath>
              <m:r>
                <m:rPr>
                  <m:sty m:val="p"/>
                </m:rPr>
                <m:t>=</m:t>
              </m:r>
              <m:r>
                <m:t> </m:t>
              </m:r>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p>
            <w:pPr>
              <w:pStyle w:val="Celdatceeazulpalido"/>
              <w:jc w:val="left"/>
            </w:pPr>
            <w:r>
              <w:rPr>
                <w:i/>
                <w:iCs/>
              </w:rPr>
              <w:t xml:space="preserve">Efecto sustitución propio</w:t>
            </w:r>
          </w:p>
        </w:tc>
        <w:tc>
          <w:tcPr/>
          <w:p>
            <w:pPr>
              <w:pStyle w:val="Celdatceeazulpalido"/>
              <w:jc w:val="left"/>
            </w:pPr>
            <w:r>
              <w:rPr>
                <w:i/>
                <w:iCs/>
              </w:rPr>
              <w:t xml:space="preserve">Efecto renta propio</w:t>
            </w:r>
          </w:p>
        </w:tc>
        <w:tc>
          <w:tcPr/>
          <w:p>
            <w:pPr>
              <w:pStyle w:val="Celdatceeazulpalido"/>
              <w:jc w:val="left"/>
            </w:pPr>
            <w:r>
              <w:rPr>
                <w:i/>
                <w:iCs/>
              </w:rPr>
              <w:t xml:space="preserve">Efecto total propio</w:t>
            </w:r>
          </w:p>
        </w:tc>
      </w:tr>
      <w:tr>
        <w:tc>
          <w:tcPr/>
          <w:p>
            <w:pPr>
              <w:pStyle w:val="Compact"/>
              <w:jc w:val="left"/>
            </w:pPr>
            <m:oMath>
              <m:r>
                <m:rPr>
                  <m:sty m:val="p"/>
                </m:rPr>
                <m:t>≤</m:t>
              </m:r>
              <m:r>
                <m:t>0</m:t>
              </m:r>
            </m:oMath>
          </w:p>
        </w:tc>
        <w:tc>
          <w:tcPr/>
          <w:p>
            <w:pPr>
              <w:pStyle w:val="Compact"/>
              <w:jc w:val="left"/>
            </w:pPr>
            <m:oMath>
              <m:r>
                <m:rPr>
                  <m:sty m:val="p"/>
                </m:rPr>
                <m:t>&lt;</m:t>
              </m:r>
              <m:r>
                <m:t>0</m:t>
              </m:r>
            </m:oMath>
            <w:r>
              <w:br/>
            </w:r>
            <w:r>
              <w:rPr>
                <w:rStyle w:val="Textoverde"/>
              </w:rPr>
              <w:t xml:space="preserve">Bien normal</w:t>
            </w:r>
          </w:p>
        </w:tc>
        <w:tc>
          <w:tcPr>
            <w:vMerge w:val="restart"/>
          </w:tcPr>
          <w:p>
            <w:pPr>
              <w:pStyle w:val="Compact"/>
              <w:jc w:val="left"/>
            </w:pPr>
            <m:oMath>
              <m:r>
                <m:rPr>
                  <m:sty m:val="p"/>
                </m:rPr>
                <m:t>≤</m:t>
              </m:r>
              <m:r>
                <m:t>0</m:t>
              </m:r>
            </m:oMath>
            <w:r>
              <w:br/>
            </w:r>
            <w:r>
              <w:rPr>
                <w:rStyle w:val="Textoazul"/>
              </w:rPr>
              <w:t xml:space="preserve">Bien ordinario</w:t>
            </w:r>
            <w:r>
              <w:br/>
            </w:r>
            <w:r>
              <w:t xml:space="preserve">(|ES|</w:t>
            </w:r>
            <w:r>
              <w:t xml:space="preserve"> </w:t>
            </w:r>
            <m:oMath>
              <m:r>
                <m:rPr>
                  <m:sty m:val="p"/>
                </m:rPr>
                <m:t>≥</m:t>
              </m:r>
            </m:oMath>
            <w:r>
              <w:t xml:space="preserve"> </w:t>
            </w:r>
            <w:r>
              <w:t xml:space="preserve">ER)</w:t>
            </w:r>
          </w:p>
        </w:tc>
      </w:tr>
      <w:tr>
        <w:tc>
          <w:tcPr/>
          <w:p>
            <w:pPr>
              <w:pStyle w:val="Compact"/>
              <w:jc w:val="left"/>
            </w:pPr>
            <m:oMath>
              <m:r>
                <m:rPr>
                  <m:sty m:val="p"/>
                </m:rPr>
                <m:t>≤</m:t>
              </m:r>
              <m:r>
                <m:t>0</m:t>
              </m:r>
            </m:oMath>
          </w:p>
        </w:tc>
        <w:tc>
          <w:tcPr/>
          <w:p>
            <w:pPr>
              <w:pStyle w:val="Compact"/>
              <w:jc w:val="left"/>
            </w:pPr>
            <m:oMath>
              <m:r>
                <m:rPr>
                  <m:sty m:val="p"/>
                </m:rPr>
                <m:t>=</m:t>
              </m:r>
              <m:r>
                <m:t>0</m:t>
              </m:r>
            </m:oMath>
            <w:r>
              <w:br/>
            </w:r>
            <w:r>
              <w:t xml:space="preserve">Bien frontera</w:t>
            </w:r>
          </w:p>
        </w:tc>
        <w:tc>
          <w:tcPr>
            <w:gridSpan w:val="1"/>
            <w:vMerge w:val="continue"/>
          </w:tcPr>
          <w:p>
            <w:pPr/>
          </w:p>
        </w:tc>
      </w:tr>
      <w:tr>
        <w:tc>
          <w:tcPr/>
          <w:p>
            <w:pPr>
              <w:pStyle w:val="Compact"/>
              <w:jc w:val="left"/>
            </w:pPr>
            <m:oMath>
              <m:r>
                <m:rPr>
                  <m:sty m:val="p"/>
                </m:rPr>
                <m:t>≤</m:t>
              </m:r>
              <m:r>
                <m:t>0</m:t>
              </m:r>
            </m:oMath>
          </w:p>
        </w:tc>
        <w:tc>
          <w:tcPr>
            <w:vMerge w:val="restart"/>
          </w:tcPr>
          <w:p>
            <w:pPr>
              <w:pStyle w:val="Compact"/>
              <w:jc w:val="left"/>
            </w:pPr>
            <m:oMath>
              <m:r>
                <m:rPr>
                  <m:sty m:val="p"/>
                </m:rPr>
                <m:t>&gt;</m:t>
              </m:r>
              <m:r>
                <m:t>0</m:t>
              </m:r>
            </m:oMath>
            <w:r>
              <w:br/>
            </w:r>
            <w:r>
              <w:rPr>
                <w:rStyle w:val="Textonaranja"/>
              </w:rPr>
              <w:t xml:space="preserve">Bien inferior</w:t>
            </w:r>
          </w:p>
        </w:tc>
        <w:tc>
          <w:tcPr>
            <w:gridSpan w:val="1"/>
            <w:vMerge w:val="continue"/>
          </w:tcPr>
          <w:p>
            <w:pPr/>
          </w:p>
        </w:tc>
      </w:tr>
      <w:tr>
        <w:tc>
          <w:tcPr/>
          <w:p>
            <w:pPr>
              <w:pStyle w:val="Compact"/>
              <w:jc w:val="left"/>
            </w:pPr>
            <m:oMath>
              <m:r>
                <m:rPr>
                  <m:sty m:val="p"/>
                </m:rPr>
                <m:t>≤</m:t>
              </m:r>
              <m:r>
                <m:t>0</m:t>
              </m:r>
            </m:oMath>
          </w:p>
        </w:tc>
        <w:tc>
          <w:tcPr>
            <w:gridSpan w:val="1"/>
            <w:vMerge w:val="continue"/>
          </w:tcPr>
          <w:p>
            <w:pPr/>
          </w:p>
        </w:tc>
        <w:tc>
          <w:tcPr/>
          <w:p>
            <w:pPr>
              <w:pStyle w:val="Compact"/>
              <w:jc w:val="left"/>
            </w:pPr>
            <m:oMath>
              <m:r>
                <m:rPr>
                  <m:sty m:val="p"/>
                </m:rPr>
                <m:t>&gt;</m:t>
              </m:r>
              <m:r>
                <m:t>0</m:t>
              </m:r>
            </m:oMath>
            <w:r>
              <w:br/>
            </w:r>
            <w:r>
              <w:rPr>
                <w:rStyle w:val="Textorojo"/>
              </w:rPr>
              <w:t xml:space="preserve">Bien</w:t>
            </w:r>
            <w:r>
              <w:rPr>
                <w:rStyle w:val="Textorojo"/>
              </w:rPr>
              <w:t xml:space="preserve"> </w:t>
            </w:r>
            <w:r>
              <w:rPr>
                <w:rStyle w:val="Textorojo"/>
                <w:smallCaps/>
              </w:rPr>
              <w:t xml:space="preserve">Giffen</w:t>
            </w:r>
            <w:r>
              <w:br/>
            </w:r>
            <w:r>
              <w:t xml:space="preserve">(ER</w:t>
            </w:r>
            <w:r>
              <w:t xml:space="preserve"> </w:t>
            </w:r>
            <m:oMath>
              <m:r>
                <m:rPr>
                  <m:sty m:val="p"/>
                </m:rPr>
                <m:t>&gt;</m:t>
              </m:r>
            </m:oMath>
            <w:r>
              <w:t xml:space="preserve"> </w:t>
            </w:r>
            <w:r>
              <w:t xml:space="preserve">|ES|)</w:t>
            </w:r>
          </w:p>
        </w:tc>
      </w:tr>
    </w:tbl>
    <w:bookmarkEnd w:id="154"/>
    <w:p>
      <w:pPr>
        <w:pStyle w:val="BodyText"/>
      </w:pPr>
      <w:r>
        <w:t xml:space="preserve">ES, ER y ET: efectos sustitución, renta y total.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rPr>
        <w:t xml:space="preserve">Mas-Colell, Whinston y Green (</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58" w:name="fig:elasticidades-renta-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 title="" id="156" name="Picture"/>
            <a:graphic>
              <a:graphicData uri="http://schemas.openxmlformats.org/drawingml/2006/picture">
                <pic:pic>
                  <pic:nvPicPr>
                    <pic:cNvPr descr="C:\Users\vgutierrez\Documents\src\victorgutierrezmarcos.github.io-revision\oposicion\temario\fuentes\3A08\graficos/elasticidades-renta-precio.png" id="157" name="Picture"/>
                    <pic:cNvPicPr>
                      <a:picLocks noChangeArrowheads="1" noChangeAspect="1"/>
                    </pic:cNvPicPr>
                  </pic:nvPicPr>
                  <pic:blipFill>
                    <a:blip r:embed="rId155"/>
                    <a:stretch>
                      <a:fillRect/>
                    </a:stretch>
                  </pic:blipFill>
                  <pic:spPr bwMode="auto">
                    <a:xfrm>
                      <a:off x="0" y="0"/>
                      <a:ext cx="4890052" cy="1905254"/>
                    </a:xfrm>
                    <a:prstGeom prst="rect">
                      <a:avLst/>
                    </a:prstGeom>
                    <a:noFill/>
                    <a:ln w="9525">
                      <a:noFill/>
                      <a:headEnd/>
                      <a:tailEnd/>
                    </a:ln>
                  </pic:spPr>
                </pic:pic>
              </a:graphicData>
            </a:graphic>
          </wp:inline>
        </w:drawing>
      </w:r>
    </w:p>
    <w:bookmarkEnd w:id="158"/>
    <w:p>
      <w:pPr>
        <w:pStyle w:val="Piedeimagen"/>
      </w:pPr>
      <w:r>
        <w:t xml:space="preserve">Fuente: elaboración propia.</w:t>
      </w:r>
    </w:p>
    <w:p>
      <w:pPr>
        <w:numPr>
          <w:ilvl w:val="0"/>
          <w:numId w:val="1085"/>
        </w:numPr>
      </w:pPr>
      <w:r>
        <w:rPr>
          <w:b/>
          <w:bCs/>
        </w:rPr>
        <w:t xml:space="preserve">Gráficamente</w:t>
      </w:r>
      <w:r>
        <w:t xml:space="preserve"> </w:t>
      </w:r>
      <w:r>
        <w:t xml:space="preserve">(gráfico 17),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86"/>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86"/>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dos bienes son normales, el consumidor compra más de ambos.</w:t>
      </w:r>
    </w:p>
    <w:p>
      <w:pPr>
        <w:numPr>
          <w:ilvl w:val="0"/>
          <w:numId w:val="1085"/>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62" w:name="fig:efecto-sustitucion-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 title="" id="160" name="Picture"/>
            <a:graphic>
              <a:graphicData uri="http://schemas.openxmlformats.org/drawingml/2006/picture">
                <pic:pic>
                  <pic:nvPicPr>
                    <pic:cNvPr descr="C:\Users\vgutierrez\Documents\src\victorgutierrezmarcos.github.io-revision\oposicion\temario\fuentes\3A08\graficos/efecto-sustitucion-renta.png" id="161" name="Picture"/>
                    <pic:cNvPicPr>
                      <a:picLocks noChangeArrowheads="1" noChangeAspect="1"/>
                    </pic:cNvPicPr>
                  </pic:nvPicPr>
                  <pic:blipFill>
                    <a:blip r:embed="rId159"/>
                    <a:stretch>
                      <a:fillRect/>
                    </a:stretch>
                  </pic:blipFill>
                  <pic:spPr bwMode="auto">
                    <a:xfrm>
                      <a:off x="0" y="0"/>
                      <a:ext cx="2724850" cy="4428264"/>
                    </a:xfrm>
                    <a:prstGeom prst="rect">
                      <a:avLst/>
                    </a:prstGeom>
                    <a:noFill/>
                    <a:ln w="9525">
                      <a:noFill/>
                      <a:headEnd/>
                      <a:tailEnd/>
                    </a:ln>
                  </pic:spPr>
                </pic:pic>
              </a:graphicData>
            </a:graphic>
          </wp:inline>
        </w:drawing>
      </w:r>
    </w:p>
    <w:bookmarkEnd w:id="162"/>
    <w:p>
      <w:pPr>
        <w:pStyle w:val="Piedeimagen"/>
      </w:pPr>
      <w:r>
        <w:t xml:space="preserve">Fuente: elaboración propia basada en</w:t>
      </w:r>
      <w:r>
        <w:t xml:space="preserve"> </w:t>
      </w:r>
      <w:r>
        <w:t xml:space="preserve">Varian (</w:t>
      </w:r>
      <w:hyperlink w:anchor="ref-Varian2016Intermedia">
        <w:r>
          <w:rPr>
            <w:rStyle w:val="Hyperlink"/>
          </w:rPr>
          <w:t xml:space="preserve">2016, cap. 8</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3.G</w:t>
        </w:r>
      </w:hyperlink>
      <w:r>
        <w:t xml:space="preserve">)</w:t>
      </w:r>
      <w:r>
        <w:t xml:space="preserve">.</w:t>
      </w:r>
    </w:p>
    <w:p>
      <w:pPr>
        <w:numPr>
          <w:ilvl w:val="0"/>
          <w:numId w:val="1087"/>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Veblen1899Leisure">
        <w:r>
          <w:rPr>
            <w:rStyle w:val="Hyperlink"/>
          </w:rPr>
          <w:t xml:space="preserve">Veblen 1899</w:t>
        </w:r>
      </w:hyperlink>
      <w:r>
        <w:t xml:space="preserve">)</w:t>
      </w:r>
      <w:r>
        <w:t xml:space="preserve">. Al depender las preferencias de los precios, queda fuera del modelo que estamos analizando y no se explica con la ecuación de</w:t>
      </w:r>
      <w:r>
        <w:t xml:space="preserve"> </w:t>
      </w:r>
      <w:r>
        <w:rPr>
          <w:smallCaps/>
        </w:rPr>
        <w:t xml:space="preserve">Slutsky</w:t>
      </w:r>
      <w:r>
        <w:t xml:space="preserve">.</w:t>
      </w:r>
      <w:r>
        <w:t xml:space="preserve"> </w:t>
      </w:r>
      <w:r>
        <w:t xml:space="preserve">Leibenstein (</w:t>
      </w:r>
      <w:hyperlink w:anchor="ref-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88"/>
        </w:numPr>
      </w:pPr>
      <w:r>
        <w:t xml:space="preserve">«A.9 Efectos de renta y sustitución»:</w:t>
      </w:r>
      <w:r>
        <w:t xml:space="preserve"> </w:t>
      </w:r>
      <w:hyperlink r:id="rId163">
        <w:r>
          <w:rPr>
            <w:rStyle w:val="Hyperlink"/>
          </w:rPr>
          <w:t xml:space="preserve">https://www.youtube.com/watch?v=J0PSPX2B5FI</w:t>
        </w:r>
      </w:hyperlink>
    </w:p>
    <w:p>
      <w:pPr>
        <w:pStyle w:val="Cajadeanotaciones"/>
        <w:numPr>
          <w:ilvl w:val="0"/>
          <w:numId w:val="1088"/>
        </w:numPr>
      </w:pPr>
      <w:r>
        <w:t xml:space="preserve">«A.10 Demandas marshalliana y hicksiana»:</w:t>
      </w:r>
      <w:r>
        <w:t xml:space="preserve"> </w:t>
      </w:r>
      <w:hyperlink r:id="rId164">
        <w:r>
          <w:rPr>
            <w:rStyle w:val="Hyperlink"/>
          </w:rPr>
          <w:t xml:space="preserve">https://policonomics.com/es/video-a10-demandas-marshalliana-hicksiana/</w:t>
        </w:r>
      </w:hyperlink>
    </w:p>
    <w:bookmarkEnd w:id="165"/>
    <w:bookmarkStart w:id="166" w:name="Xaaa1e4df7044140dee48bca4ee19ec63f092a77"/>
    <w:p>
      <w:pPr>
        <w:pStyle w:val="Heading4"/>
      </w:pPr>
      <w:r>
        <w:t xml:space="preserve">Elasticidad-precio cruzada: sustitutivos y complementarios brutos</w:t>
      </w:r>
    </w:p>
    <w:p>
      <w:pPr>
        <w:numPr>
          <w:ilvl w:val="0"/>
          <w:numId w:val="1089"/>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89"/>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66"/>
    <w:bookmarkStart w:id="168" w:name="X2d943c7574facc3af59dae703202b6504df7dff"/>
    <w:p>
      <w:pPr>
        <w:pStyle w:val="Heading4"/>
      </w:pPr>
      <w:r>
        <w:t xml:space="preserve">Ecuación de Slutsky para el precio cruzado: sustitutivos y complementarios netos</w:t>
      </w:r>
    </w:p>
    <w:p>
      <w:pPr>
        <w:numPr>
          <w:ilvl w:val="0"/>
          <w:numId w:val="1091"/>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numPr>
          <w:ilvl w:val="0"/>
          <w:numId w:val="1091"/>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&lt;</m:t>
        </m:r>
        <m:r>
          <m:t>0</m:t>
        </m:r>
      </m:oMath>
      <w:r>
        <w:t xml:space="preserve">.</w:t>
      </w:r>
    </w:p>
    <w:p>
      <w:pPr>
        <w:numPr>
          <w:ilvl w:val="1"/>
          <w:numId w:val="1092"/>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2"/>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dos bienes, ambos son sustitutivos netos (derivación de la simetría, la negatividad y este resultado en el anexo B.6)</w:t>
      </w:r>
      <w:r>
        <w:t xml:space="preserve"> </w:t>
      </w:r>
      <w:r>
        <w:t xml:space="preserve">(</w:t>
      </w:r>
      <w:hyperlink w:anchor="ref-MasColellWhinstonGreen1995">
        <w:r>
          <w:rPr>
            <w:rStyle w:val="Hyperlink"/>
          </w:rPr>
          <w:t xml:space="preserve">Mas-Colell, Whinston y Green 1995</w:t>
        </w:r>
      </w:hyperlink>
      <w:r>
        <w:t xml:space="preserve">, prop. 3.G.2 y ejercicio 3.G.4;</w:t>
      </w:r>
      <w:r>
        <w:t xml:space="preserve"> </w:t>
      </w:r>
      <w:hyperlink w:anchor="ref-DeatonMuellbauer1980Economics">
        <w:r>
          <w:rPr>
            <w:rStyle w:val="Hyperlink"/>
          </w:rPr>
          <w:t xml:space="preserve">Deaton y Muellbauer 1980b, cap. 2</w:t>
        </w:r>
      </w:hyperlink>
      <w:r>
        <w:t xml:space="preserve">)</w:t>
      </w:r>
      <w:r>
        <w:t xml:space="preserve">.</w:t>
      </w:r>
    </w:p>
    <w:p>
      <w:pPr>
        <w:numPr>
          <w:ilvl w:val="0"/>
          <w:numId w:val="1091"/>
        </w:numPr>
      </w:pPr>
      <w:r>
        <w:t xml:space="preserve">No todas las combinaciones de relaciones netas y brutas son posibles (tabla 3):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7" w:name="tab:slutsky-cruzado"/>
    <w:p>
      <w:pPr>
        <w:pStyle w:val="TableCaption"/>
      </w:pP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Ecuación de Slutsky para la descomposición de la variación del precio cruzado"/>
      </w:tblPr>
      <w:tblGrid>
        <w:gridCol w:w="2640"/>
        <w:gridCol w:w="2640"/>
        <w:gridCol w:w="2640"/>
      </w:tblGrid>
      <w:tr>
        <w:trPr>
          <w:tblHeader w:val="on"/>
        </w:trPr>
        <w:tc>
          <w:tcPr/>
          <w:p>
            <w:pPr>
              <w:pStyle w:val="Celdatceesalvia"/>
              <w:jc w:val="left"/>
            </w:pPr>
            <m:oMath>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p>
            <w:pPr>
              <w:pStyle w:val="Celdatceesalvia"/>
              <w:jc w:val="left"/>
            </w:pPr>
            <m:oMath>
              <m:limLow>
                <m:e>
                  <m:limLow>
                    <m:e>
                      <m:r>
                        <m:rPr>
                          <m:sty m:val="p"/>
                        </m:rPr>
                        <m:t>−</m:t>
                      </m:r>
                      <m:r>
                        <m:t> </m:t>
                      </m:r>
                      <m:sSub>
                        <m:e>
                          <m:r>
                            <m:t>x</m:t>
                          </m:r>
                        </m:e>
                        <m:sub>
                          <m:r>
                            <m:t>j</m:t>
                          </m: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p>
            <w:pPr>
              <w:pStyle w:val="Celdatceesalvia"/>
              <w:jc w:val="left"/>
            </w:pPr>
            <m:oMath>
              <m:r>
                <m:rPr>
                  <m:sty m:val="p"/>
                </m:rPr>
                <m:t>=</m:t>
              </m:r>
              <m:r>
                <m:t> </m:t>
              </m:r>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p>
            <w:pPr>
              <w:pStyle w:val="Celdatceesalmon"/>
              <w:jc w:val="left"/>
            </w:pPr>
            <w:r>
              <w:rPr>
                <w:i/>
                <w:iCs/>
              </w:rPr>
              <w:t xml:space="preserve">Efecto sustitución cruzado</w:t>
            </w:r>
            <w:r>
              <w:br/>
            </w:r>
            <w:r>
              <w:t xml:space="preserve">(relación neta)</w:t>
            </w:r>
          </w:p>
        </w:tc>
        <w:tc>
          <w:tcPr/>
          <w:p>
            <w:pPr>
              <w:pStyle w:val="Celdatceesalmon"/>
              <w:jc w:val="left"/>
            </w:pPr>
            <w:r>
              <w:rPr>
                <w:i/>
                <w:iCs/>
              </w:rPr>
              <w:t xml:space="preserve">Efecto renta cruzado</w:t>
            </w:r>
            <w:r>
              <w:br/>
            </w:r>
            <w:r>
              <w:t xml:space="preserve">(según el bien</w:t>
            </w:r>
            <w:r>
              <w:t xml:space="preserve"> </w:t>
            </w:r>
            <m:oMath>
              <m:r>
                <m:t>i</m:t>
              </m:r>
            </m:oMath>
            <w:r>
              <w:t xml:space="preserve">)</w:t>
            </w:r>
          </w:p>
        </w:tc>
        <w:tc>
          <w:tcPr/>
          <w:p>
            <w:pPr>
              <w:pStyle w:val="Celdatceesalmon"/>
              <w:jc w:val="left"/>
            </w:pPr>
            <w:r>
              <w:rPr>
                <w:i/>
                <w:iCs/>
              </w:rPr>
              <w:t xml:space="preserve">Efecto total cruzado</w:t>
            </w:r>
            <w:r>
              <w:br/>
            </w:r>
            <w:r>
              <w:t xml:space="preserve">(relación bruta)</w:t>
            </w:r>
          </w:p>
        </w:tc>
      </w:tr>
      <w:tr>
        <w:tc>
          <w:tcPr>
            <w:vMerge w:val="restart"/>
          </w:tcPr>
          <w:p>
            <w:pPr>
              <w:pStyle w:val="Compact"/>
              <w:jc w:val="left"/>
            </w:pPr>
            <m:oMath>
              <m:r>
                <m:rPr>
                  <m:sty m:val="p"/>
                </m:rPr>
                <m:t>&gt;</m:t>
              </m:r>
              <m:r>
                <m:t>0</m:t>
              </m:r>
            </m:oMath>
            <w:r>
              <w:br/>
            </w:r>
            <w:r>
              <w:rPr>
                <w:rStyle w:val="Textoverde"/>
              </w:rPr>
              <w:t xml:space="preserve">Sustitutivos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w:r>
              <w:t xml:space="preserve">ambiguo: sustitutivos brutos si ES</w:t>
            </w:r>
            <w:r>
              <w:t xml:space="preserve"> </w:t>
            </w:r>
            <m:oMath>
              <m:r>
                <m:rPr>
                  <m:sty m:val="p"/>
                </m:rPr>
                <m:t>&gt;</m:t>
              </m:r>
            </m:oMath>
            <w:r>
              <w:t xml:space="preserve"> </w:t>
            </w:r>
            <w:r>
              <w:t xml:space="preserve">|ER|; complementarios brutos si ES</w:t>
            </w:r>
            <w:r>
              <w:t xml:space="preserve"> </w:t>
            </w:r>
            <m:oMath>
              <m:r>
                <m:rPr>
                  <m:sty m:val="p"/>
                </m:rPr>
                <m:t>&lt;</m:t>
              </m:r>
            </m:oMath>
            <w:r>
              <w:t xml:space="preserve"> </w:t>
            </w:r>
            <w:r>
              <w:t xml:space="preserve">|ER|</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&gt;</m:t>
              </m:r>
              <m:r>
                <m:t>0</m:t>
              </m:r>
            </m:oMath>
            <w:r>
              <w:rPr>
                <w:rStyle w:val="Textoverde"/>
              </w:rPr>
              <w:t xml:space="preserve">: sustitutivos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m:oMath>
              <m:r>
                <m:rPr>
                  <m:sty m:val="p"/>
                </m:rPr>
                <m:t>&gt;</m:t>
              </m:r>
              <m:r>
                <m:t>0</m:t>
              </m:r>
            </m:oMath>
            <w:r>
              <w:rPr>
                <w:rStyle w:val="Textoverde"/>
              </w:rPr>
              <w:t xml:space="preserve">: sustitutivos brutos</w:t>
            </w:r>
          </w:p>
        </w:tc>
      </w:tr>
      <w:tr>
        <w:tc>
          <w:tcPr>
            <w:vMerge w:val="restart"/>
          </w:tcPr>
          <w:p>
            <w:pPr>
              <w:pStyle w:val="Compact"/>
              <w:jc w:val="left"/>
            </w:pPr>
            <m:oMath>
              <m:r>
                <m:rPr>
                  <m:sty m:val="p"/>
                </m:rPr>
                <m:t>=</m:t>
              </m:r>
              <m:r>
                <m:t>0</m:t>
              </m:r>
            </m:oMath>
            <w:r>
              <w:br/>
            </w:r>
            <w:r>
              <w:t xml:space="preserve">Independientes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m:t>
              </m:r>
              <m:r>
                <m:t>0</m:t>
              </m:r>
            </m:oMath>
            <w:r>
              <w:t xml:space="preserve">: independientes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m:oMath>
              <m:r>
                <m:rPr>
                  <m:sty m:val="p"/>
                </m:rPr>
                <m:t>&gt;</m:t>
              </m:r>
              <m:r>
                <m:t>0</m:t>
              </m:r>
            </m:oMath>
            <w:r>
              <w:rPr>
                <w:rStyle w:val="Textoverde"/>
              </w:rPr>
              <w:t xml:space="preserve">: sustitutivos brutos</w:t>
            </w:r>
          </w:p>
        </w:tc>
      </w:tr>
      <w:tr>
        <w:tc>
          <w:tcPr>
            <w:vMerge w:val="restart"/>
          </w:tcPr>
          <w:p>
            <w:pPr>
              <w:pStyle w:val="Compact"/>
              <w:jc w:val="left"/>
            </w:pPr>
            <m:oMath>
              <m:r>
                <m:rPr>
                  <m:sty m:val="p"/>
                </m:rPr>
                <m:t>&lt;</m:t>
              </m:r>
              <m:r>
                <m:t>0</m:t>
              </m:r>
            </m:oMath>
            <w:r>
              <w:br/>
            </w:r>
            <w:r>
              <w:rPr>
                <w:rStyle w:val="Textonaranja"/>
              </w:rPr>
              <w:t xml:space="preserve">Complementarios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w:r>
              <w:t xml:space="preserve">ambiguo: complementarios brutos si |ES|</w:t>
            </w:r>
            <w:r>
              <w:t xml:space="preserve"> </w:t>
            </w:r>
            <m:oMath>
              <m:r>
                <m:rPr>
                  <m:sty m:val="p"/>
                </m:rPr>
                <m:t>&gt;</m:t>
              </m:r>
            </m:oMath>
            <w:r>
              <w:t xml:space="preserve"> </w:t>
            </w:r>
            <w:r>
              <w:t xml:space="preserve">ER; sustitutivos brutos si |ES|</w:t>
            </w:r>
            <w:r>
              <w:t xml:space="preserve"> </w:t>
            </w:r>
            <m:oMath>
              <m:r>
                <m:rPr>
                  <m:sty m:val="p"/>
                </m:rPr>
                <m:t>&lt;</m:t>
              </m:r>
            </m:oMath>
            <w:r>
              <w:t xml:space="preserve"> </w:t>
            </w:r>
            <w:r>
              <w:t xml:space="preserve">ER</w:t>
            </w:r>
          </w:p>
        </w:tc>
      </w:tr>
    </w:tbl>
    <w:bookmarkEnd w:id="167"/>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rPr>
        <w:t xml:space="preserve">Mas-Colell, Whinston y Green (</w:t>
      </w:r>
      <w:hyperlink w:anchor="ref-MasColellWhinstonGreen1995">
        <w:r>
          <w:rPr>
            <w:rStyle w:val="Hyperlink"/>
            <w:i/>
            <w:iCs/>
          </w:rPr>
          <w:t xml:space="preserve">1995, párr. 3.G</w:t>
        </w:r>
      </w:hyperlink>
      <w:r>
        <w:rPr>
          <w:i/>
          <w:iCs/>
        </w:rPr>
        <w:t xml:space="preserve">)</w:t>
      </w:r>
      <w:r>
        <w:rPr>
          <w:i/>
          <w:iCs/>
        </w:rPr>
        <w:t xml:space="preserve">.</w:t>
      </w:r>
    </w:p>
    <w:bookmarkEnd w:id="168"/>
    <w:bookmarkEnd w:id="169"/>
    <w:bookmarkStart w:id="171" w:name="Xd418e15a2044822659669a5bd0d925fdc3e987e"/>
    <w:p>
      <w:pPr>
        <w:pStyle w:val="Heading3"/>
      </w:pPr>
      <w:r>
        <w:t xml:space="preserve">II.2.3.</w:t>
      </w:r>
      <w:r>
        <w:t xml:space="preserve"> </w:t>
      </w:r>
      <w:r>
        <w:t xml:space="preserve">Agregación de Cournot y restricciones de la demanda</w:t>
      </w:r>
    </w:p>
    <w:p>
      <w:pPr>
        <w:numPr>
          <w:ilvl w:val="0"/>
          <w:numId w:val="1093"/>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p>
    <w:p>
      <w:pPr>
        <w:pStyle w:val="BodyT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numPr>
          <w:ilvl w:val="0"/>
          <w:numId w:val="1000"/>
        </w:numPr>
      </w:pPr>
      <w:r>
        <w:t xml:space="preserve">(derivación paso a paso en el anexo B.3).</w:t>
      </w:r>
    </w:p>
    <w:p>
      <w:pPr>
        <w:numPr>
          <w:ilvl w:val="1"/>
          <w:numId w:val="1094"/>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170"/>
      </w:r>
    </w:p>
    <w:p>
      <w:pPr>
        <w:numPr>
          <w:ilvl w:val="0"/>
          <w:numId w:val="1093"/>
        </w:numPr>
      </w:pPr>
      <w:r>
        <w:t xml:space="preserve">Con la restricción de homogeneidad en elasticidades (apartado I.3), la demanda marshalliana cumple, para todo</w:t>
      </w:r>
      <w:r>
        <w:t xml:space="preserve"> </w:t>
      </w:r>
      <m:oMath>
        <m:r>
          <m:t>i</m:t>
        </m:r>
      </m:oMath>
      <w:r>
        <w:t xml:space="preserve"> </w:t>
      </w:r>
      <w:r>
        <w:t xml:space="preserve">y todo</w:t>
      </w:r>
      <w:r>
        <w:t xml:space="preserve"> </w:t>
      </w:r>
      <m:oMath>
        <m:r>
          <m:t>j</m:t>
        </m:r>
      </m:oMath>
      <w:r>
        <w:t xml:space="preserve">:</w:t>
      </w:r>
    </w:p>
    <w:p>
      <w:pPr>
        <w:pStyle w:val="BodyT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dos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r>
        <w:rPr>
          <w:rStyle w:val="Referenciaatema"/>
        </w:rPr>
        <w:t xml:space="preserve">[ver tema 3.A.9]</w:t>
      </w:r>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 Slutsky). Por eso la ley de la demanda vale siempre para la demanda compensada, pero para la marshalliana solo si el efecto renta no domina: el bien Giffen es la excepción. Las relaciones netas son simétricas; las brutas, no.</w:t>
      </w:r>
    </w:p>
    <w:bookmarkEnd w:id="171"/>
    <w:bookmarkEnd w:id="172"/>
    <w:bookmarkStart w:id="173" w:name="valoración"/>
    <w:p>
      <w:pPr>
        <w:pStyle w:val="Heading2"/>
      </w:pPr>
      <w:r>
        <w:t xml:space="preserve">II.3.</w:t>
      </w:r>
      <w:r>
        <w:t xml:space="preserve"> </w:t>
      </w:r>
      <w:r>
        <w:t xml:space="preserve">Valoración</w:t>
      </w:r>
    </w:p>
    <w:p>
      <w:pPr>
        <w:numPr>
          <w:ilvl w:val="0"/>
          <w:numId w:val="1095"/>
        </w:numPr>
      </w:pPr>
      <w:r>
        <w:t xml:space="preserve">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III:</w:t>
      </w:r>
    </w:p>
    <w:p>
      <w:pPr>
        <w:numPr>
          <w:ilvl w:val="1"/>
          <w:numId w:val="1096"/>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(III.1);</w:t>
      </w:r>
    </w:p>
    <w:p>
      <w:pPr>
        <w:numPr>
          <w:ilvl w:val="1"/>
          <w:numId w:val="1096"/>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(III.2);</w:t>
      </w:r>
    </w:p>
    <w:p>
      <w:pPr>
        <w:numPr>
          <w:ilvl w:val="1"/>
          <w:numId w:val="1096"/>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(III.3);</w:t>
      </w:r>
    </w:p>
    <w:p>
      <w:pPr>
        <w:numPr>
          <w:ilvl w:val="1"/>
          <w:numId w:val="1096"/>
        </w:numPr>
      </w:pPr>
      <w:r>
        <w:t xml:space="preserve">el análisis es estático y sin incertidumbre</w:t>
      </w:r>
      <w:r>
        <w:t xml:space="preserve"> </w:t>
      </w:r>
      <w:r>
        <w:rPr>
          <w:rStyle w:val="Referenciaatema"/>
        </w:rPr>
        <w:t xml:space="preserve">[ver tema 3.A.10]</w:t>
      </w:r>
      <w:r>
        <w:t xml:space="preserve"> </w:t>
      </w:r>
      <w:r>
        <w:rPr>
          <w:rStyle w:val="Referenciaatema"/>
        </w:rPr>
        <w:t xml:space="preserve">[ver tema 3.A.29]</w:t>
      </w:r>
      <w:r>
        <w:t xml:space="preserve">.</w:t>
      </w:r>
    </w:p>
    <w:bookmarkEnd w:id="173"/>
    <w:bookmarkEnd w:id="174"/>
    <w:bookmarkStart w:id="212" w:name="Xfa3f331d3d7311f94ec7e13665bc71233aed8e5"/>
    <w:p>
      <w:pPr>
        <w:pStyle w:val="Heading1"/>
      </w:pPr>
      <w:r>
        <w:t xml:space="preserve">III.</w:t>
      </w:r>
      <w:r>
        <w:t xml:space="preserve"> </w:t>
      </w:r>
      <w:r>
        <w:t xml:space="preserve">Otros desarrollos de la teoría de la demanda</w:t>
      </w:r>
    </w:p>
    <w:p>
      <w:pPr>
        <w:pStyle w:val="Notaalopositor"/>
      </w:pPr>
      <w:r>
        <w:rPr>
          <w:b/>
          <w:bCs/>
        </w:rPr>
        <w:t xml:space="preserve">Nota al opositor. </w:t>
      </w:r>
      <w:r>
        <w:t xml:space="preserve">En el cante: preferencia revelada (unos 3 minutos), producción doméstica (1,5) y precios hedónicos (2,5).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18), y la función hedónica de</w:t>
      </w:r>
      <w:r>
        <w:t xml:space="preserve"> </w:t>
      </w:r>
      <w:r>
        <w:rPr>
          <w:smallCaps/>
        </w:rPr>
        <w:t xml:space="preserve">Rosen</w:t>
      </w:r>
      <w:r>
        <w:t xml:space="preserve"> </w:t>
      </w:r>
      <w:r>
        <w:t xml:space="preserve">(gráfico 21). El axioma fuerte en gráfico y la obtención de las curvas de indiferencia son de profundización.</w:t>
      </w:r>
    </w:p>
    <w:bookmarkStart w:id="198" w:name="la-teoría-de-la-preferencia-revelada"/>
    <w:p>
      <w:pPr>
        <w:pStyle w:val="Heading2"/>
      </w:pPr>
      <w:r>
        <w:t xml:space="preserve">III.1.</w:t>
      </w:r>
      <w:r>
        <w:t xml:space="preserve"> </w:t>
      </w:r>
      <w:r>
        <w:t xml:space="preserve">La teoría de la preferencia revelada</w:t>
      </w:r>
    </w:p>
    <w:bookmarkStart w:id="177" w:name="idea"/>
    <w:p>
      <w:pPr>
        <w:pStyle w:val="Heading3"/>
      </w:pPr>
      <w:r>
        <w:t xml:space="preserve">III.1.1.</w:t>
      </w:r>
      <w:r>
        <w:t xml:space="preserve"> </w:t>
      </w:r>
      <w:r>
        <w:t xml:space="preserve">Idea</w:t>
      </w:r>
    </w:p>
    <w:p>
      <w:pPr>
        <w:numPr>
          <w:ilvl w:val="0"/>
          <w:numId w:val="1097"/>
        </w:numPr>
      </w:pPr>
      <w:r>
        <w:t xml:space="preserve">La</w:t>
      </w:r>
      <w:r>
        <w:t xml:space="preserve"> </w:t>
      </w:r>
      <w:r>
        <w:rPr>
          <w:b/>
          <w:bCs/>
        </w:rPr>
        <w:t xml:space="preserve">teoría de la preferencia revelada</w:t>
      </w:r>
      <w:r>
        <w:t xml:space="preserve">, 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w:t>
      </w:r>
      <w:r>
        <w:rPr>
          <w:rStyle w:val="FootnoteReference"/>
        </w:rPr>
        <w:footnoteReference w:id="175"/>
      </w:r>
      <w:r>
        <w:rPr>
          <w:vertAlign w:val="superscript"/>
        </w:rPr>
        <w:t xml:space="preserve">,</w:t>
      </w:r>
      <w:r>
        <w:rPr>
          <w:rStyle w:val="FootnoteReference"/>
        </w:rPr>
        <w:footnoteReference w:id="176"/>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098"/>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177"/>
    <w:bookmarkStart w:id="179" w:name="supuestos"/>
    <w:p>
      <w:pPr>
        <w:pStyle w:val="Heading3"/>
      </w:pPr>
      <w:r>
        <w:t xml:space="preserve">III.1.2.</w:t>
      </w:r>
      <w:r>
        <w:t xml:space="preserve"> </w:t>
      </w:r>
      <w:r>
        <w:t xml:space="preserve">Supuestos</w:t>
      </w:r>
    </w:p>
    <w:p>
      <w:pPr>
        <w:numPr>
          <w:ilvl w:val="0"/>
          <w:numId w:val="1099"/>
        </w:numPr>
      </w:pPr>
      <w:r>
        <w:t xml:space="preserve">Se parte de un consumidor</w:t>
      </w:r>
      <w:r>
        <w:t xml:space="preserve"> </w:t>
      </w:r>
      <w:r>
        <w:rPr>
          <w:i/>
          <w:iCs/>
        </w:rPr>
        <w:t xml:space="preserve">individual</w:t>
      </w:r>
      <w:r>
        <w:rPr>
          <w:rStyle w:val="FootnoteReference"/>
        </w:rPr>
        <w:footnoteReference w:id="178"/>
      </w:r>
      <w:r>
        <w:t xml:space="preserve"> </w:t>
      </w:r>
      <w:r>
        <w:t xml:space="preserve">que, ante cada vector de precios</w:t>
      </w:r>
      <w:r>
        <w:t xml:space="preserve"> </w:t>
      </w:r>
      <m:oMath>
        <m:r>
          <m:t>p</m:t>
        </m:r>
        <m:r>
          <m:rPr>
            <m:sty m:val="p"/>
          </m:rPr>
          <m:t>≫</m:t>
        </m:r>
        <m:r>
          <m:t>0</m:t>
        </m:r>
      </m:oMath>
      <w:r>
        <w:t xml:space="preserve"> </w:t>
      </w:r>
      <w:r>
        <w:t xml:space="preserve">y cada renta</w:t>
      </w:r>
      <w:r>
        <w:t xml:space="preserve"> </w:t>
      </w:r>
      <m:oMath>
        <m:bar>
          <m:barPr>
            <m:pos m:val="top"/>
          </m:barPr>
          <m:e>
            <m:r>
              <m:t>W</m:t>
            </m:r>
          </m:e>
        </m:bar>
      </m:oMath>
      <w:r>
        <w:t xml:space="preserve">, elige una única cesta</w:t>
      </w:r>
      <w:r>
        <w:t xml:space="preserve"> </w:t>
      </w:r>
      <m:oMath>
        <m:r>
          <m:t>x</m:t>
        </m:r>
        <m:d>
          <m:dPr>
            <m:begChr m:val="("/>
            <m:sepChr m:val=""/>
            <m:endChr m:val=")"/>
            <m:grow/>
          </m:dPr>
          <m:e>
            <m:r>
              <m:t>p</m:t>
            </m:r>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179"/>
    <w:bookmarkStart w:id="186" w:name="X585d9060e5ec9b3bc8e06e3a6fd5afea7373538"/>
    <w:p>
      <w:pPr>
        <w:pStyle w:val="Heading3"/>
      </w:pPr>
      <w:r>
        <w:t xml:space="preserve">III.1.3.</w:t>
      </w:r>
      <w:r>
        <w:t xml:space="preserve"> </w:t>
      </w:r>
      <w:r>
        <w:t xml:space="preserve">El axioma débil de la preferencia revelada</w:t>
      </w:r>
    </w:p>
    <w:p>
      <w:pPr>
        <w:numPr>
          <w:ilvl w:val="0"/>
          <w:numId w:val="1100"/>
        </w:numPr>
      </w:pPr>
      <w:r>
        <w:t xml:space="preserve">Si, en la situación</w:t>
      </w:r>
      <w:r>
        <w:t xml:space="preserve"> </w:t>
      </w:r>
      <m:oMath>
        <m:d>
          <m:dPr>
            <m:begChr m:val="("/>
            <m:sepChr m:val=""/>
            <m:endChr m:val=")"/>
            <m:grow/>
          </m:dPr>
          <m:e>
            <m:sSup>
              <m:e>
                <m:r>
                  <m:t>p</m:t>
                </m:r>
              </m:e>
              <m:sup>
                <m:r>
                  <m:t>0</m:t>
                </m:r>
              </m:sup>
            </m:sSup>
            <m:r>
              <m:rPr>
                <m:sty m:val="p"/>
              </m:rPr>
              <m:t>,</m:t>
            </m:r>
            <m:sSup>
              <m:e>
                <m:bar>
                  <m:barPr>
                    <m:pos m:val="top"/>
                  </m:barPr>
                  <m:e>
                    <m:r>
                      <m:t>W</m:t>
                    </m:r>
                  </m:e>
                </m:bar>
              </m:e>
              <m:sup>
                <m:r>
                  <m:t>0</m:t>
                </m:r>
              </m:sup>
            </m:sSup>
          </m:e>
        </m:d>
      </m:oMath>
      <w:r>
        <w:t xml:space="preserve">, el consumidor elige</w:t>
      </w:r>
      <w:r>
        <w:t xml:space="preserve"> </w:t>
      </w:r>
      <m:oMath>
        <m:sSup>
          <m:e>
            <m:r>
              <m:t>x</m:t>
            </m:r>
          </m:e>
          <m:sup>
            <m:r>
              <m:t>0</m:t>
            </m:r>
          </m:sup>
        </m:sSup>
      </m:oMath>
      <w:r>
        <w:t xml:space="preserve"> </w:t>
      </w:r>
      <w:r>
        <w:t xml:space="preserve">cuando también podía comprar otra cesta</w:t>
      </w:r>
      <w:r>
        <w:t xml:space="preserve"> </w:t>
      </w:r>
      <m:oMath>
        <m:sSup>
          <m:e>
            <m:r>
              <m:t>x</m:t>
            </m:r>
          </m:e>
          <m:sup>
            <m:r>
              <m:t>1</m:t>
            </m:r>
          </m:sup>
        </m:sSup>
        <m:r>
          <m:rPr>
            <m:sty m:val="p"/>
          </m:rPr>
          <m:t>≠</m:t>
        </m:r>
        <m:sSup>
          <m:e>
            <m:r>
              <m:t>x</m:t>
            </m:r>
          </m:e>
          <m:sup>
            <m:r>
              <m:t>0</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r>
              <m:t>x</m:t>
            </m:r>
          </m:e>
          <m:sup>
            <m:r>
              <m:t>1</m:t>
            </m:r>
          </m:sup>
        </m:sSup>
      </m:oMath>
      <w:r>
        <w:t xml:space="preserve">.</w:t>
      </w:r>
    </w:p>
    <w:p>
      <w:pPr>
        <w:numPr>
          <w:ilvl w:val="0"/>
          <w:numId w:val="1100"/>
        </w:numPr>
      </w:pPr>
      <w:r>
        <w:rPr>
          <w:b/>
          <w:bCs/>
        </w:rPr>
        <w:t xml:space="preserve">Axioma débil de la preferencia revelada</w:t>
      </w:r>
      <w:r>
        <w:t xml:space="preserve"> </w:t>
      </w:r>
      <w:r>
        <w:t xml:space="preserve">(ADPR): 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 entonces</w:t>
      </w:r>
      <w:r>
        <w:t xml:space="preserve"> </w:t>
      </w:r>
      <m:oMath>
        <m:sSup>
          <m:e>
            <m:r>
              <m:t>x</m:t>
            </m:r>
          </m:e>
          <m:sup>
            <m:r>
              <m:t>0</m:t>
            </m:r>
          </m:sup>
        </m:sSup>
      </m:oMath>
      <w:r>
        <w:t xml:space="preserve"> </w:t>
      </w:r>
      <w:r>
        <w:t xml:space="preserve">no puede ser asequible cuando se elige</w:t>
      </w:r>
      <w:r>
        <w:t xml:space="preserve"> </w:t>
      </w:r>
      <m:oMath>
        <m:sSup>
          <m:e>
            <m:r>
              <m:t>x</m:t>
            </m:r>
          </m:e>
          <m:sup>
            <m:r>
              <m:t>1</m:t>
            </m:r>
          </m:sup>
        </m:sSup>
      </m:oMath>
      <w:r>
        <w:t xml:space="preserve">:</w:t>
      </w:r>
    </w:p>
    <w:p>
      <w:pPr>
        <w:pStyle w:val="BodyText"/>
      </w:pPr>
      <m:oMathPara>
        <m:oMathParaPr>
          <m:jc m:val="center"/>
        </m:oMathParaPr>
        <m:oMath>
          <m:sSup>
            <m:e>
              <m:r>
                <m:t>p</m:t>
              </m:r>
            </m:e>
            <m:sup>
              <m:r>
                <m:t>0</m:t>
              </m:r>
            </m:sup>
          </m:sSup>
          <m:r>
            <m:rPr>
              <m:sty m:val="p"/>
            </m:rPr>
            <m:t>⋅</m:t>
          </m:r>
          <m:sSup>
            <m:e>
              <m:r>
                <m:t>x</m:t>
              </m:r>
            </m:e>
            <m:sup>
              <m:r>
                <m:t>1</m:t>
              </m:r>
            </m:sup>
          </m:sSup>
          <m:r>
            <m:rPr>
              <m:sty m:val="p"/>
            </m:rPr>
            <m:t>≤</m:t>
          </m:r>
          <m:sSup>
            <m:e>
              <m:r>
                <m:t>p</m:t>
              </m:r>
            </m:e>
            <m:sup>
              <m:r>
                <m:t>0</m:t>
              </m:r>
            </m:sup>
          </m:sSup>
          <m:r>
            <m:rPr>
              <m:sty m:val="p"/>
            </m:rPr>
            <m:t>⋅</m:t>
          </m:r>
          <m:sSup>
            <m:e>
              <m:r>
                <m:t>x</m:t>
              </m:r>
            </m:e>
            <m:sup>
              <m:r>
                <m:t>0</m:t>
              </m:r>
            </m:sup>
          </m:sSup>
          <m:r>
            <m:rPr>
              <m:sty m:val="p"/>
            </m:rPr>
            <m:t>,</m:t>
          </m:r>
          <m:r>
            <m:t> </m:t>
          </m:r>
          <m:sSup>
            <m:e>
              <m:r>
                <m:t>x</m:t>
              </m:r>
            </m:e>
            <m:sup>
              <m:r>
                <m:t>1</m:t>
              </m:r>
            </m:sup>
          </m:sSup>
          <m:r>
            <m:rPr>
              <m:sty m:val="p"/>
            </m:rPr>
            <m:t>≠</m:t>
          </m:r>
          <m:sSup>
            <m:e>
              <m:r>
                <m:t>x</m:t>
              </m:r>
            </m:e>
            <m:sup>
              <m:r>
                <m:t>0</m:t>
              </m:r>
            </m:sup>
          </m:sSup>
          <m:r>
            <m:t> </m:t>
          </m:r>
          <m:r>
            <m:rPr>
              <m:sty m:val="p"/>
            </m:rPr>
            <m:t>⇒</m:t>
          </m:r>
          <m:r>
            <m:t> </m:t>
          </m:r>
          <m:sSup>
            <m:e>
              <m:r>
                <m:t>p</m:t>
              </m:r>
            </m:e>
            <m:sup>
              <m:r>
                <m:t>1</m:t>
              </m:r>
            </m:sup>
          </m:sSup>
          <m:r>
            <m:rPr>
              <m:sty m:val="p"/>
            </m:rPr>
            <m:t>⋅</m:t>
          </m:r>
          <m:sSup>
            <m:e>
              <m:r>
                <m:t>x</m:t>
              </m:r>
            </m:e>
            <m:sup>
              <m:r>
                <m:t>0</m:t>
              </m:r>
            </m:sup>
          </m:sSup>
          <m:r>
            <m:rPr>
              <m:sty m:val="p"/>
            </m:rPr>
            <m:t>&gt;</m:t>
          </m:r>
          <m:sSup>
            <m:e>
              <m:r>
                <m:t>p</m:t>
              </m:r>
            </m:e>
            <m:sup>
              <m:r>
                <m:t>1</m:t>
              </m:r>
            </m:sup>
          </m:sSup>
          <m:r>
            <m:rPr>
              <m:sty m:val="p"/>
            </m:rPr>
            <m:t>⋅</m:t>
          </m:r>
          <m:sSup>
            <m:e>
              <m:r>
                <m:t>x</m:t>
              </m:r>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r>
              <m:t>x</m:t>
            </m:r>
          </m:e>
          <m:sup>
            <m:r>
              <m:t>0</m:t>
            </m:r>
          </m:sup>
        </m:sSup>
      </m:oMath>
      <w:r>
        <w:t xml:space="preserve"> </w:t>
      </w:r>
      <w:r>
        <w:t xml:space="preserve">a</w:t>
      </w:r>
      <w:r>
        <w:t xml:space="preserve"> </w:t>
      </w:r>
      <m:oMath>
        <m:sSup>
          <m:e>
            <m:r>
              <m:t>x</m:t>
            </m:r>
          </m:e>
          <m:sup>
            <m:r>
              <m:t>1</m:t>
            </m:r>
          </m:sup>
        </m:sSup>
      </m:oMath>
      <w:r>
        <w:t xml:space="preserve"> </w:t>
      </w:r>
      <w:r>
        <w:t xml:space="preserve">y, en otra situación, lo contrario.</w:t>
      </w:r>
      <w:r>
        <w:rPr>
          <w:rStyle w:val="FootnoteReference"/>
        </w:rPr>
        <w:footnoteReference w:id="180"/>
      </w:r>
    </w:p>
    <w:bookmarkStart w:id="184" w:name="fig:adpr-efecto-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 title="" id="182" name="Picture"/>
            <a:graphic>
              <a:graphicData uri="http://schemas.openxmlformats.org/drawingml/2006/picture">
                <pic:pic>
                  <pic:nvPicPr>
                    <pic:cNvPr descr="C:\Users\vgutierrez\Documents\src\victorgutierrezmarcos.github.io-revision\oposicion\temario\fuentes\3A08\graficos/adpr-efecto-sustitucion.png" id="183" name="Picture"/>
                    <pic:cNvPicPr>
                      <a:picLocks noChangeArrowheads="1" noChangeAspect="1"/>
                    </pic:cNvPicPr>
                  </pic:nvPicPr>
                  <pic:blipFill>
                    <a:blip r:embed="rId181"/>
                    <a:stretch>
                      <a:fillRect/>
                    </a:stretch>
                  </pic:blipFill>
                  <pic:spPr bwMode="auto">
                    <a:xfrm>
                      <a:off x="0" y="0"/>
                      <a:ext cx="5370188" cy="2088746"/>
                    </a:xfrm>
                    <a:prstGeom prst="rect">
                      <a:avLst/>
                    </a:prstGeom>
                    <a:noFill/>
                    <a:ln w="9525">
                      <a:noFill/>
                      <a:headEnd/>
                      <a:tailEnd/>
                    </a:ln>
                  </pic:spPr>
                </pic:pic>
              </a:graphicData>
            </a:graphic>
          </wp:inline>
        </w:drawing>
      </w:r>
    </w:p>
    <w:bookmarkEnd w:id="184"/>
    <w:p>
      <w:pPr>
        <w:pStyle w:val="Piedeimagen"/>
      </w:pPr>
      <w:r>
        <w:t xml:space="preserve">Fuente: elaboración propia basada en</w:t>
      </w:r>
      <w:r>
        <w:t xml:space="preserve"> </w:t>
      </w:r>
      <w:r>
        <w:t xml:space="preserve">Jehle y Reny (</w:t>
      </w:r>
      <w:hyperlink w:anchor="ref-JehleReny2011Advanced">
        <w:r>
          <w:rPr>
            <w:rStyle w:val="Hyperlink"/>
          </w:rPr>
          <w:t xml:space="preserve">2011, cap. 2</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2.F</w:t>
        </w:r>
      </w:hyperlink>
      <w:r>
        <w:t xml:space="preserve">)</w:t>
      </w:r>
      <w:r>
        <w:t xml:space="preserve">.</w:t>
      </w:r>
    </w:p>
    <w:p>
      <w:pPr>
        <w:numPr>
          <w:ilvl w:val="0"/>
          <w:numId w:val="1101"/>
        </w:numPr>
      </w:pPr>
      <w:r>
        <w:rPr>
          <w:b/>
          <w:bCs/>
        </w:rPr>
        <w:t xml:space="preserve">Implicaciones</w:t>
      </w:r>
      <w:r>
        <w:t xml:space="preserve"> </w:t>
      </w:r>
      <w:r>
        <w:t xml:space="preserve">del ADPR:</w:t>
      </w:r>
    </w:p>
    <w:p>
      <w:pPr>
        <w:numPr>
          <w:ilvl w:val="1"/>
          <w:numId w:val="1102"/>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185"/>
      </w:r>
    </w:p>
    <w:p>
      <w:pPr>
        <w:numPr>
          <w:ilvl w:val="1"/>
          <w:numId w:val="1102"/>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r>
              <m:t>p</m:t>
            </m:r>
          </m:e>
          <m:sup>
            <m:r>
              <m:t>0</m:t>
            </m:r>
          </m:sup>
        </m:sSup>
      </m:oMath>
      <w:r>
        <w:t xml:space="preserve"> </w:t>
      </w:r>
      <w:r>
        <w:t xml:space="preserve">a</w:t>
      </w:r>
      <w:r>
        <w:t xml:space="preserve"> </w:t>
      </w:r>
      <m:oMath>
        <m:sSup>
          <m:e>
            <m:r>
              <m:t>p</m:t>
            </m:r>
          </m:e>
          <m:sup>
            <m:r>
              <m:t>1</m:t>
            </m:r>
          </m:sup>
        </m:sSup>
      </m:oMath>
      <w:r>
        <w:t xml:space="preserve"> </w:t>
      </w:r>
      <w:r>
        <w:t xml:space="preserve">y se compensa la renta para que el consumidor pueda seguir comprando la cesta inicial</w:t>
      </w:r>
      <w:r>
        <w:t xml:space="preserve"> </w:t>
      </w:r>
      <m:oMath>
        <m:sSup>
          <m:e>
            <m:r>
              <m:t>x</m:t>
            </m:r>
          </m:e>
          <m:sup>
            <m:r>
              <m:t>0</m:t>
            </m:r>
          </m:sup>
        </m:sSup>
        <m:r>
          <m:rPr>
            <m:sty m:val="p"/>
          </m:rPr>
          <m:t>=</m:t>
        </m:r>
        <m:r>
          <m:t>x</m:t>
        </m:r>
        <m:d>
          <m:dPr>
            <m:begChr m:val="("/>
            <m:sepChr m:val=""/>
            <m:endChr m:val=")"/>
            <m:grow/>
          </m:dPr>
          <m:e>
            <m:sSup>
              <m:e>
                <m:r>
                  <m:t>p</m:t>
                </m:r>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r>
              <m:t>p</m:t>
            </m:r>
          </m:e>
          <m:sup>
            <m:r>
              <m:t>1</m:t>
            </m:r>
          </m:sup>
        </m:sSup>
        <m:r>
          <m:rPr>
            <m:sty m:val="p"/>
          </m:rPr>
          <m:t>⋅</m:t>
        </m:r>
        <m:sSup>
          <m:e>
            <m:r>
              <m:t>x</m:t>
            </m:r>
          </m:e>
          <m:sup>
            <m:r>
              <m:t>0</m:t>
            </m:r>
          </m:sup>
        </m:sSup>
      </m:oMath>
      <w:r>
        <w:t xml:space="preserve">, y elige</w:t>
      </w:r>
      <w:r>
        <w:t xml:space="preserve"> </w:t>
      </w:r>
      <m:oMath>
        <m:sSup>
          <m:e>
            <m:r>
              <m:t>x</m:t>
            </m:r>
          </m:e>
          <m:sup>
            <m:r>
              <m:t>1</m:t>
            </m:r>
          </m:sup>
        </m:sSup>
        <m:r>
          <m:rPr>
            <m:sty m:val="p"/>
          </m:rPr>
          <m:t>=</m:t>
        </m:r>
        <m:r>
          <m:t>x</m:t>
        </m:r>
        <m:d>
          <m:dPr>
            <m:begChr m:val="("/>
            <m:sepChr m:val=""/>
            <m:endChr m:val=")"/>
            <m:grow/>
          </m:dPr>
          <m:e>
            <m:sSup>
              <m:e>
                <m:r>
                  <m:t>p</m:t>
                </m:r>
              </m:e>
              <m:sup>
                <m:r>
                  <m:t>1</m:t>
                </m:r>
              </m:sup>
            </m:sSup>
            <m:r>
              <m:rPr>
                <m:sty m:val="p"/>
              </m:rPr>
              <m:t>,</m:t>
            </m:r>
            <m:sSup>
              <m:e>
                <m:bar>
                  <m:barPr>
                    <m:pos m:val="top"/>
                  </m:barPr>
                  <m:e>
                    <m:r>
                      <m:t>W</m:t>
                    </m:r>
                  </m:e>
                </m:bar>
              </m:e>
              <m:sup>
                <m:r>
                  <m:t>1</m:t>
                </m:r>
              </m:sup>
            </m:sSup>
          </m:e>
        </m:d>
      </m:oMath>
      <w:r>
        <w:t xml:space="preserve">, entonces (demostración en el anexo B.7)</w:t>
      </w:r>
      <w:r>
        <w:t xml:space="preserve">(</w:t>
      </w:r>
      <w:hyperlink w:anchor="ref-MasColellWhinstonGreen1995">
        <w:r>
          <w:rPr>
            <w:rStyle w:val="Hyperlink"/>
          </w:rPr>
          <w:t xml:space="preserve">Mas-Colell, Whinston y Green 1995</w:t>
        </w:r>
      </w:hyperlink>
      <w:r>
        <w:t xml:space="preserve">, prop. 2.F.1)</w:t>
      </w:r>
    </w:p>
    <w:p>
      <w:pPr>
        <w:pStyle w:val="BodyText"/>
      </w:pPr>
      <m:oMathPara>
        <m:oMathParaPr>
          <m:jc m:val="center"/>
        </m:oMathParaPr>
        <m:oMath>
          <m:d>
            <m:dPr>
              <m:begChr m:val="("/>
              <m:sepChr m:val=""/>
              <m:endChr m:val=")"/>
              <m:grow/>
            </m:dPr>
            <m:e>
              <m:sSup>
                <m:e>
                  <m:r>
                    <m:t>p</m:t>
                  </m:r>
                </m:e>
                <m:sup>
                  <m:r>
                    <m:t>1</m:t>
                  </m:r>
                </m:sup>
              </m:sSup>
              <m:r>
                <m:rPr>
                  <m:sty m:val="p"/>
                </m:rPr>
                <m:t>−</m:t>
              </m:r>
              <m:sSup>
                <m:e>
                  <m:r>
                    <m:t>p</m:t>
                  </m:r>
                </m:e>
                <m:sup>
                  <m:r>
                    <m:t>0</m:t>
                  </m:r>
                </m:sup>
              </m:sSup>
            </m:e>
          </m:d>
          <m:r>
            <m:rPr>
              <m:sty m:val="p"/>
            </m:rPr>
            <m:t>⋅</m:t>
          </m:r>
          <m:d>
            <m:dPr>
              <m:begChr m:val="("/>
              <m:sepChr m:val=""/>
              <m:endChr m:val=")"/>
              <m:grow/>
            </m:dPr>
            <m:e>
              <m:sSup>
                <m:e>
                  <m:r>
                    <m:t>x</m:t>
                  </m:r>
                </m:e>
                <m:sup>
                  <m:r>
                    <m:t>1</m:t>
                  </m:r>
                </m:sup>
              </m:sSup>
              <m:r>
                <m:rPr>
                  <m:sty m:val="p"/>
                </m:rPr>
                <m:t>−</m:t>
              </m:r>
              <m:sSup>
                <m:e>
                  <m:r>
                    <m:t>x</m:t>
                  </m:r>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r>
              <m:t>x</m:t>
            </m:r>
          </m:e>
          <m:sup>
            <m:r>
              <m:t>0</m:t>
            </m:r>
          </m:sup>
        </m:sSup>
      </m:oMath>
      <w:r>
        <w:t xml:space="preserve">; las cestas de esa recta situadas a la izquierda de</w:t>
      </w:r>
      <w:r>
        <w:t xml:space="preserve"> </w:t>
      </w:r>
      <m:oMath>
        <m:sSup>
          <m:e>
            <m:r>
              <m:t>x</m:t>
            </m:r>
          </m:e>
          <m:sup>
            <m:r>
              <m:t>0</m:t>
            </m:r>
          </m:sup>
        </m:sSup>
      </m:oMath>
      <w:r>
        <w:t xml:space="preserve"> </w:t>
      </w:r>
      <w:r>
        <w:t xml:space="preserve">ya eran asequibles con la recta inicial y no se eligieron, así que el consumidor elegirá una cesta a la derecha de</w:t>
      </w:r>
      <w:r>
        <w:t xml:space="preserve"> </w:t>
      </w:r>
      <m:oMath>
        <m:sSup>
          <m:e>
            <m:r>
              <m:t>x</m:t>
            </m:r>
          </m:e>
          <m:sup>
            <m:r>
              <m:t>0</m:t>
            </m:r>
          </m:sup>
        </m:sSup>
      </m:oMath>
      <w:r>
        <w:t xml:space="preserve">, con más bien 1 (gráfico 18, segunda capa). Se obtiene el resultado de la ecuación de</w:t>
      </w:r>
      <w:r>
        <w:t xml:space="preserve"> </w:t>
      </w:r>
      <w:r>
        <w:rPr>
          <w:smallCaps/>
        </w:rPr>
        <w:t xml:space="preserve">Slutsky</w:t>
      </w:r>
      <w:r>
        <w:t xml:space="preserve"> </w:t>
      </w:r>
      <w:r>
        <w:t xml:space="preserve">sin hablar de utilidad.</w:t>
      </w:r>
    </w:p>
    <w:p>
      <w:pPr>
        <w:numPr>
          <w:ilvl w:val="1"/>
          <w:numId w:val="1102"/>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MasColellWhinstonGreen1995">
        <w:r>
          <w:rPr>
            <w:rStyle w:val="Hyperlink"/>
          </w:rPr>
          <w:t xml:space="preserve">Mas-Colell, Whinston y Green 1995</w:t>
        </w:r>
      </w:hyperlink>
      <w:r>
        <w:t xml:space="preserve">, prop. 2.F.2)</w:t>
      </w:r>
      <w:r>
        <w:t xml:space="preserve">. Por eso, con más de dos bienes, no basta para que exista una utilidad que racionalice la demanda; con dos bienes, sí</w:t>
      </w:r>
      <w:r>
        <w:t xml:space="preserve"> </w:t>
      </w:r>
      <w:r>
        <w:t xml:space="preserve">(</w:t>
      </w:r>
      <w:hyperlink w:anchor="ref-Rose1958Consistency">
        <w:r>
          <w:rPr>
            <w:rStyle w:val="Hyperlink"/>
          </w:rPr>
          <w:t xml:space="preserve">Rose 1958</w:t>
        </w:r>
      </w:hyperlink>
      <w:r>
        <w:t xml:space="preserve">)</w:t>
      </w:r>
      <w:r>
        <w:t xml:space="preserve">.</w:t>
      </w:r>
      <w:r>
        <w:t xml:space="preserve"> </w:t>
      </w:r>
      <w:r>
        <w:t xml:space="preserve">Kihlstrom, Mas-Colell y Sonnenschein (</w:t>
      </w:r>
      <w:hyperlink w:anchor="ref-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r>
        <w:rPr>
          <w:rStyle w:val="Referenciaatema"/>
        </w:rPr>
        <w:t xml:space="preserve">[ver tema 3.A.9]</w:t>
      </w:r>
      <w:r>
        <w:t xml:space="preserve">.</w:t>
      </w:r>
    </w:p>
    <w:bookmarkEnd w:id="186"/>
    <w:bookmarkStart w:id="192" w:name="X03ad5a7673dae3e81b501ae31e239104d667e31"/>
    <w:p>
      <w:pPr>
        <w:pStyle w:val="Heading3"/>
      </w:pPr>
      <w:r>
        <w:t xml:space="preserve">III.1.4.</w:t>
      </w:r>
      <w:r>
        <w:t xml:space="preserve"> </w:t>
      </w:r>
      <w:r>
        <w:t xml:space="preserve">El axioma fuerte de la preferencia revelada</w:t>
      </w:r>
    </w:p>
    <w:p>
      <w:pPr>
        <w:numPr>
          <w:ilvl w:val="0"/>
          <w:numId w:val="1103"/>
        </w:numPr>
      </w:pPr>
      <w:r>
        <w:t xml:space="preserve">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w:t>
      </w:r>
      <w:r>
        <w:t xml:space="preserve"> </w:t>
      </w:r>
      <m:oMath>
        <m:sSup>
          <m:e>
            <m:r>
              <m:t>x</m:t>
            </m:r>
          </m:e>
          <m:sup>
            <m:r>
              <m:t>1</m:t>
            </m:r>
          </m:sup>
        </m:sSup>
      </m:oMath>
      <w:r>
        <w:t xml:space="preserve"> </w:t>
      </w:r>
      <w:r>
        <w:t xml:space="preserve">a</w:t>
      </w:r>
      <w:r>
        <w:t xml:space="preserve"> </w:t>
      </w:r>
      <m:oMath>
        <m:sSup>
          <m:e>
            <m:r>
              <m:t>x</m:t>
            </m:r>
          </m:e>
          <m:sup>
            <m:r>
              <m:t>2</m:t>
            </m:r>
          </m:sup>
        </m:sSup>
      </m:oMath>
      <w:r>
        <w:t xml:space="preserve">, …, y</w:t>
      </w:r>
      <w:r>
        <w:t xml:space="preserve"> </w:t>
      </w:r>
      <m:oMath>
        <m:sSup>
          <m:e>
            <m:r>
              <m:t>x</m:t>
            </m:r>
          </m:e>
          <m:sup>
            <m:r>
              <m:t>k</m:t>
            </m:r>
            <m:r>
              <m:rPr>
                <m:sty m:val="p"/>
              </m:rPr>
              <m:t>−</m:t>
            </m:r>
            <m:r>
              <m:t>1</m:t>
            </m:r>
          </m:sup>
        </m:sSup>
      </m:oMath>
      <w:r>
        <w:t xml:space="preserve"> </w:t>
      </w:r>
      <w:r>
        <w:t xml:space="preserve">a</w:t>
      </w:r>
      <w:r>
        <w:t xml:space="preserve"> </w:t>
      </w:r>
      <m:oMath>
        <m:sSup>
          <m:e>
            <m:r>
              <m:t>x</m:t>
            </m:r>
          </m:e>
          <m:sup>
            <m:r>
              <m:t>k</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r>
              <m:t>x</m:t>
            </m:r>
          </m:e>
          <m:sup>
            <m:r>
              <m:t>k</m:t>
            </m:r>
          </m:sup>
        </m:sSup>
      </m:oMath>
      <w:r>
        <w:t xml:space="preserve">, aunque nunca se hayan comparado directamente (gráfico 19).</w:t>
      </w:r>
    </w:p>
    <w:p>
      <w:pPr>
        <w:numPr>
          <w:ilvl w:val="0"/>
          <w:numId w:val="1103"/>
        </w:numPr>
      </w:pPr>
      <w:r>
        <w:rPr>
          <w:b/>
          <w:bCs/>
        </w:rPr>
        <w:t xml:space="preserve">Axioma fuerte de la preferencia revelada</w:t>
      </w:r>
      <w:r>
        <w:t xml:space="preserve"> </w:t>
      </w:r>
      <w:r>
        <w:t xml:space="preserve">(AFPR), de</w:t>
      </w:r>
      <w:r>
        <w:t xml:space="preserve"> </w:t>
      </w:r>
      <w:r>
        <w:t xml:space="preserve">Houthakker (</w:t>
      </w:r>
      <w:hyperlink w:anchor="ref-Houthakker1950Revealed">
        <w:r>
          <w:rPr>
            <w:rStyle w:val="Hyperlink"/>
          </w:rPr>
          <w:t xml:space="preserve">1950</w:t>
        </w:r>
      </w:hyperlink>
      <w:r>
        <w:t xml:space="preserve">)</w:t>
      </w:r>
      <w:r>
        <w:t xml:space="preserve">: si</w:t>
      </w:r>
      <w:r>
        <w:t xml:space="preserve"> </w:t>
      </w:r>
      <m:oMath>
        <m:sSup>
          <m:e>
            <m:r>
              <m:t>x</m:t>
            </m:r>
          </m:e>
          <m:sup>
            <m:r>
              <m:t>0</m:t>
            </m:r>
          </m:sup>
        </m:sSup>
      </m:oMath>
      <w:r>
        <w:t xml:space="preserve"> </w:t>
      </w:r>
      <w:r>
        <w:t xml:space="preserve">se revela directa o indirectamente preferida a</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k</m:t>
            </m:r>
          </m:sup>
        </m:sSup>
      </m:oMath>
      <w:r>
        <w:t xml:space="preserve"> </w:t>
      </w:r>
      <w:r>
        <w:t xml:space="preserve">no puede revelarse preferida a</w:t>
      </w:r>
      <w:r>
        <w:t xml:space="preserve"> </w:t>
      </w:r>
      <m:oMath>
        <m:sSup>
          <m:e>
            <m:r>
              <m:t>x</m:t>
            </m:r>
          </m:e>
          <m:sup>
            <m:r>
              <m:t>0</m:t>
            </m:r>
          </m:sup>
        </m:sSup>
      </m:oMath>
      <w:r>
        <w:t xml:space="preserve">. Es la</w:t>
      </w:r>
      <w:r>
        <w:t xml:space="preserve"> </w:t>
      </w:r>
      <w:r>
        <w:rPr>
          <w:i/>
          <w:iCs/>
        </w:rPr>
        <w:t xml:space="preserve">transitividad</w:t>
      </w:r>
      <w:r>
        <w:t xml:space="preserve"> </w:t>
      </w:r>
      <w:r>
        <w:t xml:space="preserve">de las preferencias reveladas, y el AFPR implica el ADPR.</w:t>
      </w:r>
    </w:p>
    <w:p>
      <w:pPr>
        <w:numPr>
          <w:ilvl w:val="0"/>
          <w:numId w:val="1103"/>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187"/>
      </w:r>
    </w:p>
    <w:p>
      <w:pPr>
        <w:numPr>
          <w:ilvl w:val="0"/>
          <w:numId w:val="1103"/>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t xml:space="preserve">Afriat (</w:t>
      </w:r>
      <w:hyperlink w:anchor="ref-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t xml:space="preserve">Varian (</w:t>
      </w:r>
      <w:hyperlink w:anchor="ref-Varian1982Nonparametric">
        <w:r>
          <w:rPr>
            <w:rStyle w:val="Hyperlink"/>
          </w:rPr>
          <w:t xml:space="preserve">1982</w:t>
        </w:r>
      </w:hyperlink>
      <w:r>
        <w:t xml:space="preserve">)</w:t>
      </w:r>
      <w:r>
        <w:t xml:space="preserve">), que admite empates. Es la base del contraste no paramétrico de la teoría con datos reales.</w:t>
      </w:r>
    </w:p>
    <w:bookmarkStart w:id="191" w:name="fig:afpr"/>
    <w:p>
      <w:pPr>
        <w:pStyle w:val="ImageCaption"/>
      </w:pPr>
      <w:r>
        <w:t xml:space="preserve">Gráfico 19.–</w:t>
      </w:r>
      <w:r>
        <w:t xml:space="preserve"> </w:t>
      </w:r>
      <w:r>
        <w:t xml:space="preserve">Axioma fuerte de la preferencia revelada:</w:t>
      </w:r>
      <w:r>
        <w:t xml:space="preserve"> </w:t>
      </w:r>
      <m:oMath>
        <m:sSup>
          <m:e>
            <m:r>
              <m:t>x</m:t>
            </m:r>
          </m:e>
          <m:sup>
            <m:r>
              <m:t>0</m:t>
            </m:r>
          </m:sup>
        </m:sSup>
      </m:oMath>
      <w:r>
        <w:t xml:space="preserve"> </w:t>
      </w:r>
      <w:r>
        <w:t xml:space="preserve">se revela indirectamente preferida a</w:t>
      </w:r>
      <w:r>
        <w:t xml:space="preserve"> </w:t>
      </w:r>
      <m:oMath>
        <m:sSup>
          <m:e>
            <m:r>
              <m:t>x</m:t>
            </m:r>
          </m:e>
          <m:sup>
            <m:r>
              <m:t>2</m:t>
            </m:r>
          </m:sup>
        </m:sSup>
      </m:oMath>
    </w:p>
    <w:p>
      <w:pPr>
        <w:pStyle w:val="CaptionedFigure"/>
      </w:pPr>
      <w:r>
        <w:drawing>
          <wp:inline>
            <wp:extent cx="3682065" cy="2113212"/>
            <wp:effectExtent b="0" l="0" r="0" t="0"/>
            <wp:docPr descr="" title="" id="189" name="Picture"/>
            <a:graphic>
              <a:graphicData uri="http://schemas.openxmlformats.org/drawingml/2006/picture">
                <pic:pic>
                  <pic:nvPicPr>
                    <pic:cNvPr descr="C:\Users\vgutierrez\Documents\src\victorgutierrezmarcos.github.io-revision\oposicion\temario\fuentes\3A08\graficos/afpr.png" id="190" name="Picture"/>
                    <pic:cNvPicPr>
                      <a:picLocks noChangeArrowheads="1" noChangeAspect="1"/>
                    </pic:cNvPicPr>
                  </pic:nvPicPr>
                  <pic:blipFill>
                    <a:blip r:embed="rId188"/>
                    <a:stretch>
                      <a:fillRect/>
                    </a:stretch>
                  </pic:blipFill>
                  <pic:spPr bwMode="auto">
                    <a:xfrm>
                      <a:off x="0" y="0"/>
                      <a:ext cx="3682065" cy="2113212"/>
                    </a:xfrm>
                    <a:prstGeom prst="rect">
                      <a:avLst/>
                    </a:prstGeom>
                    <a:noFill/>
                    <a:ln w="9525">
                      <a:noFill/>
                      <a:headEnd/>
                      <a:tailEnd/>
                    </a:ln>
                  </pic:spPr>
                </pic:pic>
              </a:graphicData>
            </a:graphic>
          </wp:inline>
        </w:drawing>
      </w:r>
    </w:p>
    <w:bookmarkEnd w:id="191"/>
    <w:p>
      <w:pPr>
        <w:pStyle w:val="Piedeimagen"/>
      </w:pPr>
      <w:r>
        <w:t xml:space="preserve">Fuente: elaboración propia basada en</w:t>
      </w:r>
      <w:r>
        <w:t xml:space="preserve"> </w:t>
      </w:r>
      <w:r>
        <w:t xml:space="preserve">Varian (</w:t>
      </w:r>
      <w:hyperlink w:anchor="ref-Varian2016Intermedia">
        <w:r>
          <w:rPr>
            <w:rStyle w:val="Hyperlink"/>
          </w:rPr>
          <w:t xml:space="preserve">2016, cap. 7</w:t>
        </w:r>
      </w:hyperlink>
      <w:r>
        <w:t xml:space="preserve">)</w:t>
      </w:r>
      <w:r>
        <w:t xml:space="preserve">.</w:t>
      </w:r>
    </w:p>
    <w:bookmarkEnd w:id="192"/>
    <w:bookmarkStart w:id="197" w:name="aplicaciones-y-valoración"/>
    <w:p>
      <w:pPr>
        <w:pStyle w:val="Heading3"/>
      </w:pPr>
      <w:r>
        <w:t xml:space="preserve">III.1.5.</w:t>
      </w:r>
      <w:r>
        <w:t xml:space="preserve"> </w:t>
      </w:r>
      <w:r>
        <w:t xml:space="preserve">Aplicaciones y valoración</w:t>
      </w:r>
    </w:p>
    <w:p>
      <w:pPr>
        <w:numPr>
          <w:ilvl w:val="0"/>
          <w:numId w:val="1104"/>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r>
              <m:t>x</m:t>
            </m:r>
          </m:e>
          <m:sup>
            <m:r>
              <m:t>0</m:t>
            </m:r>
          </m:sup>
        </m:sSup>
      </m:oMath>
      <w:r>
        <w:t xml:space="preserve"> </w:t>
      </w:r>
      <w:r>
        <w:t xml:space="preserve">se revelan peores que</w:t>
      </w:r>
      <w:r>
        <w:t xml:space="preserve"> </w:t>
      </w:r>
      <m:oMath>
        <m:sSup>
          <m:e>
            <m:r>
              <m:t>x</m:t>
            </m:r>
          </m:e>
          <m:sup>
            <m:r>
              <m:t>0</m:t>
            </m:r>
          </m:sup>
        </m:sSup>
      </m:oMath>
      <w:r>
        <w:t xml:space="preserve">, y las que se revelan preferidas a</w:t>
      </w:r>
      <w:r>
        <w:t xml:space="preserve"> </w:t>
      </w:r>
      <m:oMath>
        <m:sSup>
          <m:e>
            <m:r>
              <m:t>x</m:t>
            </m:r>
          </m:e>
          <m:sup>
            <m:r>
              <m:t>0</m:t>
            </m:r>
          </m:sup>
        </m:sSup>
      </m:oMath>
      <w:r>
        <w:t xml:space="preserve"> </w:t>
      </w:r>
      <w:r>
        <w:t xml:space="preserve">(directa o indirectamente, o porque tienen más de todos los bienes) son mejores. La curva de indiferencia que pasa por</w:t>
      </w:r>
      <w:r>
        <w:t xml:space="preserve"> </w:t>
      </w:r>
      <m:oMath>
        <m:sSup>
          <m:e>
            <m:r>
              <m:t>x</m:t>
            </m:r>
          </m:e>
          <m:sup>
            <m:r>
              <m:t>0</m:t>
            </m:r>
          </m:sup>
        </m:sSup>
      </m:oMath>
      <w:r>
        <w:t xml:space="preserve"> </w:t>
      </w:r>
      <w:r>
        <w:t xml:space="preserve">está entre ambas regiones. Con más observaciones, a precios distintos, las dos regiones se acercan y acotan la curva cada vez mejor, que resulta convexa (gráfico 20).</w:t>
      </w:r>
    </w:p>
    <w:p>
      <w:pPr>
        <w:numPr>
          <w:ilvl w:val="0"/>
          <w:numId w:val="1104"/>
        </w:numPr>
      </w:pPr>
      <w:r>
        <w:rPr>
          <w:b/>
          <w:b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r>
        <w:rPr>
          <w:rStyle w:val="Referenciaatema"/>
        </w:rPr>
        <w:t xml:space="preserve">[ver tema 3.A.9]</w:t>
      </w:r>
      <w:r>
        <w:t xml:space="preserve">.</w:t>
      </w:r>
    </w:p>
    <w:p>
      <w:pPr>
        <w:numPr>
          <w:ilvl w:val="0"/>
          <w:numId w:val="1104"/>
        </w:numPr>
      </w:pPr>
      <w:r>
        <w:rPr>
          <w:b/>
          <w:bCs/>
        </w:rPr>
        <w:t xml:space="preserve">Valoración</w:t>
      </w:r>
      <w:r>
        <w:t xml:space="preserve">:</w:t>
      </w:r>
    </w:p>
    <w:p>
      <w:pPr>
        <w:numPr>
          <w:ilvl w:val="1"/>
          <w:numId w:val="1105"/>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1"/>
          <w:numId w:val="1105"/>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1"/>
          <w:numId w:val="1105"/>
        </w:numPr>
      </w:pPr>
      <w:r>
        <w:t xml:space="preserve">su principal crítica es que identifica elección y preferencia</w:t>
      </w:r>
      <w:r>
        <w:t xml:space="preserve"> </w:t>
      </w:r>
      <w:r>
        <w:t xml:space="preserve">(</w:t>
      </w:r>
      <w:hyperlink w:anchor="ref-Sen1973Behaviour">
        <w:r>
          <w:rPr>
            <w:rStyle w:val="Hyperlink"/>
          </w:rPr>
          <w:t xml:space="preserve">Sen 1973</w:t>
        </w:r>
      </w:hyperlink>
      <w:r>
        <w:t xml:space="preserve">)</w:t>
      </w:r>
      <w:r>
        <w:t xml:space="preserve">: si la elección depende del contexto, de normas o de compromisos, lo que se «revela» no es necesariamente el bienestar del consumidor.</w:t>
      </w:r>
    </w:p>
    <w:bookmarkStart w:id="196" w:name="fig:preferencia-revelada-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 title="" id="194" name="Picture"/>
            <a:graphic>
              <a:graphicData uri="http://schemas.openxmlformats.org/drawingml/2006/picture">
                <pic:pic>
                  <pic:nvPicPr>
                    <pic:cNvPr descr="C:\Users\vgutierrez\Documents\src\victorgutierrezmarcos.github.io-revision\oposicion\temario\fuentes\3A08\graficos/preferencia-revelada-indiferencia.png" id="195" name="Picture"/>
                    <pic:cNvPicPr>
                      <a:picLocks noChangeArrowheads="1" noChangeAspect="1"/>
                    </pic:cNvPicPr>
                  </pic:nvPicPr>
                  <pic:blipFill>
                    <a:blip r:embed="rId193"/>
                    <a:stretch>
                      <a:fillRect/>
                    </a:stretch>
                  </pic:blipFill>
                  <pic:spPr bwMode="auto">
                    <a:xfrm>
                      <a:off x="0" y="0"/>
                      <a:ext cx="2798247" cy="2055106"/>
                    </a:xfrm>
                    <a:prstGeom prst="rect">
                      <a:avLst/>
                    </a:prstGeom>
                    <a:noFill/>
                    <a:ln w="9525">
                      <a:noFill/>
                      <a:headEnd/>
                      <a:tailEnd/>
                    </a:ln>
                  </pic:spPr>
                </pic:pic>
              </a:graphicData>
            </a:graphic>
          </wp:inline>
        </w:drawing>
      </w:r>
    </w:p>
    <w:bookmarkEnd w:id="196"/>
    <w:p>
      <w:pPr>
        <w:pStyle w:val="Piedeimagen"/>
      </w:pPr>
      <w:r>
        <w:t xml:space="preserve">Fuente: elaboración propia basada en</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Samuelson (</w:t>
      </w:r>
      <w:hyperlink w:anchor="ref-Samuelson1948Consumption">
        <w:r>
          <w:rPr>
            <w:rStyle w:val="Hyperlink"/>
          </w:rPr>
          <w:t xml:space="preserve">1948</w:t>
        </w:r>
      </w:hyperlink>
      <w:r>
        <w:t xml:space="preserve">)</w:t>
      </w:r>
      <w:r>
        <w:t xml:space="preserve">.</w:t>
      </w:r>
    </w:p>
    <w:bookmarkEnd w:id="197"/>
    <w:bookmarkEnd w:id="198"/>
    <w:bookmarkStart w:id="200" w:name="la-producción-doméstica"/>
    <w:p>
      <w:pPr>
        <w:pStyle w:val="Heading2"/>
      </w:pPr>
      <w:r>
        <w:t xml:space="preserve">III.2.</w:t>
      </w:r>
      <w:r>
        <w:t xml:space="preserve"> </w:t>
      </w:r>
      <w:r>
        <w:t xml:space="preserve">La producción doméstica</w:t>
      </w:r>
    </w:p>
    <w:p>
      <w:pPr>
        <w:numPr>
          <w:ilvl w:val="0"/>
          <w:numId w:val="1106"/>
        </w:numPr>
      </w:pPr>
      <w:r>
        <w:rPr>
          <w:b/>
          <w:bCs/>
          <w:i/>
          <w:iCs/>
        </w:rPr>
        <w:t xml:space="preserve">Idea</w:t>
      </w:r>
      <w:r>
        <w:t xml:space="preserve">: 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07"/>
        </w:numPr>
      </w:pPr>
      <w:r>
        <w:t xml:space="preserve">Becker (</w:t>
      </w:r>
      <w:hyperlink w:anchor="ref-Becker1965Allocation">
        <w:r>
          <w:rPr>
            <w:rStyle w:val="Hyperlink"/>
          </w:rPr>
          <w:t xml:space="preserve">1965</w:t>
        </w:r>
      </w:hyperlink>
      <w:r>
        <w:t xml:space="preserve">)</w:t>
      </w:r>
      <w:r>
        <w:rPr>
          <w:rStyle w:val="FootnoteReference"/>
        </w:rPr>
        <w:footnoteReference w:id="199"/>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07"/>
        </w:numPr>
      </w:pPr>
      <w:r>
        <w:t xml:space="preserve">Lancaster (</w:t>
      </w:r>
      <w:hyperlink w:anchor="ref-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r>
          <m:t>z</m:t>
        </m:r>
        <m:r>
          <m:rPr>
            <m:sty m:val="p"/>
          </m:rPr>
          <m:t>=</m:t>
        </m:r>
        <m:r>
          <m:t>B</m:t>
        </m:r>
        <m:r>
          <m:t>x</m:t>
        </m:r>
      </m:oMath>
      <w:r>
        <w:t xml:space="preserve">, y la utilidad depende de las características. Su modelo, revisado, está en el anexo F, y su papel en la diferenciación de productos se estudia en</w:t>
      </w:r>
      <w:r>
        <w:t xml:space="preserve"> </w:t>
      </w:r>
      <w:r>
        <w:rPr>
          <w:rStyle w:val="Referenciaatema"/>
        </w:rPr>
        <w:t xml:space="preserve">[ver tema 3.A.18]</w:t>
      </w:r>
      <w:r>
        <w:t xml:space="preserve">; aquí es el antecedente de los precios hedónicos (III.3).</w:t>
      </w:r>
    </w:p>
    <w:p>
      <w:pPr>
        <w:numPr>
          <w:ilvl w:val="0"/>
          <w:numId w:val="1106"/>
        </w:numPr>
      </w:pPr>
      <w:r>
        <w:rPr>
          <w:b/>
          <w:bCs/>
          <w:i/>
          <w:iCs/>
        </w:rPr>
        <w:t xml:space="preserve">El modelo de</w:t>
      </w:r>
      <w:r>
        <w:rPr>
          <w:b/>
          <w:bCs/>
          <w:i/>
          <w:iCs/>
        </w:rPr>
        <w:t xml:space="preserve"> </w:t>
      </w:r>
      <w:r>
        <w:rPr>
          <w:b/>
          <w:bCs/>
          <w:i/>
          <w:iCs/>
          <w:smallCaps/>
        </w:rPr>
        <w:t xml:space="preserve">Becker</w:t>
      </w:r>
      <w:r>
        <w:t xml:space="preserve">: 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 sujeto a dos restricciones:</w:t>
      </w:r>
    </w:p>
    <w:p>
      <w:pPr>
        <w:pStyle w:val="BodyText"/>
      </w:pPr>
      <m:oMathPara>
        <m:oMathParaPr>
          <m:jc m:val="center"/>
        </m:oMathParaPr>
        <m:oMath>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r>
            <m:rPr>
              <m:sty m:val="p"/>
            </m:rPr>
            <m:t>,</m:t>
          </m:r>
          <m:r>
            <m:t>  </m:t>
          </m:r>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r>
            <m:rPr>
              <m:sty m:val="p"/>
            </m:rPr>
            <m:t>,</m:t>
          </m:r>
        </m:oMath>
      </m:oMathPara>
    </w:p>
    <w:p>
      <w:pPr>
        <w:numPr>
          <w:ilvl w:val="0"/>
          <w:numId w:val="1000"/>
        </w:numPr>
      </w:pPr>
      <w:r>
        <w:t xml:space="preserve">donde</w:t>
      </w:r>
      <w:r>
        <w:t xml:space="preserve"> </w:t>
      </w:r>
      <m:oMath>
        <m:sSub>
          <m:e>
            <m:r>
              <m:t>t</m:t>
            </m:r>
          </m:e>
          <m:sub>
            <m:r>
              <m:t>w</m:t>
            </m:r>
          </m:sub>
        </m:sSub>
      </m:oMath>
      <w:r>
        <w:t xml:space="preserve"> </w:t>
      </w:r>
      <w:r>
        <w:t xml:space="preserve">es el tiempo de trabajo en el mercado,</w:t>
      </w:r>
      <w:r>
        <w:t xml:space="preserve"> </w:t>
      </w:r>
      <m:oMath>
        <m:r>
          <m:t>w</m:t>
        </m:r>
      </m:oMath>
      <w:r>
        <w:t xml:space="preserve"> </w:t>
      </w:r>
      <w:r>
        <w:t xml:space="preserve">el salario,</w:t>
      </w:r>
      <w:r>
        <w:t xml:space="preserve"> </w:t>
      </w:r>
      <m:oMath>
        <m:bar>
          <m:barPr>
            <m:pos m:val="top"/>
          </m:barPr>
          <m:e>
            <m:r>
              <m:t>W</m:t>
            </m:r>
          </m:e>
        </m:bar>
      </m:oMath>
      <w:r>
        <w:t xml:space="preserve"> </w:t>
      </w:r>
      <w:r>
        <w:t xml:space="preserve">la renta no laboral (exógena) y</w:t>
      </w:r>
      <w:r>
        <w:t xml:space="preserve"> </w:t>
      </w:r>
      <m:oMath>
        <m:r>
          <m:t>T</m:t>
        </m:r>
      </m:oMath>
      <w:r>
        <w:t xml:space="preserve"> </w:t>
      </w:r>
      <w:r>
        <w:t xml:space="preserve">el tiempo total disponible. 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p>
    <w:p>
      <w:pPr>
        <w:pStyle w:val="BodyT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08"/>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w:t>
      </w:r>
      <w:r>
        <w:t xml:space="preserve"> </w:t>
      </w:r>
      <m:oMath>
        <m:sSub>
          <m:e>
            <m:r>
              <m:t>t</m:t>
            </m:r>
          </m:e>
          <m:sub>
            <m:r>
              <m:t>i</m:t>
            </m:r>
          </m:sub>
        </m:sSub>
        <m:r>
          <m:rPr>
            <m:sty m:val="p"/>
          </m:rPr>
          <m:t>=</m:t>
        </m:r>
        <m:sSub>
          <m:e>
            <m:r>
              <m:t>τ</m:t>
            </m:r>
          </m:e>
          <m:sub>
            <m:r>
              <m:t>i</m:t>
            </m:r>
          </m:sub>
        </m:sSub>
        <m:sSub>
          <m:e>
            <m:r>
              <m:t>Z</m:t>
            </m:r>
          </m:e>
          <m:sub>
            <m:r>
              <m:t>i</m:t>
            </m:r>
          </m:sub>
        </m:sSub>
      </m:oMath>
      <w:r>
        <w:t xml:space="preserve">),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t>τ</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p>
      <w:pPr>
        <w:numPr>
          <w:ilvl w:val="0"/>
          <w:numId w:val="1106"/>
        </w:numPr>
      </w:pPr>
      <w:r>
        <w:rPr>
          <w:b/>
          <w:bCs/>
          <w:i/>
          <w:iCs/>
        </w:rPr>
        <w:t xml:space="preserve">Implicaciones</w:t>
      </w:r>
      <w:r>
        <w:t xml:space="preserve">:</w:t>
      </w:r>
    </w:p>
    <w:p>
      <w:pPr>
        <w:numPr>
          <w:ilvl w:val="1"/>
          <w:numId w:val="1109"/>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se estudia desde la oferta de trabajo en</w:t>
      </w:r>
      <w:r>
        <w:t xml:space="preserve"> </w:t>
      </w:r>
      <w:r>
        <w:rPr>
          <w:rStyle w:val="Referenciaatema"/>
        </w:rPr>
        <w:t xml:space="preserve">[ver tema 3.A.25]</w:t>
      </w:r>
      <w:r>
        <w:t xml:space="preserve">.</w:t>
      </w:r>
    </w:p>
    <w:p>
      <w:pPr>
        <w:numPr>
          <w:ilvl w:val="1"/>
          <w:numId w:val="1109"/>
        </w:numPr>
      </w:pPr>
      <w:r>
        <w:t xml:space="preserve">Un cambio de precios afecta a la demanda de bienes también a través de la tecnología del hogar, lo que da lugar a nuevos efectos sustitución.</w:t>
      </w:r>
    </w:p>
    <w:p>
      <w:pPr>
        <w:numPr>
          <w:ilvl w:val="1"/>
          <w:numId w:val="1109"/>
        </w:numPr>
      </w:pPr>
      <w:r>
        <w:t xml:space="preserve">Gronau (</w:t>
      </w:r>
      <w:hyperlink w:anchor="ref-Gronau1977Leisure">
        <w:r>
          <w:rPr>
            <w:rStyle w:val="Hyperlink"/>
          </w:rPr>
          <w:t xml:space="preserve">1977</w:t>
        </w:r>
      </w:hyperlink>
      <w:r>
        <w:t xml:space="preserve">)</w:t>
      </w:r>
      <w:r>
        <w:t xml:space="preserve"> </w:t>
      </w:r>
      <w:r>
        <w:t xml:space="preserve">distingue entre trabajo doméstico y ocio: el tiempo no dedicado al mercado no es todo ocio.</w:t>
      </w:r>
    </w:p>
    <w:p>
      <w:pPr>
        <w:numPr>
          <w:ilvl w:val="0"/>
          <w:numId w:val="1106"/>
        </w:numPr>
      </w:pPr>
      <w:r>
        <w:rPr>
          <w:b/>
          <w:bCs/>
          <w:i/>
          <w:iCs/>
        </w:rPr>
        <w:t xml:space="preserve">Valoración</w:t>
      </w:r>
      <w:r>
        <w:t xml:space="preserve">: 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bookmarkEnd w:id="200"/>
    <w:bookmarkStart w:id="211" w:name="precios-hedónicos"/>
    <w:p>
      <w:pPr>
        <w:pStyle w:val="Heading2"/>
      </w:pPr>
      <w:r>
        <w:t xml:space="preserve">III.3.</w:t>
      </w:r>
      <w:r>
        <w:t xml:space="preserve"> </w:t>
      </w:r>
      <w:r>
        <w:t xml:space="preserve">Precios hedónicos</w:t>
      </w:r>
    </w:p>
    <w:bookmarkStart w:id="201" w:name="idea-y-origen"/>
    <w:p>
      <w:pPr>
        <w:pStyle w:val="Heading3"/>
      </w:pPr>
      <w:r>
        <w:t xml:space="preserve">III.3.1.</w:t>
      </w:r>
      <w:r>
        <w:t xml:space="preserve"> </w:t>
      </w:r>
      <w:r>
        <w:t xml:space="preserve">Idea y origen</w:t>
      </w:r>
    </w:p>
    <w:p>
      <w:pPr>
        <w:numPr>
          <w:ilvl w:val="0"/>
          <w:numId w:val="1110"/>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11"/>
        </w:numPr>
      </w:pPr>
      <w:r>
        <w:t xml:space="preserve">Su fundamento es el enfoque de características de</w:t>
      </w:r>
      <w:r>
        <w:t xml:space="preserve"> </w:t>
      </w:r>
      <w:r>
        <w:rPr>
          <w:smallCaps/>
        </w:rPr>
        <w:t xml:space="preserve">Lancaster</w:t>
      </w:r>
      <w:r>
        <w:t xml:space="preserve"> </w:t>
      </w:r>
      <w:r>
        <w:t xml:space="preserve">(III.2 y anexo F):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11"/>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11"/>
        </w:numPr>
      </w:pPr>
      <w:r>
        <w:t xml:space="preserve">Court (</w:t>
      </w:r>
      <w:hyperlink w:anchor="ref-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Goodman1998Court">
        <w:r>
          <w:rPr>
            <w:rStyle w:val="Hyperlink"/>
          </w:rPr>
          <w:t xml:space="preserve">Goodman 1998</w:t>
        </w:r>
      </w:hyperlink>
      <w:r>
        <w:t xml:space="preserve">)</w:t>
      </w:r>
      <w:r>
        <w:t xml:space="preserve">;</w:t>
      </w:r>
      <w:r>
        <w:t xml:space="preserve"> </w:t>
      </w:r>
      <w:r>
        <w:t xml:space="preserve">Griliches (</w:t>
      </w:r>
      <w:hyperlink w:anchor="ref-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Griliches1971Price">
        <w:r>
          <w:rPr>
            <w:rStyle w:val="Hyperlink"/>
          </w:rPr>
          <w:t xml:space="preserve">Griliches 1971</w:t>
        </w:r>
      </w:hyperlink>
      <w:r>
        <w:t xml:space="preserve">)</w:t>
      </w:r>
      <w:r>
        <w:t xml:space="preserve">, y</w:t>
      </w:r>
      <w:r>
        <w:t xml:space="preserve"> </w:t>
      </w:r>
      <w:r>
        <w:t xml:space="preserve">Rosen (</w:t>
      </w:r>
      <w:hyperlink w:anchor="ref-Rosen1974Hedonic">
        <w:r>
          <w:rPr>
            <w:rStyle w:val="Hyperlink"/>
          </w:rPr>
          <w:t xml:space="preserve">1974</w:t>
        </w:r>
      </w:hyperlink>
      <w:r>
        <w:t xml:space="preserve">)</w:t>
      </w:r>
      <w:r>
        <w:t xml:space="preserve"> </w:t>
      </w:r>
      <w:r>
        <w:t xml:space="preserve">le da fundamento teórico.</w:t>
      </w:r>
    </w:p>
    <w:bookmarkEnd w:id="201"/>
    <w:bookmarkStart w:id="206" w:name="la-función-hedónica-y-el-modelo-de-rosen"/>
    <w:p>
      <w:pPr>
        <w:pStyle w:val="Heading3"/>
      </w:pPr>
      <w:r>
        <w:t xml:space="preserve">III.3.2.</w:t>
      </w:r>
      <w:r>
        <w:t xml:space="preserve"> </w:t>
      </w:r>
      <w:r>
        <w:t xml:space="preserve">La función hedónica y el modelo de Rosen</w:t>
      </w:r>
    </w:p>
    <w:p>
      <w:pPr>
        <w:numPr>
          <w:ilvl w:val="0"/>
          <w:numId w:val="1112"/>
        </w:numPr>
      </w:pPr>
      <w:r>
        <w:t xml:space="preserve">Si un bien se describe por un vector de características</w:t>
      </w:r>
      <w:r>
        <w:t xml:space="preserve"> </w:t>
      </w:r>
      <m:oMath>
        <m:r>
          <m:t>z</m:t>
        </m:r>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r>
              <m:t>z</m:t>
            </m:r>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05" w:name="fig:funcion-hedonica-rosen"/>
    <w:p>
      <w:pPr>
        <w:pStyle w:val="ImageCaption"/>
      </w:pPr>
      <w:r>
        <w:t xml:space="preserve">Gráfico 21.–</w:t>
      </w:r>
      <w:r>
        <w:t xml:space="preserve"> </w:t>
      </w:r>
      <w:r>
        <w:t xml:space="preserve">La función hedónica como envolvente de curvas de puja y de oferta (Rosen, 1974)</w:t>
      </w:r>
    </w:p>
    <w:p>
      <w:pPr>
        <w:pStyle w:val="CaptionedFigure"/>
      </w:pPr>
      <w:r>
        <w:drawing>
          <wp:inline>
            <wp:extent cx="2929749" cy="2455729"/>
            <wp:effectExtent b="0" l="0" r="0" t="0"/>
            <wp:docPr descr="" title="" id="203" name="Picture"/>
            <a:graphic>
              <a:graphicData uri="http://schemas.openxmlformats.org/drawingml/2006/picture">
                <pic:pic>
                  <pic:nvPicPr>
                    <pic:cNvPr descr="C:\Users\vgutierrez\Documents\src\victorgutierrezmarcos.github.io-revision\oposicion\temario\fuentes\3A08\graficos/funcion-hedonica-rosen.png" id="204" name="Picture"/>
                    <pic:cNvPicPr>
                      <a:picLocks noChangeArrowheads="1" noChangeAspect="1"/>
                    </pic:cNvPicPr>
                  </pic:nvPicPr>
                  <pic:blipFill>
                    <a:blip r:embed="rId202"/>
                    <a:stretch>
                      <a:fillRect/>
                    </a:stretch>
                  </pic:blipFill>
                  <pic:spPr bwMode="auto">
                    <a:xfrm>
                      <a:off x="0" y="0"/>
                      <a:ext cx="2929749" cy="2455729"/>
                    </a:xfrm>
                    <a:prstGeom prst="rect">
                      <a:avLst/>
                    </a:prstGeom>
                    <a:noFill/>
                    <a:ln w="9525">
                      <a:noFill/>
                      <a:headEnd/>
                      <a:tailEnd/>
                    </a:ln>
                  </pic:spPr>
                </pic:pic>
              </a:graphicData>
            </a:graphic>
          </wp:inline>
        </w:drawing>
      </w:r>
    </w:p>
    <w:bookmarkEnd w:id="205"/>
    <w:p>
      <w:pPr>
        <w:pStyle w:val="Piedeimagen"/>
      </w:pPr>
      <w:r>
        <w:t xml:space="preserve">Fuente: elaboración propia basada en</w:t>
      </w:r>
      <w:r>
        <w:t xml:space="preserve"> </w:t>
      </w:r>
      <w:r>
        <w:t xml:space="preserve">Rosen (</w:t>
      </w:r>
      <w:hyperlink w:anchor="ref-Rosen1974Hedonic">
        <w:r>
          <w:rPr>
            <w:rStyle w:val="Hyperlink"/>
          </w:rPr>
          <w:t xml:space="preserve">1974</w:t>
        </w:r>
      </w:hyperlink>
      <w:r>
        <w:t xml:space="preserve">)</w:t>
      </w:r>
      <w:r>
        <w:t xml:space="preserve">.</w:t>
      </w:r>
    </w:p>
    <w:p>
      <w:pPr>
        <w:numPr>
          <w:ilvl w:val="0"/>
          <w:numId w:val="1113"/>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14"/>
        </w:numPr>
      </w:pPr>
      <w:r>
        <w:rPr>
          <w:i/>
          <w:iCs/>
        </w:rPr>
        <w:t xml:space="preserve">Demanda</w:t>
      </w:r>
      <w:r>
        <w:t xml:space="preserve">: el consumidor maximiza</w:t>
      </w:r>
      <w:r>
        <w:t xml:space="preserve"> </w:t>
      </w:r>
      <m:oMath>
        <m:r>
          <m:t>U</m:t>
        </m:r>
        <m:d>
          <m:dPr>
            <m:begChr m:val="("/>
            <m:sepChr m:val=""/>
            <m:endChr m:val=")"/>
            <m:grow/>
          </m:dPr>
          <m:e>
            <m:r>
              <m:t>z</m:t>
            </m:r>
            <m:r>
              <m:rPr>
                <m:sty m:val="p"/>
              </m:rPr>
              <m:t>,</m:t>
            </m:r>
            <m:r>
              <m:t>y</m:t>
            </m:r>
          </m:e>
        </m:d>
      </m:oMath>
      <w:r>
        <w:t xml:space="preserve">, con</w:t>
      </w:r>
      <w:r>
        <w:t xml:space="preserve"> </w:t>
      </w:r>
      <m:oMath>
        <m:r>
          <m:t>y</m:t>
        </m:r>
      </m:oMath>
      <w:r>
        <w:t xml:space="preserve"> </w:t>
      </w:r>
      <w:r>
        <w:t xml:space="preserve">un bien numerario, sujeto a</w:t>
      </w:r>
      <w:r>
        <w:t xml:space="preserve"> </w:t>
      </w:r>
      <m:oMath>
        <m:r>
          <m:t>p</m:t>
        </m:r>
        <m:d>
          <m:dPr>
            <m:begChr m:val="("/>
            <m:sepChr m:val=""/>
            <m:endChr m:val=")"/>
            <m:grow/>
          </m:dPr>
          <m:e>
            <m:r>
              <m:t>z</m:t>
            </m:r>
          </m:e>
        </m:d>
        <m:r>
          <m:rPr>
            <m:sty m:val="p"/>
          </m:rPr>
          <m:t>+</m:t>
        </m:r>
        <m:r>
          <m:t>y</m:t>
        </m:r>
        <m:r>
          <m:rPr>
            <m:sty m:val="p"/>
          </m:rPr>
          <m:t>=</m:t>
        </m:r>
        <m:bar>
          <m:barPr>
            <m:pos m:val="top"/>
          </m:barPr>
          <m:e>
            <m:r>
              <m:t>W</m:t>
            </m:r>
          </m:e>
        </m:bar>
      </m:oMath>
      <w:r>
        <w:t xml:space="preserve">. En el óptimo, para cada característica,</w:t>
      </w:r>
    </w:p>
    <w:p>
      <w:pPr>
        <w:pStyle w:val="BodyT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r>
                    <m:t>z</m:t>
                  </m:r>
                </m:e>
              </m:d>
            </m:num>
            <m:den>
              <m:r>
                <m:rPr>
                  <m:sty m:val="p"/>
                </m:rPr>
                <m:t>∂</m:t>
              </m:r>
              <m:sSub>
                <m:e>
                  <m:r>
                    <m:t>z</m:t>
                  </m:r>
                </m:e>
                <m:sub>
                  <m:r>
                    <m:t>j</m:t>
                  </m:r>
                </m:sub>
              </m:sSub>
            </m:den>
          </m:f>
          <m:r>
            <m:rPr>
              <m:sty m:val="p"/>
            </m:rPr>
            <m:t>:</m:t>
          </m:r>
        </m:oMath>
      </m:oMathPara>
    </w:p>
    <w:p>
      <w:pPr>
        <w:numPr>
          <w:ilvl w:val="1"/>
          <w:numId w:val="1000"/>
        </w:numPr>
      </w:pPr>
      <w:r>
        <w:t xml:space="preserve">la relación marginal de sustitución entre la característica y el numerario se iguala a su precio implícito. Es la misma condición de tangencia del apartado I.2 (ecuación (13)), ahora sobre una «restricción presupuestaria» no lineal,</w:t>
      </w:r>
      <w:r>
        <w:t xml:space="preserve"> </w:t>
      </w:r>
      <m:oMath>
        <m:r>
          <m:t>p</m:t>
        </m:r>
        <m:d>
          <m:dPr>
            <m:begChr m:val="("/>
            <m:sepChr m:val=""/>
            <m:endChr m:val=")"/>
            <m:grow/>
          </m:dPr>
          <m:e>
            <m:r>
              <m:t>z</m:t>
            </m:r>
          </m:e>
        </m:d>
      </m:oMath>
      <w:r>
        <w:t xml:space="preserve">.</w:t>
      </w:r>
    </w:p>
    <w:p>
      <w:pPr>
        <w:numPr>
          <w:ilvl w:val="1"/>
          <w:numId w:val="1114"/>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r>
              <m:t>z</m:t>
            </m:r>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r>
          <m:t>z</m:t>
        </m:r>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r>
              <m:t>z</m:t>
            </m:r>
            <m:r>
              <m:rPr>
                <m:sty m:val="p"/>
              </m:rPr>
              <m:t>;</m:t>
            </m:r>
            <m:r>
              <m:t>B</m:t>
            </m:r>
          </m:e>
        </m:d>
      </m:oMath>
      <w:r>
        <w:t xml:space="preserve">, lo mínimo que aceptaría por cada</w:t>
      </w:r>
      <w:r>
        <w:t xml:space="preserve"> </w:t>
      </w:r>
      <m:oMath>
        <m:r>
          <m:t>z</m:t>
        </m:r>
      </m:oMath>
      <w:r>
        <w:t xml:space="preserve"> </w:t>
      </w:r>
      <w:r>
        <w:t xml:space="preserve">obteniendo un beneficio</w:t>
      </w:r>
      <w:r>
        <w:t xml:space="preserve"> </w:t>
      </w:r>
      <m:oMath>
        <m:r>
          <m:t>B</m:t>
        </m:r>
      </m:oMath>
      <w:r>
        <w:t xml:space="preserve">.</w:t>
      </w:r>
    </w:p>
    <w:p>
      <w:pPr>
        <w:numPr>
          <w:ilvl w:val="1"/>
          <w:numId w:val="1114"/>
        </w:numPr>
      </w:pPr>
      <w:r>
        <w:rPr>
          <w:i/>
          <w:iCs/>
        </w:rPr>
        <w:t xml:space="preserve">Equilibrio</w:t>
      </w:r>
      <w:r>
        <w:t xml:space="preserve">: la función hedónica</w:t>
      </w:r>
      <w:r>
        <w:t xml:space="preserve"> </w:t>
      </w:r>
      <m:oMath>
        <m:r>
          <m:t>p</m:t>
        </m:r>
        <m:d>
          <m:dPr>
            <m:begChr m:val="("/>
            <m:sepChr m:val=""/>
            <m:endChr m:val=")"/>
            <m:grow/>
          </m:dPr>
          <m:e>
            <m:r>
              <m:t>z</m:t>
            </m:r>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r>
              <m:t>z</m:t>
            </m:r>
          </m:e>
        </m:d>
      </m:oMath>
      <w:r>
        <w:t xml:space="preserve"> </w:t>
      </w:r>
      <w:r>
        <w:t xml:space="preserve">(gráfico 21). Por eso</w:t>
      </w:r>
      <w:r>
        <w:t xml:space="preserve"> </w:t>
      </w:r>
      <m:oMath>
        <m:r>
          <m:t>p</m:t>
        </m:r>
        <m:d>
          <m:dPr>
            <m:begChr m:val="("/>
            <m:sepChr m:val=""/>
            <m:endChr m:val=")"/>
            <m:grow/>
          </m:dPr>
          <m:e>
            <m:r>
              <m:t>z</m:t>
            </m:r>
          </m:e>
        </m:d>
      </m:oMath>
      <w:r>
        <w:t xml:space="preserve"> </w:t>
      </w:r>
      <w:r>
        <w:t xml:space="preserve">no es una curva de demanda ni de oferta, sino un lugar geométrico de equilibrios.</w:t>
      </w:r>
    </w:p>
    <w:bookmarkEnd w:id="206"/>
    <w:bookmarkStart w:id="207" w:name="estimación"/>
    <w:p>
      <w:pPr>
        <w:pStyle w:val="Heading3"/>
      </w:pPr>
      <w:r>
        <w:t xml:space="preserve">III.3.3.</w:t>
      </w:r>
      <w:r>
        <w:t xml:space="preserve"> </w:t>
      </w:r>
      <w:r>
        <w:t xml:space="preserve">Estimación</w:t>
      </w:r>
    </w:p>
    <w:p>
      <w:pPr>
        <w:numPr>
          <w:ilvl w:val="0"/>
          <w:numId w:val="1115"/>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0"/>
          <w:numId w:val="1115"/>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EkelandHeckmanNesheim2004">
        <w:r>
          <w:rPr>
            <w:rStyle w:val="Hyperlink"/>
          </w:rPr>
          <w:t xml:space="preserve">Ekeland, Heckman y Nesheim 2004</w:t>
        </w:r>
      </w:hyperlink>
      <w:r>
        <w:t xml:space="preserve">)</w:t>
      </w:r>
      <w:r>
        <w:t xml:space="preserve">.</w:t>
      </w:r>
    </w:p>
    <w:bookmarkEnd w:id="207"/>
    <w:bookmarkStart w:id="209" w:name="aplicaciones"/>
    <w:p>
      <w:pPr>
        <w:pStyle w:val="Heading3"/>
      </w:pPr>
      <w:r>
        <w:t xml:space="preserve">III.3.4.</w:t>
      </w:r>
      <w:r>
        <w:t xml:space="preserve"> </w:t>
      </w:r>
      <w:r>
        <w:t xml:space="preserve">Aplicaciones</w:t>
      </w:r>
    </w:p>
    <w:p>
      <w:pPr>
        <w:numPr>
          <w:ilvl w:val="0"/>
          <w:numId w:val="1116"/>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17"/>
        </w:numPr>
      </w:pPr>
      <w:r>
        <w:t xml:space="preserve">El informe de</w:t>
      </w:r>
      <w:r>
        <w:t xml:space="preserve"> </w:t>
      </w:r>
      <w:r>
        <w:t xml:space="preserve">Boskin et al. (</w:t>
      </w:r>
      <w:hyperlink w:anchor="ref-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17"/>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Eurostat2024HICPManual">
        <w:r>
          <w:rPr>
            <w:rStyle w:val="Hyperlink"/>
          </w:rPr>
          <w:t xml:space="preserve">Eurostat 2024</w:t>
        </w:r>
      </w:hyperlink>
      <w:r>
        <w:t xml:space="preserve">;</w:t>
      </w:r>
      <w:r>
        <w:t xml:space="preserve"> </w:t>
      </w:r>
      <w:hyperlink w:anchor="ref-Triplett2006Handbook">
        <w:r>
          <w:rPr>
            <w:rStyle w:val="Hyperlink"/>
          </w:rPr>
          <w:t xml:space="preserve">Triplett 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BLS2026QualityAdjustment">
        <w:r>
          <w:rPr>
            <w:rStyle w:val="Hyperlink"/>
          </w:rPr>
          <w:t xml:space="preserve">U.S. Bureau of Labor Statistics 2026</w:t>
        </w:r>
      </w:hyperlink>
      <w:r>
        <w:t xml:space="preserve">)</w:t>
      </w:r>
      <w:r>
        <w:t xml:space="preserve">. El IPC español, en cambio, recurre sobre todo a los precios de solapamiento, la opinión de expertos y la imputación</w:t>
      </w:r>
      <w:r>
        <w:t xml:space="preserve"> </w:t>
      </w:r>
      <w:r>
        <w:t xml:space="preserve">(</w:t>
      </w:r>
      <w:hyperlink w:anchor="ref-INE2026IPCMetodologia">
        <w:r>
          <w:rPr>
            <w:rStyle w:val="Hyperlink"/>
          </w:rPr>
          <w:t xml:space="preserve">Instituto Nacional de Estadística 2026c, 40-41</w:t>
        </w:r>
      </w:hyperlink>
      <w:r>
        <w:t xml:space="preserve">)</w:t>
      </w:r>
      <w:r>
        <w:t xml:space="preserve">.</w:t>
      </w:r>
    </w:p>
    <w:p>
      <w:pPr>
        <w:numPr>
          <w:ilvl w:val="1"/>
          <w:numId w:val="1117"/>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INE2026IPVMetodologia">
        <w:r>
          <w:rPr>
            <w:rStyle w:val="Hyperlink"/>
          </w:rPr>
          <w:t xml:space="preserve">Instituto Nacional de Estadística 2026d</w:t>
        </w:r>
      </w:hyperlink>
      <w:r>
        <w:t xml:space="preserve">)</w:t>
      </w:r>
      <w:r>
        <w:t xml:space="preserve">.</w:t>
      </w:r>
    </w:p>
    <w:p>
      <w:pPr>
        <w:numPr>
          <w:ilvl w:val="0"/>
          <w:numId w:val="1116"/>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08"/>
      </w:r>
      <w:r>
        <w:t xml:space="preserve"> </w:t>
      </w:r>
      <w:r>
        <w:t xml:space="preserve">Es una herramienta habitual del análisis coste-beneficio</w:t>
      </w:r>
      <w:r>
        <w:t xml:space="preserve"> </w:t>
      </w:r>
      <w:r>
        <w:rPr>
          <w:rStyle w:val="Referenciaatema"/>
        </w:rPr>
        <w:t xml:space="preserve">[ver tema 4.B.6]</w:t>
      </w:r>
      <w:r>
        <w:t xml:space="preserve">.</w:t>
      </w:r>
    </w:p>
    <w:p>
      <w:pPr>
        <w:numPr>
          <w:ilvl w:val="0"/>
          <w:numId w:val="1116"/>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09"/>
    <w:bookmarkStart w:id="210" w:name="limitaciones"/>
    <w:p>
      <w:pPr>
        <w:pStyle w:val="Heading3"/>
      </w:pPr>
      <w:r>
        <w:t xml:space="preserve">III.3.5.</w:t>
      </w:r>
      <w:r>
        <w:t xml:space="preserve"> </w:t>
      </w:r>
      <w:r>
        <w:t xml:space="preserve">Limitaciones</w:t>
      </w:r>
    </w:p>
    <w:p>
      <w:pPr>
        <w:numPr>
          <w:ilvl w:val="0"/>
          <w:numId w:val="1118"/>
        </w:numPr>
      </w:pPr>
      <w:r>
        <w:t xml:space="preserve">El resultado depende de la forma funcional y de las características que se incluyan (sesgo por variables omitidas, multicolinealidad entre características).</w:t>
      </w:r>
    </w:p>
    <w:p>
      <w:pPr>
        <w:numPr>
          <w:ilvl w:val="0"/>
          <w:numId w:val="1118"/>
        </w:numPr>
      </w:pPr>
      <w:r>
        <w:t xml:space="preserve">La segunda etapa está mal identificada.</w:t>
      </w:r>
    </w:p>
    <w:p>
      <w:pPr>
        <w:numPr>
          <w:ilvl w:val="0"/>
          <w:numId w:val="1118"/>
        </w:numPr>
      </w:pPr>
      <w:r>
        <w:t xml:space="preserve">Supone un mercado en equilibrio, competitivo y con información perfecta sobre las características, algo dudoso, por ejemplo, en la vivienda.</w:t>
      </w:r>
    </w:p>
    <w:p>
      <w:pPr>
        <w:numPr>
          <w:ilvl w:val="0"/>
          <w:numId w:val="1118"/>
        </w:numPr>
      </w:pPr>
      <w:r>
        <w:t xml:space="preserve">Los precios implícitos son marginales: no sirven para valorar cambios grandes.</w:t>
      </w:r>
    </w:p>
    <w:p>
      <w:pPr>
        <w:pStyle w:val="Ideaclave"/>
      </w:pPr>
      <w:r>
        <w:t xml:space="preserve">Los tres desarrollos acercan la teoría a lo observable: la preferencia revelada reconstruye las preferencias a partir de las elecciones y permite contrastarlas con datos (Afriat); la producción doméstica introduce el coste del tiempo, y los precios hedónicos miden cuánto se paga por cada característica de un bien.</w:t>
      </w:r>
    </w:p>
    <w:bookmarkEnd w:id="210"/>
    <w:bookmarkEnd w:id="211"/>
    <w:bookmarkEnd w:id="212"/>
    <w:bookmarkStart w:id="215" w:name="conclusión"/>
    <w:p>
      <w:pPr>
        <w:pStyle w:val="Heading1"/>
      </w:pPr>
      <w:r>
        <w:t xml:space="preserve">Conclusión</w:t>
      </w:r>
    </w:p>
    <w:p>
      <w:pPr>
        <w:numPr>
          <w:ilvl w:val="0"/>
          <w:numId w:val="1119"/>
        </w:numPr>
      </w:pPr>
      <w:r>
        <w:rPr>
          <w:b/>
          <w:bCs/>
          <w:i/>
          <w:iCs/>
        </w:rPr>
        <w:t xml:space="preserve">Recapitulación</w:t>
      </w:r>
      <w:r>
        <w:t xml:space="preserve">:</w:t>
      </w:r>
    </w:p>
    <w:p>
      <w:pPr>
        <w:numPr>
          <w:ilvl w:val="1"/>
          <w:numId w:val="1120"/>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(I).</w:t>
      </w:r>
    </w:p>
    <w:p>
      <w:pPr>
        <w:numPr>
          <w:ilvl w:val="1"/>
          <w:numId w:val="1120"/>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(II).</w:t>
      </w:r>
    </w:p>
    <w:p>
      <w:pPr>
        <w:numPr>
          <w:ilvl w:val="1"/>
          <w:numId w:val="1120"/>
        </w:numPr>
      </w:pPr>
      <w:r>
        <w:t xml:space="preserve">Y hemos visto tres desarrollos que acercan la teoría a lo observable: la preferencia revelada, la producción doméstica y los precios hedónicos (III).</w:t>
      </w:r>
    </w:p>
    <w:p>
      <w:pPr>
        <w:numPr>
          <w:ilvl w:val="0"/>
          <w:numId w:val="1119"/>
        </w:numPr>
      </w:pPr>
      <w:r>
        <w:rPr>
          <w:b/>
          <w:bCs/>
          <w:i/>
          <w:iCs/>
        </w:rPr>
        <w:t xml:space="preserve">Valoración</w:t>
      </w:r>
      <w:r>
        <w:t xml:space="preserve">:</w:t>
      </w:r>
    </w:p>
    <w:p>
      <w:pPr>
        <w:numPr>
          <w:ilvl w:val="1"/>
          <w:numId w:val="1121"/>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r>
        <w:rPr>
          <w:rStyle w:val="Referenciaatema"/>
        </w:rPr>
        <w:t xml:space="preserve">[ver tema 3.A.9]</w:t>
      </w:r>
      <w:r>
        <w:t xml:space="preserve"> </w:t>
      </w:r>
      <w:r>
        <w:t xml:space="preserve">puede recorrerse el camino inverso, de la conducta observada a unas preferencias que la generan.</w:t>
      </w:r>
    </w:p>
    <w:p>
      <w:pPr>
        <w:numPr>
          <w:ilvl w:val="1"/>
          <w:numId w:val="1121"/>
        </w:numPr>
      </w:pPr>
      <w:r>
        <w:t xml:space="preserve">Su estatus empírico es más discutible:</w:t>
      </w:r>
    </w:p>
    <w:p>
      <w:pPr>
        <w:numPr>
          <w:ilvl w:val="2"/>
          <w:numId w:val="1122"/>
        </w:numPr>
      </w:pPr>
      <w:r>
        <w:t xml:space="preserve">las restricciones de homogeneidad y simetría se han rechazado con frecuencia al estimar sistemas de demanda con datos agregados, en parte por los problemas de agregación (I.3)</w:t>
      </w:r>
      <w:r>
        <w:t xml:space="preserve"> </w:t>
      </w:r>
      <w:r>
        <w:t xml:space="preserve">(</w:t>
      </w:r>
      <w:hyperlink w:anchor="ref-DeatonMuellbauer1980AIDS">
        <w:r>
          <w:rPr>
            <w:rStyle w:val="Hyperlink"/>
          </w:rPr>
          <w:t xml:space="preserve">Deaton y Muellbauer 1980a</w:t>
        </w:r>
      </w:hyperlink>
      <w:r>
        <w:t xml:space="preserve">)</w:t>
      </w:r>
      <w:r>
        <w:t xml:space="preserve">;</w:t>
      </w:r>
    </w:p>
    <w:p>
      <w:pPr>
        <w:numPr>
          <w:ilvl w:val="2"/>
          <w:numId w:val="1122"/>
        </w:numPr>
      </w:pPr>
      <w:r>
        <w:t xml:space="preserve">Friedman (</w:t>
      </w:r>
      <w:hyperlink w:anchor="ref-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22"/>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t xml:space="preserve">Simon (</w:t>
      </w:r>
      <w:hyperlink w:anchor="ref-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t xml:space="preserve">Kahneman y Tversky (</w:t>
      </w:r>
      <w:hyperlink w:anchor="ref-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t xml:space="preserve">Thaler (</w:t>
      </w:r>
      <w:hyperlink w:anchor="ref-Thaler1980Positive">
        <w:r>
          <w:rPr>
            <w:rStyle w:val="Hyperlink"/>
          </w:rPr>
          <w:t xml:space="preserve">1980</w:t>
        </w:r>
      </w:hyperlink>
      <w:r>
        <w:t xml:space="preserve">,</w:t>
      </w:r>
      <w:r>
        <w:t xml:space="preserve"> </w:t>
      </w:r>
      <w:hyperlink w:anchor="ref-Thaler1985Mental">
        <w:r>
          <w:rPr>
            <w:rStyle w:val="Hyperlink"/>
          </w:rPr>
          <w:t xml:space="preserve">1985</w:t>
        </w:r>
      </w:hyperlink>
      <w:r>
        <w:t xml:space="preserve">)</w:t>
      </w:r>
      <w:r>
        <w:t xml:space="preserve">;</w:t>
      </w:r>
      <w:r>
        <w:rPr>
          <w:rStyle w:val="FootnoteReference"/>
        </w:rPr>
        <w:footnoteReference w:id="213"/>
      </w:r>
    </w:p>
    <w:p>
      <w:pPr>
        <w:numPr>
          <w:ilvl w:val="2"/>
          <w:numId w:val="1122"/>
        </w:numPr>
      </w:pPr>
      <w:r>
        <w:t xml:space="preserve">y</w:t>
      </w:r>
      <w:r>
        <w:t xml:space="preserve"> </w:t>
      </w:r>
      <w:r>
        <w:t xml:space="preserve">Sen (</w:t>
      </w:r>
      <w:hyperlink w:anchor="ref-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21"/>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numPr>
          <w:ilvl w:val="0"/>
          <w:numId w:val="1119"/>
        </w:numPr>
      </w:pPr>
      <w:r>
        <w:rPr>
          <w:b/>
          <w:bCs/>
          <w:i/>
          <w:iCs/>
        </w:rPr>
        <w:t xml:space="preserve">Extensiones y relación con otras partes del temario</w:t>
      </w:r>
      <w:r>
        <w:t xml:space="preserve">:</w:t>
      </w:r>
    </w:p>
    <w:p>
      <w:pPr>
        <w:numPr>
          <w:ilvl w:val="1"/>
          <w:numId w:val="1123"/>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D)</w:t>
      </w:r>
      <w:r>
        <w:t xml:space="preserve"> </w:t>
      </w:r>
      <w:r>
        <w:rPr>
          <w:rStyle w:val="Referenciaatema"/>
        </w:rPr>
        <w:t xml:space="preserve">[ver tema 3.A.9]</w:t>
      </w:r>
      <w:r>
        <w:t xml:space="preserve">.</w:t>
      </w:r>
      <w:r>
        <w:rPr>
          <w:rStyle w:val="FootnoteReference"/>
        </w:rPr>
        <w:footnoteReference w:id="214"/>
      </w:r>
    </w:p>
    <w:p>
      <w:pPr>
        <w:numPr>
          <w:ilvl w:val="1"/>
          <w:numId w:val="1123"/>
        </w:numPr>
      </w:pPr>
      <w:r>
        <w:t xml:space="preserve">La elección en condiciones de</w:t>
      </w:r>
      <w:r>
        <w:t xml:space="preserve"> </w:t>
      </w:r>
      <w:r>
        <w:rPr>
          <w:b/>
          <w:bCs/>
        </w:rPr>
        <w:t xml:space="preserve">riesgo e incertidumbre</w:t>
      </w:r>
      <w:r>
        <w:t xml:space="preserve"> </w:t>
      </w:r>
      <w:r>
        <w:rPr>
          <w:rStyle w:val="Referenciaatema"/>
        </w:rPr>
        <w:t xml:space="preserve">[ver tema 3.A.10]</w:t>
      </w:r>
      <w:r>
        <w:t xml:space="preserve"> </w:t>
      </w:r>
      <w:r>
        <w:t xml:space="preserve">y las decisiones</w:t>
      </w:r>
      <w:r>
        <w:t xml:space="preserve"> </w:t>
      </w:r>
      <w:r>
        <w:rPr>
          <w:b/>
          <w:bCs/>
        </w:rPr>
        <w:t xml:space="preserve">intertemporales</w:t>
      </w:r>
      <w:r>
        <w:t xml:space="preserve"> </w:t>
      </w:r>
      <w:r>
        <w:rPr>
          <w:rStyle w:val="Referenciaatema"/>
        </w:rPr>
        <w:t xml:space="preserve">[ver tema 3.A.29]</w:t>
      </w:r>
      <w:r>
        <w:t xml:space="preserve">, con su aplicación al consumo agregado y a los bienes duraderos</w:t>
      </w:r>
      <w:r>
        <w:t xml:space="preserve"> </w:t>
      </w:r>
      <w:r>
        <w:rPr>
          <w:rStyle w:val="Referenciaatema"/>
        </w:rPr>
        <w:t xml:space="preserve">[ver tema 3.A.33]</w:t>
      </w:r>
      <w:r>
        <w:t xml:space="preserve">.</w:t>
      </w:r>
    </w:p>
    <w:p>
      <w:pPr>
        <w:numPr>
          <w:ilvl w:val="1"/>
          <w:numId w:val="1123"/>
        </w:numPr>
      </w:pPr>
      <w:r>
        <w:t xml:space="preserve">La demanda de mercado es una pieza del</w:t>
      </w:r>
      <w:r>
        <w:t xml:space="preserve"> </w:t>
      </w:r>
      <w:r>
        <w:rPr>
          <w:b/>
          <w:bCs/>
        </w:rPr>
        <w:t xml:space="preserve">equilibrio parcial</w:t>
      </w:r>
      <w:r>
        <w:t xml:space="preserve"> </w:t>
      </w:r>
      <w:r>
        <w:rPr>
          <w:rStyle w:val="Referenciaatema"/>
        </w:rPr>
        <w:t xml:space="preserve">[ver tema 3.A.16]</w:t>
      </w:r>
      <w:r>
        <w:t xml:space="preserve"> </w:t>
      </w:r>
      <w:r>
        <w:t xml:space="preserve">y</w:t>
      </w:r>
      <w:r>
        <w:t xml:space="preserve"> </w:t>
      </w:r>
      <w:r>
        <w:rPr>
          <w:b/>
          <w:bCs/>
        </w:rPr>
        <w:t xml:space="preserve">general</w:t>
      </w:r>
      <w:r>
        <w:t xml:space="preserve"> </w:t>
      </w:r>
      <w:r>
        <w:rPr>
          <w:rStyle w:val="Referenciaatema"/>
        </w:rPr>
        <w:t xml:space="preserve">[ver tema 3.A.21]</w:t>
      </w:r>
      <w:r>
        <w:t xml:space="preserve">; la asignación del tiempo entre trabajo y ocio, de la</w:t>
      </w:r>
      <w:r>
        <w:t xml:space="preserve"> </w:t>
      </w:r>
      <w:r>
        <w:rPr>
          <w:b/>
          <w:bCs/>
        </w:rPr>
        <w:t xml:space="preserve">oferta de trabajo</w:t>
      </w:r>
      <w:r>
        <w:t xml:space="preserve"> </w:t>
      </w:r>
      <w:r>
        <w:rPr>
          <w:rStyle w:val="Referenciaatema"/>
        </w:rPr>
        <w:t xml:space="preserve">[ver tema 3.A.25]</w:t>
      </w:r>
      <w:r>
        <w:t xml:space="preserve">, y la demanda de características (anexo F), de la</w:t>
      </w:r>
      <w:r>
        <w:t xml:space="preserve"> </w:t>
      </w:r>
      <w:r>
        <w:rPr>
          <w:b/>
          <w:bCs/>
        </w:rPr>
        <w:t xml:space="preserve">diferenciación de productos</w:t>
      </w:r>
      <w:r>
        <w:t xml:space="preserve"> </w:t>
      </w:r>
      <w:r>
        <w:rPr>
          <w:rStyle w:val="Referenciaatema"/>
        </w:rPr>
        <w:t xml:space="preserve">[ver tema 3.A.18]</w:t>
      </w:r>
      <w:r>
        <w:t xml:space="preserve">.</w:t>
      </w:r>
    </w:p>
    <w:p>
      <w:pPr>
        <w:numPr>
          <w:ilvl w:val="1"/>
          <w:numId w:val="1123"/>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r>
        <w:rPr>
          <w:rStyle w:val="Referenciaatema"/>
        </w:rPr>
        <w:t xml:space="preserve">[ver tema 3.A.11]</w:t>
      </w:r>
      <w:r>
        <w:t xml:space="preserve">.</w:t>
      </w:r>
    </w:p>
    <w:p>
      <w:pPr>
        <w:numPr>
          <w:ilvl w:val="0"/>
          <w:numId w:val="1119"/>
        </w:numPr>
      </w:pPr>
      <w:r>
        <w:rPr>
          <w:b/>
          <w:bCs/>
          <w:i/>
          <w:iCs/>
        </w:rPr>
        <w:t xml:space="preserve">Idea final</w:t>
      </w:r>
      <w:r>
        <w:t xml:space="preserve">: la teoría de la demanda del consumidor es el primer ladrillo del análisis de los mercados: sin entender cómo eligen los consumidores no puede explicarse cómo se forman los precios, ni medirse la inflación con bienes cuya calidad cambia, ni valorarse el bienestar que una política gana o pierde.</w:t>
      </w:r>
    </w:p>
    <w:p>
      <w:r>
        <w:br w:type="page"/>
      </w:r>
    </w:p>
    <w:bookmarkEnd w:id="215"/>
    <w:bookmarkStart w:id="220" w:name="anexo: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I.2 y el gráfico de la superficie de utilidad (gráfico 6). Sirve para explicar en la pizarra, si lo pide el tribunal, por qué la restricción presupuestaria se satura y qué significa</w:t>
      </w:r>
      <w:r>
        <w:t xml:space="preserve"> </w:t>
      </w:r>
      <m:oMath>
        <m:r>
          <m:t>λ</m:t>
        </m:r>
      </m:oMath>
      <w:r>
        <w:t xml:space="preserve">.</w:t>
      </w:r>
    </w:p>
    <w:p>
      <w:pPr>
        <w:numPr>
          <w:ilvl w:val="0"/>
          <w:numId w:val="1124"/>
        </w:numPr>
      </w:pPr>
      <w:r>
        <w:t xml:space="preserve">Con dos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r>
              <m:t>p</m:t>
            </m:r>
            <m:r>
              <m:rPr>
                <m:sty m:val="p"/>
              </m:rPr>
              <m:t>,</m:t>
            </m:r>
            <m:bar>
              <m:barPr>
                <m:pos m:val="top"/>
              </m:barPr>
              <m:e>
                <m:r>
                  <m:t>W</m:t>
                </m:r>
              </m:e>
            </m:bar>
          </m:e>
        </m:d>
      </m:oMath>
      <w:r>
        <w:t xml:space="preserve">, un triángulo en ese plano. Resolver el PMU es buscar el punto más alto de la superficie entre los que están sobre ese triángulo (gráfico 22).</w:t>
      </w:r>
    </w:p>
    <w:p>
      <w:pPr>
        <w:numPr>
          <w:ilvl w:val="0"/>
          <w:numId w:val="1124"/>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r>
          <m:t>p</m:t>
        </m:r>
        <m:r>
          <m:rPr>
            <m:sty m:val="p"/>
          </m:rPr>
          <m:t>⋅</m:t>
        </m:r>
        <m:sSup>
          <m:e>
            <m:r>
              <m:t>x</m:t>
            </m:r>
          </m:e>
          <m:sup>
            <m:r>
              <m:rPr>
                <m:sty m:val="p"/>
              </m:rPr>
              <m:t>*</m:t>
            </m:r>
          </m:sup>
        </m:sSup>
        <m:r>
          <m:rPr>
            <m:sty m:val="p"/>
          </m:rPr>
          <m:t>&lt;</m:t>
        </m:r>
        <m:bar>
          <m:barPr>
            <m:pos m:val="top"/>
          </m:barPr>
          <m:e>
            <m:r>
              <m:t>W</m:t>
            </m:r>
          </m:e>
        </m:bar>
      </m:oMath>
      <w:r>
        <w:t xml:space="preserve">, y por la holgura complementaria (11)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24"/>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r>
          <m:t>p</m:t>
        </m:r>
        <m:r>
          <m:rPr>
            <m:sty m:val="p"/>
          </m:rPr>
          <m:t>⋅</m:t>
        </m:r>
        <m:sSup>
          <m:e>
            <m:r>
              <m:t>x</m:t>
            </m:r>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24"/>
        </w:numPr>
      </w:pPr>
      <w:r>
        <w:t xml:space="preserve">Por eso, con preferencias localmente insaciables, el PMU puede escribirse con la restricción en igualdad,</w:t>
      </w:r>
    </w:p>
    <w:p>
      <w:pPr>
        <w:pStyle w:val="BodyText"/>
      </w:pPr>
      <m:oMathPara>
        <m:oMathParaPr>
          <m:jc m:val="center"/>
        </m:oMathParaPr>
        <m:oMath>
          <m:limLow>
            <m:e>
              <m:r>
                <m:rPr>
                  <m:sty m:val="p"/>
                </m:rPr>
                <m:t>max</m:t>
              </m:r>
            </m:e>
            <m:lim>
              <m:r>
                <m:t>x</m:t>
              </m:r>
            </m:lim>
          </m:limLow>
          <m:r>
            <m:t> </m:t>
          </m:r>
          <m:r>
            <m:t>U</m:t>
          </m:r>
          <m:d>
            <m:dPr>
              <m:begChr m:val="("/>
              <m:sepChr m:val=""/>
              <m:endChr m:val=")"/>
              <m:grow/>
            </m:dPr>
            <m:e>
              <m:r>
                <m:t>x</m:t>
              </m:r>
            </m:e>
          </m:d>
          <m:r>
            <m:t> </m:t>
          </m:r>
          <m:r>
            <m:rPr>
              <m:nor/>
              <m:sty m:val="p"/>
            </m:rPr>
            <m:t>s.a.</m:t>
          </m:r>
          <m:r>
            <m:t> </m:t>
          </m:r>
          <m:r>
            <m:t>p</m:t>
          </m:r>
          <m:r>
            <m:rPr>
              <m:sty m:val="p"/>
            </m:rPr>
            <m:t>⋅</m:t>
          </m:r>
          <m:r>
            <m:t>x</m:t>
          </m:r>
          <m:r>
            <m:rPr>
              <m:sty m:val="p"/>
            </m:rPr>
            <m:t>=</m:t>
          </m:r>
          <m:bar>
            <m:barPr>
              <m:pos m:val="top"/>
            </m:barPr>
            <m:e>
              <m:r>
                <m:t>W</m:t>
              </m:r>
            </m:e>
          </m:bar>
          <m:r>
            <m:rPr>
              <m:sty m:val="p"/>
            </m:rPr>
            <m:t>,</m:t>
          </m:r>
          <m:r>
            <m:t> </m:t>
          </m:r>
          <m:r>
            <m:t>x</m:t>
          </m:r>
          <m:r>
            <m:rPr>
              <m:sty m:val="p"/>
            </m:rPr>
            <m:t>≥</m:t>
          </m:r>
          <m:r>
            <m:t>0</m:t>
          </m:r>
          <m:r>
            <m:rPr>
              <m:sty m:val="p"/>
            </m:rPr>
            <m:t>,</m:t>
          </m:r>
        </m:oMath>
      </m:oMathPara>
    </w:p>
    <w:p>
      <w:pPr>
        <w:numPr>
          <w:ilvl w:val="0"/>
          <w:numId w:val="1000"/>
        </w:numPr>
      </w:pPr>
      <w:r>
        <w:t xml:space="preserve">y resolverse con la lagrangiana (9) con la restricción de no negatividad. Proyectando los cortes horizontales de la superficie sobre el plano (gráfico 6), el punto más alto sobre la recta de balance es aquel en que la recta toca la curva de indiferencia más alta: la tangencia de la solución interior (13).</w:t>
      </w:r>
    </w:p>
    <w:bookmarkStart w:id="219" w:name="fig:pmu-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5027670" cy="3052077"/>
            <wp:effectExtent b="0" l="0" r="0" t="0"/>
            <wp:docPr descr="" title="" id="217" name="Picture"/>
            <a:graphic>
              <a:graphicData uri="http://schemas.openxmlformats.org/drawingml/2006/picture">
                <pic:pic>
                  <pic:nvPicPr>
                    <pic:cNvPr descr="C:\Users\vgutierrez\Documents\src\victorgutierrezmarcos.github.io-revision\oposicion\temario\fuentes\3A08\graficos/pmu-r3.png" id="218" name="Picture"/>
                    <pic:cNvPicPr>
                      <a:picLocks noChangeArrowheads="1" noChangeAspect="1"/>
                    </pic:cNvPicPr>
                  </pic:nvPicPr>
                  <pic:blipFill>
                    <a:blip r:embed="rId216"/>
                    <a:stretch>
                      <a:fillRect/>
                    </a:stretch>
                  </pic:blipFill>
                  <pic:spPr bwMode="auto">
                    <a:xfrm>
                      <a:off x="0" y="0"/>
                      <a:ext cx="5027670" cy="3052077"/>
                    </a:xfrm>
                    <a:prstGeom prst="rect">
                      <a:avLst/>
                    </a:prstGeom>
                    <a:noFill/>
                    <a:ln w="9525">
                      <a:noFill/>
                      <a:headEnd/>
                      <a:tailEnd/>
                    </a:ln>
                  </pic:spPr>
                </pic:pic>
              </a:graphicData>
            </a:graphic>
          </wp:inline>
        </w:drawing>
      </w:r>
    </w:p>
    <w:bookmarkEnd w:id="219"/>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párr. 3.D</w:t>
        </w:r>
      </w:hyperlink>
      <w:r>
        <w:t xml:space="preserve">)</w:t>
      </w:r>
      <w:r>
        <w:t xml:space="preserve"> </w:t>
      </w:r>
      <w:r>
        <w:t xml:space="preserve">y</w:t>
      </w:r>
      <w:r>
        <w:t xml:space="preserve"> </w:t>
      </w:r>
      <w:r>
        <w:t xml:space="preserve">Sydsæter et al. (</w:t>
      </w:r>
      <w:hyperlink w:anchor="ref-SydsaeterEtAl2008Further">
        <w:r>
          <w:rPr>
            <w:rStyle w:val="Hyperlink"/>
          </w:rPr>
          <w:t xml:space="preserve">2008, cap. 3</w:t>
        </w:r>
      </w:hyperlink>
      <w:r>
        <w:t xml:space="preserve">)</w:t>
      </w:r>
      <w:r>
        <w:t xml:space="preserve">.</w:t>
      </w:r>
    </w:p>
    <w:bookmarkEnd w:id="220"/>
    <w:bookmarkStart w:id="230" w:name="anexo: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r>
              <m:t>p</m:t>
            </m:r>
            <m:r>
              <m:rPr>
                <m:sty m:val="p"/>
              </m:rPr>
              <m:t>,</m:t>
            </m:r>
            <m:bar>
              <m:barPr>
                <m:pos m:val="top"/>
              </m:barPr>
              <m:e>
                <m:r>
                  <m:t>U</m:t>
                </m:r>
              </m:e>
            </m:bar>
          </m:e>
        </m:d>
      </m:oMath>
      <w:r>
        <w:t xml:space="preserve"> </w:t>
      </w:r>
      <w:r>
        <w:t xml:space="preserve">la función de gasto</w:t>
      </w:r>
      <w:r>
        <w:t xml:space="preserve"> </w:t>
      </w:r>
      <w:r>
        <w:rPr>
          <w:rStyle w:val="Referenciaatema"/>
        </w:rPr>
        <w:t xml:space="preserve">[ver tema 3.A.9]</w:t>
      </w:r>
      <w:r>
        <w:t xml:space="preserve">.</w:t>
      </w:r>
    </w:p>
    <w:bookmarkStart w:id="221" w:name="der:homogeneidad"/>
    <w:p>
      <w:pPr>
        <w:pStyle w:val="Heading2"/>
      </w:pPr>
      <w:r>
        <w:t xml:space="preserve">B.1. Homogeneidad de grado cero: restricción en elasticidades (teorema de Euler)</w:t>
      </w:r>
    </w:p>
    <w:p>
      <w:pPr>
        <w:numPr>
          <w:ilvl w:val="0"/>
          <w:numId w:val="1125"/>
        </w:numPr>
      </w:pPr>
      <w:r>
        <w:t xml:space="preserve">Por la homogeneidad de grado cero (apartado I.2),</w:t>
      </w:r>
      <w:r>
        <w:t xml:space="preserve"> </w:t>
      </w:r>
      <m:oMath>
        <m:sSub>
          <m:e>
            <m:r>
              <m:t>x</m:t>
            </m:r>
          </m:e>
          <m:sub>
            <m:r>
              <m:t>i</m:t>
            </m:r>
          </m:sub>
        </m:sSub>
        <m:d>
          <m:dPr>
            <m:begChr m:val="("/>
            <m:sepChr m:val=""/>
            <m:endChr m:val=")"/>
            <m:grow/>
          </m:dPr>
          <m:e>
            <m:r>
              <m:t>k</m:t>
            </m:r>
            <m:r>
              <m:t>p</m:t>
            </m:r>
            <m:r>
              <m:rPr>
                <m:sty m:val="p"/>
              </m:rPr>
              <m:t>,</m:t>
            </m:r>
            <m:r>
              <m:t>k</m:t>
            </m:r>
            <m:bar>
              <m:barPr>
                <m:pos m:val="top"/>
              </m:barPr>
              <m:e>
                <m:r>
                  <m:t>W</m:t>
                </m:r>
              </m:e>
            </m:bar>
          </m:e>
        </m:d>
        <m:r>
          <m:rPr>
            <m:sty m:val="p"/>
          </m:rPr>
          <m:t>=</m:t>
        </m:r>
        <m:sSub>
          <m:e>
            <m:r>
              <m:t>x</m:t>
            </m:r>
          </m:e>
          <m:sub>
            <m:r>
              <m:t>i</m:t>
            </m:r>
          </m:sub>
        </m:sSub>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 Derivando respecto a</w:t>
      </w:r>
      <w:r>
        <w:t xml:space="preserve"> </w:t>
      </w:r>
      <m:oMath>
        <m:r>
          <m:t>k</m:t>
        </m:r>
      </m:oMath>
      <w:r>
        <w:t xml:space="preserve"> </w:t>
      </w:r>
      <w:r>
        <w:t xml:space="preserve">y evaluando en</w:t>
      </w:r>
      <w:r>
        <w:t xml:space="preserve"> </w:t>
      </w:r>
      <m:oMath>
        <m:r>
          <m:t>k</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25"/>
        </w:numPr>
      </w:pPr>
      <w:r>
        <w:t xml:space="preserve">Dividiendo entre</w:t>
      </w:r>
      <w:r>
        <w:t xml:space="preserve"> </w:t>
      </w:r>
      <m:oMath>
        <m:sSub>
          <m:e>
            <m:r>
              <m:t>x</m:t>
            </m:r>
          </m:e>
          <m:sub>
            <m:r>
              <m:t>i</m:t>
            </m:r>
          </m:sub>
        </m:sSub>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21"/>
    <w:bookmarkStart w:id="222" w:name="der:engel"/>
    <w:p>
      <w:pPr>
        <w:pStyle w:val="Heading2"/>
      </w:pPr>
      <w:r>
        <w:t xml:space="preserve">B.2. Agregación de Engel</w:t>
      </w:r>
    </w:p>
    <w:p>
      <w:pPr>
        <w:numPr>
          <w:ilvl w:val="0"/>
          <w:numId w:val="1126"/>
        </w:numPr>
      </w:pPr>
      <w:r>
        <w:t xml:space="preserve">Se parte de la ley de</w:t>
      </w:r>
      <w:r>
        <w:t xml:space="preserve"> </w:t>
      </w:r>
      <w:r>
        <w:rPr>
          <w:smallCaps/>
        </w:rPr>
        <w:t xml:space="preserve">Walras</w:t>
      </w:r>
      <w:r>
        <w:t xml:space="preserve">, que se cumple por la insaciabilidad local. Con dos bienes,</w:t>
      </w:r>
      <w:r>
        <w:t xml:space="preserve"> </w:t>
      </w:r>
      <m:oMath>
        <m:sSub>
          <m:e>
            <m:r>
              <m:t>p</m:t>
            </m:r>
          </m:e>
          <m:sub>
            <m:r>
              <m:t>1</m:t>
            </m:r>
          </m:sub>
        </m:sSub>
        <m:sSub>
          <m:e>
            <m:r>
              <m:t>x</m:t>
            </m:r>
          </m:e>
          <m:sub>
            <m:r>
              <m:t>1</m:t>
            </m:r>
          </m:sub>
        </m:sSub>
        <m:d>
          <m:dPr>
            <m:begChr m:val="("/>
            <m:sepChr m:val=""/>
            <m:endChr m:val=")"/>
            <m:grow/>
          </m:dPr>
          <m:e>
            <m:r>
              <m:t>p</m:t>
            </m:r>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26"/>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(20) del tema, que con</w:t>
      </w:r>
      <w:r>
        <w:t xml:space="preserve"> </w:t>
      </w:r>
      <m:oMath>
        <m:r>
          <m:t>n</m:t>
        </m:r>
      </m:oMath>
      <w:r>
        <w:t xml:space="preserve"> </w:t>
      </w:r>
      <w:r>
        <w:t xml:space="preserve">bienes se obtiene igual. 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22"/>
    <w:bookmarkStart w:id="223" w:name="der:cournot"/>
    <w:p>
      <w:pPr>
        <w:pStyle w:val="Heading2"/>
      </w:pPr>
      <w:r>
        <w:t xml:space="preserve">B.3. Agregación de Cournot</w:t>
      </w:r>
    </w:p>
    <w:p>
      <w:pPr>
        <w:numPr>
          <w:ilvl w:val="0"/>
          <w:numId w:val="1127"/>
        </w:numPr>
      </w:pPr>
      <w:r>
        <w:t xml:space="preserve">Con dos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27"/>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27"/>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(25) del tema.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23"/>
    <w:bookmarkStart w:id="224" w:name="der:roy"/>
    <w:p>
      <w:pPr>
        <w:pStyle w:val="Heading2"/>
      </w:pPr>
      <w:r>
        <w:t xml:space="preserve">B.4. Identidad de Roy</w:t>
      </w:r>
    </w:p>
    <w:p>
      <w:pPr>
        <w:numPr>
          <w:ilvl w:val="0"/>
          <w:numId w:val="1128"/>
        </w:numPr>
      </w:pPr>
      <w:r>
        <w:t xml:space="preserve">La función indirecta de utilidad es el valor óptimo del PMU,</w:t>
      </w:r>
      <w:r>
        <w:t xml:space="preserve"> </w:t>
      </w:r>
      <m:oMath>
        <m:r>
          <m:t>V</m:t>
        </m:r>
        <m:d>
          <m:dPr>
            <m:begChr m:val="("/>
            <m:sepChr m:val=""/>
            <m:endChr m:val=")"/>
            <m:grow/>
          </m:dPr>
          <m:e>
            <m:r>
              <m:t>p</m:t>
            </m:r>
            <m:r>
              <m:rPr>
                <m:sty m:val="p"/>
              </m:rPr>
              <m:t>,</m:t>
            </m:r>
            <m:bar>
              <m:barPr>
                <m:pos m:val="top"/>
              </m:barPr>
              <m:e>
                <m:r>
                  <m:t>W</m:t>
                </m:r>
              </m:e>
            </m:bar>
          </m:e>
        </m:d>
        <m:r>
          <m:rPr>
            <m:sty m:val="p"/>
          </m:rPr>
          <m:t>=</m:t>
        </m:r>
        <m:sSub>
          <m:e>
            <m:r>
              <m:rPr>
                <m:sty m:val="p"/>
              </m:rPr>
              <m:t>max</m:t>
            </m:r>
          </m:e>
          <m:sub>
            <m:r>
              <m:t>x</m:t>
            </m:r>
          </m:sub>
        </m:sSub>
        <m:r>
          <m:rPr>
            <m:sty m:val="p"/>
          </m:rPr>
          <m:t>{</m:t>
        </m:r>
        <m:r>
          <m:t>U</m:t>
        </m:r>
        <m:d>
          <m:dPr>
            <m:begChr m:val="("/>
            <m:sepChr m:val=""/>
            <m:endChr m:val=")"/>
            <m:grow/>
          </m:dPr>
          <m:e>
            <m:r>
              <m:t>x</m:t>
            </m:r>
          </m:e>
        </m:d>
        <m:r>
          <m:rPr>
            <m:sty m:val="p"/>
          </m:rPr>
          <m:t>:</m:t>
        </m:r>
        <m:r>
          <m:t>p</m:t>
        </m:r>
        <m:r>
          <m:rPr>
            <m:sty m:val="p"/>
          </m:rPr>
          <m:t>⋅</m:t>
        </m:r>
        <m:r>
          <m:t>x</m:t>
        </m:r>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r>
              <m:t>x</m:t>
            </m:r>
          </m:e>
        </m:d>
        <m:r>
          <m:rPr>
            <m:sty m:val="p"/>
          </m:rPr>
          <m:t>+</m:t>
        </m:r>
        <m:r>
          <m:t>λ</m:t>
        </m:r>
        <m:d>
          <m:dPr>
            <m:begChr m:val="("/>
            <m:sepChr m:val=""/>
            <m:endChr m:val=")"/>
            <m:grow/>
          </m:dPr>
          <m:e>
            <m:bar>
              <m:barPr>
                <m:pos m:val="top"/>
              </m:barPr>
              <m:e>
                <m:r>
                  <m:t>W</m:t>
                </m:r>
              </m:e>
            </m:bar>
            <m:r>
              <m:rPr>
                <m:sty m:val="p"/>
              </m:rPr>
              <m:t>−</m:t>
            </m:r>
            <m:r>
              <m:t>p</m:t>
            </m:r>
            <m:r>
              <m:rPr>
                <m:sty m:val="p"/>
              </m:rPr>
              <m:t>⋅</m:t>
            </m:r>
            <m:r>
              <m:t>x</m:t>
            </m:r>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r>
                    <m:t>x</m:t>
                  </m:r>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r>
                <m:t>p</m:t>
              </m:r>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r>
                    <m:t>x</m:t>
                  </m:r>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28"/>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(16):</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24"/>
    <w:bookmarkStart w:id="225" w:name="der:slutsky"/>
    <w:p>
      <w:pPr>
        <w:pStyle w:val="Heading2"/>
      </w:pPr>
      <w:r>
        <w:t xml:space="preserve">B.5. Ecuación de Slutsky</w:t>
      </w:r>
    </w:p>
    <w:p>
      <w:pPr>
        <w:numPr>
          <w:ilvl w:val="0"/>
          <w:numId w:val="1129"/>
        </w:numPr>
      </w:pPr>
      <w:r>
        <w:t xml:space="preserve">Sea</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pPr>
      <m:oMathPara>
        <m:oMathParaPr>
          <m:jc m:val="center"/>
        </m:oMathParaP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r>
            <m:t>  </m:t>
          </m:r>
          <m:r>
            <m:rPr>
              <m:nor/>
              <m:sty m:val="p"/>
            </m:rPr>
            <m:t>para todo </m:t>
          </m:r>
          <m:r>
            <m:t>p</m:t>
          </m:r>
          <m:r>
            <m:rPr>
              <m:sty m:val="p"/>
            </m:rPr>
            <m:t>.</m:t>
          </m:r>
        </m:oMath>
      </m:oMathPara>
    </w:p>
    <w:p>
      <w:pPr>
        <w:numPr>
          <w:ilvl w:val="0"/>
          <w:numId w:val="1129"/>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pPr>
      <m:oMathPara>
        <m:oMathParaPr>
          <m:jc m:val="center"/>
        </m:oMathParaPr>
        <m:oMath>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bar>
                <m:barPr>
                  <m:pos m:val="top"/>
                </m:barPr>
                <m:e>
                  <m:r>
                    <m:t>W</m:t>
                  </m:r>
                </m:e>
              </m:bar>
            </m:den>
          </m:f>
          <m:r>
            <m:rPr>
              <m:sty m:val="p"/>
            </m:rPr>
            <m:t>⋅</m:t>
          </m:r>
          <m:f>
            <m:fPr>
              <m:type m:val="bar"/>
            </m:fPr>
            <m:num>
              <m:r>
                <m:rPr>
                  <m:sty m:val="p"/>
                </m:rPr>
                <m:t>∂</m:t>
              </m:r>
              <m:r>
                <m:t>E</m:t>
              </m:r>
              <m:d>
                <m:dPr>
                  <m:begChr m:val="("/>
                  <m:sepChr m:val=""/>
                  <m:endChr m:val=")"/>
                  <m:grow/>
                </m:dPr>
                <m:e>
                  <m:r>
                    <m:t>p</m:t>
                  </m:r>
                  <m:r>
                    <m:rPr>
                      <m:sty m:val="p"/>
                    </m:rPr>
                    <m:t>,</m:t>
                  </m:r>
                  <m:bar>
                    <m:barPr>
                      <m:pos m:val="top"/>
                    </m:barPr>
                    <m:e>
                      <m:r>
                        <m:t>U</m:t>
                      </m:r>
                    </m:e>
                  </m:bar>
                </m:e>
              </m:d>
            </m:num>
            <m:den>
              <m:r>
                <m:rPr>
                  <m:sty m:val="p"/>
                </m:rPr>
                <m:t>∂</m:t>
              </m:r>
              <m:sSub>
                <m:e>
                  <m:r>
                    <m:t>p</m:t>
                  </m:r>
                </m:e>
                <m:sub>
                  <m:r>
                    <m:t>j</m:t>
                  </m:r>
                </m:sub>
              </m:sSub>
            </m:den>
          </m:f>
          <m:r>
            <m:rPr>
              <m:sty m:val="p"/>
            </m:rPr>
            <m:t>.</m:t>
          </m:r>
        </m:oMath>
      </m:oMathPara>
    </w:p>
    <w:p>
      <w:pPr>
        <w:numPr>
          <w:ilvl w:val="0"/>
          <w:numId w:val="1129"/>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r>
              <m:t>p</m:t>
            </m:r>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r>
              <m:t>p</m:t>
            </m:r>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r>
              <m:t>p</m:t>
            </m:r>
            <m:r>
              <m:rPr>
                <m:sty m:val="p"/>
              </m:rPr>
              <m:t>,</m:t>
            </m:r>
            <m:bar>
              <m:barPr>
                <m:pos m:val="top"/>
              </m:barPr>
              <m:e>
                <m:r>
                  <m:t>U</m:t>
                </m:r>
              </m:e>
            </m:bar>
          </m:e>
        </m:d>
        <m:r>
          <m:rPr>
            <m:sty m:val="p"/>
          </m:rPr>
          <m:t>=</m:t>
        </m:r>
        <m:sSub>
          <m:e>
            <m:r>
              <m:t>x</m:t>
            </m:r>
          </m:e>
          <m:sub>
            <m:r>
              <m:t>j</m:t>
            </m:r>
          </m:sub>
        </m:sSub>
        <m:d>
          <m:dPr>
            <m:begChr m:val="("/>
            <m:sepChr m:val=""/>
            <m:endChr m:val=")"/>
            <m:grow/>
          </m:dPr>
          <m:e>
            <m:r>
              <m:t>p</m:t>
            </m:r>
            <m:r>
              <m:rPr>
                <m:sty m:val="p"/>
              </m:rPr>
              <m:t>,</m:t>
            </m:r>
            <m:bar>
              <m:barPr>
                <m:pos m:val="top"/>
              </m:barPr>
              <m:e>
                <m:r>
                  <m:t>W</m:t>
                </m:r>
              </m:e>
            </m:bar>
          </m:e>
        </m:d>
      </m:oMath>
      <w:r>
        <w:t xml:space="preserve">. Sustituyendo y despejando:</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r>
                        <m:t>p</m:t>
                      </m:r>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(22) y con</w:t>
      </w:r>
      <w:r>
        <w:t xml:space="preserve"> </w:t>
      </w:r>
      <m:oMath>
        <m:r>
          <m:t>j</m:t>
        </m:r>
        <m:r>
          <m:rPr>
            <m:sty m:val="p"/>
          </m:rPr>
          <m:t>≠</m:t>
        </m:r>
        <m:r>
          <m:t>i</m:t>
        </m:r>
      </m:oMath>
      <w:r>
        <w:t xml:space="preserve"> </w:t>
      </w:r>
      <w:r>
        <w:t xml:space="preserve">la (24).</w:t>
      </w:r>
    </w:p>
    <w:p>
      <w:pPr>
        <w:numPr>
          <w:ilvl w:val="0"/>
          <w:numId w:val="1129"/>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25"/>
    <w:bookmarkStart w:id="226" w:name="der:matriz-slutsky"/>
    <w:p>
      <w:pPr>
        <w:pStyle w:val="Heading2"/>
      </w:pPr>
      <w:r>
        <w:t xml:space="preserve">B.6. Propiedades de la matriz de Slutsky: negatividad, simetría y sustitutivos netos</w:t>
      </w:r>
    </w:p>
    <w:p>
      <w:pPr>
        <w:numPr>
          <w:ilvl w:val="0"/>
          <w:numId w:val="1130"/>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r>
                    <m:t>p</m:t>
                  </m:r>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la matriz de</w:t>
      </w:r>
      <w:r>
        <w:t xml:space="preserve"> </w:t>
      </w:r>
      <w:r>
        <w:rPr>
          <w:smallCaps/>
        </w:rPr>
        <w:t xml:space="preserve">Slutsky</w:t>
      </w:r>
      <w:r>
        <w:t xml:space="preserve"> </w:t>
      </w:r>
      <w:r>
        <w:t xml:space="preserve">es la matriz hessiana de la función de gasto respecto a los precios.</w:t>
      </w:r>
    </w:p>
    <w:p>
      <w:pPr>
        <w:numPr>
          <w:ilvl w:val="0"/>
          <w:numId w:val="1130"/>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30"/>
        </w:numPr>
      </w:pPr>
      <w:r>
        <w:rPr>
          <w:i/>
          <w:iCs/>
        </w:rPr>
        <w:t xml:space="preserve">Negatividad</w:t>
      </w:r>
      <w:r>
        <w:t xml:space="preserve">: la función de gasto es cóncava en</w:t>
      </w:r>
      <w:r>
        <w:t xml:space="preserve"> </w:t>
      </w:r>
      <m:oMath>
        <m:r>
          <m:t>p</m:t>
        </m:r>
      </m:oMath>
      <w:r>
        <w:t xml:space="preserve">. Si</w:t>
      </w:r>
      <w:r>
        <w:t xml:space="preserve"> </w:t>
      </w:r>
      <m:oMath>
        <m:r>
          <m:t>h</m:t>
        </m:r>
      </m:oMath>
      <w:r>
        <w:t xml:space="preserve"> </w:t>
      </w:r>
      <w:r>
        <w:t xml:space="preserve">es la cesta que minimiza el gasto a los precios promedio</w:t>
      </w:r>
      <w:r>
        <w:t xml:space="preserve"> </w:t>
      </w:r>
      <m:oMath>
        <m:acc>
          <m:accPr>
            <m:chr m:val="‾"/>
          </m:accPr>
          <m:e>
            <m:r>
              <m:t>p</m:t>
            </m:r>
          </m:e>
        </m:acc>
        <m:r>
          <m:rPr>
            <m:sty m:val="p"/>
          </m:rPr>
          <m:t>=</m:t>
        </m:r>
        <m:r>
          <m:t>λ</m:t>
        </m:r>
        <m:r>
          <m:t>p</m:t>
        </m:r>
        <m:r>
          <m:rPr>
            <m:sty m:val="p"/>
          </m:rPr>
          <m:t>+</m:t>
        </m:r>
        <m:d>
          <m:dPr>
            <m:begChr m:val="("/>
            <m:sepChr m:val=""/>
            <m:endChr m:val=")"/>
            <m:grow/>
          </m:dPr>
          <m:e>
            <m:r>
              <m:t>1</m:t>
            </m:r>
            <m:r>
              <m:rPr>
                <m:sty m:val="p"/>
              </m:rPr>
              <m:t>−</m:t>
            </m:r>
            <m:r>
              <m:t>λ</m:t>
            </m:r>
          </m:e>
        </m:d>
        <m:r>
          <m:t>p</m:t>
        </m:r>
        <m:r>
          <m:rPr>
            <m:sty m:val="p"/>
          </m:rPr>
          <m:t>′</m:t>
        </m:r>
      </m:oMath>
      <w:r>
        <w:t xml:space="preserve">, entonces</w:t>
      </w:r>
    </w:p>
    <w:p>
      <w:pPr>
        <w:pStyle w:val="BodyText"/>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r>
            <m:t>λ</m:t>
          </m:r>
          <m:r>
            <m:t> </m:t>
          </m:r>
          <m:r>
            <m:t>p</m:t>
          </m:r>
          <m:r>
            <m:rPr>
              <m:sty m:val="p"/>
            </m:rPr>
            <m:t>⋅</m:t>
          </m:r>
          <m:r>
            <m:t>h</m:t>
          </m:r>
          <m:r>
            <m:rPr>
              <m:sty m:val="p"/>
            </m:rPr>
            <m:t>+</m:t>
          </m:r>
          <m:d>
            <m:dPr>
              <m:begChr m:val="("/>
              <m:sepChr m:val=""/>
              <m:endChr m:val=")"/>
              <m:grow/>
            </m:dPr>
            <m:e>
              <m:r>
                <m:t>1</m:t>
              </m:r>
              <m:r>
                <m:rPr>
                  <m:sty m:val="p"/>
                </m:rPr>
                <m:t>−</m:t>
              </m:r>
              <m:r>
                <m:t>λ</m:t>
              </m:r>
            </m:e>
          </m:d>
          <m:r>
            <m:t> </m:t>
          </m:r>
          <m:r>
            <m:t>p</m:t>
          </m:r>
          <m:r>
            <m:rPr>
              <m:sty m:val="p"/>
            </m:rPr>
            <m:t>′</m:t>
          </m:r>
          <m:r>
            <m:rPr>
              <m:sty m:val="p"/>
            </m:rPr>
            <m:t>⋅</m:t>
          </m:r>
          <m:r>
            <m:t>h</m:t>
          </m:r>
          <m:r>
            <m:rPr>
              <m:sty m:val="p"/>
            </m:rPr>
            <m:t>≥</m:t>
          </m:r>
          <m:r>
            <m:t>λ</m:t>
          </m:r>
          <m:r>
            <m:t>E</m:t>
          </m:r>
          <m:d>
            <m:dPr>
              <m:begChr m:val="("/>
              <m:sepChr m:val=""/>
              <m:endChr m:val=")"/>
              <m:grow/>
            </m:dPr>
            <m:e>
              <m:r>
                <m:t>p</m:t>
              </m:r>
              <m:r>
                <m:rPr>
                  <m:sty m:val="p"/>
                </m:rPr>
                <m:t>,</m:t>
              </m:r>
              <m:bar>
                <m:barPr>
                  <m:pos m:val="top"/>
                </m:barPr>
                <m:e>
                  <m:r>
                    <m:t>U</m:t>
                  </m:r>
                </m:e>
              </m:bar>
            </m:e>
          </m:d>
          <m:r>
            <m:rPr>
              <m:sty m:val="p"/>
            </m:rPr>
            <m:t>+</m:t>
          </m:r>
          <m:d>
            <m:dPr>
              <m:begChr m:val="("/>
              <m:sepChr m:val=""/>
              <m:endChr m:val=")"/>
              <m:grow/>
            </m:dPr>
            <m:e>
              <m:r>
                <m:t>1</m:t>
              </m:r>
              <m:r>
                <m:rPr>
                  <m:sty m:val="p"/>
                </m:rPr>
                <m:t>−</m:t>
              </m:r>
              <m:r>
                <m:t>λ</m:t>
              </m:r>
            </m:e>
          </m:d>
          <m:r>
            <m:t>E</m:t>
          </m:r>
          <m:d>
            <m:dPr>
              <m:begChr m:val="("/>
              <m:sepChr m:val=""/>
              <m:endChr m:val=")"/>
              <m:grow/>
            </m:dPr>
            <m:e>
              <m:r>
                <m:t>p</m:t>
              </m:r>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r>
          <m:t>h</m:t>
        </m:r>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r>
          <m:rPr>
            <m:sty m:val="p"/>
          </m:rPr>
          <m:t>/</m:t>
        </m:r>
        <m:r>
          <m:rPr>
            <m:sty m:val="p"/>
          </m:rPr>
          <m:t>∂</m:t>
        </m:r>
        <m:sSub>
          <m:e>
            <m:r>
              <m:t>p</m:t>
            </m:r>
          </m:e>
          <m:sub>
            <m:r>
              <m:t>i</m:t>
            </m:r>
          </m:sub>
        </m:sSub>
        <m:r>
          <m:rPr>
            <m:sty m:val="p"/>
          </m:rPr>
          <m:t>≤</m:t>
        </m:r>
        <m:r>
          <m:t>0</m:t>
        </m:r>
      </m:oMath>
      <w:r>
        <w:t xml:space="preserve">, el efecto sustitución propio.</w:t>
      </w:r>
    </w:p>
    <w:p>
      <w:pPr>
        <w:numPr>
          <w:ilvl w:val="0"/>
          <w:numId w:val="1130"/>
        </w:numPr>
      </w:pPr>
      <w:r>
        <w:rPr>
          <w:i/>
          <w:iCs/>
        </w:rPr>
        <w:t xml:space="preserve">Sustitutivos netos</w:t>
      </w:r>
      <w:r>
        <w:t xml:space="preserve">: la demanda hicksiana es homogénea de grado cero en los precios (si todos se multiplican por</w:t>
      </w:r>
      <w:r>
        <w:t xml:space="preserve"> </w:t>
      </w:r>
      <m:oMath>
        <m:r>
          <m:t>k</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dos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w:t>
      </w:r>
    </w:p>
    <w:bookmarkEnd w:id="226"/>
    <w:bookmarkStart w:id="227" w:name="der:adpr"/>
    <w:p>
      <w:pPr>
        <w:pStyle w:val="Heading2"/>
      </w:pPr>
      <w:r>
        <w:t xml:space="preserve">B.7. Ley de la demanda compensada a partir del axioma débil</w:t>
      </w:r>
    </w:p>
    <w:p>
      <w:pPr>
        <w:numPr>
          <w:ilvl w:val="0"/>
          <w:numId w:val="1131"/>
        </w:numPr>
      </w:pPr>
      <w:r>
        <w:t xml:space="preserve">Sean</w:t>
      </w:r>
      <w:r>
        <w:t xml:space="preserve"> </w:t>
      </w:r>
      <m:oMath>
        <m:sSup>
          <m:e>
            <m:r>
              <m:t>x</m:t>
            </m:r>
          </m:e>
          <m:sup>
            <m:r>
              <m:t>0</m:t>
            </m:r>
          </m:sup>
        </m:sSup>
        <m:r>
          <m:rPr>
            <m:sty m:val="p"/>
          </m:rPr>
          <m:t>=</m:t>
        </m:r>
        <m:r>
          <m:t>x</m:t>
        </m:r>
        <m:d>
          <m:dPr>
            <m:begChr m:val="("/>
            <m:sepChr m:val=""/>
            <m:endChr m:val=")"/>
            <m:grow/>
          </m:dPr>
          <m:e>
            <m:sSup>
              <m:e>
                <m:r>
                  <m:t>p</m:t>
                </m:r>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r>
              <m:t>p</m:t>
            </m:r>
          </m:e>
          <m:sup>
            <m:r>
              <m:t>1</m:t>
            </m:r>
          </m:sup>
        </m:sSup>
        <m:r>
          <m:rPr>
            <m:sty m:val="p"/>
          </m:rPr>
          <m:t>⋅</m:t>
        </m:r>
        <m:sSup>
          <m:e>
            <m:r>
              <m:t>x</m:t>
            </m:r>
          </m:e>
          <m:sup>
            <m:r>
              <m:t>0</m:t>
            </m:r>
          </m:sup>
        </m:sSup>
      </m:oMath>
      <w:r>
        <w:t xml:space="preserve"> </w:t>
      </w:r>
      <w:r>
        <w:t xml:space="preserve">y</w:t>
      </w:r>
      <w:r>
        <w:t xml:space="preserve"> </w:t>
      </w:r>
      <m:oMath>
        <m:sSup>
          <m:e>
            <m:r>
              <m:t>x</m:t>
            </m:r>
          </m:e>
          <m:sup>
            <m:r>
              <m:t>1</m:t>
            </m:r>
          </m:sup>
        </m:sSup>
        <m:r>
          <m:rPr>
            <m:sty m:val="p"/>
          </m:rPr>
          <m:t>=</m:t>
        </m:r>
        <m:r>
          <m:t>x</m:t>
        </m:r>
        <m:d>
          <m:dPr>
            <m:begChr m:val="("/>
            <m:sepChr m:val=""/>
            <m:endChr m:val=")"/>
            <m:grow/>
          </m:dPr>
          <m:e>
            <m:sSup>
              <m:e>
                <m:r>
                  <m:t>p</m:t>
                </m:r>
              </m:e>
              <m:sup>
                <m:r>
                  <m:t>1</m:t>
                </m:r>
              </m:sup>
            </m:sSup>
            <m:r>
              <m:rPr>
                <m:sty m:val="p"/>
              </m:rPr>
              <m:t>,</m:t>
            </m:r>
            <m:sSup>
              <m:e>
                <m:bar>
                  <m:barPr>
                    <m:pos m:val="top"/>
                  </m:barPr>
                  <m:e>
                    <m:r>
                      <m:t>W</m:t>
                    </m:r>
                  </m:e>
                </m:bar>
              </m:e>
              <m:sup>
                <m:r>
                  <m:t>1</m:t>
                </m:r>
              </m:sup>
            </m:sSup>
          </m:e>
        </m:d>
      </m:oMath>
      <w:r>
        <w:t xml:space="preserve"> </w:t>
      </w:r>
      <w:r>
        <w:t xml:space="preserve">(</w:t>
      </w:r>
      <w:hyperlink w:anchor="ref-MasColellWhinstonGreen1995">
        <w:r>
          <w:rPr>
            <w:rStyle w:val="Hyperlink"/>
          </w:rPr>
          <w:t xml:space="preserve">Mas-Colell, Whinston y Green 1995</w:t>
        </w:r>
      </w:hyperlink>
      <w:r>
        <w:t xml:space="preserve">, prop. 2.F.1)</w:t>
      </w:r>
      <w:r>
        <w:t xml:space="preserve">. Descomponemos</w:t>
      </w:r>
    </w:p>
    <w:p>
      <w:pPr>
        <w:pStyle w:val="BodyText"/>
      </w:pPr>
      <m:oMathPara>
        <m:oMathParaPr>
          <m:jc m:val="center"/>
        </m:oMathParaPr>
        <m:oMath>
          <m:d>
            <m:dPr>
              <m:begChr m:val="("/>
              <m:sepChr m:val=""/>
              <m:endChr m:val=")"/>
              <m:grow/>
            </m:dPr>
            <m:e>
              <m:sSup>
                <m:e>
                  <m:r>
                    <m:t>p</m:t>
                  </m:r>
                </m:e>
                <m:sup>
                  <m:r>
                    <m:t>1</m:t>
                  </m:r>
                </m:sup>
              </m:sSup>
              <m:r>
                <m:rPr>
                  <m:sty m:val="p"/>
                </m:rPr>
                <m:t>−</m:t>
              </m:r>
              <m:sSup>
                <m:e>
                  <m:r>
                    <m:t>p</m:t>
                  </m:r>
                </m:e>
                <m:sup>
                  <m:r>
                    <m:t>0</m:t>
                  </m:r>
                </m:sup>
              </m:sSup>
            </m:e>
          </m:d>
          <m:r>
            <m:rPr>
              <m:sty m:val="p"/>
            </m:rPr>
            <m:t>⋅</m:t>
          </m:r>
          <m:d>
            <m:dPr>
              <m:begChr m:val="("/>
              <m:sepChr m:val=""/>
              <m:endChr m:val=")"/>
              <m:grow/>
            </m:dPr>
            <m:e>
              <m:sSup>
                <m:e>
                  <m:r>
                    <m:t>x</m:t>
                  </m:r>
                </m:e>
                <m:sup>
                  <m:r>
                    <m:t>1</m:t>
                  </m:r>
                </m:sup>
              </m:sSup>
              <m:r>
                <m:rPr>
                  <m:sty m:val="p"/>
                </m:rPr>
                <m:t>−</m:t>
              </m:r>
              <m:sSup>
                <m:e>
                  <m:r>
                    <m:t>x</m:t>
                  </m:r>
                </m:e>
                <m:sup>
                  <m:r>
                    <m:t>0</m:t>
                  </m:r>
                </m:sup>
              </m:sSup>
            </m:e>
          </m:d>
          <m:r>
            <m:rPr>
              <m:sty m:val="p"/>
            </m:rPr>
            <m:t>=</m:t>
          </m:r>
          <m:sSup>
            <m:e>
              <m:r>
                <m:t>p</m:t>
              </m:r>
            </m:e>
            <m:sup>
              <m:r>
                <m:t>1</m:t>
              </m:r>
            </m:sup>
          </m:sSup>
          <m:r>
            <m:rPr>
              <m:sty m:val="p"/>
            </m:rPr>
            <m:t>⋅</m:t>
          </m:r>
          <m:d>
            <m:dPr>
              <m:begChr m:val="("/>
              <m:sepChr m:val=""/>
              <m:endChr m:val=")"/>
              <m:grow/>
            </m:dPr>
            <m:e>
              <m:sSup>
                <m:e>
                  <m:r>
                    <m:t>x</m:t>
                  </m:r>
                </m:e>
                <m:sup>
                  <m:r>
                    <m:t>1</m:t>
                  </m:r>
                </m:sup>
              </m:sSup>
              <m:r>
                <m:rPr>
                  <m:sty m:val="p"/>
                </m:rPr>
                <m:t>−</m:t>
              </m:r>
              <m:sSup>
                <m:e>
                  <m:r>
                    <m:t>x</m:t>
                  </m:r>
                </m:e>
                <m:sup>
                  <m:r>
                    <m:t>0</m:t>
                  </m:r>
                </m:sup>
              </m:sSup>
            </m:e>
          </m:d>
          <m:r>
            <m:rPr>
              <m:sty m:val="p"/>
            </m:rPr>
            <m:t>−</m:t>
          </m:r>
          <m:sSup>
            <m:e>
              <m:r>
                <m:t>p</m:t>
              </m:r>
            </m:e>
            <m:sup>
              <m:r>
                <m:t>0</m:t>
              </m:r>
            </m:sup>
          </m:sSup>
          <m:r>
            <m:rPr>
              <m:sty m:val="p"/>
            </m:rPr>
            <m:t>⋅</m:t>
          </m:r>
          <m:d>
            <m:dPr>
              <m:begChr m:val="("/>
              <m:sepChr m:val=""/>
              <m:endChr m:val=")"/>
              <m:grow/>
            </m:dPr>
            <m:e>
              <m:sSup>
                <m:e>
                  <m:r>
                    <m:t>x</m:t>
                  </m:r>
                </m:e>
                <m:sup>
                  <m:r>
                    <m:t>1</m:t>
                  </m:r>
                </m:sup>
              </m:sSup>
              <m:r>
                <m:rPr>
                  <m:sty m:val="p"/>
                </m:rPr>
                <m:t>−</m:t>
              </m:r>
              <m:sSup>
                <m:e>
                  <m:r>
                    <m:t>x</m:t>
                  </m:r>
                </m:e>
                <m:sup>
                  <m:r>
                    <m:t>0</m:t>
                  </m:r>
                </m:sup>
              </m:sSup>
            </m:e>
          </m:d>
          <m:r>
            <m:rPr>
              <m:sty m:val="p"/>
            </m:rPr>
            <m:t>.</m:t>
          </m:r>
        </m:oMath>
      </m:oMathPara>
    </w:p>
    <w:p>
      <w:pPr>
        <w:numPr>
          <w:ilvl w:val="0"/>
          <w:numId w:val="1131"/>
        </w:numPr>
      </w:pPr>
      <w:r>
        <w:t xml:space="preserve">El primer término es nulo: por la ley de</w:t>
      </w:r>
      <w:r>
        <w:t xml:space="preserve"> </w:t>
      </w:r>
      <w:r>
        <w:rPr>
          <w:smallCaps/>
        </w:rPr>
        <w:t xml:space="preserve">Walras</w:t>
      </w:r>
      <w:r>
        <w:t xml:space="preserve">,</w:t>
      </w:r>
      <w:r>
        <w:t xml:space="preserve"> </w:t>
      </w:r>
      <m:oMath>
        <m:sSup>
          <m:e>
            <m:r>
              <m:t>p</m:t>
            </m:r>
          </m:e>
          <m:sup>
            <m:r>
              <m:t>1</m:t>
            </m:r>
          </m:sup>
        </m:sSup>
        <m:r>
          <m:rPr>
            <m:sty m:val="p"/>
          </m:rPr>
          <m:t>⋅</m:t>
        </m:r>
        <m:sSup>
          <m:e>
            <m:r>
              <m:t>x</m:t>
            </m:r>
          </m:e>
          <m:sup>
            <m:r>
              <m:t>1</m:t>
            </m:r>
          </m:sup>
        </m:sSup>
        <m:r>
          <m:rPr>
            <m:sty m:val="p"/>
          </m:rPr>
          <m:t>=</m:t>
        </m:r>
        <m:sSup>
          <m:e>
            <m:bar>
              <m:barPr>
                <m:pos m:val="top"/>
              </m:barPr>
              <m:e>
                <m:r>
                  <m:t>W</m:t>
                </m:r>
              </m:e>
            </m:bar>
          </m:e>
          <m:sup>
            <m:r>
              <m:t>1</m:t>
            </m:r>
          </m:sup>
        </m:sSup>
        <m:r>
          <m:rPr>
            <m:sty m:val="p"/>
          </m:rPr>
          <m:t>=</m:t>
        </m:r>
        <m:sSup>
          <m:e>
            <m:r>
              <m:t>p</m:t>
            </m:r>
          </m:e>
          <m:sup>
            <m:r>
              <m:t>1</m:t>
            </m:r>
          </m:sup>
        </m:sSup>
        <m:r>
          <m:rPr>
            <m:sty m:val="p"/>
          </m:rPr>
          <m:t>⋅</m:t>
        </m:r>
        <m:sSup>
          <m:e>
            <m:r>
              <m:t>x</m:t>
            </m:r>
          </m:e>
          <m:sup>
            <m:r>
              <m:t>0</m:t>
            </m:r>
          </m:sup>
        </m:sSup>
      </m:oMath>
      <w:r>
        <w:t xml:space="preserve">.</w:t>
      </w:r>
    </w:p>
    <w:p>
      <w:pPr>
        <w:numPr>
          <w:ilvl w:val="0"/>
          <w:numId w:val="1131"/>
        </w:numPr>
      </w:pPr>
      <w:r>
        <w:t xml:space="preserve">Si</w:t>
      </w:r>
      <w:r>
        <w:t xml:space="preserve"> </w:t>
      </w:r>
      <m:oMath>
        <m:sSup>
          <m:e>
            <m:r>
              <m:t>x</m:t>
            </m:r>
          </m:e>
          <m:sup>
            <m:r>
              <m:t>1</m:t>
            </m:r>
          </m:sup>
        </m:sSup>
        <m:r>
          <m:rPr>
            <m:sty m:val="p"/>
          </m:rPr>
          <m:t>=</m:t>
        </m:r>
        <m:sSup>
          <m:e>
            <m:r>
              <m:t>x</m:t>
            </m:r>
          </m:e>
          <m:sup>
            <m:r>
              <m:t>0</m:t>
            </m:r>
          </m:sup>
        </m:sSup>
      </m:oMath>
      <w:r>
        <w:t xml:space="preserve">, todo es cero. Si</w:t>
      </w:r>
      <w:r>
        <w:t xml:space="preserve"> </w:t>
      </w:r>
      <m:oMath>
        <m:sSup>
          <m:e>
            <m:r>
              <m:t>x</m:t>
            </m:r>
          </m:e>
          <m:sup>
            <m:r>
              <m:t>1</m:t>
            </m:r>
          </m:sup>
        </m:sSup>
        <m:r>
          <m:rPr>
            <m:sty m:val="p"/>
          </m:rPr>
          <m:t>≠</m:t>
        </m:r>
        <m:sSup>
          <m:e>
            <m:r>
              <m:t>x</m:t>
            </m:r>
          </m:e>
          <m:sup>
            <m:r>
              <m:t>0</m:t>
            </m:r>
          </m:sup>
        </m:sSup>
      </m:oMath>
      <w:r>
        <w:t xml:space="preserve">, la cesta</w:t>
      </w:r>
      <w:r>
        <w:t xml:space="preserve"> </w:t>
      </w:r>
      <m:oMath>
        <m:sSup>
          <m:e>
            <m:r>
              <m:t>x</m:t>
            </m:r>
          </m:e>
          <m:sup>
            <m:r>
              <m:t>0</m:t>
            </m:r>
          </m:sup>
        </m:sSup>
      </m:oMath>
      <w:r>
        <w:t xml:space="preserve"> </w:t>
      </w:r>
      <w:r>
        <w:t xml:space="preserve">era asequible en</w:t>
      </w:r>
      <w:r>
        <w:t xml:space="preserve"> </w:t>
      </w:r>
      <m:oMath>
        <m:d>
          <m:dPr>
            <m:begChr m:val="("/>
            <m:sepChr m:val=""/>
            <m:endChr m:val=")"/>
            <m:grow/>
          </m:dPr>
          <m:e>
            <m:sSup>
              <m:e>
                <m:r>
                  <m:t>p</m:t>
                </m:r>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r>
              <m:t>x</m:t>
            </m:r>
          </m:e>
          <m:sup>
            <m:r>
              <m:t>1</m:t>
            </m:r>
          </m:sup>
        </m:sSup>
      </m:oMath>
      <w:r>
        <w:t xml:space="preserve">:</w:t>
      </w:r>
      <w:r>
        <w:t xml:space="preserve"> </w:t>
      </w:r>
      <m:oMath>
        <m:sSup>
          <m:e>
            <m:r>
              <m:t>x</m:t>
            </m:r>
          </m:e>
          <m:sup>
            <m:r>
              <m:t>1</m:t>
            </m:r>
          </m:sup>
        </m:sSup>
      </m:oMath>
      <w:r>
        <w:t xml:space="preserve"> </w:t>
      </w:r>
      <w:r>
        <w:t xml:space="preserve">se revela preferida a</w:t>
      </w:r>
      <w:r>
        <w:t xml:space="preserve"> </w:t>
      </w:r>
      <m:oMath>
        <m:sSup>
          <m:e>
            <m:r>
              <m:t>x</m:t>
            </m:r>
          </m:e>
          <m:sup>
            <m:r>
              <m:t>0</m:t>
            </m:r>
          </m:sup>
        </m:sSup>
      </m:oMath>
      <w:r>
        <w:t xml:space="preserve">. Por el ADPR,</w:t>
      </w:r>
      <w:r>
        <w:t xml:space="preserve"> </w:t>
      </w:r>
      <m:oMath>
        <m:sSup>
          <m:e>
            <m:r>
              <m:t>x</m:t>
            </m:r>
          </m:e>
          <m:sup>
            <m:r>
              <m:t>1</m:t>
            </m:r>
          </m:sup>
        </m:sSup>
      </m:oMath>
      <w:r>
        <w:t xml:space="preserve"> </w:t>
      </w:r>
      <w:r>
        <w:t xml:space="preserve">no puede ser asequible cuando se eligió</w:t>
      </w:r>
      <w:r>
        <w:t xml:space="preserve"> </w:t>
      </w:r>
      <m:oMath>
        <m:sSup>
          <m:e>
            <m:r>
              <m:t>x</m:t>
            </m:r>
          </m:e>
          <m:sup>
            <m:r>
              <m:t>0</m:t>
            </m:r>
          </m:sup>
        </m:sSup>
      </m:oMath>
      <w:r>
        <w:t xml:space="preserve">:</w:t>
      </w:r>
      <w:r>
        <w:t xml:space="preserve"> </w:t>
      </w:r>
      <m:oMath>
        <m:sSup>
          <m:e>
            <m:r>
              <m:t>p</m:t>
            </m:r>
          </m:e>
          <m:sup>
            <m:r>
              <m:t>0</m:t>
            </m:r>
          </m:sup>
        </m:sSup>
        <m:r>
          <m:rPr>
            <m:sty m:val="p"/>
          </m:rPr>
          <m:t>⋅</m:t>
        </m:r>
        <m:sSup>
          <m:e>
            <m:r>
              <m:t>x</m:t>
            </m:r>
          </m:e>
          <m:sup>
            <m:r>
              <m:t>1</m:t>
            </m:r>
          </m:sup>
        </m:sSup>
        <m:r>
          <m:rPr>
            <m:sty m:val="p"/>
          </m:rPr>
          <m:t>&gt;</m:t>
        </m:r>
        <m:sSup>
          <m:e>
            <m:bar>
              <m:barPr>
                <m:pos m:val="top"/>
              </m:barPr>
              <m:e>
                <m:r>
                  <m:t>W</m:t>
                </m:r>
              </m:e>
            </m:bar>
          </m:e>
          <m:sup>
            <m:r>
              <m:t>0</m:t>
            </m:r>
          </m:sup>
        </m:sSup>
        <m:r>
          <m:rPr>
            <m:sty m:val="p"/>
          </m:rPr>
          <m:t>=</m:t>
        </m:r>
        <m:sSup>
          <m:e>
            <m:r>
              <m:t>p</m:t>
            </m:r>
          </m:e>
          <m:sup>
            <m:r>
              <m:t>0</m:t>
            </m:r>
          </m:sup>
        </m:sSup>
        <m:r>
          <m:rPr>
            <m:sty m:val="p"/>
          </m:rPr>
          <m:t>⋅</m:t>
        </m:r>
        <m:sSup>
          <m:e>
            <m:r>
              <m:t>x</m:t>
            </m:r>
          </m:e>
          <m:sup>
            <m:r>
              <m:t>0</m:t>
            </m:r>
          </m:sup>
        </m:sSup>
      </m:oMath>
      <w:r>
        <w:t xml:space="preserve">, es decir,</w:t>
      </w:r>
      <w:r>
        <w:t xml:space="preserve"> </w:t>
      </w:r>
      <m:oMath>
        <m:sSup>
          <m:e>
            <m:r>
              <m:t>p</m:t>
            </m:r>
          </m:e>
          <m:sup>
            <m:r>
              <m:t>0</m:t>
            </m:r>
          </m:sup>
        </m:sSup>
        <m:r>
          <m:rPr>
            <m:sty m:val="p"/>
          </m:rPr>
          <m:t>⋅</m:t>
        </m:r>
        <m:d>
          <m:dPr>
            <m:begChr m:val="("/>
            <m:sepChr m:val=""/>
            <m:endChr m:val=")"/>
            <m:grow/>
          </m:dPr>
          <m:e>
            <m:sSup>
              <m:e>
                <m:r>
                  <m:t>x</m:t>
                </m:r>
              </m:e>
              <m:sup>
                <m:r>
                  <m:t>1</m:t>
                </m:r>
              </m:sup>
            </m:sSup>
            <m:r>
              <m:rPr>
                <m:sty m:val="p"/>
              </m:rPr>
              <m:t>−</m:t>
            </m:r>
            <m:sSup>
              <m:e>
                <m:r>
                  <m:t>x</m:t>
                </m:r>
              </m:e>
              <m:sup>
                <m:r>
                  <m:t>0</m:t>
                </m:r>
              </m:sup>
            </m:sSup>
          </m:e>
        </m:d>
        <m:r>
          <m:rPr>
            <m:sty m:val="p"/>
          </m:rPr>
          <m:t>&gt;</m:t>
        </m:r>
        <m:r>
          <m:t>0</m:t>
        </m:r>
      </m:oMath>
      <w:r>
        <w:t xml:space="preserve">. Por tanto,</w:t>
      </w:r>
    </w:p>
    <w:p>
      <w:pPr>
        <w:pStyle w:val="BodyText"/>
      </w:pPr>
      <m:oMathPara>
        <m:oMathParaPr>
          <m:jc m:val="center"/>
        </m:oMathParaPr>
        <m:oMath>
          <m:d>
            <m:dPr>
              <m:begChr m:val="("/>
              <m:sepChr m:val=""/>
              <m:endChr m:val=")"/>
              <m:grow/>
            </m:dPr>
            <m:e>
              <m:sSup>
                <m:e>
                  <m:r>
                    <m:t>p</m:t>
                  </m:r>
                </m:e>
                <m:sup>
                  <m:r>
                    <m:t>1</m:t>
                  </m:r>
                </m:sup>
              </m:sSup>
              <m:r>
                <m:rPr>
                  <m:sty m:val="p"/>
                </m:rPr>
                <m:t>−</m:t>
              </m:r>
              <m:sSup>
                <m:e>
                  <m:r>
                    <m:t>p</m:t>
                  </m:r>
                </m:e>
                <m:sup>
                  <m:r>
                    <m:t>0</m:t>
                  </m:r>
                </m:sup>
              </m:sSup>
            </m:e>
          </m:d>
          <m:r>
            <m:rPr>
              <m:sty m:val="p"/>
            </m:rPr>
            <m:t>⋅</m:t>
          </m:r>
          <m:d>
            <m:dPr>
              <m:begChr m:val="("/>
              <m:sepChr m:val=""/>
              <m:endChr m:val=")"/>
              <m:grow/>
            </m:dPr>
            <m:e>
              <m:sSup>
                <m:e>
                  <m:r>
                    <m:t>x</m:t>
                  </m:r>
                </m:e>
                <m:sup>
                  <m:r>
                    <m:t>1</m:t>
                  </m:r>
                </m:sup>
              </m:sSup>
              <m:r>
                <m:rPr>
                  <m:sty m:val="p"/>
                </m:rPr>
                <m:t>−</m:t>
              </m:r>
              <m:sSup>
                <m:e>
                  <m:r>
                    <m:t>x</m:t>
                  </m:r>
                </m:e>
                <m:sup>
                  <m:r>
                    <m:t>0</m:t>
                  </m:r>
                </m:sup>
              </m:sSup>
            </m:e>
          </m:d>
          <m:r>
            <m:rPr>
              <m:sty m:val="p"/>
            </m:rPr>
            <m:t>&lt;</m:t>
          </m:r>
          <m:r>
            <m:t>0</m:t>
          </m:r>
          <m:r>
            <m:rPr>
              <m:sty m:val="p"/>
            </m:rPr>
            <m:t>,</m:t>
          </m:r>
        </m:oMath>
      </m:oMathPara>
    </w:p>
    <w:p>
      <w:pPr>
        <w:numPr>
          <w:ilvl w:val="0"/>
          <w:numId w:val="1000"/>
        </w:numPr>
      </w:pPr>
      <w:r>
        <w:t xml:space="preserve">la ecuación (28), con desigualdad estricta cuando la cesta elegida cambia. 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27"/>
    <w:bookmarkStart w:id="228" w:name="der:cobb-douglas"/>
    <w:p>
      <w:pPr>
        <w:pStyle w:val="Heading2"/>
      </w:pPr>
      <w:r>
        <w:t xml:space="preserve">B.8. Demandas de la Cobb-Douglas</w:t>
      </w:r>
    </w:p>
    <w:p>
      <w:pPr>
        <w:numPr>
          <w:ilvl w:val="0"/>
          <w:numId w:val="1132"/>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(13) es</w:t>
      </w:r>
    </w:p>
    <w:p>
      <w:pPr>
        <w:pStyle w:val="BodyText"/>
      </w:pPr>
      <m:oMathPara>
        <m:oMathParaPr>
          <m:jc m:val="center"/>
        </m:oMathParaPr>
        <m:oMath>
          <m:r>
            <m:t>R</m:t>
          </m:r>
          <m:r>
            <m:t>M</m:t>
          </m:r>
          <m:sSub>
            <m:e>
              <m: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32"/>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(32):</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28"/>
    <w:bookmarkStart w:id="229" w:name="der:ces"/>
    <w:p>
      <w:pPr>
        <w:pStyle w:val="Heading2"/>
      </w:pPr>
      <w:r>
        <w:t xml:space="preserve">B.9. La Cobb-Douglas como límite de la CES</w:t>
      </w:r>
    </w:p>
    <w:p>
      <w:pPr>
        <w:numPr>
          <w:ilvl w:val="0"/>
          <w:numId w:val="1133"/>
        </w:numPr>
      </w:pPr>
      <w:r>
        <w:t xml:space="preserve">Con dos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33"/>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 Cobb-Douglas con</w:t>
      </w:r>
      <w:r>
        <w:t xml:space="preserve"> </w:t>
      </w:r>
      <m:oMath>
        <m:r>
          <m:t>α</m:t>
        </m:r>
        <m:r>
          <m:rPr>
            <m:sty m:val="p"/>
          </m:rPr>
          <m:t>=</m:t>
        </m:r>
        <m:sSub>
          <m:e>
            <m:r>
              <m:t>a</m:t>
            </m:r>
          </m:e>
          <m:sub>
            <m:r>
              <m:t>1</m:t>
            </m:r>
          </m:sub>
        </m:sSub>
      </m:oMath>
      <w:r>
        <w:t xml:space="preserve"> </w:t>
      </w:r>
      <w:r>
        <w:t xml:space="preserve">(</w:t>
      </w:r>
      <w:hyperlink w:anchor="ref-ArrowEtAl1961Capital">
        <w:r>
          <w:rPr>
            <w:rStyle w:val="Hyperlink"/>
          </w:rPr>
          <w:t xml:space="preserve">Arrow et al. 1961</w:t>
        </w:r>
      </w:hyperlink>
      <w:r>
        <w:t xml:space="preserve">)</w:t>
      </w:r>
      <w:r>
        <w:t xml:space="preserve">. 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29"/>
    <w:bookmarkEnd w:id="230"/>
    <w:bookmarkStart w:id="235" w:name="anexo:formas"/>
    <w:p>
      <w:pPr>
        <w:pStyle w:val="Heading1"/>
      </w:pPr>
      <w:r>
        <w:t xml:space="preserve">C. Anexo: formas comunes de la función de utilidad</w:t>
      </w:r>
    </w:p>
    <w:p>
      <w:pPr>
        <w:numPr>
          <w:ilvl w:val="0"/>
          <w:numId w:val="1134"/>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apartado I.3): curvas de</w:t>
      </w:r>
      <w:r>
        <w:t xml:space="preserve"> </w:t>
      </w:r>
      <w:r>
        <w:rPr>
          <w:smallCaps/>
        </w:rPr>
        <w:t xml:space="preserve">Engel</w:t>
      </w:r>
      <w:r>
        <w:t xml:space="preserve"> </w:t>
      </w:r>
      <w:r>
        <w:t xml:space="preserve">rectas. Incluye:</w:t>
      </w:r>
    </w:p>
    <w:p>
      <w:pPr>
        <w:numPr>
          <w:ilvl w:val="1"/>
          <w:numId w:val="1135"/>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dos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numPr>
          <w:ilvl w:val="1"/>
          <w:numId w:val="1135"/>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r>
                  <m:t>x</m:t>
                </m:r>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(6):</w:t>
      </w:r>
    </w:p>
    <w:p>
      <w:pPr>
        <w:numPr>
          <w:ilvl w:val="2"/>
          <w:numId w:val="1136"/>
        </w:numPr>
      </w:pPr>
      <m:oMath>
        <m:r>
          <m:t>σ</m:t>
        </m:r>
        <m:r>
          <m:rPr>
            <m:sty m:val="p"/>
          </m:rPr>
          <m:t>→</m:t>
        </m:r>
        <m:r>
          <m:t>0</m:t>
        </m:r>
      </m:oMath>
      <w:r>
        <w:t xml:space="preserve">:</w:t>
      </w:r>
      <w:r>
        <w:t xml:space="preserve"> </w:t>
      </w:r>
      <w:r>
        <w:rPr>
          <w:i/>
          <w:iC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36"/>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numPr>
          <w:ilvl w:val="2"/>
          <w:numId w:val="1136"/>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31"/>
      </w:r>
      <w:r>
        <w:t xml:space="preserve"> </w:t>
      </w:r>
      <w:r>
        <w:t xml:space="preserve">Sus propiedades:</w:t>
      </w:r>
    </w:p>
    <w:p>
      <w:pPr>
        <w:numPr>
          <w:ilvl w:val="3"/>
          <w:numId w:val="1137"/>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37"/>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37"/>
        </w:numPr>
      </w:pPr>
      <w:r>
        <w:t xml:space="preserve">su elasticidad de sustitución es constante e igual a uno;</w:t>
      </w:r>
    </w:p>
    <w:p>
      <w:pPr>
        <w:numPr>
          <w:ilvl w:val="3"/>
          <w:numId w:val="1137"/>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B.8);</w:t>
      </w:r>
    </w:p>
    <w:p>
      <w:pPr>
        <w:numPr>
          <w:ilvl w:val="3"/>
          <w:numId w:val="1137"/>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35"/>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 Cobb-Douglas.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Geary1950Note">
        <w:r>
          <w:rPr>
            <w:rStyle w:val="Hyperlink"/>
          </w:rPr>
          <w:t xml:space="preserve">Geary 1950</w:t>
        </w:r>
      </w:hyperlink>
      <w:r>
        <w:t xml:space="preserve">;</w:t>
      </w:r>
      <w:r>
        <w:t xml:space="preserve"> </w:t>
      </w:r>
      <w:hyperlink w:anchor="ref-Stone1954Linear">
        <w:r>
          <w:rPr>
            <w:rStyle w:val="Hyperlink"/>
          </w:rPr>
          <w:t xml:space="preserve">Stone 1954</w:t>
        </w:r>
      </w:hyperlink>
      <w:r>
        <w:t xml:space="preserve">)</w:t>
      </w:r>
      <w:r>
        <w:t xml:space="preserve"> </w:t>
      </w:r>
      <w:r>
        <w:t xml:space="preserve">(anexo D).</w:t>
      </w:r>
    </w:p>
    <w:p>
      <w:pPr>
        <w:numPr>
          <w:ilvl w:val="0"/>
          <w:numId w:val="1134"/>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ChristensenJorgensonLau1975Utility">
        <w:r>
          <w:rPr>
            <w:rStyle w:val="Hyperlink"/>
          </w:rPr>
          <w:t xml:space="preserve">Christensen, Jorgenson y Lau 1975</w:t>
        </w:r>
      </w:hyperlink>
      <w:r>
        <w:t xml:space="preserve">)</w:t>
      </w:r>
      <w:r>
        <w:t xml:space="preserve"> </w:t>
      </w:r>
      <w:r>
        <w:t xml:space="preserve">es una aproximación de segundo orden en logaritmos;</w:t>
      </w:r>
      <w:r>
        <w:rPr>
          <w:rStyle w:val="FootnoteReference"/>
        </w:rPr>
        <w:footnoteReference w:id="232"/>
      </w:r>
      <w:r>
        <w:t xml:space="preserve"> </w:t>
      </w:r>
      <w:r>
        <w:t xml:space="preserve">el sistema AIDS de</w:t>
      </w:r>
      <w:r>
        <w:t xml:space="preserve"> </w:t>
      </w:r>
      <w:r>
        <w:t xml:space="preserve">Deaton y Muellbauer (</w:t>
      </w:r>
      <w:hyperlink w:anchor="ref-DeatonMuellbauer1980AIDS">
        <w:r>
          <w:rPr>
            <w:rStyle w:val="Hyperlink"/>
          </w:rPr>
          <w:t xml:space="preserve">1980a</w:t>
        </w:r>
      </w:hyperlink>
      <w:r>
        <w:t xml:space="preserve">)</w:t>
      </w:r>
      <w:r>
        <w:t xml:space="preserve"> </w:t>
      </w:r>
      <w:r>
        <w:t xml:space="preserve">parte de preferencias PIGLOG. Su uso empírico se resume en el anexo D y se estudia en</w:t>
      </w:r>
      <w:r>
        <w:t xml:space="preserve"> </w:t>
      </w:r>
      <w:r>
        <w:rPr>
          <w:rStyle w:val="Referenciaatema"/>
        </w:rPr>
        <w:t xml:space="preserve">[ver tema 3.A.9]</w:t>
      </w:r>
      <w:r>
        <w:t xml:space="preserve">.</w:t>
      </w:r>
    </w:p>
    <w:p>
      <w:pPr>
        <w:numPr>
          <w:ilvl w:val="0"/>
          <w:numId w:val="1134"/>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p>
    <w:p>
      <w:pPr>
        <w:pStyle w:val="BodyT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r>
        <w:rPr>
          <w:rStyle w:val="Referenciaatema"/>
        </w:rPr>
        <w:t xml:space="preserve">[ver tema 3.A.10]</w:t>
      </w:r>
      <w:r>
        <w:t xml:space="preserve"> </w:t>
      </w:r>
      <w:r>
        <w:rPr>
          <w:rStyle w:val="Referenciaatema"/>
        </w:rPr>
        <w:t xml:space="preserve">[ver tema 3.A.29]</w:t>
      </w:r>
      <w:r>
        <w:t xml:space="preserve">.</w:t>
      </w:r>
      <w:r>
        <w:rPr>
          <w:rStyle w:val="FootnoteReference"/>
        </w:rPr>
        <w:footnoteReference w:id="233"/>
      </w:r>
    </w:p>
    <w:p>
      <w:pPr>
        <w:numPr>
          <w:ilvl w:val="0"/>
          <w:numId w:val="1134"/>
        </w:numPr>
      </w:pPr>
      <w:r>
        <w:rPr>
          <w:b/>
          <w:bCs/>
        </w:rPr>
        <w:t xml:space="preserve">Preferencias entre consumo y trabajo en macroeconomía</w:t>
      </w:r>
      <w:r>
        <w:t xml:space="preserve"> </w:t>
      </w:r>
      <w:r>
        <w:t xml:space="preserve">(para el test; se desarrollan en</w:t>
      </w:r>
      <w:r>
        <w:t xml:space="preserve"> </w:t>
      </w:r>
      <w:r>
        <w:rPr>
          <w:rStyle w:val="Referenciaatema"/>
        </w:rPr>
        <w:t xml:space="preserve">[ver tema 3.A.29]</w:t>
      </w:r>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38"/>
        </w:numPr>
      </w:pPr>
      <w:r>
        <w:t xml:space="preserve">Preferencias</w:t>
      </w:r>
      <w:r>
        <w:t xml:space="preserve"> </w:t>
      </w:r>
      <w:r>
        <w:rPr>
          <w:i/>
          <w:iCs/>
        </w:rPr>
        <w:t xml:space="preserve">KPR</w:t>
      </w:r>
      <w:r>
        <w:t xml:space="preserve">, de</w:t>
      </w:r>
      <w:r>
        <w:t xml:space="preserve"> </w:t>
      </w:r>
      <w:r>
        <w:t xml:space="preserve">King, Plosser y Rebelo (</w:t>
      </w:r>
      <w:hyperlink w:anchor="ref-KingPlosserRebelo1988Production">
        <w:r>
          <w:rPr>
            <w:rStyle w:val="Hyperlink"/>
          </w:rPr>
          <w:t xml:space="preserve">1988</w:t>
        </w:r>
      </w:hyperlink>
      <w:r>
        <w:t xml:space="preserve">)</w:t>
      </w:r>
      <w:r>
        <w:t xml:space="preserve"> </w:t>
      </w:r>
      <w:r>
        <w:t xml:space="preserve">(con el apéndice de</w:t>
      </w:r>
      <w:r>
        <w:t xml:space="preserve"> </w:t>
      </w:r>
      <w:r>
        <w:t xml:space="preserve">King, Plosser y Rebelo (</w:t>
      </w:r>
      <w:hyperlink w:anchor="ref-KingPlosserRebelo2002Appendix">
        <w:r>
          <w:rPr>
            <w:rStyle w:val="Hyperlink"/>
          </w:rPr>
          <w:t xml:space="preserve">2002</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38"/>
        </w:numPr>
      </w:pPr>
      <w:r>
        <w:t xml:space="preserve">Preferencias</w:t>
      </w:r>
      <w:r>
        <w:t xml:space="preserve"> </w:t>
      </w:r>
      <w:r>
        <w:rPr>
          <w:i/>
          <w:iCs/>
        </w:rPr>
        <w:t xml:space="preserve">GHH</w:t>
      </w:r>
      <w:r>
        <w:t xml:space="preserve">, de</w:t>
      </w:r>
      <w:r>
        <w:t xml:space="preserve"> </w:t>
      </w:r>
      <w:r>
        <w:t xml:space="preserve">Greenwood, Hercowitz y Huffman (</w:t>
      </w:r>
      <w:hyperlink w:anchor="ref-GreenwoodHercowitzHuffman1988">
        <w:r>
          <w:rPr>
            <w:rStyle w:val="Hyperlink"/>
          </w:rPr>
          <w:t xml:space="preserve">1988</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38"/>
        </w:numPr>
      </w:pPr>
      <w:r>
        <w:t xml:space="preserve">Preferencias</w:t>
      </w:r>
      <w:r>
        <w:t xml:space="preserve"> </w:t>
      </w:r>
      <w:r>
        <w:rPr>
          <w:i/>
          <w:iCs/>
        </w:rPr>
        <w:t xml:space="preserve">JR</w:t>
      </w:r>
      <w:r>
        <w:t xml:space="preserve">, de</w:t>
      </w:r>
      <w:r>
        <w:t xml:space="preserve"> </w:t>
      </w:r>
      <w:r>
        <w:t xml:space="preserve">Jaimovich y Rebelo (</w:t>
      </w:r>
      <w:hyperlink w:anchor="ref-JaimovichRebelo2009News">
        <w:r>
          <w:rPr>
            <w:rStyle w:val="Hyperlink"/>
          </w:rPr>
          <w:t xml:space="preserve">2009</w:t>
        </w:r>
      </w:hyperlink>
      <w:r>
        <w:t xml:space="preserve">)</w:t>
      </w:r>
      <w:r>
        <w:t xml:space="preserve">:</w:t>
      </w:r>
    </w:p>
    <w:p>
      <w:pPr>
        <w:pStyle w:val="BodyT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34"/>
      </w:r>
    </w:p>
    <w:bookmarkEnd w:id="235"/>
    <w:bookmarkStart w:id="237" w:name="anexo: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que se desarrolla en</w:t>
      </w:r>
      <w:r>
        <w:t xml:space="preserve"> </w:t>
      </w:r>
      <w:r>
        <w:rPr>
          <w:rStyle w:val="Referenciaatema"/>
        </w:rPr>
        <w:t xml:space="preserve">[ver tema 3.A.9]</w:t>
      </w:r>
      <w:r>
        <w:t xml:space="preserve">, cuyo título incluye los «sistemas de demanda utilizados en estudios empíricos». Aquí basta conocer los pasos y las formas funcionales principales.</w:t>
      </w:r>
    </w:p>
    <w:p>
      <w:pPr>
        <w:numPr>
          <w:ilvl w:val="0"/>
          <w:numId w:val="1139"/>
        </w:numPr>
      </w:pPr>
      <w:r>
        <w:rPr>
          <w:b/>
          <w:bCs/>
          <w:i/>
          <w:iCs/>
        </w:rPr>
        <w:t xml:space="preserve">Idea</w:t>
      </w:r>
      <w:r>
        <w:t xml:space="preserve">: 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DeatonMuellbauer1980Economics">
        <w:r>
          <w:rPr>
            <w:rStyle w:val="Hyperlink"/>
          </w:rPr>
          <w:t xml:space="preserve">Deaton y Muellbauer 1980b</w:t>
        </w:r>
      </w:hyperlink>
      <w:r>
        <w:t xml:space="preserve">, caps. 1 y 3;</w:t>
      </w:r>
      <w:r>
        <w:t xml:space="preserve"> </w:t>
      </w:r>
      <w:hyperlink w:anchor="ref-AguilarMateos2015Deaton">
        <w:r>
          <w:rPr>
            <w:rStyle w:val="Hyperlink"/>
          </w:rPr>
          <w:t xml:space="preserve">Aguilar García y Mateos Bustamante 2015</w:t>
        </w:r>
      </w:hyperlink>
      <w:r>
        <w:t xml:space="preserve">)</w:t>
      </w:r>
      <w:r>
        <w:t xml:space="preserve">.</w:t>
      </w:r>
    </w:p>
    <w:p>
      <w:pPr>
        <w:numPr>
          <w:ilvl w:val="0"/>
          <w:numId w:val="1139"/>
        </w:numPr>
      </w:pPr>
      <w:r>
        <w:rPr>
          <w:b/>
          <w:bCs/>
          <w:i/>
          <w:iCs/>
        </w:rPr>
        <w:t xml:space="preserve">Pasos que sigue la literatura</w:t>
      </w:r>
      <w:r>
        <w:t xml:space="preserve">:</w:t>
      </w:r>
    </w:p>
    <w:p>
      <w:pPr>
        <w:numPr>
          <w:ilvl w:val="1"/>
          <w:numId w:val="1140"/>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2"/>
          <w:numId w:val="1141"/>
        </w:numPr>
      </w:pPr>
      <w:r>
        <w:rPr>
          <w:b/>
          <w:bCs/>
        </w:rPr>
        <w:t xml:space="preserve">Cobb-Douglas</w:t>
      </w:r>
      <w:r>
        <w:t xml:space="preserve">, en logaritmos,</w:t>
      </w:r>
      <w:r>
        <w:t xml:space="preserve"> </w:t>
      </w:r>
      <m:oMath>
        <m:r>
          <m:t>u</m:t>
        </m:r>
        <m:d>
          <m:dPr>
            <m:begChr m:val="("/>
            <m:sepChr m:val=""/>
            <m:endChr m:val=")"/>
            <m:grow/>
          </m:dPr>
          <m:e>
            <m:r>
              <m:t>x</m:t>
            </m:r>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B.8). No recoge, por ejemplo, la ley de</w:t>
      </w:r>
      <w:r>
        <w:t xml:space="preserve"> </w:t>
      </w:r>
      <w:r>
        <w:rPr>
          <w:smallCaps/>
        </w:rPr>
        <w:t xml:space="preserve">Engel</w:t>
      </w:r>
      <w:r>
        <w:t xml:space="preserve">.</w:t>
      </w:r>
    </w:p>
    <w:p>
      <w:pPr>
        <w:numPr>
          <w:ilvl w:val="2"/>
          <w:numId w:val="1141"/>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r>
              <m:t>x</m:t>
            </m:r>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Geary1950Note">
        <w:r>
          <w:rPr>
            <w:rStyle w:val="Hyperlink"/>
          </w:rPr>
          <w:t xml:space="preserve">Geary 1950</w:t>
        </w:r>
      </w:hyperlink>
      <w:r>
        <w:t xml:space="preserve">;</w:t>
      </w:r>
      <w:r>
        <w:t xml:space="preserve"> </w:t>
      </w:r>
      <w:hyperlink w:anchor="ref-Stone1954Linear">
        <w:r>
          <w:rPr>
            <w:rStyle w:val="Hyperlink"/>
          </w:rPr>
          <w:t xml:space="preserve">Stone 1954</w:t>
        </w:r>
      </w:hyperlink>
      <w:r>
        <w:t xml:space="preserve">)</w:t>
      </w:r>
      <w:r>
        <w:t xml:space="preserve">:</w:t>
      </w:r>
    </w:p>
    <w:p>
      <w:pPr>
        <w:pStyle w:val="BodyT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2"/>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y con preferencias aditivas las elasticidades-precio quedan prácticamente ligadas a las elasticidades-renta, algo que los datos rechazan</w:t>
      </w:r>
      <w:r>
        <w:t xml:space="preserve"> </w:t>
      </w:r>
      <w:r>
        <w:t xml:space="preserve">(</w:t>
      </w:r>
      <w:hyperlink w:anchor="ref-Deaton1974Analysis">
        <w:r>
          <w:rPr>
            <w:rStyle w:val="Hyperlink"/>
          </w:rPr>
          <w:t xml:space="preserve">Deaton 1974</w:t>
        </w:r>
      </w:hyperlink>
      <w:r>
        <w:t xml:space="preserve">)</w:t>
      </w:r>
      <w:r>
        <w:t xml:space="preserve">.</w:t>
      </w:r>
    </w:p>
    <w:p>
      <w:pPr>
        <w:numPr>
          <w:ilvl w:val="2"/>
          <w:numId w:val="1141"/>
        </w:numPr>
      </w:pPr>
      <w:r>
        <w:rPr>
          <w:b/>
          <w:bCs/>
        </w:rPr>
        <w:t xml:space="preserve">Modelo de Rotterdam</w:t>
      </w:r>
      <w:r>
        <w:t xml:space="preserve"> </w:t>
      </w:r>
      <w:r>
        <w:t xml:space="preserve">(</w:t>
      </w:r>
      <w:hyperlink w:anchor="ref-Theil1965Information">
        <w:r>
          <w:rPr>
            <w:rStyle w:val="Hyperlink"/>
          </w:rPr>
          <w:t xml:space="preserve">Theil 1965</w:t>
        </w:r>
      </w:hyperlink>
      <w:r>
        <w:t xml:space="preserve">;</w:t>
      </w:r>
      <w:r>
        <w:t xml:space="preserve"> </w:t>
      </w:r>
      <w:hyperlink w:anchor="ref-Barten1967Slutsky">
        <w:r>
          <w:rPr>
            <w:rStyle w:val="Hyperlink"/>
          </w:rPr>
          <w:t xml:space="preserve">Barten 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t xml:space="preserve">Barten (</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w:t>
      </w:r>
      <w:r>
        <w:t xml:space="preserve">contrastó la homogeneidad y la simetría con datos de los Países Bajos.</w:t>
      </w:r>
    </w:p>
    <w:p>
      <w:pPr>
        <w:numPr>
          <w:ilvl w:val="2"/>
          <w:numId w:val="1141"/>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t xml:space="preserve">Christensen, Jorgenson y Lau (</w:t>
      </w:r>
      <w:hyperlink w:anchor="ref-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2"/>
          <w:numId w:val="1141"/>
        </w:numPr>
      </w:pPr>
      <w:r>
        <w:rPr>
          <w:b/>
          <w:bCs/>
        </w:rPr>
        <w:t xml:space="preserve">Sistema casi ideal de demanda</w:t>
      </w:r>
      <w:r>
        <w:t xml:space="preserve"> </w:t>
      </w:r>
      <w:r>
        <w:t xml:space="preserve">(AIDS) de</w:t>
      </w:r>
      <w:r>
        <w:t xml:space="preserve"> </w:t>
      </w:r>
      <w:r>
        <w:t xml:space="preserve">Deaton y Muellbauer (</w:t>
      </w:r>
      <w:hyperlink w:anchor="ref-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2"/>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Muellbauer1975Aggregation">
        <w:r>
          <w:rPr>
            <w:rStyle w:val="Hyperlink"/>
          </w:rPr>
          <w:t xml:space="preserve">Muellbauer 1975</w:t>
        </w:r>
      </w:hyperlink>
      <w:r>
        <w:t xml:space="preserve">,</w:t>
      </w:r>
      <w:r>
        <w:t xml:space="preserve"> </w:t>
      </w:r>
      <w:hyperlink w:anchor="ref-Muellbauer1976Community">
        <w:r>
          <w:rPr>
            <w:rStyle w:val="Hyperlink"/>
          </w:rPr>
          <w:t xml:space="preserve">1976</w:t>
        </w:r>
      </w:hyperlink>
      <w:r>
        <w:t xml:space="preserve">)</w:t>
      </w:r>
      <w:r>
        <w:t xml:space="preserve"> </w:t>
      </w:r>
      <w:r>
        <w:t xml:space="preserve">(apartado I.3).</w:t>
      </w:r>
      <w:r>
        <w:rPr>
          <w:rStyle w:val="FootnoteReference"/>
        </w:rPr>
        <w:footnoteReference w:id="236"/>
      </w:r>
    </w:p>
    <w:p>
      <w:pPr>
        <w:numPr>
          <w:ilvl w:val="1"/>
          <w:numId w:val="1140"/>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dos etapas: primero se reparte el gasto entre grupos y luego, dentro de cada grupo</w:t>
      </w:r>
      <w:r>
        <w:t xml:space="preserve"> </w:t>
      </w:r>
      <w:r>
        <w:t xml:space="preserve">(</w:t>
      </w:r>
      <w:hyperlink w:anchor="ref-DeatonMuellbauer1980Economics">
        <w:r>
          <w:rPr>
            <w:rStyle w:val="Hyperlink"/>
          </w:rPr>
          <w:t xml:space="preserve">Deaton y Muellbauer 1980b, cap. 5</w:t>
        </w:r>
      </w:hyperlink>
      <w:r>
        <w:t xml:space="preserve">)</w:t>
      </w:r>
      <w:r>
        <w:t xml:space="preserve">.</w:t>
      </w:r>
    </w:p>
    <w:p>
      <w:pPr>
        <w:numPr>
          <w:ilvl w:val="1"/>
          <w:numId w:val="1140"/>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dos años seguidos, lo que da un panel corto; sustituyó a la Encuesta Continua de Presupuestos Familiares</w:t>
      </w:r>
      <w:r>
        <w:t xml:space="preserve"> </w:t>
      </w:r>
      <w:r>
        <w:t xml:space="preserve">(</w:t>
      </w:r>
      <w:hyperlink w:anchor="ref-INE2008EPFCaracteristicas">
        <w:r>
          <w:rPr>
            <w:rStyle w:val="Hyperlink"/>
          </w:rPr>
          <w:t xml:space="preserve">Instituto Nacional de Estadística 2008</w:t>
        </w:r>
      </w:hyperlink>
      <w:r>
        <w:t xml:space="preserve">,</w:t>
      </w:r>
      <w:r>
        <w:t xml:space="preserve"> </w:t>
      </w:r>
      <w:hyperlink w:anchor="ref-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1"/>
          <w:numId w:val="1140"/>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Barten1969Maximum">
        <w:r>
          <w:rPr>
            <w:rStyle w:val="Hyperlink"/>
          </w:rPr>
          <w:t xml:space="preserve">Barten 1969</w:t>
        </w:r>
      </w:hyperlink>
      <w:r>
        <w:t xml:space="preserve">)</w:t>
      </w:r>
      <w:r>
        <w:t xml:space="preserve">.</w:t>
      </w:r>
    </w:p>
    <w:p>
      <w:pPr>
        <w:numPr>
          <w:ilvl w:val="1"/>
          <w:numId w:val="1140"/>
        </w:numPr>
      </w:pPr>
      <w:r>
        <w:rPr>
          <w:i/>
          <w:iCs/>
        </w:rPr>
        <w:t xml:space="preserve">Resultados</w:t>
      </w:r>
      <w:r>
        <w:t xml:space="preserve">. Se obtienen las elasticidades y se contrastan las restricciones que la forma funcional no impone (homogeneidad, simetría, negatividad), es decir, la integrabilidad de la demanda</w:t>
      </w:r>
      <w:r>
        <w:t xml:space="preserve"> </w:t>
      </w:r>
      <w:r>
        <w:rPr>
          <w:rStyle w:val="Referenciaatema"/>
        </w:rPr>
        <w:t xml:space="preserve">[ver tema 3.A.9]</w:t>
      </w:r>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Barten1967Slutsky">
        <w:r>
          <w:rPr>
            <w:rStyle w:val="Hyperlink"/>
          </w:rPr>
          <w:t xml:space="preserve">Barten 1967</w:t>
        </w:r>
      </w:hyperlink>
      <w:r>
        <w:t xml:space="preserve">;</w:t>
      </w:r>
      <w:r>
        <w:t xml:space="preserve"> </w:t>
      </w:r>
      <w:hyperlink w:anchor="ref-DeatonMuellbauer1980AIDS">
        <w:r>
          <w:rPr>
            <w:rStyle w:val="Hyperlink"/>
          </w:rPr>
          <w:t xml:space="preserve">Deaton y Muellbauer 1980a</w:t>
        </w:r>
      </w:hyperlink>
      <w:r>
        <w:t xml:space="preserve">)</w:t>
      </w:r>
      <w:r>
        <w:t xml:space="preserve">.</w:t>
      </w:r>
    </w:p>
    <w:bookmarkEnd w:id="237"/>
    <w:bookmarkStart w:id="243" w:name="anexo:cardinal"/>
    <w:p>
      <w:pPr>
        <w:pStyle w:val="Heading1"/>
      </w:pPr>
      <w:r>
        <w:t xml:space="preserve">E. Anexo: el enfoque cardinal de 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p>
      <w:pPr>
        <w:numPr>
          <w:ilvl w:val="0"/>
          <w:numId w:val="1142"/>
        </w:numPr>
      </w:pPr>
      <w:r>
        <w:rPr>
          <w:b/>
          <w:bCs/>
          <w:i/>
          <w:iCs/>
        </w:rPr>
        <w:t xml:space="preserve">Idea</w:t>
      </w:r>
      <w:r>
        <w:t xml:space="preserve">: el enfoque cardinal, desarrollado por</w:t>
      </w:r>
      <w:r>
        <w:t xml:space="preserve"> </w:t>
      </w:r>
      <w:r>
        <w:t xml:space="preserve">Marshall (</w:t>
      </w:r>
      <w:hyperlink w:anchor="ref-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p>
      <w:pPr>
        <w:numPr>
          <w:ilvl w:val="0"/>
          <w:numId w:val="1142"/>
        </w:numPr>
      </w:pPr>
      <w:r>
        <w:rPr>
          <w:b/>
          <w:bCs/>
          <w:i/>
          <w:iCs/>
        </w:rPr>
        <w:t xml:space="preserve">Supuestos</w:t>
      </w:r>
      <w:r>
        <w:t xml:space="preserve"> </w:t>
      </w:r>
      <w:r>
        <w:t xml:space="preserve">sobre la función de utilidad:</w:t>
      </w:r>
    </w:p>
    <w:p>
      <w:pPr>
        <w:numPr>
          <w:ilvl w:val="1"/>
          <w:numId w:val="1143"/>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238"/>
      </w:r>
    </w:p>
    <w:p>
      <w:pPr>
        <w:numPr>
          <w:ilvl w:val="1"/>
          <w:numId w:val="1143"/>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43"/>
        </w:numPr>
      </w:pPr>
      <w:r>
        <w:rPr>
          <w:i/>
          <w:iCs/>
        </w:rPr>
        <w:t xml:space="preserve">creciente</w:t>
      </w:r>
      <w:r>
        <w:t xml:space="preserve"> </w:t>
      </w:r>
      <w:r>
        <w:t xml:space="preserve">en cada bien y en el dinero;</w:t>
      </w:r>
    </w:p>
    <w:p>
      <w:pPr>
        <w:numPr>
          <w:ilvl w:val="1"/>
          <w:numId w:val="1143"/>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43"/>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p>
      <w:pPr>
        <w:numPr>
          <w:ilvl w:val="0"/>
          <w:numId w:val="1142"/>
        </w:numPr>
      </w:pPr>
      <w:r>
        <w:rPr>
          <w:b/>
          <w:bCs/>
          <w:i/>
          <w:iCs/>
        </w:rPr>
        <w:t xml:space="preserve">Modelo</w:t>
      </w:r>
      <w:r>
        <w:t xml:space="preserve">: con dos bienes y una renta</w:t>
      </w:r>
      <w:r>
        <w:t xml:space="preserve"> </w:t>
      </w:r>
      <m:oMath>
        <m:r>
          <m:t>Y</m:t>
        </m:r>
      </m:oMath>
      <w:r>
        <w:t xml:space="preserve">,</w:t>
      </w:r>
    </w:p>
    <w:p>
      <w:pPr>
        <w:pStyle w:val="BodyText"/>
      </w:pPr>
      <m:oMathPara>
        <m:oMathParaPr>
          <m:jc m:val="center"/>
        </m:oMathParaPr>
        <m:oMath>
          <m:limLow>
            <m:e>
              <m:r>
                <m:rPr>
                  <m:sty m:val="p"/>
                </m:rPr>
                <m:t>max</m:t>
              </m:r>
            </m:e>
            <m:lim>
              <m:sSub>
                <m:e>
                  <m:r>
                    <m:t>x</m:t>
                  </m:r>
                </m:e>
                <m:sub>
                  <m:r>
                    <m:t>1</m:t>
                  </m:r>
                </m:sub>
              </m:sSub>
              <m:r>
                <m:rPr>
                  <m:sty m:val="p"/>
                </m:rPr>
                <m:t>,</m:t>
              </m:r>
              <m:sSub>
                <m:e>
                  <m:r>
                    <m:t>x</m:t>
                  </m:r>
                </m:e>
                <m:sub>
                  <m:r>
                    <m:t>2</m:t>
                  </m:r>
                </m:sub>
              </m:sSub>
              <m:r>
                <m:rPr>
                  <m:sty m:val="p"/>
                </m:rPr>
                <m:t>,</m:t>
              </m:r>
              <m:r>
                <m:t>M</m:t>
              </m:r>
            </m:lim>
          </m:limLow>
          <m:r>
            <m:t> </m:t>
          </m:r>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r>
            <m:t> </m:t>
          </m:r>
          <m:r>
            <m:rPr>
              <m:nor/>
              <m:sty m:val="p"/>
            </m:rPr>
            <m:t>s.a.</m:t>
          </m:r>
          <m:r>
            <m:t> </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r>
            <m:rPr>
              <m:sty m:val="p"/>
            </m:rPr>
            <m:t>.</m:t>
          </m:r>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p>
    <w:p>
      <w:pPr>
        <w:pStyle w:val="BodyT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el consumidor compra cada bien hasta que su utilidad marginal, medida en dinero, iguala su precio. La curva de demanda es la curva de utilidad marginal (gráfico 23)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242" w:name="fig:demanda-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 title="" id="240" name="Picture"/>
            <a:graphic>
              <a:graphicData uri="http://schemas.openxmlformats.org/drawingml/2006/picture">
                <pic:pic>
                  <pic:nvPicPr>
                    <pic:cNvPr descr="C:\Users\vgutierrez\Documents\src\victorgutierrezmarcos.github.io-revision\oposicion\temario\fuentes\3A08\graficos/demanda-cardinal.png" id="241" name="Picture"/>
                    <pic:cNvPicPr>
                      <a:picLocks noChangeArrowheads="1" noChangeAspect="1"/>
                    </pic:cNvPicPr>
                  </pic:nvPicPr>
                  <pic:blipFill>
                    <a:blip r:embed="rId239"/>
                    <a:stretch>
                      <a:fillRect/>
                    </a:stretch>
                  </pic:blipFill>
                  <pic:spPr bwMode="auto">
                    <a:xfrm>
                      <a:off x="0" y="0"/>
                      <a:ext cx="2960331" cy="2672861"/>
                    </a:xfrm>
                    <a:prstGeom prst="rect">
                      <a:avLst/>
                    </a:prstGeom>
                    <a:noFill/>
                    <a:ln w="9525">
                      <a:noFill/>
                      <a:headEnd/>
                      <a:tailEnd/>
                    </a:ln>
                  </pic:spPr>
                </pic:pic>
              </a:graphicData>
            </a:graphic>
          </wp:inline>
        </w:drawing>
      </w:r>
    </w:p>
    <w:bookmarkEnd w:id="242"/>
    <w:p>
      <w:pPr>
        <w:pStyle w:val="Piedeimagen"/>
      </w:pPr>
      <w:r>
        <w:t xml:space="preserve">Fuente: elaboración propia basada en</w:t>
      </w:r>
      <w:r>
        <w:t xml:space="preserve"> </w:t>
      </w:r>
      <w:r>
        <w:t xml:space="preserve">Marshall (</w:t>
      </w:r>
      <w:hyperlink w:anchor="ref-Marshall1890Principles">
        <w:r>
          <w:rPr>
            <w:rStyle w:val="Hyperlink"/>
          </w:rPr>
          <w:t xml:space="preserve">1890</w:t>
        </w:r>
      </w:hyperlink>
      <w:r>
        <w:t xml:space="preserve">)</w:t>
      </w:r>
      <w:r>
        <w:t xml:space="preserve">.</w:t>
      </w:r>
    </w:p>
    <w:p>
      <w:pPr>
        <w:numPr>
          <w:ilvl w:val="0"/>
          <w:numId w:val="1144"/>
        </w:numPr>
      </w:pPr>
      <w:r>
        <w:rPr>
          <w:b/>
          <w:bCs/>
          <w:i/>
          <w:iCs/>
        </w:rPr>
        <w:t xml:space="preserve">Implicaciones</w:t>
      </w:r>
      <w:r>
        <w:t xml:space="preserve">: 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I.3): por eso el excedente del consumidor es en él una medida exacta del bienestar.</w:t>
      </w:r>
    </w:p>
    <w:p>
      <w:pPr>
        <w:numPr>
          <w:ilvl w:val="0"/>
          <w:numId w:val="1144"/>
        </w:numPr>
      </w:pPr>
      <w:r>
        <w:rPr>
          <w:b/>
          <w:bCs/>
          <w:i/>
          <w:iCs/>
        </w:rPr>
        <w:t xml:space="preserve">Valoración</w:t>
      </w:r>
      <w:r>
        <w:t xml:space="preserve">:</w:t>
      </w:r>
    </w:p>
    <w:p>
      <w:pPr>
        <w:numPr>
          <w:ilvl w:val="1"/>
          <w:numId w:val="1145"/>
        </w:numPr>
      </w:pPr>
      <w:r>
        <w:t xml:space="preserve">la utilidad cardinal exige más información de la necesaria: para derivar la demanda basta con ordenar las cestas;</w:t>
      </w:r>
    </w:p>
    <w:p>
      <w:pPr>
        <w:numPr>
          <w:ilvl w:val="1"/>
          <w:numId w:val="1145"/>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1"/>
          <w:numId w:val="1145"/>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243"/>
    <w:bookmarkStart w:id="248" w:name="anexo:lancaster"/>
    <w:p>
      <w:pPr>
        <w:pStyle w:val="Heading1"/>
      </w:pPr>
      <w:r>
        <w:t xml:space="preserve">F. Anexo: la teoría de la demanda de características de 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(III.2) y como fundamento de los precios hedónicos (III.3). Su papel en la diferenciación de productos se estudia en</w:t>
      </w:r>
      <w:r>
        <w:t xml:space="preserve"> </w:t>
      </w:r>
      <w:r>
        <w:rPr>
          <w:rStyle w:val="Referenciaatema"/>
        </w:rPr>
        <w:t xml:space="preserve">[ver tema 3.A.18]</w:t>
      </w:r>
      <w:r>
        <w:t xml:space="preserve">.</w:t>
      </w:r>
    </w:p>
    <w:p>
      <w:pPr>
        <w:numPr>
          <w:ilvl w:val="0"/>
          <w:numId w:val="1146"/>
        </w:numPr>
      </w:pPr>
      <w:r>
        <w:rPr>
          <w:b/>
          <w:bCs/>
          <w:i/>
          <w:iCs/>
        </w:rPr>
        <w:t xml:space="preserve">Idea</w:t>
      </w:r>
      <w:r>
        <w:t xml:space="preserve">: la teoría tradicional trata los bienes como homogéneos y distintos entre sí solo por su precio y por la utilidad que dan.</w:t>
      </w:r>
      <w:r>
        <w:t xml:space="preserve"> </w:t>
      </w:r>
      <w:r>
        <w:t xml:space="preserve">Lancaster (</w:t>
      </w:r>
      <w:hyperlink w:anchor="ref-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p>
      <w:pPr>
        <w:numPr>
          <w:ilvl w:val="0"/>
          <w:numId w:val="1146"/>
        </w:numPr>
      </w:pPr>
      <w:r>
        <w:rPr>
          <w:b/>
          <w:bCs/>
          <w:i/>
          <w:iCs/>
        </w:rPr>
        <w:t xml:space="preserve">Supuestos</w:t>
      </w:r>
      <w:r>
        <w:t xml:space="preserve">:</w:t>
      </w:r>
    </w:p>
    <w:p>
      <w:pPr>
        <w:numPr>
          <w:ilvl w:val="1"/>
          <w:numId w:val="1147"/>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1"/>
          <w:numId w:val="1147"/>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1"/>
          <w:numId w:val="1147"/>
        </w:numPr>
      </w:pPr>
      <w:r>
        <w:t xml:space="preserve">la utilidad, ordinal y con las propiedades habituales, depende de las características, no de los bienes.</w:t>
      </w:r>
    </w:p>
    <w:p>
      <w:pPr>
        <w:numPr>
          <w:ilvl w:val="0"/>
          <w:numId w:val="1146"/>
        </w:numPr>
      </w:pPr>
      <w:r>
        <w:rPr>
          <w:b/>
          <w:bCs/>
          <w:i/>
          <w:iCs/>
        </w:rPr>
        <w:t xml:space="preserve">Modelo</w:t>
      </w:r>
      <w:r>
        <w:t xml:space="preserve">: con</w:t>
      </w:r>
      <w:r>
        <w:t xml:space="preserve"> </w:t>
      </w:r>
      <m:oMath>
        <m:r>
          <m:t>n</m:t>
        </m:r>
      </m:oMath>
      <w:r>
        <w:t xml:space="preserve"> </w:t>
      </w:r>
      <w:r>
        <w:t xml:space="preserve">bienes y</w:t>
      </w:r>
      <w:r>
        <w:t xml:space="preserve"> </w:t>
      </w:r>
      <m:oMath>
        <m:r>
          <m:t>k</m:t>
        </m:r>
      </m:oMath>
      <w:r>
        <w:t xml:space="preserve"> </w:t>
      </w:r>
      <w:r>
        <w:t xml:space="preserve">características,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t> </m:t>
          </m:r>
          <m:r>
            <m:t> </m:t>
          </m:r>
          <m:d>
            <m:dPr>
              <m:begChr m:val="("/>
              <m:sepChr m:val=""/>
              <m:endChr m:val=")"/>
              <m:grow/>
            </m:dPr>
            <m:e>
              <m:r>
                <m:t>j</m:t>
              </m:r>
              <m:r>
                <m:rPr>
                  <m:sty m:val="p"/>
                </m:rPr>
                <m:t>=</m:t>
              </m:r>
              <m:r>
                <m:t>1</m:t>
              </m:r>
              <m:r>
                <m:rPr>
                  <m:sty m:val="p"/>
                </m:rPr>
                <m:t>,</m:t>
              </m:r>
              <m:r>
                <m:rPr>
                  <m:sty m:val="p"/>
                </m:rPr>
                <m:t>…</m:t>
              </m:r>
              <m:r>
                <m:rPr>
                  <m:sty m:val="p"/>
                </m:rPr>
                <m:t>,</m:t>
              </m:r>
              <m:r>
                <m:t>k</m:t>
              </m:r>
            </m:e>
          </m:d>
          <m:r>
            <m:rPr>
              <m:sty m:val="p"/>
            </m:rPr>
            <m:t>,</m:t>
          </m:r>
          <m:r>
            <m:t>  </m:t>
          </m:r>
          <m:sSub>
            <m:e>
              <m:r>
                <m:t>x</m:t>
              </m:r>
            </m:e>
            <m:sub>
              <m:r>
                <m:t>i</m:t>
              </m:r>
            </m:sub>
          </m:sSub>
          <m:r>
            <m:rPr>
              <m:sty m:val="p"/>
            </m:rPr>
            <m:t>≥</m:t>
          </m:r>
          <m:r>
            <m:t>0</m:t>
          </m:r>
          <m:r>
            <m:rPr>
              <m:sty m:val="p"/>
            </m:rPr>
            <m:t>,</m:t>
          </m:r>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r>
          <m:t>z</m:t>
        </m:r>
        <m:r>
          <m:rPr>
            <m:sty m:val="p"/>
          </m:rPr>
          <m:t>=</m:t>
        </m:r>
        <m:r>
          <m:t>B</m:t>
        </m:r>
        <m:r>
          <m:t>x</m:t>
        </m:r>
      </m:oMath>
      <w:r>
        <w:t xml:space="preserve">.</w:t>
      </w:r>
    </w:p>
    <w:p>
      <w:pPr>
        <w:numPr>
          <w:ilvl w:val="0"/>
          <w:numId w:val="1146"/>
        </w:numPr>
      </w:pPr>
      <w:r>
        <w:rPr>
          <w:b/>
          <w:bCs/>
          <w:i/>
          <w:iCs/>
        </w:rPr>
        <w:t xml:space="preserve">Desarrollo gráfico</w:t>
      </w:r>
      <w:r>
        <w:t xml:space="preserve"> </w:t>
      </w:r>
      <w:r>
        <w:t xml:space="preserve">(gráfico 24): con dos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p>
      <w:pPr>
        <w:numPr>
          <w:ilvl w:val="0"/>
          <w:numId w:val="1146"/>
        </w:numPr>
      </w:pPr>
      <w:r>
        <w:rPr>
          <w:b/>
          <w:bCs/>
          <w:i/>
          <w:iCs/>
        </w:rPr>
        <w:t xml:space="preserve">Implicaciones</w:t>
      </w:r>
      <w:r>
        <w:t xml:space="preserve">:</w:t>
      </w:r>
    </w:p>
    <w:p>
      <w:pPr>
        <w:numPr>
          <w:ilvl w:val="1"/>
          <w:numId w:val="1148"/>
        </w:numPr>
      </w:pPr>
      <w:r>
        <w:t xml:space="preserve">la elección tiene dos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1"/>
          <w:numId w:val="1148"/>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1"/>
          <w:numId w:val="1148"/>
        </w:numPr>
      </w:pPr>
      <w:r>
        <w:t xml:space="preserve">un bien nuevo es un rayo nuevo: tiene mercado si amplía la frontera de eficiencia;</w:t>
      </w:r>
    </w:p>
    <w:p>
      <w:pPr>
        <w:numPr>
          <w:ilvl w:val="1"/>
          <w:numId w:val="1148"/>
        </w:numPr>
      </w:pPr>
      <w:r>
        <w:t xml:space="preserve">para las empresas, la diferenciación consiste en elegir la combinación de características (estrategias de segmentación o de nicho) y la publicidad, en informar sobre ellas o influir en su valoración</w:t>
      </w:r>
      <w:r>
        <w:t xml:space="preserve"> </w:t>
      </w:r>
      <w:r>
        <w:rPr>
          <w:rStyle w:val="Referenciaatema"/>
        </w:rPr>
        <w:t xml:space="preserve">[ver tema 3.A.18]</w:t>
      </w:r>
      <w:r>
        <w:t xml:space="preserve">.</w:t>
      </w:r>
    </w:p>
    <w:p>
      <w:pPr>
        <w:numPr>
          <w:ilvl w:val="0"/>
          <w:numId w:val="1146"/>
        </w:numPr>
      </w:pPr>
      <w:r>
        <w:rPr>
          <w:b/>
          <w:bCs/>
          <w:i/>
          <w:iCs/>
        </w:rPr>
        <w:t xml:space="preserve">Aplicaciones</w:t>
      </w:r>
      <w:r>
        <w:t xml:space="preserve">:</w:t>
      </w:r>
    </w:p>
    <w:p>
      <w:pPr>
        <w:numPr>
          <w:ilvl w:val="1"/>
          <w:numId w:val="1149"/>
        </w:numPr>
      </w:pPr>
      <w:r>
        <w:t xml:space="preserve">el</w:t>
      </w:r>
      <w:r>
        <w:t xml:space="preserve"> </w:t>
      </w:r>
      <w:r>
        <w:rPr>
          <w:i/>
          <w:iCs/>
        </w:rPr>
        <w:t xml:space="preserve">método de los precios hedónicos</w:t>
      </w:r>
      <w:r>
        <w:t xml:space="preserve">, que estima cuánto se paga por cada característica de un bien (apartado III.3);</w:t>
      </w:r>
    </w:p>
    <w:p>
      <w:pPr>
        <w:numPr>
          <w:ilvl w:val="1"/>
          <w:numId w:val="1149"/>
        </w:numPr>
      </w:pPr>
      <w:r>
        <w:t xml:space="preserve">la</w:t>
      </w:r>
      <w:r>
        <w:t xml:space="preserve"> </w:t>
      </w:r>
      <w:r>
        <w:rPr>
          <w:i/>
          <w:iCs/>
        </w:rPr>
        <w:t xml:space="preserve">elección de cartera</w:t>
      </w:r>
      <w:r>
        <w:t xml:space="preserve">: un activo financiero puede verse como un conjunto de dos características, la rentabilidad esperada y el riesgo, y el modelo de media y varianza de</w:t>
      </w:r>
      <w:r>
        <w:t xml:space="preserve"> </w:t>
      </w:r>
      <w:r>
        <w:t xml:space="preserve">Markowitz (</w:t>
      </w:r>
      <w:hyperlink w:anchor="ref-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r>
        <w:rPr>
          <w:rStyle w:val="Referenciaatema"/>
        </w:rPr>
        <w:t xml:space="preserve">[ver tema 3.A.10]</w:t>
      </w:r>
      <w:r>
        <w:t xml:space="preserve">.</w:t>
      </w:r>
    </w:p>
    <w:p>
      <w:pPr>
        <w:numPr>
          <w:ilvl w:val="0"/>
          <w:numId w:val="1146"/>
        </w:numPr>
      </w:pPr>
      <w:r>
        <w:rPr>
          <w:b/>
          <w:bCs/>
          <w:i/>
          <w:iCs/>
        </w:rPr>
        <w:t xml:space="preserve">Valoración</w:t>
      </w:r>
      <w:r>
        <w:t xml:space="preserve">: 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Lancaster1966New">
        <w:r>
          <w:rPr>
            <w:rStyle w:val="Hyperlink"/>
          </w:rPr>
          <w:t xml:space="preserve">Lancaster 1966</w:t>
        </w:r>
      </w:hyperlink>
      <w:r>
        <w:t xml:space="preserve">)</w:t>
      </w:r>
      <w:r>
        <w:t xml:space="preserve">.</w:t>
      </w:r>
    </w:p>
    <w:bookmarkStart w:id="247" w:name="fig:lancaster-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 title="" id="245" name="Picture"/>
            <a:graphic>
              <a:graphicData uri="http://schemas.openxmlformats.org/drawingml/2006/picture">
                <pic:pic>
                  <pic:nvPicPr>
                    <pic:cNvPr descr="C:\Users\vgutierrez\Documents\src\victorgutierrezmarcos.github.io-revision\oposicion\temario\fuentes\3A08\graficos/lancaster-caracteristicas.png" id="246" name="Picture"/>
                    <pic:cNvPicPr>
                      <a:picLocks noChangeArrowheads="1" noChangeAspect="1"/>
                    </pic:cNvPicPr>
                  </pic:nvPicPr>
                  <pic:blipFill>
                    <a:blip r:embed="rId244"/>
                    <a:stretch>
                      <a:fillRect/>
                    </a:stretch>
                  </pic:blipFill>
                  <pic:spPr bwMode="auto">
                    <a:xfrm>
                      <a:off x="0" y="0"/>
                      <a:ext cx="3039844" cy="2483253"/>
                    </a:xfrm>
                    <a:prstGeom prst="rect">
                      <a:avLst/>
                    </a:prstGeom>
                    <a:noFill/>
                    <a:ln w="9525">
                      <a:noFill/>
                      <a:headEnd/>
                      <a:tailEnd/>
                    </a:ln>
                  </pic:spPr>
                </pic:pic>
              </a:graphicData>
            </a:graphic>
          </wp:inline>
        </w:drawing>
      </w:r>
    </w:p>
    <w:bookmarkEnd w:id="247"/>
    <w:p>
      <w:pPr>
        <w:pStyle w:val="Piedeimagen"/>
      </w:pPr>
      <w:r>
        <w:t xml:space="preserve">Fuente: elaboración propia basada en</w:t>
      </w:r>
      <w:r>
        <w:t xml:space="preserve"> </w:t>
      </w:r>
      <w:r>
        <w:t xml:space="preserve">Lancaster (</w:t>
      </w:r>
      <w:hyperlink w:anchor="ref-Lancaster1966New">
        <w:r>
          <w:rPr>
            <w:rStyle w:val="Hyperlink"/>
          </w:rPr>
          <w:t xml:space="preserve">1966</w:t>
        </w:r>
      </w:hyperlink>
      <w:r>
        <w:t xml:space="preserve">)</w:t>
      </w:r>
      <w:r>
        <w:t xml:space="preserve">.</w:t>
      </w:r>
    </w:p>
    <w:bookmarkEnd w:id="248"/>
    <w:bookmarkStart w:id="249" w:name="anexo:thaler"/>
    <w:p>
      <w:pPr>
        <w:pStyle w:val="Heading1"/>
      </w:pPr>
      <w:r>
        <w:t xml:space="preserve">G. Anexo: psicología y economía (Thaler)</w:t>
      </w:r>
    </w:p>
    <w:p>
      <w:pPr>
        <w:pStyle w:val="Notaalopositor"/>
      </w:pPr>
      <w:r>
        <w:rPr>
          <w:b/>
          <w:bCs/>
        </w:rPr>
        <w:t xml:space="preserve">Nota al opositor. </w:t>
      </w:r>
      <w:r>
        <w:t xml:space="preserve">Este anexo no se canta: amplía la valoración de la Conclusión. Las aportaciones de</w:t>
      </w:r>
      <w:r>
        <w:t xml:space="preserve"> </w:t>
      </w:r>
      <w:r>
        <w:rPr>
          <w:smallCaps/>
        </w:rPr>
        <w:t xml:space="preserve">Thaler</w:t>
      </w:r>
      <w:r>
        <w:t xml:space="preserve"> </w:t>
      </w:r>
      <w:r>
        <w:t xml:space="preserve">cuestionan los axiomas sobre las preferencias del apartado I.1.</w:t>
      </w:r>
    </w:p>
    <w:p>
      <w:pPr>
        <w:numPr>
          <w:ilvl w:val="0"/>
          <w:numId w:val="1150"/>
        </w:numPr>
      </w:pPr>
      <w:r>
        <w:rPr>
          <w:smallCaps/>
        </w:rPr>
        <w:t xml:space="preserve">Richard 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rPr>
          <w:t xml:space="preserve">Kungl. Vetenskapsakademien 2017</w:t>
        </w:r>
      </w:hyperlink>
      <w:r>
        <w:t xml:space="preserve">)</w:t>
      </w:r>
      <w:r>
        <w:t xml:space="preserve">. Sus aportaciones más útiles para la teoría del consumidor son tres:</w:t>
      </w:r>
    </w:p>
    <w:p>
      <w:pPr>
        <w:numPr>
          <w:ilvl w:val="1"/>
          <w:numId w:val="1151"/>
        </w:numPr>
      </w:pPr>
      <w:r>
        <w:rPr>
          <w:b/>
          <w:bCs/>
        </w:rPr>
        <w:t xml:space="preserve">Contabilidad mental</w:t>
      </w:r>
      <w:r>
        <w:t xml:space="preserve"> </w:t>
      </w:r>
      <w:r>
        <w:t xml:space="preserve">(</w:t>
      </w:r>
      <w:hyperlink w:anchor="ref-Thaler1985Mental">
        <w:r>
          <w:rPr>
            <w:rStyle w:val="Hyperlink"/>
          </w:rPr>
          <w:t xml:space="preserve">Thaler 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t xml:space="preserve">Simon (</w:t>
      </w:r>
      <w:hyperlink w:anchor="ref-Simon1955Behavioral">
        <w:r>
          <w:rPr>
            <w:rStyle w:val="Hyperlink"/>
          </w:rPr>
          <w:t xml:space="preserve">1955</w:t>
        </w:r>
      </w:hyperlink>
      <w:r>
        <w:t xml:space="preserve">)</w:t>
      </w:r>
      <w:r>
        <w:t xml:space="preserve">.</w:t>
      </w:r>
    </w:p>
    <w:p>
      <w:pPr>
        <w:numPr>
          <w:ilvl w:val="1"/>
          <w:numId w:val="1151"/>
        </w:numPr>
      </w:pPr>
      <w:r>
        <w:rPr>
          <w:b/>
          <w:bCs/>
        </w:rPr>
        <w:t xml:space="preserve">Efecto dotación</w:t>
      </w:r>
      <w:r>
        <w:t xml:space="preserve"> </w:t>
      </w:r>
      <w:r>
        <w:t xml:space="preserve">(</w:t>
      </w:r>
      <w:hyperlink w:anchor="ref-Thaler1980Positive">
        <w:r>
          <w:rPr>
            <w:rStyle w:val="Hyperlink"/>
          </w:rPr>
          <w:t xml:space="preserve">Thaler 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KahnemanTversky1979Prospect">
        <w:r>
          <w:rPr>
            <w:rStyle w:val="Hyperlink"/>
          </w:rPr>
          <w:t xml:space="preserve">Kahneman y Tversky 1979</w:t>
        </w:r>
      </w:hyperlink>
      <w:r>
        <w:t xml:space="preserve">;</w:t>
      </w:r>
      <w:r>
        <w:t xml:space="preserve"> </w:t>
      </w:r>
      <w:hyperlink w:anchor="ref-KahnemanKnetschThaler1990Endowment">
        <w:r>
          <w:rPr>
            <w:rStyle w:val="Hyperlink"/>
          </w:rPr>
          <w:t xml:space="preserve">Kahneman, Knetsch y Thaler 1990</w:t>
        </w:r>
      </w:hyperlink>
      <w:r>
        <w:t xml:space="preserve">)</w:t>
      </w:r>
      <w:r>
        <w:t xml:space="preserve">. Contradice que las curvas de indiferencia no dependan de la dotación inicial.</w:t>
      </w:r>
    </w:p>
    <w:p>
      <w:pPr>
        <w:numPr>
          <w:ilvl w:val="1"/>
          <w:numId w:val="1151"/>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KahnemanKnetschThaler1986Fairness">
        <w:r>
          <w:rPr>
            <w:rStyle w:val="Hyperlink"/>
          </w:rPr>
          <w:t xml:space="preserve">Kahneman, Knetsch y Thaler 1986</w:t>
        </w:r>
      </w:hyperlink>
      <w:r>
        <w:t xml:space="preserve">)</w:t>
      </w:r>
      <w:r>
        <w:t xml:space="preserve">.</w:t>
      </w:r>
    </w:p>
    <w:p>
      <w:pPr>
        <w:numPr>
          <w:ilvl w:val="0"/>
          <w:numId w:val="1150"/>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249"/>
    <w:bookmarkStart w:id="256" w:name="anexo:test"/>
    <w:p>
      <w:pPr>
        <w:pStyle w:val="Heading1"/>
      </w:pPr>
      <w:r>
        <w:t xml:space="preserve">H. Anexo: aspectos relevantes para el test</w:t>
      </w:r>
    </w:p>
    <w:p>
      <w:pPr>
        <w:pStyle w:val="Cajadeanotaciones"/>
      </w:pPr>
      <w:r>
        <w:t xml:space="preserve">Preguntas tipo test:</w:t>
      </w:r>
      <w:r>
        <w:t xml:space="preserve"> </w:t>
      </w:r>
      <w:hyperlink r:id="rId250">
        <w:r>
          <w:rPr>
            <w:rStyle w:val="Hyperlink"/>
          </w:rPr>
          <w:t xml:space="preserve">simulador de test</w:t>
        </w:r>
      </w:hyperlink>
      <w:r>
        <w:t xml:space="preserve">.</w:t>
      </w:r>
    </w:p>
    <w:bookmarkStart w:id="252" w:name="h.1.-bienes-males-y-bienes-neutrales"/>
    <w:p>
      <w:pPr>
        <w:pStyle w:val="Heading2"/>
      </w:pPr>
      <w:r>
        <w:t xml:space="preserve">H.1. Bienes, males y bienes neutrales</w:t>
      </w:r>
    </w:p>
    <w:p>
      <w:pPr>
        <w:pStyle w:val="FirstParagraph"/>
      </w:pPr>
      <w:r>
        <w:t xml:space="preserve">Se mira el signo de las utilidades marginales:</w:t>
      </w:r>
    </w:p>
    <w:bookmarkStart w:id="251" w:name="tab:bienes-males"/>
    <w:p>
      <w:pPr>
        <w:pStyle w:val="TableCaption"/>
      </w:pPr>
      <w:r>
        <w:t xml:space="preserve">Bienes, males y bienes neutrales</w:t>
      </w:r>
    </w:p>
    <w:tbl>
      <w:tblPr>
        <w:tblStyle w:val="Table"/>
        <w:tblW w:type="auto" w:w="0"/>
        <w:tblLook w:firstRow="1" w:lastRow="0" w:firstColumn="0" w:lastColumn="0" w:noHBand="0" w:noVBand="0" w:val="0020"/>
        <w:tblCaption w:val="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251"/>
    <w:p>
      <w:pPr>
        <w:pStyle w:val="BodyText"/>
      </w:pPr>
      <w:r>
        <w:rPr>
          <w:i/>
          <w:iCs/>
        </w:rPr>
        <w:t xml:space="preserve">Fuente: elaboración propia.</w:t>
      </w:r>
    </w:p>
    <w:p>
      <w:pPr>
        <w:numPr>
          <w:ilvl w:val="0"/>
          <w:numId w:val="1152"/>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52"/>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252"/>
    <w:bookmarkStart w:id="253" w:name="Xc9c8c193e5a72457f83fc31c7faa72e344a72be"/>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r>
          <m:t>R</m:t>
        </m:r>
        <m:r>
          <m:t>M</m:t>
        </m:r>
        <m:sSub>
          <m:e>
            <m:r>
              <m:t>S</m:t>
            </m:r>
          </m:e>
          <m:sub>
            <m:r>
              <m:t>x</m:t>
            </m:r>
            <m:r>
              <m:t>y</m:t>
            </m:r>
          </m:sub>
        </m:sSub>
        <m:r>
          <m:rPr>
            <m:sty m:val="p"/>
          </m:rPr>
          <m:t>=</m:t>
        </m:r>
        <m:r>
          <m:rPr>
            <m:sty m:val="p"/>
          </m:rPr>
          <m:t>−</m:t>
        </m:r>
        <m:r>
          <m:t>m</m:t>
        </m:r>
      </m:oMath>
      <w:r>
        <w:t xml:space="preserve"> </w:t>
      </w:r>
      <w:r>
        <w:t xml:space="preserve">(ecuación (4)).</w:t>
      </w:r>
    </w:p>
    <w:bookmarkEnd w:id="253"/>
    <w:bookmarkStart w:id="255" w:name="X8db722a61a1945106241b5f9d431566eac24d5b"/>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dos bienes (</w:t>
      </w:r>
      <m:oMath>
        <m:r>
          <m:t>m</m:t>
        </m:r>
        <m:r>
          <m:rPr>
            <m:sty m:val="p"/>
          </m:rPr>
          <m:t>&lt;</m:t>
        </m:r>
        <m:r>
          <m:t>0</m:t>
        </m:r>
      </m:oMath>
      <w:r>
        <w:t xml:space="preserve">), las condiciones de la tabla 5 la garantizan, pero</w:t>
      </w:r>
      <w:r>
        <w:t xml:space="preserve"> </w:t>
      </w:r>
      <w:r>
        <w:rPr>
          <w:i/>
          <w:iCs/>
        </w:rPr>
        <w:t xml:space="preserve">no son necesarias</w:t>
      </w:r>
      <w:r>
        <w:t xml:space="preserve">: lo que decide es la derivada total.</w:t>
      </w:r>
    </w:p>
    <w:bookmarkStart w:id="254" w:name="tab:curvatura"/>
    <w:p>
      <w:pPr>
        <w:pStyle w:val="TableCaption"/>
      </w:pPr>
      <w:r>
        <w:t xml:space="preserve">Condiciones suficientes sobre la curvatura de las curvas de indiferencia (dos bienes)</w:t>
      </w:r>
    </w:p>
    <w:tbl>
      <w:tblPr>
        <w:tblStyle w:val="Table"/>
        <w:tblW w:type="auto" w:w="0"/>
        <w:tblLook w:firstRow="1" w:lastRow="0" w:firstColumn="0" w:lastColumn="0" w:noHBand="0" w:noVBand="0" w:val="0020"/>
        <w:tblCaption w:val="Condiciones suficientes sobre la curvatura de las curvas de indiferencia (dos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t>R</m:t>
              </m:r>
              <m:r>
                <m:t>M</m:t>
              </m:r>
              <m:r>
                <m:t>S</m:t>
              </m:r>
              <m:r>
                <m:rPr>
                  <m:sty m:val="p"/>
                </m:rPr>
                <m:t>/</m:t>
              </m:r>
              <m:r>
                <m:rPr>
                  <m:sty m:val="p"/>
                </m:rPr>
                <m:t>∂</m:t>
              </m:r>
              <m:r>
                <m:t>x</m:t>
              </m:r>
              <m:r>
                <m:rPr>
                  <m:sty m:val="p"/>
                </m:rPr>
                <m:t>&lt;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t>R</m:t>
              </m:r>
              <m:r>
                <m:t>M</m:t>
              </m:r>
              <m:r>
                <m:t>S</m:t>
              </m:r>
              <m:r>
                <m:rPr>
                  <m:sty m:val="p"/>
                </m:rPr>
                <m:t>/</m:t>
              </m:r>
              <m:r>
                <m:rPr>
                  <m:sty m:val="p"/>
                </m:rPr>
                <m:t>∂</m:t>
              </m:r>
              <m:r>
                <m:t>x</m:t>
              </m:r>
              <m:r>
                <m:rPr>
                  <m:sty m:val="p"/>
                </m:rPr>
                <m: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t>R</m:t>
              </m:r>
              <m:r>
                <m:t>M</m:t>
              </m:r>
              <m:r>
                <m:t>S</m:t>
              </m:r>
              <m:r>
                <m:rPr>
                  <m:sty m:val="p"/>
                </m:rPr>
                <m:t>/</m:t>
              </m:r>
              <m:r>
                <m:rPr>
                  <m:sty m:val="p"/>
                </m:rPr>
                <m:t>∂</m:t>
              </m:r>
              <m:r>
                <m:t>x</m:t>
              </m:r>
              <m:r>
                <m:rPr>
                  <m:sty m:val="p"/>
                </m:rPr>
                <m:t>&gt;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254"/>
    <w:p>
      <w:pPr>
        <w:pStyle w:val="BodyT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53"/>
        </w:numPr>
      </w:pPr>
      <w:r>
        <w:t xml:space="preserve">Ejemplos rápidos:</w:t>
      </w:r>
      <w:r>
        <w:t xml:space="preserve"> </w:t>
      </w:r>
      <m:oMath>
        <m:r>
          <m:t>U</m:t>
        </m:r>
        <m:r>
          <m:rPr>
            <m:sty m:val="p"/>
          </m:rPr>
          <m:t>=</m:t>
        </m:r>
        <m:r>
          <m:t>x</m:t>
        </m:r>
        <m:r>
          <m:t>y</m:t>
        </m:r>
      </m:oMath>
      <w:r>
        <w:t xml:space="preserve"> </w:t>
      </w:r>
      <w:r>
        <w:t xml:space="preserve">da</w:t>
      </w:r>
      <w:r>
        <w:t xml:space="preserve"> </w:t>
      </w:r>
      <m:oMath>
        <m:r>
          <m:t>R</m:t>
        </m:r>
        <m:r>
          <m:t>M</m:t>
        </m:r>
        <m:sSub>
          <m:e>
            <m: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r>
          <m:t>R</m:t>
        </m:r>
        <m:r>
          <m:t>M</m:t>
        </m:r>
        <m:sSub>
          <m:e>
            <m: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r>
          <m:t>R</m:t>
        </m:r>
        <m:r>
          <m:t>M</m:t>
        </m:r>
        <m:sSub>
          <m:e>
            <m:r>
              <m:t>S</m:t>
            </m:r>
          </m:e>
          <m:sub>
            <m:r>
              <m:t>x</m:t>
            </m:r>
            <m:r>
              <m:t>y</m:t>
            </m:r>
          </m:sub>
        </m:sSub>
        <m:r>
          <m:rPr>
            <m:sty m:val="p"/>
          </m:rPr>
          <m:t>=</m:t>
        </m:r>
        <m:r>
          <m:t>x</m:t>
        </m:r>
        <m:r>
          <m:rPr>
            <m:sty m:val="p"/>
          </m:rPr>
          <m:t>/</m:t>
        </m:r>
        <m:r>
          <m:t>y</m:t>
        </m:r>
      </m:oMath>
      <w:r>
        <w:t xml:space="preserve"> </w:t>
      </w:r>
      <w:r>
        <w:t xml:space="preserve">(cóncava).</w:t>
      </w:r>
    </w:p>
    <w:p>
      <w:r>
        <w:br w:type="page"/>
      </w:r>
    </w:p>
    <w:bookmarkEnd w:id="255"/>
    <w:bookmarkEnd w:id="256"/>
    <w:bookmarkStart w:id="423" w:name="bibliography"/>
    <w:p>
      <w:pPr>
        <w:pStyle w:val="Heading1"/>
      </w:pPr>
      <w:r>
        <w:t xml:space="preserve">Bibliografía</w:t>
      </w:r>
    </w:p>
    <w:bookmarkStart w:id="422" w:name="refs"/>
    <w:bookmarkStart w:id="258"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57">
        <w:r>
          <w:rPr>
            <w:rStyle w:val="Hyperlink"/>
          </w:rPr>
          <w:t xml:space="preserve">https://doi.org/10.2307/2525382</w:t>
        </w:r>
      </w:hyperlink>
      <w:r>
        <w:t xml:space="preserve">.</w:t>
      </w:r>
    </w:p>
    <w:bookmarkEnd w:id="258"/>
    <w:bookmarkStart w:id="260"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59">
        <w:r>
          <w:rPr>
            <w:rStyle w:val="Hyperlink"/>
          </w:rPr>
          <w:t xml:space="preserve">https://presidencia.gva.es/documents/166658342/166714754/Ejemplar+3070/2957e02b-f135-4235-98a6-bfc909292066</w:t>
        </w:r>
      </w:hyperlink>
      <w:r>
        <w:t xml:space="preserve">.</w:t>
      </w:r>
    </w:p>
    <w:bookmarkEnd w:id="260"/>
    <w:bookmarkStart w:id="261"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61"/>
    <w:bookmarkStart w:id="263"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62">
        <w:r>
          <w:rPr>
            <w:rStyle w:val="Hyperlink"/>
          </w:rPr>
          <w:t xml:space="preserve">https://doi.org/10.2307/1927286</w:t>
        </w:r>
      </w:hyperlink>
      <w:r>
        <w:t xml:space="preserve">.</w:t>
      </w:r>
    </w:p>
    <w:bookmarkEnd w:id="263"/>
    <w:bookmarkStart w:id="264"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64"/>
    <w:bookmarkStart w:id="265" w:name="ref-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265"/>
    <w:bookmarkStart w:id="267" w:name="ref-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266">
        <w:r>
          <w:rPr>
            <w:rStyle w:val="Hyperlink"/>
          </w:rPr>
          <w:t xml:space="preserve">https://doi.org/10.2307/1937885</w:t>
        </w:r>
      </w:hyperlink>
      <w:r>
        <w:t xml:space="preserve">.</w:t>
      </w:r>
    </w:p>
    <w:bookmarkEnd w:id="267"/>
    <w:bookmarkStart w:id="269"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268">
        <w:r>
          <w:rPr>
            <w:rStyle w:val="Hyperlink"/>
          </w:rPr>
          <w:t xml:space="preserve">https://doi.org/10.1016/0014-2921(69)90017-8</w:t>
        </w:r>
      </w:hyperlink>
      <w:r>
        <w:t xml:space="preserve">.</w:t>
      </w:r>
    </w:p>
    <w:bookmarkEnd w:id="269"/>
    <w:bookmarkStart w:id="271"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70">
        <w:r>
          <w:rPr>
            <w:rStyle w:val="Hyperlink"/>
          </w:rPr>
          <w:t xml:space="preserve">https://doi.org/10.2307/2228949</w:t>
        </w:r>
      </w:hyperlink>
      <w:r>
        <w:t xml:space="preserve">.</w:t>
      </w:r>
    </w:p>
    <w:bookmarkEnd w:id="271"/>
    <w:bookmarkStart w:id="273" w:name="ref-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272">
        <w:r>
          <w:rPr>
            <w:rStyle w:val="Hyperlink"/>
          </w:rPr>
          <w:t xml:space="preserve">https://doi.org/10.2307/1909829</w:t>
        </w:r>
      </w:hyperlink>
      <w:r>
        <w:t xml:space="preserve">.</w:t>
      </w:r>
    </w:p>
    <w:bookmarkEnd w:id="273"/>
    <w:bookmarkStart w:id="274"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74"/>
    <w:bookmarkStart w:id="275"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75"/>
    <w:bookmarkStart w:id="276"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76"/>
    <w:bookmarkStart w:id="277"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77"/>
    <w:bookmarkStart w:id="279" w:name="ref-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278">
        <w:r>
          <w:rPr>
            <w:rStyle w:val="Hyperlink"/>
          </w:rPr>
          <w:t xml:space="preserve">https://allengoodman.wayne.edu/Research/PUBS/Court_Hedonic.pdf</w:t>
        </w:r>
      </w:hyperlink>
      <w:r>
        <w:t xml:space="preserve">.</w:t>
      </w:r>
    </w:p>
    <w:bookmarkEnd w:id="279"/>
    <w:bookmarkStart w:id="281"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80">
        <w:r>
          <w:rPr>
            <w:rStyle w:val="Hyperlink"/>
          </w:rPr>
          <w:t xml:space="preserve">https://doi.org/10.2307/1911983</w:t>
        </w:r>
      </w:hyperlink>
      <w:r>
        <w:t xml:space="preserve">.</w:t>
      </w:r>
    </w:p>
    <w:bookmarkEnd w:id="281"/>
    <w:bookmarkStart w:id="282"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82"/>
    <w:bookmarkStart w:id="283"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283"/>
    <w:bookmarkStart w:id="285"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84">
        <w:r>
          <w:rPr>
            <w:rStyle w:val="Hyperlink"/>
          </w:rPr>
          <w:t xml:space="preserve">https://cowles.yale.edu/sites/default/files/2022-09/m17-all.pdf</w:t>
        </w:r>
      </w:hyperlink>
      <w:r>
        <w:t xml:space="preserve">.</w:t>
      </w:r>
    </w:p>
    <w:bookmarkEnd w:id="285"/>
    <w:bookmarkStart w:id="286"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286"/>
    <w:bookmarkStart w:id="287"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7"/>
    <w:bookmarkStart w:id="288"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88"/>
    <w:bookmarkStart w:id="289" w:name="ref-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289"/>
    <w:bookmarkStart w:id="290"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290"/>
    <w:bookmarkStart w:id="291" w:name="ref-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291"/>
    <w:bookmarkStart w:id="293" w:name="ref-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292">
        <w:r>
          <w:rPr>
            <w:rStyle w:val="Hyperlink"/>
          </w:rPr>
          <w:t xml:space="preserve">https://doi.org/10.2785/055028</w:t>
        </w:r>
      </w:hyperlink>
      <w:r>
        <w:t xml:space="preserve">.</w:t>
      </w:r>
    </w:p>
    <w:bookmarkEnd w:id="293"/>
    <w:bookmarkStart w:id="295" w:name="ref-Eurostat2026Nama10gdp"/>
    <w:p>
      <w:pPr>
        <w:pStyle w:val="Bibliography"/>
      </w:pPr>
      <w:r>
        <w:t xml:space="preserve">———. 2026.</w:t>
      </w:r>
      <w:r>
        <w:t xml:space="preserve"> </w:t>
      </w:r>
      <w:r>
        <w:t xml:space="preserve">«GDP and main components (output, expenditure and income) [nama_10_gdp]»</w:t>
      </w:r>
      <w:r>
        <w:t xml:space="preserve">. 2026.</w:t>
      </w:r>
      <w:r>
        <w:t xml:space="preserve"> </w:t>
      </w:r>
      <w:hyperlink r:id="rId294">
        <w:r>
          <w:rPr>
            <w:rStyle w:val="Hyperlink"/>
          </w:rPr>
          <w:t xml:space="preserve">https://ec.europa.eu/eurostat/databrowser/view/nama_10_gdp/default/table</w:t>
        </w:r>
      </w:hyperlink>
      <w:r>
        <w:t xml:space="preserve">.</w:t>
      </w:r>
    </w:p>
    <w:bookmarkEnd w:id="295"/>
    <w:bookmarkStart w:id="296" w:name="ref-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296"/>
    <w:bookmarkStart w:id="297" w:name="ref-Fisher1918Utility"/>
    <w:p>
      <w:pPr>
        <w:pStyle w:val="Bibliography"/>
      </w:pPr>
      <w:r>
        <w:t xml:space="preserve">———.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297"/>
    <w:bookmarkStart w:id="298" w:name="ref-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298"/>
    <w:bookmarkStart w:id="300" w:name="ref-FulekyAnatomy"/>
    <w:p>
      <w:pPr>
        <w:pStyle w:val="Bibliography"/>
      </w:pPr>
      <w:r>
        <w:t xml:space="preserve">Fuleky, Peter. s. f.</w:t>
      </w:r>
      <w:r>
        <w:t xml:space="preserve"> </w:t>
      </w:r>
      <w:r>
        <w:t xml:space="preserve">«Convex, Concave, Quasiconcave, or What? (Anatomy of a Function)»</w:t>
      </w:r>
      <w:r>
        <w:t xml:space="preserve">. Accedido 10 de octubre de 2026.</w:t>
      </w:r>
      <w:r>
        <w:t xml:space="preserve"> </w:t>
      </w:r>
      <w:hyperlink r:id="rId299">
        <w:r>
          <w:rPr>
            <w:rStyle w:val="Hyperlink"/>
          </w:rPr>
          <w:t xml:space="preserve">https://web.archive.org/web/20260106065001/http://www2.hawaii.edu/~fuleky/anatomy/anatomy.html</w:t>
        </w:r>
      </w:hyperlink>
      <w:r>
        <w:t xml:space="preserve">.</w:t>
      </w:r>
    </w:p>
    <w:bookmarkEnd w:id="300"/>
    <w:bookmarkStart w:id="302"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01">
        <w:r>
          <w:rPr>
            <w:rStyle w:val="Hyperlink"/>
          </w:rPr>
          <w:t xml:space="preserve">https://doi.org/10.2307/2296107</w:t>
        </w:r>
      </w:hyperlink>
      <w:r>
        <w:t xml:space="preserve">.</w:t>
      </w:r>
    </w:p>
    <w:bookmarkEnd w:id="302"/>
    <w:bookmarkStart w:id="304" w:name="ref-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03">
        <w:r>
          <w:rPr>
            <w:rStyle w:val="Hyperlink"/>
          </w:rPr>
          <w:t xml:space="preserve">https://doi.org/10.1006/juec.1997.2071</w:t>
        </w:r>
      </w:hyperlink>
      <w:r>
        <w:t xml:space="preserve">.</w:t>
      </w:r>
    </w:p>
    <w:bookmarkEnd w:id="304"/>
    <w:bookmarkStart w:id="306"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05">
        <w:r>
          <w:rPr>
            <w:rStyle w:val="Hyperlink"/>
          </w:rPr>
          <w:t xml:space="preserve">https://doi.org/10.2307/1906943</w:t>
        </w:r>
      </w:hyperlink>
      <w:r>
        <w:t xml:space="preserve">.</w:t>
      </w:r>
    </w:p>
    <w:bookmarkEnd w:id="306"/>
    <w:bookmarkStart w:id="308"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307">
        <w:r>
          <w:rPr>
            <w:rStyle w:val="Hyperlink"/>
          </w:rPr>
          <w:t xml:space="preserve">https://doi.org/10.1111/j.1467-999X.1961.tb00819.x</w:t>
        </w:r>
      </w:hyperlink>
      <w:r>
        <w:t xml:space="preserve">.</w:t>
      </w:r>
    </w:p>
    <w:bookmarkEnd w:id="308"/>
    <w:bookmarkStart w:id="309" w:name="ref-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309"/>
    <w:bookmarkStart w:id="310" w:name="ref-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310"/>
    <w:bookmarkStart w:id="312" w:name="ref-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311">
        <w:r>
          <w:rPr>
            <w:rStyle w:val="Hyperlink"/>
          </w:rPr>
          <w:t xml:space="preserve">https://www.nber.org/system/files/chapters/c6492/c6492.pdf</w:t>
        </w:r>
      </w:hyperlink>
      <w:r>
        <w:t xml:space="preserve">.</w:t>
      </w:r>
    </w:p>
    <w:bookmarkEnd w:id="312"/>
    <w:bookmarkStart w:id="313" w:name="ref-Griliches1971Price"/>
    <w:p>
      <w:pPr>
        <w:pStyle w:val="Bibliography"/>
      </w:pPr>
      <w:r>
        <w:t xml:space="preserve">———, ed. 1971.</w:t>
      </w:r>
      <w:r>
        <w:t xml:space="preserve"> </w:t>
      </w:r>
      <w:r>
        <w:rPr>
          <w:i/>
          <w:iCs/>
        </w:rPr>
        <w:t xml:space="preserve">Price Indexes and Quality Change: Studies in New Methods of Measurement</w:t>
      </w:r>
      <w:r>
        <w:t xml:space="preserve">. Cambridge (Mass.): Harvard University Press.</w:t>
      </w:r>
    </w:p>
    <w:bookmarkEnd w:id="313"/>
    <w:bookmarkStart w:id="315"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14">
        <w:r>
          <w:rPr>
            <w:rStyle w:val="Hyperlink"/>
          </w:rPr>
          <w:t xml:space="preserve">https://doi.org/10.1086/260629</w:t>
        </w:r>
      </w:hyperlink>
      <w:r>
        <w:t xml:space="preserve">.</w:t>
      </w:r>
    </w:p>
    <w:bookmarkEnd w:id="315"/>
    <w:bookmarkStart w:id="317"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316">
        <w:r>
          <w:rPr>
            <w:rStyle w:val="Hyperlink"/>
          </w:rPr>
          <w:t xml:space="preserve">https://doi.org/10.2307/2548574</w:t>
        </w:r>
      </w:hyperlink>
      <w:r>
        <w:t xml:space="preserve">.</w:t>
      </w:r>
    </w:p>
    <w:bookmarkEnd w:id="317"/>
    <w:bookmarkStart w:id="319"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318">
        <w:r>
          <w:rPr>
            <w:rStyle w:val="Hyperlink"/>
          </w:rPr>
          <w:t xml:space="preserve">https://doi.org/10.2307/2549382</w:t>
        </w:r>
      </w:hyperlink>
      <w:r>
        <w:t xml:space="preserve">.</w:t>
      </w:r>
    </w:p>
    <w:bookmarkEnd w:id="319"/>
    <w:bookmarkStart w:id="320"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320"/>
    <w:bookmarkStart w:id="322"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321">
        <w:r>
          <w:rPr>
            <w:rStyle w:val="Hyperlink"/>
          </w:rPr>
          <w:t xml:space="preserve">https://www.ine.es/daco/daco42/daco4213/resmeto06.pdf</w:t>
        </w:r>
      </w:hyperlink>
      <w:r>
        <w:t xml:space="preserve">.</w:t>
      </w:r>
    </w:p>
    <w:bookmarkEnd w:id="322"/>
    <w:bookmarkStart w:id="324" w:name="ref-INE2026CNTRDemanda"/>
    <w:p>
      <w:pPr>
        <w:pStyle w:val="Bibliography"/>
      </w:pPr>
      <w:r>
        <w:t xml:space="preserve">———. 2026a.</w:t>
      </w:r>
      <w:r>
        <w:t xml:space="preserve"> </w:t>
      </w:r>
      <w:r>
        <w:t xml:space="preserve">«Contabilidad Nacional Trimestral de España: principales agregados. PIB pm. Demanda (precios corrientes) (tabla 67823)»</w:t>
      </w:r>
      <w:r>
        <w:t xml:space="preserve">. 2026.</w:t>
      </w:r>
      <w:r>
        <w:t xml:space="preserve"> </w:t>
      </w:r>
      <w:hyperlink r:id="rId323">
        <w:r>
          <w:rPr>
            <w:rStyle w:val="Hyperlink"/>
          </w:rPr>
          <w:t xml:space="preserve">https://www.ine.es/jaxiT3/Tabla.htm?t=67823</w:t>
        </w:r>
      </w:hyperlink>
      <w:r>
        <w:t xml:space="preserve">.</w:t>
      </w:r>
    </w:p>
    <w:bookmarkEnd w:id="324"/>
    <w:bookmarkStart w:id="326" w:name="ref-INE2026EPFTabla73828"/>
    <w:p>
      <w:pPr>
        <w:pStyle w:val="Bibliography"/>
      </w:pPr>
      <w:r>
        <w:t xml:space="preserve">———.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325">
        <w:r>
          <w:rPr>
            <w:rStyle w:val="Hyperlink"/>
          </w:rPr>
          <w:t xml:space="preserve">https://www.ine.es/jaxiT3/Tabla.htm?t=73828</w:t>
        </w:r>
      </w:hyperlink>
      <w:r>
        <w:t xml:space="preserve">.</w:t>
      </w:r>
    </w:p>
    <w:bookmarkEnd w:id="326"/>
    <w:bookmarkStart w:id="328" w:name="ref-INE2026IPCMetodologia"/>
    <w:p>
      <w:pPr>
        <w:pStyle w:val="Bibliography"/>
      </w:pPr>
      <w:r>
        <w:t xml:space="preserve">———. 2026c.</w:t>
      </w:r>
      <w:r>
        <w:t xml:space="preserve"> </w:t>
      </w:r>
      <w:r>
        <w:t xml:space="preserve">«Índice de Precios de Consumo. Base 2025. Metodología»</w:t>
      </w:r>
      <w:r>
        <w:t xml:space="preserve">. enero de 2026.</w:t>
      </w:r>
      <w:r>
        <w:t xml:space="preserve"> </w:t>
      </w:r>
      <w:hyperlink r:id="rId327">
        <w:r>
          <w:rPr>
            <w:rStyle w:val="Hyperlink"/>
          </w:rPr>
          <w:t xml:space="preserve">https://www.ine.es/metodologia/t25/metodologia_IPC_base_2025.pdf</w:t>
        </w:r>
      </w:hyperlink>
      <w:r>
        <w:t xml:space="preserve">.</w:t>
      </w:r>
    </w:p>
    <w:bookmarkEnd w:id="328"/>
    <w:bookmarkStart w:id="330" w:name="ref-INE2026IPVMetodologia"/>
    <w:p>
      <w:pPr>
        <w:pStyle w:val="Bibliography"/>
      </w:pPr>
      <w:r>
        <w:t xml:space="preserve">———. 2026d.</w:t>
      </w:r>
      <w:r>
        <w:t xml:space="preserve"> </w:t>
      </w:r>
      <w:r>
        <w:t xml:space="preserve">«Índice de Precios de Vivienda. Base 2025. Metodología»</w:t>
      </w:r>
      <w:r>
        <w:t xml:space="preserve">. junio de 2026.</w:t>
      </w:r>
      <w:r>
        <w:t xml:space="preserve"> </w:t>
      </w:r>
      <w:hyperlink r:id="rId329">
        <w:r>
          <w:rPr>
            <w:rStyle w:val="Hyperlink"/>
          </w:rPr>
          <w:t xml:space="preserve">https://www.ine.es/daco/daco42/ipv/metodologia2025.pdf</w:t>
        </w:r>
      </w:hyperlink>
      <w:r>
        <w:t xml:space="preserve">.</w:t>
      </w:r>
    </w:p>
    <w:bookmarkEnd w:id="330"/>
    <w:bookmarkStart w:id="332" w:name="ref-INE2026EPF"/>
    <w:p>
      <w:pPr>
        <w:pStyle w:val="Bibliography"/>
      </w:pPr>
      <w:r>
        <w:t xml:space="preserve">———. 2026e.</w:t>
      </w:r>
      <w:r>
        <w:t xml:space="preserve"> </w:t>
      </w:r>
      <w:r>
        <w:t xml:space="preserve">«Encuesta de Presupuestos Familiares (EPF). Año 2025. Resultados definitivos. Nota de prensa»</w:t>
      </w:r>
      <w:r>
        <w:t xml:space="preserve">. 25 de junio de 2026.</w:t>
      </w:r>
      <w:r>
        <w:t xml:space="preserve"> </w:t>
      </w:r>
      <w:hyperlink r:id="rId331">
        <w:r>
          <w:rPr>
            <w:rStyle w:val="Hyperlink"/>
          </w:rPr>
          <w:t xml:space="preserve">https://www.ine.es/dyngs/Prensa/EPF2025.htm</w:t>
        </w:r>
      </w:hyperlink>
      <w:r>
        <w:t xml:space="preserve">.</w:t>
      </w:r>
    </w:p>
    <w:bookmarkEnd w:id="332"/>
    <w:bookmarkStart w:id="334"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333">
        <w:r>
          <w:rPr>
            <w:rStyle w:val="Hyperlink"/>
          </w:rPr>
          <w:t xml:space="preserve">https://www.ine.es/metodologia/t25/t2530p458.pdf</w:t>
        </w:r>
      </w:hyperlink>
      <w:r>
        <w:t xml:space="preserve">.</w:t>
      </w:r>
    </w:p>
    <w:bookmarkEnd w:id="334"/>
    <w:bookmarkStart w:id="336" w:name="ref-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335">
        <w:r>
          <w:rPr>
            <w:rStyle w:val="Hyperlink"/>
          </w:rPr>
          <w:t xml:space="preserve">https://doi.org/10.1257/aer.99.4.1097</w:t>
        </w:r>
      </w:hyperlink>
      <w:r>
        <w:t xml:space="preserve">.</w:t>
      </w:r>
    </w:p>
    <w:bookmarkEnd w:id="336"/>
    <w:bookmarkStart w:id="337"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37"/>
    <w:bookmarkStart w:id="338" w:name="ref-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338"/>
    <w:bookmarkStart w:id="339" w:name="ref-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39"/>
    <w:bookmarkStart w:id="341" w:name="ref-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40">
        <w:r>
          <w:rPr>
            <w:rStyle w:val="Hyperlink"/>
          </w:rPr>
          <w:t xml:space="preserve">https://doi.org/10.1086/261737</w:t>
        </w:r>
      </w:hyperlink>
      <w:r>
        <w:t xml:space="preserve">.</w:t>
      </w:r>
    </w:p>
    <w:bookmarkEnd w:id="341"/>
    <w:bookmarkStart w:id="343" w:name="ref-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42">
        <w:r>
          <w:rPr>
            <w:rStyle w:val="Hyperlink"/>
          </w:rPr>
          <w:t xml:space="preserve">https://doi.org/10.2307/1914185</w:t>
        </w:r>
      </w:hyperlink>
      <w:r>
        <w:t xml:space="preserve">.</w:t>
      </w:r>
    </w:p>
    <w:bookmarkEnd w:id="343"/>
    <w:bookmarkStart w:id="345" w:name="ref-KahnemanTversky1984Choices"/>
    <w:p>
      <w:pPr>
        <w:pStyle w:val="Bibliography"/>
      </w:pPr>
      <w:r>
        <w:t xml:space="preserve">———.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344">
        <w:r>
          <w:rPr>
            <w:rStyle w:val="Hyperlink"/>
          </w:rPr>
          <w:t xml:space="preserve">https://doi.org/10.1037/0003-066X.39.4.341</w:t>
        </w:r>
      </w:hyperlink>
      <w:r>
        <w:t xml:space="preserve">.</w:t>
      </w:r>
    </w:p>
    <w:bookmarkEnd w:id="345"/>
    <w:bookmarkStart w:id="347"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46">
        <w:r>
          <w:rPr>
            <w:rStyle w:val="Hyperlink"/>
          </w:rPr>
          <w:t xml:space="preserve">https://doi.org/10.2307/1911539</w:t>
        </w:r>
      </w:hyperlink>
      <w:r>
        <w:t xml:space="preserve">.</w:t>
      </w:r>
    </w:p>
    <w:bookmarkEnd w:id="347"/>
    <w:bookmarkStart w:id="349" w:name="ref-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348">
        <w:r>
          <w:rPr>
            <w:rStyle w:val="Hyperlink"/>
          </w:rPr>
          <w:t xml:space="preserve">https://doi.org/10.1016/0304-3932(88)90030-X</w:t>
        </w:r>
      </w:hyperlink>
      <w:r>
        <w:t xml:space="preserve">.</w:t>
      </w:r>
    </w:p>
    <w:bookmarkEnd w:id="349"/>
    <w:bookmarkStart w:id="351" w:name="ref-KingPlosserRebelo2002Appendix"/>
    <w:p>
      <w:pPr>
        <w:pStyle w:val="Bibliography"/>
      </w:pPr>
      <w:r>
        <w:t xml:space="preserve">———.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350">
        <w:r>
          <w:rPr>
            <w:rStyle w:val="Hyperlink"/>
          </w:rPr>
          <w:t xml:space="preserve">https://doi.org/10.1023/A:1020529028761</w:t>
        </w:r>
      </w:hyperlink>
      <w:r>
        <w:t xml:space="preserve">.</w:t>
      </w:r>
    </w:p>
    <w:bookmarkEnd w:id="351"/>
    <w:bookmarkStart w:id="352" w:name="ref-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352"/>
    <w:bookmarkStart w:id="354" w:name="ref-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53">
        <w:r>
          <w:rPr>
            <w:rStyle w:val="Hyperlink"/>
          </w:rPr>
          <w:t xml:space="preserve">https://www.nobelprize.org/prizes/economic-sciences/2017/press-release/</w:t>
        </w:r>
      </w:hyperlink>
      <w:r>
        <w:t xml:space="preserve">.</w:t>
      </w:r>
    </w:p>
    <w:bookmarkEnd w:id="354"/>
    <w:bookmarkStart w:id="356"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55">
        <w:r>
          <w:rPr>
            <w:rStyle w:val="Hyperlink"/>
          </w:rPr>
          <w:t xml:space="preserve">https://doi.org/10.1086/259131</w:t>
        </w:r>
      </w:hyperlink>
      <w:r>
        <w:t xml:space="preserve">.</w:t>
      </w:r>
    </w:p>
    <w:bookmarkEnd w:id="356"/>
    <w:bookmarkStart w:id="357" w:name="ref-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357"/>
    <w:bookmarkStart w:id="358"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358"/>
    <w:bookmarkStart w:id="360" w:name="ref-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359">
        <w:r>
          <w:rPr>
            <w:rStyle w:val="Hyperlink"/>
          </w:rPr>
          <w:t xml:space="preserve">https://doi.org/10.2307/2975974</w:t>
        </w:r>
      </w:hyperlink>
      <w:r>
        <w:t xml:space="preserve">.</w:t>
      </w:r>
    </w:p>
    <w:bookmarkEnd w:id="360"/>
    <w:bookmarkStart w:id="362"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61">
        <w:r>
          <w:rPr>
            <w:rStyle w:val="Hyperlink"/>
          </w:rPr>
          <w:t xml:space="preserve">https://www.marxists.org/reference/subject/economics/marshall/bk1ch01.htm</w:t>
        </w:r>
      </w:hyperlink>
      <w:r>
        <w:t xml:space="preserve">.</w:t>
      </w:r>
    </w:p>
    <w:bookmarkEnd w:id="362"/>
    <w:bookmarkStart w:id="363"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63"/>
    <w:bookmarkStart w:id="365"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64">
        <w:r>
          <w:rPr>
            <w:rStyle w:val="Hyperlink"/>
          </w:rPr>
          <w:t xml:space="preserve">https://doi.org/10.2307/2296792</w:t>
        </w:r>
      </w:hyperlink>
      <w:r>
        <w:t xml:space="preserve">.</w:t>
      </w:r>
    </w:p>
    <w:bookmarkEnd w:id="365"/>
    <w:bookmarkStart w:id="367"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66">
        <w:r>
          <w:rPr>
            <w:rStyle w:val="Hyperlink"/>
          </w:rPr>
          <w:t xml:space="preserve">https://doi.org/10.2307/1911540</w:t>
        </w:r>
      </w:hyperlink>
      <w:r>
        <w:t xml:space="preserve">.</w:t>
      </w:r>
    </w:p>
    <w:bookmarkEnd w:id="367"/>
    <w:bookmarkStart w:id="369" w:name="ref-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368">
        <w:r>
          <w:rPr>
            <w:rStyle w:val="Hyperlink"/>
          </w:rPr>
          <w:t xml:space="preserve">https://doi.org/10.11647/OBP.0204</w:t>
        </w:r>
      </w:hyperlink>
      <w:r>
        <w:t xml:space="preserve">.</w:t>
      </w:r>
    </w:p>
    <w:bookmarkEnd w:id="369"/>
    <w:bookmarkStart w:id="370" w:name="ref-Pareto1896Cours"/>
    <w:p>
      <w:pPr>
        <w:pStyle w:val="Bibliography"/>
      </w:pPr>
      <w:r>
        <w:t xml:space="preserve">Pareto, Vilfredo. 1896.</w:t>
      </w:r>
      <w:r>
        <w:t xml:space="preserve"> </w:t>
      </w:r>
      <w:r>
        <w:rPr>
          <w:i/>
          <w:iCs/>
        </w:rPr>
        <w:t xml:space="preserve">Cours d’économie politique</w:t>
      </w:r>
      <w:r>
        <w:t xml:space="preserve">. Lausana: F. Rouge.</w:t>
      </w:r>
    </w:p>
    <w:bookmarkEnd w:id="370"/>
    <w:bookmarkStart w:id="371"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371"/>
    <w:bookmarkStart w:id="372"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72"/>
    <w:bookmarkStart w:id="373" w:name="ref-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373"/>
    <w:bookmarkStart w:id="375" w:name="ref-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374">
        <w:r>
          <w:rPr>
            <w:rStyle w:val="Hyperlink"/>
          </w:rPr>
          <w:t xml:space="preserve">https://doi.org/10.1086/260169</w:t>
        </w:r>
      </w:hyperlink>
      <w:r>
        <w:t xml:space="preserve">.</w:t>
      </w:r>
    </w:p>
    <w:bookmarkEnd w:id="375"/>
    <w:bookmarkStart w:id="376" w:name="ref-Rosen1999Potato"/>
    <w:p>
      <w:pPr>
        <w:pStyle w:val="Bibliography"/>
      </w:pPr>
      <w:r>
        <w:t xml:space="preserve">———.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376"/>
    <w:bookmarkStart w:id="378"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77">
        <w:r>
          <w:rPr>
            <w:rStyle w:val="Hyperlink"/>
          </w:rPr>
          <w:t xml:space="preserve">https://doi.org/10.2307/1905479</w:t>
        </w:r>
      </w:hyperlink>
      <w:r>
        <w:t xml:space="preserve">.</w:t>
      </w:r>
    </w:p>
    <w:bookmarkEnd w:id="378"/>
    <w:bookmarkStart w:id="380"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79">
        <w:r>
          <w:rPr>
            <w:rStyle w:val="Hyperlink"/>
          </w:rPr>
          <w:t xml:space="preserve">https://doi.org/10.2307/2548836</w:t>
        </w:r>
      </w:hyperlink>
      <w:r>
        <w:t xml:space="preserve">.</w:t>
      </w:r>
    </w:p>
    <w:bookmarkEnd w:id="380"/>
    <w:bookmarkStart w:id="382"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81">
        <w:r>
          <w:rPr>
            <w:rStyle w:val="Hyperlink"/>
          </w:rPr>
          <w:t xml:space="preserve">https://doi.org/10.2307/2549561</w:t>
        </w:r>
      </w:hyperlink>
      <w:r>
        <w:t xml:space="preserve">.</w:t>
      </w:r>
    </w:p>
    <w:bookmarkEnd w:id="382"/>
    <w:bookmarkStart w:id="383"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383"/>
    <w:bookmarkStart w:id="384" w:name="ref-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384"/>
    <w:bookmarkStart w:id="385" w:name="ref-Sen1977Rational"/>
    <w:p>
      <w:pPr>
        <w:pStyle w:val="Bibliography"/>
      </w:pPr>
      <w:r>
        <w:t xml:space="preserve">———.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385"/>
    <w:bookmarkStart w:id="387" w:name="ref-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386">
        <w:r>
          <w:rPr>
            <w:rStyle w:val="Hyperlink"/>
          </w:rPr>
          <w:t xml:space="preserve">https://doi.org/10.2307/1884852</w:t>
        </w:r>
      </w:hyperlink>
      <w:r>
        <w:t xml:space="preserve">.</w:t>
      </w:r>
    </w:p>
    <w:bookmarkEnd w:id="387"/>
    <w:bookmarkStart w:id="388"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88"/>
    <w:bookmarkStart w:id="390" w:name="ref-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389">
        <w:r>
          <w:rPr>
            <w:rStyle w:val="Hyperlink"/>
          </w:rPr>
          <w:t xml:space="preserve">https://doi.org/10.1016/0022-0531(73)90066-5</w:t>
        </w:r>
      </w:hyperlink>
      <w:r>
        <w:t xml:space="preserve">.</w:t>
      </w:r>
    </w:p>
    <w:bookmarkEnd w:id="390"/>
    <w:bookmarkStart w:id="392"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391">
        <w:r>
          <w:rPr>
            <w:rStyle w:val="Hyperlink"/>
          </w:rPr>
          <w:t xml:space="preserve">https://doi.org/10.2307/1909201</w:t>
        </w:r>
      </w:hyperlink>
      <w:r>
        <w:t xml:space="preserve">.</w:t>
      </w:r>
    </w:p>
    <w:bookmarkEnd w:id="392"/>
    <w:bookmarkStart w:id="394"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93">
        <w:r>
          <w:rPr>
            <w:rStyle w:val="Hyperlink"/>
          </w:rPr>
          <w:t xml:space="preserve">https://doi.org/10.1086/258464</w:t>
        </w:r>
      </w:hyperlink>
      <w:r>
        <w:t xml:space="preserve">.</w:t>
      </w:r>
    </w:p>
    <w:bookmarkEnd w:id="394"/>
    <w:bookmarkStart w:id="396"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95">
        <w:r>
          <w:rPr>
            <w:rStyle w:val="Hyperlink"/>
          </w:rPr>
          <w:t xml:space="preserve">https://doi.org/10.2307/2227743</w:t>
        </w:r>
      </w:hyperlink>
      <w:r>
        <w:t xml:space="preserve">.</w:t>
      </w:r>
    </w:p>
    <w:bookmarkEnd w:id="396"/>
    <w:bookmarkStart w:id="397"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97"/>
    <w:bookmarkStart w:id="399" w:name="ref-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398">
        <w:r>
          <w:rPr>
            <w:rStyle w:val="Hyperlink"/>
          </w:rPr>
          <w:t xml:space="preserve">https://doi.org/10.1016/0167-2681(80)90051-7</w:t>
        </w:r>
      </w:hyperlink>
      <w:r>
        <w:t xml:space="preserve">.</w:t>
      </w:r>
    </w:p>
    <w:bookmarkEnd w:id="399"/>
    <w:bookmarkStart w:id="401" w:name="ref-Thaler1985Mental"/>
    <w:p>
      <w:pPr>
        <w:pStyle w:val="Bibliography"/>
      </w:pPr>
      <w:r>
        <w:t xml:space="preserve">———.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00">
        <w:r>
          <w:rPr>
            <w:rStyle w:val="Hyperlink"/>
          </w:rPr>
          <w:t xml:space="preserve">https://doi.org/10.1287/mksc.4.3.199</w:t>
        </w:r>
      </w:hyperlink>
      <w:r>
        <w:t xml:space="preserve">.</w:t>
      </w:r>
    </w:p>
    <w:bookmarkEnd w:id="401"/>
    <w:bookmarkStart w:id="403"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02">
        <w:r>
          <w:rPr>
            <w:rStyle w:val="Hyperlink"/>
          </w:rPr>
          <w:t xml:space="preserve">https://www.nobelprize.org/prizes/economic-sciences/1970/summary/</w:t>
        </w:r>
      </w:hyperlink>
      <w:r>
        <w:t xml:space="preserve">.</w:t>
      </w:r>
    </w:p>
    <w:bookmarkEnd w:id="403"/>
    <w:bookmarkStart w:id="405" w:name="ref-Nobel1992Becker"/>
    <w:p>
      <w:pPr>
        <w:pStyle w:val="Bibliography"/>
      </w:pPr>
      <w:r>
        <w:t xml:space="preserve">———. 1992.</w:t>
      </w:r>
      <w:r>
        <w:t xml:space="preserve"> </w:t>
      </w:r>
      <w:r>
        <w:t xml:space="preserve">«The Sveriges Riksbank Prize in Economic Sciences in Memory of Alfred Nobel 1992: Gary S. Becker»</w:t>
      </w:r>
      <w:r>
        <w:t xml:space="preserve">. 1992.</w:t>
      </w:r>
      <w:r>
        <w:t xml:space="preserve"> </w:t>
      </w:r>
      <w:hyperlink r:id="rId404">
        <w:r>
          <w:rPr>
            <w:rStyle w:val="Hyperlink"/>
          </w:rPr>
          <w:t xml:space="preserve">https://www.nobelprize.org/prizes/economic-sciences/1992/summary/</w:t>
        </w:r>
      </w:hyperlink>
      <w:r>
        <w:t xml:space="preserve">.</w:t>
      </w:r>
    </w:p>
    <w:bookmarkEnd w:id="405"/>
    <w:bookmarkStart w:id="407" w:name="ref-Nobel2015Deaton"/>
    <w:p>
      <w:pPr>
        <w:pStyle w:val="Bibliography"/>
      </w:pPr>
      <w:r>
        <w:t xml:space="preserve">———. 2015.</w:t>
      </w:r>
      <w:r>
        <w:t xml:space="preserve"> </w:t>
      </w:r>
      <w:r>
        <w:t xml:space="preserve">«The Sveriges Riksbank Prize in Economic Sciences in Memory of Alfred Nobel 2015: Angus Deaton»</w:t>
      </w:r>
      <w:r>
        <w:t xml:space="preserve">. 2015.</w:t>
      </w:r>
      <w:r>
        <w:t xml:space="preserve"> </w:t>
      </w:r>
      <w:hyperlink r:id="rId406">
        <w:r>
          <w:rPr>
            <w:rStyle w:val="Hyperlink"/>
          </w:rPr>
          <w:t xml:space="preserve">https://www.nobelprize.org/prizes/economic-sciences/2015/summary/</w:t>
        </w:r>
      </w:hyperlink>
      <w:r>
        <w:t xml:space="preserve">.</w:t>
      </w:r>
    </w:p>
    <w:bookmarkEnd w:id="407"/>
    <w:bookmarkStart w:id="409"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408">
        <w:r>
          <w:rPr>
            <w:rStyle w:val="Hyperlink"/>
          </w:rPr>
          <w:t xml:space="preserve">https://doi.org/10.2307/1911889</w:t>
        </w:r>
      </w:hyperlink>
      <w:r>
        <w:t xml:space="preserve">.</w:t>
      </w:r>
    </w:p>
    <w:bookmarkEnd w:id="409"/>
    <w:bookmarkStart w:id="411" w:name="ref-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410">
        <w:r>
          <w:rPr>
            <w:rStyle w:val="Hyperlink"/>
          </w:rPr>
          <w:t xml:space="preserve">https://doi.org/10.1787/9789264028159-en</w:t>
        </w:r>
      </w:hyperlink>
      <w:r>
        <w:t xml:space="preserve">.</w:t>
      </w:r>
    </w:p>
    <w:bookmarkEnd w:id="411"/>
    <w:bookmarkStart w:id="413" w:name="ref-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12">
        <w:r>
          <w:rPr>
            <w:rStyle w:val="Hyperlink"/>
          </w:rPr>
          <w:t xml:space="preserve">https://doi.org/10.1126/science.7455683</w:t>
        </w:r>
      </w:hyperlink>
      <w:r>
        <w:t xml:space="preserve">.</w:t>
      </w:r>
    </w:p>
    <w:bookmarkEnd w:id="413"/>
    <w:bookmarkStart w:id="415" w:name="ref-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414">
        <w:r>
          <w:rPr>
            <w:rStyle w:val="Hyperlink"/>
          </w:rPr>
          <w:t xml:space="preserve">https://www.bls.gov/cpi/quality-adjustment/</w:t>
        </w:r>
      </w:hyperlink>
      <w:r>
        <w:t xml:space="preserve">.</w:t>
      </w:r>
    </w:p>
    <w:bookmarkEnd w:id="415"/>
    <w:bookmarkStart w:id="417" w:name="ref-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416">
        <w:r>
          <w:rPr>
            <w:rStyle w:val="Hyperlink"/>
          </w:rPr>
          <w:t xml:space="preserve">https://doi.org/10.2307/1912771</w:t>
        </w:r>
      </w:hyperlink>
      <w:r>
        <w:t xml:space="preserve">.</w:t>
      </w:r>
    </w:p>
    <w:bookmarkEnd w:id="417"/>
    <w:bookmarkStart w:id="418" w:name="ref-Varian2016Intermedia"/>
    <w:p>
      <w:pPr>
        <w:pStyle w:val="Bibliography"/>
      </w:pPr>
      <w:r>
        <w:t xml:space="preserve">———. 2016.</w:t>
      </w:r>
      <w:r>
        <w:t xml:space="preserve"> </w:t>
      </w:r>
      <w:r>
        <w:rPr>
          <w:i/>
          <w:iCs/>
        </w:rPr>
        <w:t xml:space="preserve">Microeconomía intermedia: un enfoque actual</w:t>
      </w:r>
      <w:r>
        <w:t xml:space="preserve">. Traducido por María Esther Rabasco. 9.ª ed. Barcelona: Antoni Bosch.</w:t>
      </w:r>
    </w:p>
    <w:bookmarkEnd w:id="418"/>
    <w:bookmarkStart w:id="419"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419"/>
    <w:bookmarkStart w:id="420" w:name="ref-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420"/>
    <w:bookmarkStart w:id="421"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21"/>
    <w:bookmarkEnd w:id="422"/>
    <w:bookmarkEnd w:id="423"/>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r>
        <w:rPr>
          <w:rStyle w:val="Referenciaatema"/>
        </w:rPr>
        <w:t xml:space="preserve">[ver tema 3.A.16]</w:t>
      </w:r>
      <w:r>
        <w:t xml:space="preserve"> </w:t>
      </w:r>
      <w:r>
        <w:t xml:space="preserve">y del equilibrio general</w:t>
      </w:r>
      <w:r>
        <w:t xml:space="preserve"> </w:t>
      </w:r>
      <w:r>
        <w:rPr>
          <w:rStyle w:val="Referenciaatema"/>
        </w:rPr>
        <w:t xml:space="preserve">[ver tema 3.A.21]</w:t>
      </w:r>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EkelundHebert2013History">
        <w:r>
          <w:rPr>
            <w:rStyle w:val="Hyperlink"/>
          </w:rPr>
          <w:t xml:space="preserve">Ekelund y Hébert 2013</w:t>
        </w:r>
      </w:hyperlink>
      <w:r>
        <w:t xml:space="preserve">)</w:t>
      </w:r>
      <w:r>
        <w:t xml:space="preserve">. Lo muestran las «tecnologías del consumo», que aplican la teoría de la producción a las decisiones de consumo: el enfoque de características de</w:t>
      </w:r>
      <w:r>
        <w:t xml:space="preserve"> </w:t>
      </w:r>
      <w:r>
        <w:t xml:space="preserve">Lancaster (</w:t>
      </w:r>
      <w:hyperlink w:anchor="ref-Lancaster1966New">
        <w:r>
          <w:rPr>
            <w:rStyle w:val="Hyperlink"/>
          </w:rPr>
          <w:t xml:space="preserve">1966</w:t>
        </w:r>
      </w:hyperlink>
      <w:r>
        <w:t xml:space="preserve">)</w:t>
      </w:r>
      <w:r>
        <w:t xml:space="preserve">, la producción doméstica de</w:t>
      </w:r>
      <w:r>
        <w:t xml:space="preserve"> </w:t>
      </w:r>
      <w:r>
        <w:t xml:space="preserve">Becker (</w:t>
      </w:r>
      <w:hyperlink w:anchor="ref-Becker1965Allocation">
        <w:r>
          <w:rPr>
            <w:rStyle w:val="Hyperlink"/>
          </w:rPr>
          <w:t xml:space="preserve">1965</w:t>
        </w:r>
      </w:hyperlink>
      <w:r>
        <w:t xml:space="preserve">)</w:t>
      </w:r>
      <w:r>
        <w:t xml:space="preserve"> </w:t>
      </w:r>
      <w:r>
        <w:t xml:space="preserve">y de</w:t>
      </w:r>
      <w:r>
        <w:t xml:space="preserve"> </w:t>
      </w:r>
      <w:r>
        <w:t xml:space="preserve">Gronau (</w:t>
      </w:r>
      <w:hyperlink w:anchor="ref-Gronau1977Leisure">
        <w:r>
          <w:rPr>
            <w:rStyle w:val="Hyperlink"/>
          </w:rPr>
          <w:t xml:space="preserve">1977</w:t>
        </w:r>
      </w:hyperlink>
      <w:r>
        <w:t xml:space="preserve">)</w:t>
      </w:r>
      <w:r>
        <w:t xml:space="preserve"> </w:t>
      </w:r>
      <w:r>
        <w:t xml:space="preserve">o la economía de la información de</w:t>
      </w:r>
      <w:r>
        <w:t xml:space="preserve"> </w:t>
      </w:r>
      <w:r>
        <w:t xml:space="preserve">Stigler (</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5">
    <w:p>
      <w:pPr>
        <w:pStyle w:val="FootnoteText"/>
      </w:pPr>
      <w:r>
        <w:rPr>
          <w:rStyle w:val="FootnoteReference"/>
        </w:rPr>
        <w:footnoteRef/>
      </w:r>
      <w:r>
        <w:t xml:space="preserve"> </w:t>
      </w:r>
      <w:r>
        <w:rPr>
          <w:smallCaps/>
        </w:rPr>
        <w:t xml:space="preserve">Francis Ysidro Edgeworth</w:t>
      </w:r>
      <w:r>
        <w:t xml:space="preserve">. El nombre de «Ysidro» se debe a su madre, Rosa Florentina Eroles, hija de un exiliado catalán de ideas liberales refugiado en Londres huyendo del absolutismo de Fernando VII</w:t>
      </w:r>
      <w:r>
        <w:t xml:space="preserve"> </w:t>
      </w:r>
      <w:r>
        <w:t xml:space="preserve">(</w:t>
      </w:r>
      <w:hyperlink w:anchor="ref-Barbe2006Edgeworth">
        <w:r>
          <w:rPr>
            <w:rStyle w:val="Hyperlink"/>
          </w:rPr>
          <w:t xml:space="preserve">Barbé 2006</w:t>
        </w:r>
      </w:hyperlink>
      <w:r>
        <w:t xml:space="preserve">)</w:t>
      </w:r>
      <w:r>
        <w:t xml:space="preserve">. Es una de las pocas apariciones de España en la historia del pensamiento económico.</w:t>
      </w:r>
    </w:p>
  </w:footnote>
  <w:footnote w:id="26">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28">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3">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r>
        <w:rPr>
          <w:rStyle w:val="Referenciaatema"/>
        </w:rPr>
        <w:t xml:space="preserve">[ver tema 3.A.33]</w:t>
      </w:r>
      <w:r>
        <w:t xml:space="preserve">. Tampoco se analiza la elección entre ocio y trabajo</w:t>
      </w:r>
      <w:r>
        <w:t xml:space="preserve"> </w:t>
      </w:r>
      <w:r>
        <w:rPr>
          <w:rStyle w:val="Referenciaatema"/>
        </w:rPr>
        <w:t xml:space="preserve">[ver tema 3.A.25]</w:t>
      </w:r>
      <w:r>
        <w:t xml:space="preserve">.</w:t>
      </w:r>
    </w:p>
  </w:footnote>
  <w:footnote w:id="34">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cuatro</w:t>
      </w:r>
      <w:r>
        <w:t xml:space="preserve"> </w:t>
      </w:r>
      <w:r>
        <w:t xml:space="preserve">(</w:t>
      </w:r>
      <w:hyperlink w:anchor="ref-MasColellWhinstonGreen1995">
        <w:r>
          <w:rPr>
            <w:rStyle w:val="Hyperlink"/>
          </w:rPr>
          <w:t xml:space="preserve">Mas-Colell, Whinston y Green 1995, párr. 2.C</w:t>
        </w:r>
      </w:hyperlink>
      <w:r>
        <w:t xml:space="preserve">)</w:t>
      </w:r>
      <w:r>
        <w:t xml:space="preserve">.</w:t>
      </w:r>
    </w:p>
  </w:footnote>
  <w:footnote w:id="50">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dos.</w:t>
      </w:r>
    </w:p>
  </w:footnote>
  <w:footnote w:id="51">
    <w:p>
      <w:pPr>
        <w:pStyle w:val="FootnoteText"/>
      </w:pPr>
      <w:r>
        <w:rPr>
          <w:rStyle w:val="FootnoteReference"/>
        </w:rPr>
        <w:footnoteRef/>
      </w:r>
      <w:r>
        <w:t xml:space="preserve"> </w:t>
      </w:r>
      <w:r>
        <w:t xml:space="preserve">En algunos manuales la reflexividad se presenta como corolario de la completitud.</w:t>
      </w:r>
    </w:p>
  </w:footnote>
  <w:footnote w:id="52">
    <w:p>
      <w:pPr>
        <w:pStyle w:val="FootnoteText"/>
      </w:pPr>
      <w:r>
        <w:rPr>
          <w:rStyle w:val="FootnoteReference"/>
        </w:rPr>
        <w:footnoteRef/>
      </w:r>
      <w:r>
        <w:t xml:space="preserve"> </w:t>
      </w:r>
      <w:r>
        <w:t xml:space="preserve">Es decir,</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pero</w:t>
      </w:r>
      <w:r>
        <w:t xml:space="preserve"> </w:t>
      </w:r>
      <m:oMath>
        <m:sSup>
          <m:e>
            <m:r>
              <m:t>x</m:t>
            </m:r>
          </m:e>
          <m:sup>
            <m:r>
              <m:t>0</m:t>
            </m:r>
          </m:sup>
        </m:sSup>
        <m:r>
          <m:rPr>
            <m:sty m:val="p"/>
          </m:rPr>
          <m:t>⊁</m:t>
        </m:r>
        <m:sSup>
          <m:e>
            <m:r>
              <m:t>x</m:t>
            </m:r>
          </m:e>
          <m:sup>
            <m:r>
              <m:t>0</m:t>
            </m:r>
          </m:sup>
        </m:sSup>
      </m:oMath>
      <w:r>
        <w:t xml:space="preserve">.</w:t>
      </w:r>
    </w:p>
  </w:footnote>
  <w:footnote w:id="53">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dos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TverskyKahneman1981Framing">
        <w:r>
          <w:rPr>
            <w:rStyle w:val="Hyperlink"/>
          </w:rPr>
          <w:t xml:space="preserve">Tversky y Kahneman 1981</w:t>
        </w:r>
      </w:hyperlink>
      <w:r>
        <w:t xml:space="preserve">;</w:t>
      </w:r>
      <w:r>
        <w:t xml:space="preserve"> </w:t>
      </w:r>
      <w:hyperlink w:anchor="ref-KahnemanTversky1984Choices">
        <w:r>
          <w:rPr>
            <w:rStyle w:val="Hyperlink"/>
          </w:rPr>
          <w:t xml:space="preserve">Kahneman y Tversky 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r>
        <w:rPr>
          <w:rStyle w:val="Referenciaatema"/>
        </w:rPr>
        <w:t xml:space="preserve">[ver tema 3.A.24]</w:t>
      </w:r>
      <w:r>
        <w:t xml:space="preserve">.</w:t>
      </w:r>
    </w:p>
  </w:footnote>
  <w:footnote w:id="54">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r>
          <m:rPr>
            <m:sty m:val="p"/>
          </m:rPr>
          <m:t>⇒</m:t>
        </m:r>
        <m:sSup>
          <m:e>
            <m:r>
              <m:t>x</m:t>
            </m:r>
          </m:e>
          <m:sup>
            <m:r>
              <m:t>0</m:t>
            </m:r>
          </m:sup>
        </m:sSup>
        <m:r>
          <m:rPr>
            <m:sty m:val="p"/>
          </m:rPr>
          <m:t>=</m:t>
        </m:r>
        <m:sSup>
          <m:e>
            <m:r>
              <m:t>x</m:t>
            </m:r>
          </m:e>
          <m:sup>
            <m:r>
              <m:t>1</m:t>
            </m:r>
          </m:sup>
        </m:sSup>
      </m:oMath>
      <w:r>
        <w:t xml:space="preserve">), y aquí dos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56">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57">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58">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t xml:space="preserve">Mas-Colell, Whinston y Green (</w:t>
      </w:r>
      <w:hyperlink w:anchor="ref-MasColellWhinstonGreen1995">
        <w:r>
          <w:rPr>
            <w:rStyle w:val="Hyperlink"/>
          </w:rPr>
          <w:t xml:space="preserve">1995</w:t>
        </w:r>
      </w:hyperlink>
      <w:r>
        <w:t xml:space="preserve">, ejemplo 3.C.1)</w:t>
      </w:r>
      <w:r>
        <w:t xml:space="preserve">;</w:t>
      </w:r>
      <w:r>
        <w:t xml:space="preserve"> </w:t>
      </w:r>
      <w:r>
        <w:t xml:space="preserve">Osborne y Rubinstein (</w:t>
      </w:r>
      <w:hyperlink w:anchor="ref-OsborneRubinstein2020Models">
        <w:r>
          <w:rPr>
            <w:rStyle w:val="Hyperlink"/>
          </w:rPr>
          <w:t xml:space="preserve">2020</w:t>
        </w:r>
      </w:hyperlink>
      <w:r>
        <w:t xml:space="preserve">)</w:t>
      </w:r>
      <w:r>
        <w:t xml:space="preserve">).</w:t>
      </w:r>
    </w:p>
  </w:footnote>
  <w:footnote w:id="59">
    <w:p>
      <w:pPr>
        <w:pStyle w:val="FootnoteText"/>
      </w:pPr>
      <w:r>
        <w:rPr>
          <w:rStyle w:val="FootnoteReference"/>
        </w:rPr>
        <w:footnoteRef/>
      </w:r>
      <w:r>
        <w:t xml:space="preserve"> </w:t>
      </w:r>
      <w:r>
        <w:t xml:space="preserve">Es el teorema de</w:t>
      </w:r>
      <w:r>
        <w:t xml:space="preserve"> </w:t>
      </w:r>
      <w:r>
        <w:t xml:space="preserve">Arrow y Enthoven (</w:t>
      </w:r>
      <w:hyperlink w:anchor="ref-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r>
        <w:rPr>
          <w:rStyle w:val="Referenciaatema"/>
        </w:rPr>
        <w:t xml:space="preserve">[ver tema 3.A.22]</w:t>
      </w:r>
      <w:r>
        <w:t xml:space="preserve"> </w:t>
      </w:r>
      <w:r>
        <w:t xml:space="preserve">(</w:t>
      </w:r>
      <w:hyperlink w:anchor="ref-MasColellWhinstonGreen1995">
        <w:r>
          <w:rPr>
            <w:rStyle w:val="Hyperlink"/>
          </w:rPr>
          <w:t xml:space="preserve">Mas-Colell, Whinston y Green 1995, cap. 16</w:t>
        </w:r>
      </w:hyperlink>
      <w:r>
        <w:t xml:space="preserve">)</w:t>
      </w:r>
      <w:r>
        <w:t xml:space="preserve">. Con muchos consumidores, la no convexidad de las preferencias individuales pierde importancia</w:t>
      </w:r>
      <w:r>
        <w:t xml:space="preserve"> </w:t>
      </w:r>
      <w:r>
        <w:t xml:space="preserve">(</w:t>
      </w:r>
      <w:hyperlink w:anchor="ref-Starr1969Quasi">
        <w:r>
          <w:rPr>
            <w:rStyle w:val="Hyperlink"/>
          </w:rPr>
          <w:t xml:space="preserve">Starr 1969</w:t>
        </w:r>
      </w:hyperlink>
      <w:r>
        <w:t xml:space="preserve">)</w:t>
      </w:r>
      <w:r>
        <w:t xml:space="preserve">.</w:t>
      </w:r>
    </w:p>
  </w:footnote>
  <w:footnote w:id="60">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66">
    <w:p>
      <w:pPr>
        <w:pStyle w:val="FootnoteText"/>
      </w:pPr>
      <w:r>
        <w:rPr>
          <w:rStyle w:val="FootnoteReference"/>
        </w:rPr>
        <w:footnoteRef/>
      </w:r>
      <w:r>
        <w:t xml:space="preserve"> </w:t>
      </w:r>
      <w:r>
        <w:rPr>
          <w:smallCaps/>
        </w:rPr>
        <w:t xml:space="preserve">Vilfredo 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Pareto1896Cours">
        <w:r>
          <w:rPr>
            <w:rStyle w:val="Hyperlink"/>
          </w:rPr>
          <w:t xml:space="preserve">Pareto 1896</w:t>
        </w:r>
      </w:hyperlink>
      <w:r>
        <w:t xml:space="preserve">)</w:t>
      </w:r>
      <w:r>
        <w:t xml:space="preserve">.</w:t>
      </w:r>
      <w:r>
        <w:t xml:space="preserve"> </w:t>
      </w:r>
      <w:r>
        <w:t xml:space="preserve">Fisher (</w:t>
      </w:r>
      <w:hyperlink w:anchor="ref-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67">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72">
    <w:p>
      <w:pPr>
        <w:pStyle w:val="FootnoteText"/>
      </w:pPr>
      <w:r>
        <w:rPr>
          <w:rStyle w:val="FootnoteReference"/>
        </w:rPr>
        <w:footnoteRef/>
      </w:r>
      <w:r>
        <w:t xml:space="preserve"> </w:t>
      </w:r>
      <w:r>
        <w:t xml:space="preserve">Véase</w:t>
      </w:r>
      <w:r>
        <w:t xml:space="preserve"> </w:t>
      </w:r>
      <w:r>
        <w:t xml:space="preserve">Mas-Colell, Whinston y Green (</w:t>
      </w:r>
      <w:hyperlink w:anchor="ref-MasColellWhinstonGreen1995">
        <w:r>
          <w:rPr>
            <w:rStyle w:val="Hyperlink"/>
          </w:rPr>
          <w:t xml:space="preserve">1995, párr. 3.C</w:t>
        </w:r>
      </w:hyperlink>
      <w:r>
        <w:t xml:space="preserve">)</w:t>
      </w:r>
      <w:r>
        <w:t xml:space="preserve"> </w:t>
      </w:r>
      <w:r>
        <w:t xml:space="preserve">o</w:t>
      </w:r>
      <w:r>
        <w:t xml:space="preserve"> </w:t>
      </w:r>
      <w:r>
        <w:t xml:space="preserve">Jehle y Reny (</w:t>
      </w:r>
      <w:hyperlink w:anchor="ref-JehleReny2011Advanced">
        <w:r>
          <w:rPr>
            <w:rStyle w:val="Hyperlink"/>
          </w:rPr>
          <w:t xml:space="preserve">2011, cap. 1</w:t>
        </w:r>
      </w:hyperlink>
      <w:r>
        <w:t xml:space="preserve">)</w:t>
      </w:r>
      <w:r>
        <w:t xml:space="preserve">. Una presentación gráfica de la concavidad y la cuasiconcavidad en</w:t>
      </w:r>
      <w:r>
        <w:t xml:space="preserve"> </w:t>
      </w:r>
      <w:r>
        <w:t xml:space="preserve">Fuleky (</w:t>
      </w:r>
      <w:hyperlink w:anchor="ref-FulekyAnatomy">
        <w:r>
          <w:rPr>
            <w:rStyle w:val="Hyperlink"/>
          </w:rPr>
          <w:t xml:space="preserve">s. f.</w:t>
        </w:r>
      </w:hyperlink>
      <w:r>
        <w:t xml:space="preserve">)</w:t>
      </w:r>
      <w:r>
        <w:t xml:space="preserve">.</w:t>
      </w:r>
    </w:p>
  </w:footnote>
  <w:footnote w:id="7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7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84">
    <w:p>
      <w:pPr>
        <w:pStyle w:val="FootnoteText"/>
      </w:pPr>
      <w:r>
        <w:rPr>
          <w:rStyle w:val="FootnoteReference"/>
        </w:rPr>
        <w:footnoteRef/>
      </w:r>
      <w:r>
        <w:t xml:space="preserve"> </w:t>
      </w:r>
      <w:r>
        <w:t xml:space="preserve">Habitualmente la RMS se define en valor absoluto porque, con dos bienes, la pendiente de la curva de indiferencia es negativa. Así lo haremos en todo el tema: la pendiente de la curva es</w:t>
      </w:r>
      <w:r>
        <w:t xml:space="preserve"> </w:t>
      </w:r>
      <m:oMath>
        <m:r>
          <m:rPr>
            <m:sty m:val="p"/>
          </m:rPr>
          <m:t>−</m:t>
        </m:r>
        <m:r>
          <m:t>R</m:t>
        </m:r>
        <m:r>
          <m:t>M</m:t>
        </m:r>
        <m:sSub>
          <m:e>
            <m:r>
              <m:t>S</m:t>
            </m:r>
          </m:e>
          <m:sub>
            <m:r>
              <m:t>12</m:t>
            </m:r>
          </m:sub>
        </m:sSub>
      </m:oMath>
      <w:r>
        <w:t xml:space="preserve">.</w:t>
      </w:r>
    </w:p>
  </w:footnote>
  <w:footnote w:id="91">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t xml:space="preserve">Mas-Colell, Whinston y Green (</w:t>
      </w:r>
      <w:hyperlink w:anchor="ref-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r>
        <w:rPr>
          <w:rStyle w:val="Referenciaatema"/>
        </w:rPr>
        <w:t xml:space="preserve">[ver tema 3.A.9]</w:t>
      </w:r>
      <w:r>
        <w:t xml:space="preserve">.</w:t>
      </w:r>
    </w:p>
  </w:footnote>
  <w:footnote w:id="92">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r>
              <m:t>p</m:t>
            </m:r>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93">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00">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E).</w:t>
      </w:r>
    </w:p>
  </w:footnote>
  <w:footnote w:id="109">
    <w:p>
      <w:pPr>
        <w:pStyle w:val="FootnoteText"/>
      </w:pPr>
      <w:r>
        <w:rPr>
          <w:rStyle w:val="FootnoteReference"/>
        </w:rPr>
        <w:footnoteRef/>
      </w:r>
      <w:r>
        <w:t xml:space="preserve"> </w:t>
      </w:r>
      <w:r>
        <w:t xml:space="preserve">Esto permitirá, en el apartado II, hacer estática comparativa: estudiar cómo cambian las demandas ante cambios en los parámetros del problema.</w:t>
      </w:r>
    </w:p>
  </w:footnote>
  <w:footnote w:id="110">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11">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12">
    <w:p>
      <w:pPr>
        <w:pStyle w:val="FootnoteText"/>
      </w:pPr>
      <w:r>
        <w:rPr>
          <w:rStyle w:val="FootnoteReference"/>
        </w:rPr>
        <w:footnoteRef/>
      </w:r>
      <w:r>
        <w:t xml:space="preserve"> </w:t>
      </w:r>
      <w:r>
        <w:t xml:space="preserve">Si se multiplican precios y renta por</w:t>
      </w:r>
      <w:r>
        <w:t xml:space="preserve"> </w:t>
      </w:r>
      <m:oMath>
        <m:r>
          <m:t>k</m:t>
        </m:r>
        <m:r>
          <m:rPr>
            <m:sty m:val="p"/>
          </m:rPr>
          <m:t>&gt;</m:t>
        </m:r>
        <m:r>
          <m:t>0</m:t>
        </m:r>
      </m:oMath>
      <w:r>
        <w:t xml:space="preserve">, el conjunto presupuestario no cambia:</w:t>
      </w:r>
      <w:r>
        <w:t xml:space="preserve"> </w:t>
      </w:r>
      <m:oMath>
        <m:r>
          <m:rPr>
            <m:sty m:val="p"/>
          </m:rPr>
          <m:t>{</m:t>
        </m:r>
        <m:r>
          <m:t>x</m:t>
        </m:r>
        <m:r>
          <m:rPr>
            <m:sty m:val="p"/>
          </m:rPr>
          <m:t>:</m:t>
        </m:r>
        <m:r>
          <m:t>k</m:t>
        </m:r>
        <m:r>
          <m:t>p</m:t>
        </m:r>
        <m:r>
          <m:rPr>
            <m:sty m:val="p"/>
          </m:rPr>
          <m:t>⋅</m:t>
        </m:r>
        <m:r>
          <m:t>x</m:t>
        </m:r>
        <m:r>
          <m:rPr>
            <m:sty m:val="p"/>
          </m:rPr>
          <m:t>≤</m:t>
        </m:r>
        <m:r>
          <m:t>k</m:t>
        </m:r>
        <m:bar>
          <m:barPr>
            <m:pos m:val="top"/>
          </m:barPr>
          <m:e>
            <m:r>
              <m:t>W</m:t>
            </m:r>
          </m:e>
        </m:bar>
        <m:r>
          <m:rPr>
            <m:sty m:val="p"/>
          </m:rPr>
          <m:t>}</m:t>
        </m:r>
        <m:r>
          <m:rPr>
            <m:sty m:val="p"/>
          </m:rPr>
          <m:t>=</m:t>
        </m:r>
        <m:r>
          <m:rPr>
            <m:sty m:val="p"/>
          </m:rPr>
          <m:t>{</m:t>
        </m:r>
        <m:r>
          <m:t>x</m:t>
        </m:r>
        <m:r>
          <m:rPr>
            <m:sty m:val="p"/>
          </m:rPr>
          <m:t>:</m:t>
        </m:r>
        <m:r>
          <m:t>p</m:t>
        </m:r>
        <m:r>
          <m:rPr>
            <m:sty m:val="p"/>
          </m:rPr>
          <m:t>⋅</m:t>
        </m:r>
        <m:r>
          <m:t>x</m:t>
        </m:r>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II 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B.1).</w:t>
      </w:r>
    </w:p>
  </w:footnote>
  <w:footnote w:id="113">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r>
          <m:t>p</m:t>
        </m:r>
        <m:r>
          <m:rPr>
            <m:sty m:val="p"/>
          </m:rPr>
          <m:t>⋅</m:t>
        </m:r>
        <m:r>
          <m:t>z</m:t>
        </m:r>
        <m:d>
          <m:dPr>
            <m:begChr m:val="("/>
            <m:sepChr m:val=""/>
            <m:endChr m:val=")"/>
            <m:grow/>
          </m:dPr>
          <m:e>
            <m:r>
              <m:t>p</m:t>
            </m:r>
          </m:e>
        </m:d>
        <m:r>
          <m:rPr>
            <m:sty m:val="p"/>
          </m:rPr>
          <m:t>=</m:t>
        </m:r>
        <m:r>
          <m:t>0</m:t>
        </m:r>
      </m:oMath>
      <w:r>
        <w:t xml:space="preserve">, que no es sino la suma de las restricciones presupuestarias de todos los consumidores: en el agregado también se agotan todos los recursos</w:t>
      </w:r>
      <w:r>
        <w:t xml:space="preserve"> </w:t>
      </w:r>
      <w:r>
        <w:rPr>
          <w:rStyle w:val="Referenciaatema"/>
        </w:rPr>
        <w:t xml:space="preserve">[ver tema 3.A.21]</w:t>
      </w:r>
      <w:r>
        <w:t xml:space="preserve">.</w:t>
      </w:r>
    </w:p>
  </w:footnote>
  <w:footnote w:id="114">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r>
                  <m:t>x</m:t>
                </m:r>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r>
              <m:t>x</m:t>
            </m:r>
          </m:e>
          <m:sup>
            <m:r>
              <m:rPr>
                <m:sty m:val="p"/>
              </m:rPr>
              <m:t>*</m:t>
            </m:r>
          </m:sup>
        </m:sSup>
      </m:oMath>
      <w:r>
        <w:t xml:space="preserve"> </w:t>
      </w:r>
      <w:r>
        <w:t xml:space="preserve">es distinto de cero</w:t>
      </w:r>
      <w:r>
        <w:t xml:space="preserve"> </w:t>
      </w:r>
      <w:r>
        <w:t xml:space="preserve">(</w:t>
      </w:r>
      <w:hyperlink w:anchor="ref-JehleReny2011Advanced">
        <w:r>
          <w:rPr>
            <w:rStyle w:val="Hyperlink"/>
          </w:rPr>
          <w:t xml:space="preserve">Jehle y Reny 2011</w:t>
        </w:r>
      </w:hyperlink>
      <w:r>
        <w:t xml:space="preserve">, teorema 1.5)</w:t>
      </w:r>
      <w:r>
        <w:t xml:space="preserve">.</w:t>
      </w:r>
    </w:p>
  </w:footnote>
  <w:footnote w:id="117">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18">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(18) y una demanda positiva de cada bien, las demandas pueden agregarse y representarse por las de un hogar representativo con FIU</w:t>
      </w:r>
      <w:r>
        <w:t xml:space="preserve"> </w:t>
      </w:r>
      <m:oMath>
        <m:r>
          <m:t>V</m:t>
        </m:r>
        <m:d>
          <m:dPr>
            <m:begChr m:val="("/>
            <m:sepChr m:val=""/>
            <m:endChr m:val=")"/>
            <m:grow/>
          </m:dPr>
          <m:e>
            <m:r>
              <m:t>p</m:t>
            </m:r>
            <m:r>
              <m:rPr>
                <m:sty m:val="p"/>
              </m:rPr>
              <m:t>,</m:t>
            </m:r>
            <m:bar>
              <m:barPr>
                <m:pos m:val="top"/>
              </m:barPr>
              <m:e>
                <m:r>
                  <m:t>W</m:t>
                </m:r>
              </m:e>
            </m:bar>
          </m:e>
        </m:d>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donde</w:t>
      </w:r>
      <w:r>
        <w:t xml:space="preserve"> </w:t>
      </w:r>
      <m:oMath>
        <m:r>
          <m:t>a</m:t>
        </m:r>
        <m:d>
          <m:dPr>
            <m:begChr m:val="("/>
            <m:sepChr m:val=""/>
            <m:endChr m:val=")"/>
            <m:grow/>
          </m:dPr>
          <m:e>
            <m:r>
              <m:t>p</m:t>
            </m:r>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r>
              <m:t>p</m:t>
            </m:r>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26">
    <w:p>
      <w:pPr>
        <w:pStyle w:val="FootnoteText"/>
      </w:pPr>
      <w:r>
        <w:rPr>
          <w:rStyle w:val="FootnoteReference"/>
        </w:rPr>
        <w:footnoteRef/>
      </w:r>
      <w:r>
        <w:t xml:space="preserve"> </w:t>
      </w:r>
      <w:r>
        <w:t xml:space="preserve">El análisis de elasticidades lo desarrolló de forma pionera</w:t>
      </w:r>
      <w:r>
        <w:t xml:space="preserve"> </w:t>
      </w:r>
      <w:r>
        <w:t xml:space="preserve">Marshall (</w:t>
      </w:r>
      <w:hyperlink w:anchor="ref-Marshall1890Principles">
        <w:r>
          <w:rPr>
            <w:rStyle w:val="Hyperlink"/>
          </w:rPr>
          <w:t xml:space="preserve">1890, lib. III</w:t>
        </w:r>
      </w:hyperlink>
      <w:r>
        <w:t xml:space="preserve">, cap. IV)</w:t>
      </w:r>
      <w:r>
        <w:t xml:space="preserve">.</w:t>
      </w:r>
    </w:p>
  </w:footnote>
  <w:footnote w:id="127">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r>
              <m:t>p</m:t>
            </m:r>
          </m:e>
        </m:d>
        <m:r>
          <m:rPr>
            <m:sty m:val="p"/>
          </m:rPr>
          <m:t>=</m:t>
        </m:r>
        <m:r>
          <m:t>0</m:t>
        </m:r>
      </m:oMath>
      <w:r>
        <w:t xml:space="preserve"> </w:t>
      </w:r>
      <w:r>
        <w:t xml:space="preserve">(apartado I.3, ecuación (18)).</w:t>
      </w:r>
    </w:p>
  </w:footnote>
  <w:footnote w:id="128">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 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34">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dos años consecutivos, lo que permite construir un panel corto</w:t>
      </w:r>
      <w:r>
        <w:t xml:space="preserve"> </w:t>
      </w:r>
      <w:r>
        <w:t xml:space="preserve">(</w:t>
      </w:r>
      <w:hyperlink w:anchor="ref-INE2008EPFCaracteristicas">
        <w:r>
          <w:rPr>
            <w:rStyle w:val="Hyperlink"/>
          </w:rPr>
          <w:t xml:space="preserve">Instituto Nacional de Estadística 2008</w:t>
        </w:r>
      </w:hyperlink>
      <w:r>
        <w:t xml:space="preserve">,</w:t>
      </w:r>
      <w:r>
        <w:t xml:space="preserve"> </w:t>
      </w:r>
      <w:hyperlink w:anchor="ref-INEEPFMetodologia">
        <w:r>
          <w:rPr>
            <w:rStyle w:val="Hyperlink"/>
          </w:rPr>
          <w:t xml:space="preserve">s. f.</w:t>
        </w:r>
      </w:hyperlink>
      <w:r>
        <w:t xml:space="preserve">)</w:t>
      </w:r>
      <w:r>
        <w:t xml:space="preserve">.</w:t>
      </w:r>
    </w:p>
  </w:footnote>
  <w:footnote w:id="149">
    <w:p>
      <w:pPr>
        <w:pStyle w:val="FootnoteText"/>
      </w:pPr>
      <w:r>
        <w:rPr>
          <w:rStyle w:val="FootnoteReference"/>
        </w:rPr>
        <w:footnoteRef/>
      </w:r>
      <w:r>
        <w:t xml:space="preserve"> </w:t>
      </w:r>
      <w:r>
        <w:t xml:space="preserve">Hay dos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5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oMath>
      <w:r>
        <w:t xml:space="preserve">, donde</w:t>
      </w:r>
      <w:r>
        <w:t xml:space="preserve"> </w:t>
      </w:r>
      <m:oMath>
        <m:r>
          <m:t>E</m:t>
        </m:r>
        <m:d>
          <m:dPr>
            <m:begChr m:val="("/>
            <m:sepChr m:val=""/>
            <m:endChr m:val=")"/>
            <m:grow/>
          </m:dPr>
          <m:e>
            <m:r>
              <m:t>p</m:t>
            </m:r>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r>
        <w:rPr>
          <w:rStyle w:val="Referenciaatema"/>
        </w:rPr>
        <w:t xml:space="preserve">[ver tema 3.A.9]</w:t>
      </w:r>
      <w:r>
        <w:t xml:space="preserve">. La derivación completa está en el anexo B.5.</w:t>
      </w:r>
    </w:p>
  </w:footnote>
  <w:footnote w:id="151">
    <w:p>
      <w:pPr>
        <w:pStyle w:val="FootnoteText"/>
      </w:pPr>
      <w:r>
        <w:rPr>
          <w:rStyle w:val="FootnoteReference"/>
        </w:rPr>
        <w:footnoteRef/>
      </w:r>
      <w:r>
        <w:t xml:space="preserve"> </w:t>
      </w:r>
      <w:r>
        <w:t xml:space="preserve">Se debe a la concavidad de la función de gasto</w:t>
      </w:r>
      <w:r>
        <w:t xml:space="preserve"> </w:t>
      </w:r>
      <w:r>
        <w:rPr>
          <w:rStyle w:val="Referenciaatema"/>
        </w:rPr>
        <w:t xml:space="preserve">[ver tema 3.A.9]</w:t>
      </w:r>
      <w:r>
        <w:t xml:space="preserve">. En el apartado III.1 se obtiene el mismo resultado con el axioma débil de la preferencia revelada, sin recurrir a la utilidad.</w:t>
      </w:r>
    </w:p>
  </w:footnote>
  <w:footnote w:id="152">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B.5).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53">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Rosen1999Potato">
        <w:r>
          <w:rPr>
            <w:rStyle w:val="Hyperlink"/>
          </w:rPr>
          <w:t xml:space="preserve">Rosen 1999</w:t>
        </w:r>
      </w:hyperlink>
      <w:r>
        <w:t xml:space="preserve">)</w:t>
      </w:r>
      <w:r>
        <w:t xml:space="preserve">. La evidencia más sólida es la de</w:t>
      </w:r>
      <w:r>
        <w:t xml:space="preserve"> </w:t>
      </w:r>
      <w:r>
        <w:t xml:space="preserve">Jensen y Miller (</w:t>
      </w:r>
      <w:hyperlink w:anchor="ref-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70">
    <w:p>
      <w:pPr>
        <w:pStyle w:val="FootnoteText"/>
      </w:pPr>
      <w:r>
        <w:rPr>
          <w:rStyle w:val="FootnoteReference"/>
        </w:rPr>
        <w:footnoteRef/>
      </w:r>
      <w:r>
        <w:t xml:space="preserve"> </w:t>
      </w:r>
      <w:r>
        <w:t xml:space="preserve">Por ejemplo,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175">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r>
        <w:rPr>
          <w:rStyle w:val="Referenciaatema"/>
        </w:rPr>
        <w:t xml:space="preserve">[ver tema 3.A.9]</w:t>
      </w:r>
      <w:r>
        <w:t xml:space="preserve">.</w:t>
      </w:r>
    </w:p>
  </w:footnote>
  <w:footnote w:id="176">
    <w:p>
      <w:pPr>
        <w:pStyle w:val="FootnoteText"/>
      </w:pPr>
      <w:r>
        <w:rPr>
          <w:rStyle w:val="FootnoteReference"/>
        </w:rPr>
        <w:footnoteRef/>
      </w:r>
      <w:r>
        <w:t xml:space="preserve"> </w:t>
      </w:r>
      <w:r>
        <w:rPr>
          <w:smallCaps/>
        </w:rPr>
        <w:t xml:space="preserve">Paul 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Nobel1970Samuelson">
        <w:r>
          <w:rPr>
            <w:rStyle w:val="Hyperlink"/>
          </w:rPr>
          <w:t xml:space="preserve">The Nobel Prize 1970</w:t>
        </w:r>
      </w:hyperlink>
      <w:r>
        <w:t xml:space="preserve">)</w:t>
      </w:r>
      <w:r>
        <w:t xml:space="preserve">.</w:t>
      </w:r>
    </w:p>
  </w:footnote>
  <w:footnote w:id="178">
    <w:p>
      <w:pPr>
        <w:pStyle w:val="FootnoteText"/>
      </w:pPr>
      <w:r>
        <w:rPr>
          <w:rStyle w:val="FootnoteReference"/>
        </w:rPr>
        <w:footnoteRef/>
      </w:r>
      <w:r>
        <w:t xml:space="preserve"> </w:t>
      </w:r>
      <w:r>
        <w:t xml:space="preserve">No del consumidor representativo: la agregación no conserva el axioma débil (apartado I.3).</w:t>
      </w:r>
    </w:p>
  </w:footnote>
  <w:footnote w:id="180">
    <w:p>
      <w:pPr>
        <w:pStyle w:val="FootnoteText"/>
      </w:pPr>
      <w:r>
        <w:rPr>
          <w:rStyle w:val="FootnoteReference"/>
        </w:rPr>
        <w:footnoteRef/>
      </w:r>
      <w:r>
        <w:t xml:space="preserve"> </w:t>
      </w:r>
      <w:r>
        <w:t xml:space="preserve">Es decir: si en la situación 0 se eligió</w:t>
      </w:r>
      <w:r>
        <w:t xml:space="preserve"> </w:t>
      </w:r>
      <m:oMath>
        <m:sSup>
          <m:e>
            <m:r>
              <m:t>x</m:t>
            </m:r>
          </m:e>
          <m:sup>
            <m:r>
              <m:t>0</m:t>
            </m:r>
          </m:sup>
        </m:sSup>
      </m:oMath>
      <w:r>
        <w:t xml:space="preserve"> </w:t>
      </w:r>
      <w:r>
        <w:t xml:space="preserve">pudiendo comprar</w:t>
      </w:r>
      <w:r>
        <w:t xml:space="preserve"> </w:t>
      </w:r>
      <m:oMath>
        <m:sSup>
          <m:e>
            <m:r>
              <m:t>x</m:t>
            </m:r>
          </m:e>
          <m:sup>
            <m:r>
              <m:t>1</m:t>
            </m:r>
          </m:sup>
        </m:sSup>
      </m:oMath>
      <w:r>
        <w:t xml:space="preserve">, en cualquier otra situación en la que se elija</w:t>
      </w:r>
      <w:r>
        <w:t xml:space="preserve"> </w:t>
      </w:r>
      <m:oMath>
        <m:sSup>
          <m:e>
            <m:r>
              <m:t>x</m:t>
            </m:r>
          </m:e>
          <m:sup>
            <m:r>
              <m:t>1</m:t>
            </m:r>
          </m:sup>
        </m:sSup>
      </m:oMath>
      <w:r>
        <w:t xml:space="preserve"> </w:t>
      </w:r>
      <w:r>
        <w:t xml:space="preserve">la cesta</w:t>
      </w:r>
      <w:r>
        <w:t xml:space="preserve"> </w:t>
      </w:r>
      <m:oMath>
        <m:sSup>
          <m:e>
            <m:r>
              <m:t>x</m:t>
            </m:r>
          </m:e>
          <m:sup>
            <m:r>
              <m:t>0</m:t>
            </m:r>
          </m:sup>
        </m:sSup>
      </m:oMath>
      <w:r>
        <w:t xml:space="preserve"> </w:t>
      </w:r>
      <w:r>
        <w:t xml:space="preserve">no puede ser asequible. El axioma no exige que la renta se mantenga constante: compara dos situaciones de precios y renta cualesquiera.</w:t>
      </w:r>
    </w:p>
  </w:footnote>
  <w:footnote w:id="185">
    <w:p>
      <w:pPr>
        <w:pStyle w:val="FootnoteText"/>
      </w:pPr>
      <w:r>
        <w:rPr>
          <w:rStyle w:val="FootnoteReference"/>
        </w:rPr>
        <w:footnoteRef/>
      </w:r>
      <w:r>
        <w:t xml:space="preserve"> </w:t>
      </w:r>
      <w:r>
        <w:t xml:space="preserve">Si</w:t>
      </w:r>
      <w:r>
        <w:t xml:space="preserve"> </w:t>
      </w:r>
      <m:oMath>
        <m:sSup>
          <m:e>
            <m:r>
              <m:t>p</m:t>
            </m:r>
          </m:e>
          <m:sup>
            <m:r>
              <m:t>1</m:t>
            </m:r>
          </m:sup>
        </m:sSup>
        <m:r>
          <m:rPr>
            <m:sty m:val="p"/>
          </m:rPr>
          <m:t>=</m:t>
        </m:r>
        <m:r>
          <m:t>k</m:t>
        </m:r>
        <m:sSup>
          <m:e>
            <m:r>
              <m:t>p</m:t>
            </m:r>
          </m:e>
          <m:sup>
            <m:r>
              <m:t>0</m:t>
            </m:r>
          </m:sup>
        </m:sSup>
      </m:oMath>
      <w:r>
        <w:t xml:space="preserve"> </w:t>
      </w:r>
      <w:r>
        <w:t xml:space="preserve">y</w:t>
      </w:r>
      <w:r>
        <w:t xml:space="preserve"> </w:t>
      </w:r>
      <m:oMath>
        <m:sSup>
          <m:e>
            <m:bar>
              <m:barPr>
                <m:pos m:val="top"/>
              </m:barPr>
              <m:e>
                <m:r>
                  <m:t>W</m:t>
                </m:r>
              </m:e>
            </m:bar>
          </m:e>
          <m:sup>
            <m:r>
              <m:t>1</m:t>
            </m:r>
          </m:sup>
        </m:sSup>
        <m:r>
          <m:rPr>
            <m:sty m:val="p"/>
          </m:rPr>
          <m:t>=</m:t>
        </m:r>
        <m:r>
          <m:t>k</m:t>
        </m:r>
        <m:sSup>
          <m:e>
            <m:bar>
              <m:barPr>
                <m:pos m:val="top"/>
              </m:barPr>
              <m:e>
                <m:r>
                  <m:t>W</m:t>
                </m:r>
              </m:e>
            </m:bar>
          </m:e>
          <m:sup>
            <m:r>
              <m:t>0</m:t>
            </m:r>
          </m:sup>
        </m:sSup>
      </m:oMath>
      <w:r>
        <w:t xml:space="preserve"> </w:t>
      </w:r>
      <w:r>
        <w:t xml:space="preserve">con</w:t>
      </w:r>
      <w:r>
        <w:t xml:space="preserve"> </w:t>
      </w:r>
      <m:oMath>
        <m:r>
          <m:t>k</m:t>
        </m:r>
        <m:r>
          <m:rPr>
            <m:sty m:val="p"/>
          </m:rPr>
          <m:t>&gt;</m:t>
        </m:r>
        <m:r>
          <m:t>0</m:t>
        </m:r>
      </m:oMath>
      <w:r>
        <w:t xml:space="preserve">, el conjunto presupuestario es el mismo. Si las cestas elegidas fueran distintas, cada una sería asequible cuando se eligió la otra, y se violaría el ADPR.</w:t>
      </w:r>
    </w:p>
  </w:footnote>
  <w:footnote w:id="187">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MasColellWhinstonGreen1995">
        <w:r>
          <w:rPr>
            <w:rStyle w:val="Hyperlink"/>
          </w:rPr>
          <w:t xml:space="preserve">Mas-Colell, Whinston y Green 1995, párr. 3.J</w:t>
        </w:r>
      </w:hyperlink>
      <w:r>
        <w:t xml:space="preserve">)</w:t>
      </w:r>
      <w:r>
        <w:t xml:space="preserve">.</w:t>
      </w:r>
    </w:p>
  </w:footnote>
  <w:footnote w:id="199">
    <w:p>
      <w:pPr>
        <w:pStyle w:val="FootnoteText"/>
      </w:pPr>
      <w:r>
        <w:rPr>
          <w:rStyle w:val="FootnoteReference"/>
        </w:rPr>
        <w:footnoteRef/>
      </w:r>
      <w:r>
        <w:t xml:space="preserve"> </w:t>
      </w:r>
      <w:r>
        <w:rPr>
          <w:smallCaps/>
        </w:rPr>
        <w:t xml:space="preserve">Gary 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Nobel1992Becker">
        <w:r>
          <w:rPr>
            <w:rStyle w:val="Hyperlink"/>
          </w:rPr>
          <w:t xml:space="preserve">The Nobel Prize 1992</w:t>
        </w:r>
      </w:hyperlink>
      <w:r>
        <w:t xml:space="preserve">)</w:t>
      </w:r>
      <w:r>
        <w:t xml:space="preserve">.</w:t>
      </w:r>
    </w:p>
  </w:footnote>
  <w:footnote w:id="208">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13">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rPr>
          <w:t xml:space="preserve">Kungl. Vetenskapsakademien 2017</w:t>
        </w:r>
      </w:hyperlink>
      <w:r>
        <w:t xml:space="preserve">)</w:t>
      </w:r>
      <w:r>
        <w:t xml:space="preserve">. Sus aportaciones a la teoría del consumidor se resumen en el anexo G.</w:t>
      </w:r>
    </w:p>
  </w:footnote>
  <w:footnote w:id="214">
    <w:p>
      <w:pPr>
        <w:pStyle w:val="FootnoteText"/>
      </w:pPr>
      <w:r>
        <w:rPr>
          <w:rStyle w:val="FootnoteReference"/>
        </w:rPr>
        <w:footnoteRef/>
      </w:r>
      <w:r>
        <w:t xml:space="preserve"> </w:t>
      </w:r>
      <w:r>
        <w:rPr>
          <w:smallCaps/>
        </w:rPr>
        <w:t xml:space="preserve">Angus 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rPr>
          <w:t xml:space="preserve">The Nobel Prize 2015</w:t>
        </w:r>
      </w:hyperlink>
      <w:r>
        <w:t xml:space="preserve">)</w:t>
      </w:r>
      <w:r>
        <w:t xml:space="preserve">.</w:t>
      </w:r>
    </w:p>
  </w:footnote>
  <w:footnote w:id="231">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ArrowEtAl1961Capital">
        <w:r>
          <w:rPr>
            <w:rStyle w:val="Hyperlink"/>
          </w:rPr>
          <w:t xml:space="preserve">Arrow et al. 1961</w:t>
        </w:r>
      </w:hyperlink>
      <w:r>
        <w:t xml:space="preserve">)</w:t>
      </w:r>
      <w:r>
        <w:t xml:space="preserve">; véase el anexo B.9. La función toma su nombre de</w:t>
      </w:r>
      <w:r>
        <w:t xml:space="preserve"> </w:t>
      </w:r>
      <w:r>
        <w:t xml:space="preserve">Cobb y Douglas (</w:t>
      </w:r>
      <w:hyperlink w:anchor="ref-CobbDouglas1928Theory">
        <w:r>
          <w:rPr>
            <w:rStyle w:val="Hyperlink"/>
          </w:rPr>
          <w:t xml:space="preserve">1928</w:t>
        </w:r>
      </w:hyperlink>
      <w:r>
        <w:t xml:space="preserve">)</w:t>
      </w:r>
      <w:r>
        <w:t xml:space="preserve">, que la usaron como función de producción</w:t>
      </w:r>
      <w:r>
        <w:t xml:space="preserve"> </w:t>
      </w:r>
      <w:r>
        <w:rPr>
          <w:rStyle w:val="Referenciaatema"/>
        </w:rPr>
        <w:t xml:space="preserve">[ver tema 3.A.11]</w:t>
      </w:r>
      <w:r>
        <w:t xml:space="preserve">.</w:t>
      </w:r>
    </w:p>
  </w:footnote>
  <w:footnote w:id="232">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33">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34">
    <w:p>
      <w:pPr>
        <w:pStyle w:val="FootnoteText"/>
      </w:pPr>
      <w:r>
        <w:rPr>
          <w:rStyle w:val="FootnoteReference"/>
        </w:rPr>
        <w:footnoteRef/>
      </w:r>
      <w:r>
        <w:t xml:space="preserve"> </w:t>
      </w:r>
      <w:r>
        <w:t xml:space="preserve">Jaimovich y Rebelo (</w:t>
      </w:r>
      <w:hyperlink w:anchor="ref-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236">
    <w:p>
      <w:pPr>
        <w:pStyle w:val="FootnoteText"/>
      </w:pPr>
      <w:r>
        <w:rPr>
          <w:rStyle w:val="FootnoteReference"/>
        </w:rPr>
        <w:footnoteRef/>
      </w:r>
      <w:r>
        <w:t xml:space="preserve"> </w:t>
      </w:r>
      <w:r>
        <w:rPr>
          <w:smallCaps/>
        </w:rPr>
        <w:t xml:space="preserve">Angus 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rPr>
          <w:t xml:space="preserve">The Nobel Prize 2015</w:t>
        </w:r>
      </w:hyperlink>
      <w:r>
        <w:t xml:space="preserve">)</w:t>
      </w:r>
      <w:r>
        <w:t xml:space="preserve">.</w:t>
      </w:r>
    </w:p>
  </w:footnote>
  <w:footnote w:id="238">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r>
        <w:rPr>
          <w:rStyle w:val="Referenciaatema"/>
        </w:rPr>
        <w:t xml:space="preserve">[ver tema 3.A.10]</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2E8B3A"/>
    </w:rPr>
  </w:style>
  <w:style w:customStyle="1" w:styleId="Textoazul" w:type="character">
    <w:name w:val="Texto azul"/>
    <w:rPr>
      <w:color w:val="1C8FC9"/>
    </w:rPr>
  </w:style>
  <w:style w:customStyle="1" w:styleId="Textonaranja" w:type="character">
    <w:name w:val="Texto naranja"/>
    <w:rPr>
      <w:color w:val="E07B28"/>
    </w:rPr>
  </w:style>
  <w:style w:customStyle="1" w:styleId="Textorojo" w:type="character">
    <w:name w:val="Texto rojo"/>
    <w:rPr>
      <w:color w:val="D11F1F"/>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88" Target="media/rId188.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40" Target="media/rId40.png" /><Relationship Type="http://schemas.openxmlformats.org/officeDocument/2006/relationships/image" Id="rId75" Target="media/rId75.png" /><Relationship Type="http://schemas.openxmlformats.org/officeDocument/2006/relationships/image" Id="rId239" Target="media/rId239.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35" Target="media/rId135.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202" Target="media/rId202.png" /><Relationship Type="http://schemas.openxmlformats.org/officeDocument/2006/relationships/image" Id="rId244" Target="media/rId244.png" /><Relationship Type="http://schemas.openxmlformats.org/officeDocument/2006/relationships/image" Id="rId216" Target="media/rId216.pn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29" Target="media/rId129.png" /><Relationship Type="http://schemas.openxmlformats.org/officeDocument/2006/relationships/image" Id="rId103" Target="media/rId103.png" /><Relationship Type="http://schemas.openxmlformats.org/officeDocument/2006/relationships/image" Id="rId68" Target="media/rId68.png" /><Relationship Type="http://schemas.openxmlformats.org/officeDocument/2006/relationships/hyperlink" Id="rId278" Target="https://allengoodman.wayne.edu/Research/PUBS/Court_Hedonic.pdf" TargetMode="External" /><Relationship Type="http://schemas.openxmlformats.org/officeDocument/2006/relationships/hyperlink" Id="rId284" Target="https://cowles.yale.edu/sites/default/files/2022-09/m17-all.pdf" TargetMode="External" /><Relationship Type="http://schemas.openxmlformats.org/officeDocument/2006/relationships/hyperlink" Id="rId303" Target="https://doi.org/10.1006/juec.1997.2071" TargetMode="External" /><Relationship Type="http://schemas.openxmlformats.org/officeDocument/2006/relationships/hyperlink" Id="rId268" Target="https://doi.org/10.1016/0014-2921(69)90017-8" TargetMode="External" /><Relationship Type="http://schemas.openxmlformats.org/officeDocument/2006/relationships/hyperlink" Id="rId389" Target="https://doi.org/10.1016/0022-0531(73)90066-5" TargetMode="External" /><Relationship Type="http://schemas.openxmlformats.org/officeDocument/2006/relationships/hyperlink" Id="rId398" Target="https://doi.org/10.1016/0167-2681(80)90051-7" TargetMode="External" /><Relationship Type="http://schemas.openxmlformats.org/officeDocument/2006/relationships/hyperlink" Id="rId348" Target="https://doi.org/10.1016/0304-3932(88)90030-X" TargetMode="External" /><Relationship Type="http://schemas.openxmlformats.org/officeDocument/2006/relationships/hyperlink" Id="rId350" Target="https://doi.org/10.1023/A:1020529028761" TargetMode="External" /><Relationship Type="http://schemas.openxmlformats.org/officeDocument/2006/relationships/hyperlink" Id="rId344" Target="https://doi.org/10.1037/0003-066X.39.4.341" TargetMode="External" /><Relationship Type="http://schemas.openxmlformats.org/officeDocument/2006/relationships/hyperlink" Id="rId393" Target="https://doi.org/10.1086/258464" TargetMode="External" /><Relationship Type="http://schemas.openxmlformats.org/officeDocument/2006/relationships/hyperlink" Id="rId355" Target="https://doi.org/10.1086/259131" TargetMode="External" /><Relationship Type="http://schemas.openxmlformats.org/officeDocument/2006/relationships/hyperlink" Id="rId374" Target="https://doi.org/10.1086/260169" TargetMode="External" /><Relationship Type="http://schemas.openxmlformats.org/officeDocument/2006/relationships/hyperlink" Id="rId314" Target="https://doi.org/10.1086/260629" TargetMode="External" /><Relationship Type="http://schemas.openxmlformats.org/officeDocument/2006/relationships/hyperlink" Id="rId340" Target="https://doi.org/10.1086/261737" TargetMode="External" /><Relationship Type="http://schemas.openxmlformats.org/officeDocument/2006/relationships/hyperlink" Id="rId307" Target="https://doi.org/10.1111/j.1467-999X.1961.tb00819.x" TargetMode="External" /><Relationship Type="http://schemas.openxmlformats.org/officeDocument/2006/relationships/hyperlink" Id="rId412" Target="https://doi.org/10.1126/science.7455683" TargetMode="External" /><Relationship Type="http://schemas.openxmlformats.org/officeDocument/2006/relationships/hyperlink" Id="rId368" Target="https://doi.org/10.11647/OBP.0204" TargetMode="External" /><Relationship Type="http://schemas.openxmlformats.org/officeDocument/2006/relationships/hyperlink" Id="rId335" Target="https://doi.org/10.1257/aer.99.4.1097" TargetMode="External" /><Relationship Type="http://schemas.openxmlformats.org/officeDocument/2006/relationships/hyperlink" Id="rId400" Target="https://doi.org/10.1287/mksc.4.3.199" TargetMode="External" /><Relationship Type="http://schemas.openxmlformats.org/officeDocument/2006/relationships/hyperlink" Id="rId410" Target="https://doi.org/10.1787/9789264028159-en" TargetMode="External" /><Relationship Type="http://schemas.openxmlformats.org/officeDocument/2006/relationships/hyperlink" Id="rId386" Target="https://doi.org/10.2307/1884852" TargetMode="External" /><Relationship Type="http://schemas.openxmlformats.org/officeDocument/2006/relationships/hyperlink" Id="rId377" Target="https://doi.org/10.2307/1905479" TargetMode="External" /><Relationship Type="http://schemas.openxmlformats.org/officeDocument/2006/relationships/hyperlink" Id="rId305" Target="https://doi.org/10.2307/1906943" TargetMode="External" /><Relationship Type="http://schemas.openxmlformats.org/officeDocument/2006/relationships/hyperlink" Id="rId391" Target="https://doi.org/10.2307/1909201" TargetMode="External" /><Relationship Type="http://schemas.openxmlformats.org/officeDocument/2006/relationships/hyperlink" Id="rId272" Target="https://doi.org/10.2307/1909829" TargetMode="External" /><Relationship Type="http://schemas.openxmlformats.org/officeDocument/2006/relationships/hyperlink" Id="rId346" Target="https://doi.org/10.2307/1911539" TargetMode="External" /><Relationship Type="http://schemas.openxmlformats.org/officeDocument/2006/relationships/hyperlink" Id="rId366" Target="https://doi.org/10.2307/1911540" TargetMode="External" /><Relationship Type="http://schemas.openxmlformats.org/officeDocument/2006/relationships/hyperlink" Id="rId408" Target="https://doi.org/10.2307/1911889" TargetMode="External" /><Relationship Type="http://schemas.openxmlformats.org/officeDocument/2006/relationships/hyperlink" Id="rId280" Target="https://doi.org/10.2307/1911983" TargetMode="External" /><Relationship Type="http://schemas.openxmlformats.org/officeDocument/2006/relationships/hyperlink" Id="rId416" Target="https://doi.org/10.2307/1912771" TargetMode="External" /><Relationship Type="http://schemas.openxmlformats.org/officeDocument/2006/relationships/hyperlink" Id="rId342" Target="https://doi.org/10.2307/1914185" TargetMode="External" /><Relationship Type="http://schemas.openxmlformats.org/officeDocument/2006/relationships/hyperlink" Id="rId262" Target="https://doi.org/10.2307/1927286" TargetMode="External" /><Relationship Type="http://schemas.openxmlformats.org/officeDocument/2006/relationships/hyperlink" Id="rId266" Target="https://doi.org/10.2307/1937885" TargetMode="External" /><Relationship Type="http://schemas.openxmlformats.org/officeDocument/2006/relationships/hyperlink" Id="rId395" Target="https://doi.org/10.2307/2227743" TargetMode="External" /><Relationship Type="http://schemas.openxmlformats.org/officeDocument/2006/relationships/hyperlink" Id="rId270" Target="https://doi.org/10.2307/2228949" TargetMode="External" /><Relationship Type="http://schemas.openxmlformats.org/officeDocument/2006/relationships/hyperlink" Id="rId301" Target="https://doi.org/10.2307/2296107" TargetMode="External" /><Relationship Type="http://schemas.openxmlformats.org/officeDocument/2006/relationships/hyperlink" Id="rId364" Target="https://doi.org/10.2307/2296792" TargetMode="External" /><Relationship Type="http://schemas.openxmlformats.org/officeDocument/2006/relationships/hyperlink" Id="rId257" Target="https://doi.org/10.2307/2525382" TargetMode="External" /><Relationship Type="http://schemas.openxmlformats.org/officeDocument/2006/relationships/hyperlink" Id="rId316" Target="https://doi.org/10.2307/2548574" TargetMode="External" /><Relationship Type="http://schemas.openxmlformats.org/officeDocument/2006/relationships/hyperlink" Id="rId379" Target="https://doi.org/10.2307/2548836" TargetMode="External" /><Relationship Type="http://schemas.openxmlformats.org/officeDocument/2006/relationships/hyperlink" Id="rId318" Target="https://doi.org/10.2307/2549382" TargetMode="External" /><Relationship Type="http://schemas.openxmlformats.org/officeDocument/2006/relationships/hyperlink" Id="rId381" Target="https://doi.org/10.2307/2549561" TargetMode="External" /><Relationship Type="http://schemas.openxmlformats.org/officeDocument/2006/relationships/hyperlink" Id="rId359" Target="https://doi.org/10.2307/2975974" TargetMode="External" /><Relationship Type="http://schemas.openxmlformats.org/officeDocument/2006/relationships/hyperlink" Id="rId292" Target="https://doi.org/10.2785/055028" TargetMode="External" /><Relationship Type="http://schemas.openxmlformats.org/officeDocument/2006/relationships/hyperlink" Id="rId294" Target="https://ec.europa.eu/eurostat/databrowser/view/nama_10_gdp/default/table" TargetMode="External" /><Relationship Type="http://schemas.openxmlformats.org/officeDocument/2006/relationships/hyperlink" Id="rId164" Target="https://policonomics.com/es/video-a10-demandas-marshalliana-hicksiana/" TargetMode="External" /><Relationship Type="http://schemas.openxmlformats.org/officeDocument/2006/relationships/hyperlink" Id="rId259" Target="https://presidencia.gva.es/documents/166658342/166714754/Ejemplar+3070/2957e02b-f135-4235-98a6-bfc909292066" TargetMode="External" /><Relationship Type="http://schemas.openxmlformats.org/officeDocument/2006/relationships/hyperlink" Id="rId299" Target="https://web.archive.org/web/20260106065001/http://www2.hawaii.edu/~fuleky/anatomy/anatomy.html" TargetMode="External" /><Relationship Type="http://schemas.openxmlformats.org/officeDocument/2006/relationships/hyperlink" Id="rId414" Target="https://www.bls.gov/cpi/quality-adjustment/" TargetMode="External" /><Relationship Type="http://schemas.openxmlformats.org/officeDocument/2006/relationships/hyperlink" Id="rId321" Target="https://www.ine.es/daco/daco42/daco4213/resmeto06.pdf" TargetMode="External" /><Relationship Type="http://schemas.openxmlformats.org/officeDocument/2006/relationships/hyperlink" Id="rId329" Target="https://www.ine.es/daco/daco42/ipv/metodologia2025.pdf" TargetMode="External" /><Relationship Type="http://schemas.openxmlformats.org/officeDocument/2006/relationships/hyperlink" Id="rId331" Target="https://www.ine.es/dyngs/Prensa/EPF2025.htm" TargetMode="External" /><Relationship Type="http://schemas.openxmlformats.org/officeDocument/2006/relationships/hyperlink" Id="rId323" Target="https://www.ine.es/jaxiT3/Tabla.htm?t=67823" TargetMode="External" /><Relationship Type="http://schemas.openxmlformats.org/officeDocument/2006/relationships/hyperlink" Id="rId325" Target="https://www.ine.es/jaxiT3/Tabla.htm?t=73828" TargetMode="External" /><Relationship Type="http://schemas.openxmlformats.org/officeDocument/2006/relationships/hyperlink" Id="rId327" Target="https://www.ine.es/metodologia/t25/metodologia_IPC_base_2025.pdf" TargetMode="External" /><Relationship Type="http://schemas.openxmlformats.org/officeDocument/2006/relationships/hyperlink" Id="rId333" Target="https://www.ine.es/metodologia/t25/t2530p458.pdf" TargetMode="External" /><Relationship Type="http://schemas.openxmlformats.org/officeDocument/2006/relationships/hyperlink" Id="rId361" Target="https://www.marxists.org/reference/subject/economics/marshall/bk1ch01.htm" TargetMode="External" /><Relationship Type="http://schemas.openxmlformats.org/officeDocument/2006/relationships/hyperlink" Id="rId311" Target="https://www.nber.org/system/files/chapters/c6492/c6492.pdf" TargetMode="External" /><Relationship Type="http://schemas.openxmlformats.org/officeDocument/2006/relationships/hyperlink" Id="rId402" Target="https://www.nobelprize.org/prizes/economic-sciences/1970/summary/" TargetMode="External" /><Relationship Type="http://schemas.openxmlformats.org/officeDocument/2006/relationships/hyperlink" Id="rId404" Target="https://www.nobelprize.org/prizes/economic-sciences/1992/summary/" TargetMode="External" /><Relationship Type="http://schemas.openxmlformats.org/officeDocument/2006/relationships/hyperlink" Id="rId406" Target="https://www.nobelprize.org/prizes/economic-sciences/2015/summary/" TargetMode="External" /><Relationship Type="http://schemas.openxmlformats.org/officeDocument/2006/relationships/hyperlink" Id="rId353" Target="https://www.nobelprize.org/prizes/economic-sciences/2017/press-release/" TargetMode="External" /><Relationship Type="http://schemas.openxmlformats.org/officeDocument/2006/relationships/hyperlink" Id="rId250" Target="https://www.victorgutierrezmarcos.es/oposicion/temario/primer-ejercicio/test/simulador.html" TargetMode="External" /><Relationship Type="http://schemas.openxmlformats.org/officeDocument/2006/relationships/hyperlink" Id="rId163" Target="https://www.youtube.com/watch?v=J0PSPX2B5FI" TargetMode="External" /></Relationships>
</file>

<file path=word/_rels/footnotes.xml.rels><?xml version="1.0" encoding="UTF-8"?><Relationships xmlns="http://schemas.openxmlformats.org/package/2006/relationships"><Relationship Type="http://schemas.openxmlformats.org/officeDocument/2006/relationships/hyperlink" Id="rId278" Target="https://allengoodman.wayne.edu/Research/PUBS/Court_Hedonic.pdf" TargetMode="External" /><Relationship Type="http://schemas.openxmlformats.org/officeDocument/2006/relationships/hyperlink" Id="rId284" Target="https://cowles.yale.edu/sites/default/files/2022-09/m17-all.pdf" TargetMode="External" /><Relationship Type="http://schemas.openxmlformats.org/officeDocument/2006/relationships/hyperlink" Id="rId303" Target="https://doi.org/10.1006/juec.1997.2071" TargetMode="External" /><Relationship Type="http://schemas.openxmlformats.org/officeDocument/2006/relationships/hyperlink" Id="rId268" Target="https://doi.org/10.1016/0014-2921(69)90017-8" TargetMode="External" /><Relationship Type="http://schemas.openxmlformats.org/officeDocument/2006/relationships/hyperlink" Id="rId389" Target="https://doi.org/10.1016/0022-0531(73)90066-5" TargetMode="External" /><Relationship Type="http://schemas.openxmlformats.org/officeDocument/2006/relationships/hyperlink" Id="rId398" Target="https://doi.org/10.1016/0167-2681(80)90051-7" TargetMode="External" /><Relationship Type="http://schemas.openxmlformats.org/officeDocument/2006/relationships/hyperlink" Id="rId348" Target="https://doi.org/10.1016/0304-3932(88)90030-X" TargetMode="External" /><Relationship Type="http://schemas.openxmlformats.org/officeDocument/2006/relationships/hyperlink" Id="rId350" Target="https://doi.org/10.1023/A:1020529028761" TargetMode="External" /><Relationship Type="http://schemas.openxmlformats.org/officeDocument/2006/relationships/hyperlink" Id="rId344" Target="https://doi.org/10.1037/0003-066X.39.4.341" TargetMode="External" /><Relationship Type="http://schemas.openxmlformats.org/officeDocument/2006/relationships/hyperlink" Id="rId393" Target="https://doi.org/10.1086/258464" TargetMode="External" /><Relationship Type="http://schemas.openxmlformats.org/officeDocument/2006/relationships/hyperlink" Id="rId355" Target="https://doi.org/10.1086/259131" TargetMode="External" /><Relationship Type="http://schemas.openxmlformats.org/officeDocument/2006/relationships/hyperlink" Id="rId374" Target="https://doi.org/10.1086/260169" TargetMode="External" /><Relationship Type="http://schemas.openxmlformats.org/officeDocument/2006/relationships/hyperlink" Id="rId314" Target="https://doi.org/10.1086/260629" TargetMode="External" /><Relationship Type="http://schemas.openxmlformats.org/officeDocument/2006/relationships/hyperlink" Id="rId340" Target="https://doi.org/10.1086/261737" TargetMode="External" /><Relationship Type="http://schemas.openxmlformats.org/officeDocument/2006/relationships/hyperlink" Id="rId307" Target="https://doi.org/10.1111/j.1467-999X.1961.tb00819.x" TargetMode="External" /><Relationship Type="http://schemas.openxmlformats.org/officeDocument/2006/relationships/hyperlink" Id="rId412" Target="https://doi.org/10.1126/science.7455683" TargetMode="External" /><Relationship Type="http://schemas.openxmlformats.org/officeDocument/2006/relationships/hyperlink" Id="rId368" Target="https://doi.org/10.11647/OBP.0204" TargetMode="External" /><Relationship Type="http://schemas.openxmlformats.org/officeDocument/2006/relationships/hyperlink" Id="rId335" Target="https://doi.org/10.1257/aer.99.4.1097" TargetMode="External" /><Relationship Type="http://schemas.openxmlformats.org/officeDocument/2006/relationships/hyperlink" Id="rId400" Target="https://doi.org/10.1287/mksc.4.3.199" TargetMode="External" /><Relationship Type="http://schemas.openxmlformats.org/officeDocument/2006/relationships/hyperlink" Id="rId410" Target="https://doi.org/10.1787/9789264028159-en" TargetMode="External" /><Relationship Type="http://schemas.openxmlformats.org/officeDocument/2006/relationships/hyperlink" Id="rId386" Target="https://doi.org/10.2307/1884852" TargetMode="External" /><Relationship Type="http://schemas.openxmlformats.org/officeDocument/2006/relationships/hyperlink" Id="rId377" Target="https://doi.org/10.2307/1905479" TargetMode="External" /><Relationship Type="http://schemas.openxmlformats.org/officeDocument/2006/relationships/hyperlink" Id="rId305" Target="https://doi.org/10.2307/1906943" TargetMode="External" /><Relationship Type="http://schemas.openxmlformats.org/officeDocument/2006/relationships/hyperlink" Id="rId391" Target="https://doi.org/10.2307/1909201" TargetMode="External" /><Relationship Type="http://schemas.openxmlformats.org/officeDocument/2006/relationships/hyperlink" Id="rId272" Target="https://doi.org/10.2307/1909829" TargetMode="External" /><Relationship Type="http://schemas.openxmlformats.org/officeDocument/2006/relationships/hyperlink" Id="rId346" Target="https://doi.org/10.2307/1911539" TargetMode="External" /><Relationship Type="http://schemas.openxmlformats.org/officeDocument/2006/relationships/hyperlink" Id="rId366" Target="https://doi.org/10.2307/1911540" TargetMode="External" /><Relationship Type="http://schemas.openxmlformats.org/officeDocument/2006/relationships/hyperlink" Id="rId408" Target="https://doi.org/10.2307/1911889" TargetMode="External" /><Relationship Type="http://schemas.openxmlformats.org/officeDocument/2006/relationships/hyperlink" Id="rId280" Target="https://doi.org/10.2307/1911983" TargetMode="External" /><Relationship Type="http://schemas.openxmlformats.org/officeDocument/2006/relationships/hyperlink" Id="rId416" Target="https://doi.org/10.2307/1912771" TargetMode="External" /><Relationship Type="http://schemas.openxmlformats.org/officeDocument/2006/relationships/hyperlink" Id="rId342" Target="https://doi.org/10.2307/1914185" TargetMode="External" /><Relationship Type="http://schemas.openxmlformats.org/officeDocument/2006/relationships/hyperlink" Id="rId262" Target="https://doi.org/10.2307/1927286" TargetMode="External" /><Relationship Type="http://schemas.openxmlformats.org/officeDocument/2006/relationships/hyperlink" Id="rId266" Target="https://doi.org/10.2307/1937885" TargetMode="External" /><Relationship Type="http://schemas.openxmlformats.org/officeDocument/2006/relationships/hyperlink" Id="rId395" Target="https://doi.org/10.2307/2227743" TargetMode="External" /><Relationship Type="http://schemas.openxmlformats.org/officeDocument/2006/relationships/hyperlink" Id="rId270" Target="https://doi.org/10.2307/2228949" TargetMode="External" /><Relationship Type="http://schemas.openxmlformats.org/officeDocument/2006/relationships/hyperlink" Id="rId301" Target="https://doi.org/10.2307/2296107" TargetMode="External" /><Relationship Type="http://schemas.openxmlformats.org/officeDocument/2006/relationships/hyperlink" Id="rId364" Target="https://doi.org/10.2307/2296792" TargetMode="External" /><Relationship Type="http://schemas.openxmlformats.org/officeDocument/2006/relationships/hyperlink" Id="rId257" Target="https://doi.org/10.2307/2525382" TargetMode="External" /><Relationship Type="http://schemas.openxmlformats.org/officeDocument/2006/relationships/hyperlink" Id="rId316" Target="https://doi.org/10.2307/2548574" TargetMode="External" /><Relationship Type="http://schemas.openxmlformats.org/officeDocument/2006/relationships/hyperlink" Id="rId379" Target="https://doi.org/10.2307/2548836" TargetMode="External" /><Relationship Type="http://schemas.openxmlformats.org/officeDocument/2006/relationships/hyperlink" Id="rId318" Target="https://doi.org/10.2307/2549382" TargetMode="External" /><Relationship Type="http://schemas.openxmlformats.org/officeDocument/2006/relationships/hyperlink" Id="rId381" Target="https://doi.org/10.2307/2549561" TargetMode="External" /><Relationship Type="http://schemas.openxmlformats.org/officeDocument/2006/relationships/hyperlink" Id="rId359" Target="https://doi.org/10.2307/2975974" TargetMode="External" /><Relationship Type="http://schemas.openxmlformats.org/officeDocument/2006/relationships/hyperlink" Id="rId292" Target="https://doi.org/10.2785/055028" TargetMode="External" /><Relationship Type="http://schemas.openxmlformats.org/officeDocument/2006/relationships/hyperlink" Id="rId294" Target="https://ec.europa.eu/eurostat/databrowser/view/nama_10_gdp/default/table" TargetMode="External" /><Relationship Type="http://schemas.openxmlformats.org/officeDocument/2006/relationships/hyperlink" Id="rId164" Target="https://policonomics.com/es/video-a10-demandas-marshalliana-hicksiana/" TargetMode="External" /><Relationship Type="http://schemas.openxmlformats.org/officeDocument/2006/relationships/hyperlink" Id="rId259" Target="https://presidencia.gva.es/documents/166658342/166714754/Ejemplar+3070/2957e02b-f135-4235-98a6-bfc909292066" TargetMode="External" /><Relationship Type="http://schemas.openxmlformats.org/officeDocument/2006/relationships/hyperlink" Id="rId299" Target="https://web.archive.org/web/20260106065001/http://www2.hawaii.edu/~fuleky/anatomy/anatomy.html" TargetMode="External" /><Relationship Type="http://schemas.openxmlformats.org/officeDocument/2006/relationships/hyperlink" Id="rId414" Target="https://www.bls.gov/cpi/quality-adjustment/" TargetMode="External" /><Relationship Type="http://schemas.openxmlformats.org/officeDocument/2006/relationships/hyperlink" Id="rId321" Target="https://www.ine.es/daco/daco42/daco4213/resmeto06.pdf" TargetMode="External" /><Relationship Type="http://schemas.openxmlformats.org/officeDocument/2006/relationships/hyperlink" Id="rId329" Target="https://www.ine.es/daco/daco42/ipv/metodologia2025.pdf" TargetMode="External" /><Relationship Type="http://schemas.openxmlformats.org/officeDocument/2006/relationships/hyperlink" Id="rId331" Target="https://www.ine.es/dyngs/Prensa/EPF2025.htm" TargetMode="External" /><Relationship Type="http://schemas.openxmlformats.org/officeDocument/2006/relationships/hyperlink" Id="rId323" Target="https://www.ine.es/jaxiT3/Tabla.htm?t=67823" TargetMode="External" /><Relationship Type="http://schemas.openxmlformats.org/officeDocument/2006/relationships/hyperlink" Id="rId325" Target="https://www.ine.es/jaxiT3/Tabla.htm?t=73828" TargetMode="External" /><Relationship Type="http://schemas.openxmlformats.org/officeDocument/2006/relationships/hyperlink" Id="rId327" Target="https://www.ine.es/metodologia/t25/metodologia_IPC_base_2025.pdf" TargetMode="External" /><Relationship Type="http://schemas.openxmlformats.org/officeDocument/2006/relationships/hyperlink" Id="rId333" Target="https://www.ine.es/metodologia/t25/t2530p458.pdf" TargetMode="External" /><Relationship Type="http://schemas.openxmlformats.org/officeDocument/2006/relationships/hyperlink" Id="rId361" Target="https://www.marxists.org/reference/subject/economics/marshall/bk1ch01.htm" TargetMode="External" /><Relationship Type="http://schemas.openxmlformats.org/officeDocument/2006/relationships/hyperlink" Id="rId311" Target="https://www.nber.org/system/files/chapters/c6492/c6492.pdf" TargetMode="External" /><Relationship Type="http://schemas.openxmlformats.org/officeDocument/2006/relationships/hyperlink" Id="rId402" Target="https://www.nobelprize.org/prizes/economic-sciences/1970/summary/" TargetMode="External" /><Relationship Type="http://schemas.openxmlformats.org/officeDocument/2006/relationships/hyperlink" Id="rId404" Target="https://www.nobelprize.org/prizes/economic-sciences/1992/summary/" TargetMode="External" /><Relationship Type="http://schemas.openxmlformats.org/officeDocument/2006/relationships/hyperlink" Id="rId406" Target="https://www.nobelprize.org/prizes/economic-sciences/2015/summary/" TargetMode="External" /><Relationship Type="http://schemas.openxmlformats.org/officeDocument/2006/relationships/hyperlink" Id="rId353" Target="https://www.nobelprize.org/prizes/economic-sciences/2017/press-release/" TargetMode="External" /><Relationship Type="http://schemas.openxmlformats.org/officeDocument/2006/relationships/hyperlink" Id="rId250" Target="https://www.victorgutierrezmarcos.es/oposicion/temario/primer-ejercicio/test/simulador.html" TargetMode="External" /><Relationship Type="http://schemas.openxmlformats.org/officeDocument/2006/relationships/hyperlink" Id="rId163"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language>es-ES</dc:language>
  <cp:keywords/>
  <dcterms:created xsi:type="dcterms:W3CDTF">2026-10-13T18:49:11Z</dcterms:created>
  <dcterms:modified xsi:type="dcterms:W3CDTF">2026-10-13T18:49:11Z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3A08</vt:lpwstr>
  </property>
  <property fmtid="{D5CDD505-2E9C-101B-9397-08002B2CF9AE}" pid="3" name="bibliography">
    <vt:lpwstr>C:\Users\vgutierrez\Documents\src\victorgutierrezmarcos.github.io-revision\oposicion\temario\fuentes\3A08\3A08.bib</vt:lpwstr>
  </property>
  <property fmtid="{D5CDD505-2E9C-101B-9397-08002B2CF9AE}" pid="4" name="carpeta">
    <vt:lpwstr>tercer-ejercicio</vt:lpwstr>
  </property>
  <property fmtid="{D5CDD505-2E9C-101B-9397-08002B2CF9AE}" pid="5" name="codigo">
    <vt:lpwstr>3.A.8</vt:lpwstr>
  </property>
  <property fmtid="{D5CDD505-2E9C-101B-9397-08002B2CF9AE}" pid="6" name="csl">
    <vt:lpwstr>C:\Users\vgutierrez\Documents\src\victorgutierrezmarcos.github.io-revision\oposicion\temario\latex\tcee.csl</vt:lpwstr>
  </property>
  <property fmtid="{D5CDD505-2E9C-101B-9397-08002B2CF9AE}" pid="7" name="date">
    <vt:lpwstr>Última actualización: 10/10/2026</vt:lpwstr>
  </property>
  <property fmtid="{D5CDD505-2E9C-101B-9397-08002B2CF9AE}" pid="8" name="ejercicio">
    <vt:lpwstr>Tercer ejercicio</vt:lpwstr>
  </property>
  <property fmtid="{D5CDD505-2E9C-101B-9397-08002B2CF9AE}" pid="9" name="fecha">
    <vt:lpwstr>10/10/2026</vt:lpwstr>
  </property>
  <property fmtid="{D5CDD505-2E9C-101B-9397-08002B2CF9AE}" pid="10" name="graficos-docx">
    <vt:lpwstr>C:\Users\vgutierrez\Documents\src\victorgutierrezmarcos.github.io-revision\oposicion\temario\fuentes\3A08\graficos</vt:lpwstr>
  </property>
  <property fmtid="{D5CDD505-2E9C-101B-9397-08002B2CF9AE}" pid="11" name="link-citations">
    <vt:lpwstr>True</vt:lpwstr>
  </property>
  <property fmtid="{D5CDD505-2E9C-101B-9397-08002B2CF9AE}" pid="12" name="reference-section-title">
    <vt:lpwstr>Bibliografía</vt:lpwstr>
  </property>
  <property fmtid="{D5CDD505-2E9C-101B-9397-08002B2CF9AE}" pid="13" name="titulo">
    <vt:lpwstr>Teoría de la demanda del consumidor (I). Axiomas sobre las preferencias, función de utilidad y función de demanda marshalliana. La teoría de la preferencia revelada. Precios hedónicos.</vt:lpwstr>
  </property>
</Properties>
</file>