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38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utilidad esperada es el lenguaje de toda la economía con riesgo: los seguros y la información asimétrica</w:t>
      </w:r>
      <w:r>
        <w:t xml:space="preserve"> </w:t>
      </w:r>
      <w:hyperlink r:id="rId21">
        <w:r>
          <w:rPr>
            <w:rStyle w:val="Referenciaatema"/>
          </w:rPr>
          <w:t xml:space="preserve">[ver tema 3.A.13]</w:t>
        </w:r>
      </w:hyperlink>
      <w:r>
        <w:t xml:space="preserve">, los pagos esperados de la teoría de juegos y las subastas</w:t>
      </w:r>
      <w:r>
        <w:t xml:space="preserve"> </w:t>
      </w:r>
      <w:hyperlink r:id="rId22">
        <w:r>
          <w:rPr>
            <w:rStyle w:val="Referenciaatema"/>
          </w:rPr>
          <w:t xml:space="preserve">[ver tema 3.A.14]</w:t>
        </w:r>
      </w:hyperlink>
      <w:r>
        <w:t xml:space="preserve">, el equilibrio general con mercados contingentes</w:t>
      </w:r>
      <w:r>
        <w:t xml:space="preserve"> </w:t>
      </w:r>
      <w:hyperlink r:id="rId23">
        <w:r>
          <w:rPr>
            <w:rStyle w:val="Referenciaatema"/>
          </w:rPr>
          <w:t xml:space="preserve">[ver tema 3.A.21]</w:t>
        </w:r>
      </w:hyperlink>
      <w:r>
        <w:t xml:space="preserve">, el consumo y el ahorro con incertidumbre</w:t>
      </w:r>
      <w:r>
        <w:t xml:space="preserve"> </w:t>
      </w:r>
      <w:hyperlink r:id="rId24">
        <w:r>
          <w:rPr>
            <w:rStyle w:val="Referenciaatema"/>
          </w:rPr>
          <w:t xml:space="preserve">[ver tema 3.A.33]</w:t>
        </w:r>
      </w:hyperlink>
      <w:r>
        <w:t xml:space="preserve">, la demanda de dinero como activo</w:t>
      </w:r>
      <w:r>
        <w:t xml:space="preserve"> </w:t>
      </w:r>
      <w:hyperlink r:id="rId25">
        <w:r>
          <w:rPr>
            <w:rStyle w:val="Referenciaatema"/>
          </w:rPr>
          <w:t xml:space="preserve">[ver tema 3.A.35]</w:t>
        </w:r>
      </w:hyperlink>
      <w:r>
        <w:t xml:space="preserve"> </w:t>
      </w: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5"/>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5"/>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5"/>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5"/>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5"/>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6"/>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6"/>
        </w:numPr>
      </w:pPr>
      <w:r>
        <w:t xml:space="preserve">¿Qué demanda de seguros y de activos con riesgo se deriva de ella?</w:t>
      </w:r>
    </w:p>
    <w:p>
      <w:pPr>
        <w:numPr>
          <w:ilvl w:val="1"/>
          <w:numId w:val="1006"/>
        </w:numPr>
      </w:pPr>
      <w:r>
        <w:t xml:space="preserve">¿Se comportan así las personas? Si no, ¿qué teoría describe mejor lo que hacen?</w:t>
      </w:r>
    </w:p>
    <w:p>
      <w:pPr>
        <w:numPr>
          <w:ilvl w:val="1"/>
          <w:numId w:val="1006"/>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numPr>
          <w:ilvl w:val="1"/>
          <w:numId w:val="1007"/>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 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 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 y la extenderemos a la utilidad que depende del estado y a los bienes contingentes (</w:t>
      </w:r>
      <w:hyperlink w:anchor="sec_extensiones">
        <w:r>
          <w:rPr>
            <w:rStyle w:val="Hyperlink"/>
          </w:rPr>
          <w:t xml:space="preserve">I.3</w:t>
        </w:r>
      </w:hyperlink>
      <w:r>
        <w:t xml:space="preserve">).</w:t>
      </w:r>
    </w:p>
    <w:p>
      <w:pPr>
        <w:numPr>
          <w:ilvl w:val="1"/>
          <w:numId w:val="1007"/>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7"/>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08"/>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09"/>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0"/>
        </w:numPr>
      </w:pPr>
      <w:r>
        <w:t xml:space="preserve">Son pocas las situaciones económicas de riesgo puro (por eso los ejemplos son monedas, dados o ruletas), pero es el punto de partida natural del análisis.</w:t>
      </w:r>
    </w:p>
    <w:p>
      <w:pPr>
        <w:numPr>
          <w:ilvl w:val="0"/>
          <w:numId w:val="1009"/>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un</w:t>
      </w:r>
      <w:r>
        <w:t xml:space="preserve"> </w:t>
      </w:r>
      <w:r>
        <w:rPr>
          <w:i/>
          <w:iCs/>
        </w:rPr>
        <w:t xml:space="preserve">conjunto de elección</w:t>
      </w:r>
      <w:r>
        <w:t xml:space="preserve">, una</w:t>
      </w:r>
      <w:r>
        <w:t xml:space="preserve"> </w:t>
      </w:r>
      <w:r>
        <w:rPr>
          <w:i/>
          <w:iCs/>
        </w:rPr>
        <w:t xml:space="preserve">relación de preferencia</w:t>
      </w:r>
      <w:r>
        <w:t xml:space="preserve"> </w:t>
      </w:r>
      <w:r>
        <w:t xml:space="preserve">sobre él, 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 </w:t>
      </w:r>
      <w:r>
        <w:t xml:space="preserve">y un</w:t>
      </w:r>
      <w:r>
        <w:t xml:space="preserve"> </w:t>
      </w:r>
      <w:r>
        <w:rPr>
          <w:i/>
          <w:iCs/>
        </w:rPr>
        <w:t xml:space="preserve">problema de maximización</w:t>
      </w:r>
      <w:r>
        <w:t xml:space="preserve"> </w:t>
      </w:r>
      <w:r>
        <w:t xml:space="preserve">del que sale la decisión óptima (gráfico </w:t>
      </w:r>
      <w:hyperlink w:anchor="fig_esquema_tue">
        <w:r>
          <w:rPr>
            <w:rStyle w:val="Hyperlink"/>
          </w:rPr>
          <w:t xml:space="preserve">1</w:t>
        </w:r>
      </w:hyperlink>
      <w:r>
        <w:t xml:space="preserve">). 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09"/>
        </w:numPr>
      </w:pPr>
      <w:r>
        <w:t xml:space="preserve">Se diferencia de la elección con certidumbre en 2 cosas:</w:t>
      </w:r>
    </w:p>
    <w:p>
      <w:pPr>
        <w:numPr>
          <w:ilvl w:val="1"/>
          <w:numId w:val="1011"/>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1"/>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2"/>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3"/>
        </w:numPr>
      </w:pPr>
      <w:r>
        <w:rPr>
          <w:i/>
          <w:iCs/>
        </w:rPr>
        <w:t xml:space="preserve">Conjunto de elección: las loterías</w:t>
      </w:r>
      <w:r>
        <w:t xml:space="preserve">.</w:t>
      </w:r>
    </w:p>
    <w:p>
      <w:pPr>
        <w:numPr>
          <w:ilvl w:val="1"/>
          <w:numId w:val="1014"/>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4"/>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5"/>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5"/>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5"/>
        </w:numPr>
      </w:pPr>
      <w:r>
        <w:rPr>
          <w:i/>
          <w:iCs/>
        </w:rPr>
        <w:t xml:space="preserve">degenerada</w:t>
      </w:r>
      <w:r>
        <w:t xml:space="preserve">, si da un resultado con probabilidad 1: la certidumbre es un caso particular.</w:t>
      </w:r>
    </w:p>
    <w:p>
      <w:pPr>
        <w:numPr>
          <w:ilvl w:val="1"/>
          <w:numId w:val="1014"/>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4"/>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6"/>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17"/>
        </w:numPr>
      </w:pPr>
      <w:r>
        <w:rPr>
          <w:i/>
          <w:iCs/>
        </w:rPr>
        <w:t xml:space="preserve">Axiomas de preorden completo</w:t>
      </w:r>
      <w:r>
        <w:t xml:space="preserve">:</w:t>
      </w:r>
    </w:p>
    <w:p>
      <w:pPr>
        <w:numPr>
          <w:ilvl w:val="2"/>
          <w:numId w:val="1018"/>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18"/>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18"/>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17"/>
        </w:numPr>
      </w:pPr>
      <w:r>
        <w:rPr>
          <w:i/>
          <w:iCs/>
        </w:rPr>
        <w:t xml:space="preserve">Axiomas de regularidad</w:t>
      </w:r>
      <w:r>
        <w:t xml:space="preserve">:</w:t>
      </w:r>
    </w:p>
    <w:p>
      <w:pPr>
        <w:numPr>
          <w:ilvl w:val="2"/>
          <w:numId w:val="1019"/>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19"/>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0"/>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1"/>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1"/>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2"/>
        </w:numPr>
      </w:pPr>
      <w:r>
        <w:rPr>
          <w:i/>
          <w:iCs/>
        </w:rPr>
        <w:t xml:space="preserve">Propiedades</w:t>
      </w:r>
      <w:r>
        <w:t xml:space="preserve"> </w:t>
      </w:r>
      <w:r>
        <w:t xml:space="preserve">de la función de utilidad esperada:</w:t>
      </w:r>
    </w:p>
    <w:p>
      <w:pPr>
        <w:numPr>
          <w:ilvl w:val="1"/>
          <w:numId w:val="1023"/>
        </w:numPr>
      </w:pPr>
      <w:r>
        <w:rPr>
          <w:i/>
          <w:iCs/>
        </w:rPr>
        <w:t xml:space="preserve">preserva el orden</w:t>
      </w:r>
      <w:r>
        <w:t xml:space="preserve"> </w:t>
      </w:r>
      <w:r>
        <w:t xml:space="preserve">de las preferencias sobre loterías;</w:t>
      </w:r>
    </w:p>
    <w:p>
      <w:pPr>
        <w:numPr>
          <w:ilvl w:val="1"/>
          <w:numId w:val="1023"/>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3"/>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3"/>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2"/>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2"/>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4"/>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5"/>
        </w:numPr>
      </w:pPr>
      <w:r>
        <w:t xml:space="preserve">Una vez obtenida la utilidad esperada, pasamos a estudiar sus 2 componentes:</w:t>
      </w:r>
    </w:p>
    <w:p>
      <w:pPr>
        <w:numPr>
          <w:ilvl w:val="1"/>
          <w:numId w:val="1026"/>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6"/>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5"/>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27"/>
        </w:numPr>
      </w:pPr>
      <w:r>
        <w:t xml:space="preserve">Para calificar la actitud ante el riesgo basta comparar la utilidad esperada de una lotería con la utilidad de su valor esperado. Un consumidor es:</w:t>
      </w:r>
    </w:p>
    <w:p>
      <w:pPr>
        <w:numPr>
          <w:ilvl w:val="1"/>
          <w:numId w:val="1028"/>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28"/>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28"/>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27"/>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0"/>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numPr>
          <w:ilvl w:val="0"/>
          <w:numId w:val="1000"/>
        </w:numPr>
      </w:pPr>
      <w:r>
        <w:t xml:space="preserve">El consumidor es 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 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Es una forma equivalente de decir lo mismo que la concavidad.</w:t>
      </w:r>
    </w:p>
    <w:p>
      <w:pPr>
        <w:numPr>
          <w:ilvl w:val="0"/>
          <w:numId w:val="1030"/>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0"/>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1"/>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1"/>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1"/>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2"/>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3"/>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3"/>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2"/>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2"/>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2"/>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4"/>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4"/>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4"/>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4"/>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5"/>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36"/>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36"/>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36"/>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numPr>
          <w:ilvl w:val="0"/>
          <w:numId w:val="1035"/>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Es CARA si</w:t>
      </w:r>
      <w:r>
        <w:t xml:space="preserve"> </w:t>
      </w:r>
      <m:oMath>
        <m:sSub>
          <m:e>
            <m:r>
              <m:t>η</m:t>
            </m:r>
          </m:e>
          <m:sub>
            <m:r>
              <m:t>1</m:t>
            </m:r>
          </m:sub>
        </m:sSub>
        <m:r>
          <m:rPr>
            <m:sty m:val="p"/>
          </m:rPr>
          <m:t>=</m:t>
        </m:r>
        <m:r>
          <m:t>0</m:t>
        </m:r>
      </m:oMath>
      <w:r>
        <w:t xml:space="preserve">; 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 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tblHeader w:val="on"/>
        </w:trPr>
        <w:tc>
          <w:tcPr>
            <w:vAlign w:val="center"/>
          </w:tcPr>
          <w:p>
            <w:pPr>
              <w:pStyle w:val="Celdatceeazulpalido"/>
              <w:jc w:val="center"/>
            </w:pPr>
            <w:r>
              <w:t xml:space="preserve"> </w:t>
            </w:r>
            <w:r>
              <w:rPr>
                <w:b/>
                <w:bCs/>
              </w:rPr>
              <w:t xml:space="preserve">Función</w:t>
            </w:r>
          </w:p>
        </w:tc>
        <w:tc>
          <w:tcPr>
            <w:vAlign w:val="center"/>
          </w:tcPr>
          <w:p>
            <w:pPr>
              <w:pStyle w:val="Celdatceeazulpalido"/>
              <w:jc w:val="center"/>
            </w:pPr>
            <m:oMath>
              <m:r>
                <m:t>u</m:t>
              </m:r>
              <m:d>
                <m:dPr>
                  <m:begChr m:val="("/>
                  <m:sepChr m:val=""/>
                  <m:endChr m:val=")"/>
                  <m:grow/>
                </m:dPr>
                <m:e>
                  <m:r>
                    <m:t>x</m:t>
                  </m:r>
                </m:e>
              </m:d>
            </m:oMath>
          </w:p>
        </w:tc>
        <w:tc>
          <w:tcPr>
            <w:vAlign w:val="center"/>
          </w:tcPr>
          <w:p>
            <w:pPr>
              <w:pStyle w:val="Celdatceeazulpalido"/>
              <w:jc w:val="center"/>
            </w:pPr>
            <m:oMath>
              <m:sSub>
                <m:e>
                  <m:r>
                    <m:t>r</m:t>
                  </m:r>
                </m:e>
                <m:sub>
                  <m:r>
                    <m:t>A</m:t>
                  </m:r>
                </m:sub>
              </m:sSub>
              <m:d>
                <m:dPr>
                  <m:begChr m:val="("/>
                  <m:sepChr m:val=""/>
                  <m:endChr m:val=")"/>
                  <m:grow/>
                </m:dPr>
                <m:e>
                  <m:r>
                    <m:t>x</m:t>
                  </m:r>
                </m:e>
              </m:d>
            </m:oMath>
          </w:p>
        </w:tc>
        <w:tc>
          <w:tcPr>
            <w:vAlign w:val="center"/>
          </w:tcPr>
          <w:p>
            <w:pPr>
              <w:pStyle w:val="Celdatceeazulpalido"/>
              <w:jc w:val="center"/>
            </w:pPr>
            <m:oMath>
              <m:sSub>
                <m:e>
                  <m:r>
                    <m:t>r</m:t>
                  </m:r>
                </m:e>
                <m:sub>
                  <m:r>
                    <m:t>R</m:t>
                  </m:r>
                </m:sub>
              </m:sSub>
              <m:d>
                <m:dPr>
                  <m:begChr m:val="("/>
                  <m:sepChr m:val=""/>
                  <m:endChr m:val=")"/>
                  <m:grow/>
                </m:dPr>
                <m:e>
                  <m:r>
                    <m:t>x</m:t>
                  </m:r>
                </m:e>
              </m:d>
            </m:oMath>
          </w:p>
        </w:tc>
        <w:tc>
          <w:tcPr>
            <w:vAlign w:val="center"/>
          </w:tcPr>
          <w:p>
            <w:pPr>
              <w:pStyle w:val="Celdatceeazulpalido"/>
              <w:jc w:val="center"/>
            </w:pPr>
            <w:r>
              <w:rPr>
                <w:b/>
                <w:bCs/>
              </w:rPr>
              <w:t xml:space="preserve">Tipo</w:t>
            </w:r>
          </w:p>
        </w:tc>
      </w:tr>
      <w:t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c>
          <w:tcPr>
            <w:vAlign w:val="center"/>
          </w:tcPr>
          <w:p>
            <w:pPr>
              <w:pStyle w:val="Celdatceesalvia"/>
              <w:jc w:val="center"/>
            </w:pPr>
            <w:r>
              <w:t xml:space="preserve"> </w:t>
            </w:r>
            <w:r>
              <w:t xml:space="preserve">CRRA</w:t>
            </w:r>
            <w:r>
              <w:br/>
            </w:r>
            <w:r>
              <w:t xml:space="preserve">(isoelástica)</w:t>
            </w:r>
          </w:p>
        </w:tc>
        <w:tc>
          <w:tcPr>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vAlign w:val="center"/>
          </w:tcPr>
          <w:p>
            <w:pPr>
              <w:pStyle w:val="Celdatceesalvia"/>
              <w:jc w:val="center"/>
            </w:pPr>
            <m:oMath>
              <m:r>
                <m:t>θ</m:t>
              </m:r>
              <m:r>
                <m:rPr>
                  <m:sty m:val="p"/>
                </m:rPr>
                <m:t>/</m:t>
              </m:r>
              <m:r>
                <m:t>x</m:t>
              </m:r>
            </m:oMath>
          </w:p>
        </w:tc>
        <w:tc>
          <w:tcPr>
            <w:vAlign w:val="center"/>
          </w:tcPr>
          <w:p>
            <w:pPr>
              <w:pStyle w:val="Celdatceesalvia"/>
              <w:jc w:val="center"/>
            </w:pPr>
            <m:oMath>
              <m:r>
                <m:t>θ</m:t>
              </m:r>
            </m:oMath>
          </w:p>
        </w:tc>
        <w:tc>
          <w:tcPr>
            <w:vAlign w:val="center"/>
          </w:tcPr>
          <w:p>
            <w:pPr>
              <w:pStyle w:val="Celdatceesalvia"/>
              <w:jc w:val="center"/>
            </w:pPr>
            <w:r>
              <w:t xml:space="preserve">DARA, CRRA</w:t>
            </w:r>
          </w:p>
        </w:tc>
      </w:tr>
      <w:t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37"/>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37"/>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37"/>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38"/>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38"/>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38"/>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37"/>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Cuadrática</w:t>
            </w:r>
          </w:p>
        </w:tc>
        <w:tc>
          <w:tcPr>
            <w:vAlign w:val="center"/>
          </w:tcPr>
          <w:p>
            <w:pPr>
              <w:pStyle w:val="Celdatceeazulpalido"/>
              <w:jc w:val="center"/>
            </w:pPr>
            <w:r>
              <w:rPr>
                <w:b/>
                <w:bCs/>
              </w:rPr>
              <w:t xml:space="preserve">CRRA</w:t>
            </w:r>
          </w:p>
        </w:tc>
      </w:tr>
      <w:t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c>
          <w:tcPr>
            <w:vAlign w:val="center"/>
          </w:tcPr>
          <w:p>
            <w:pPr>
              <w:pStyle w:val="Celdatceesalvia"/>
              <w:jc w:val="center"/>
            </w:pPr>
            <w:r>
              <w:t xml:space="preserve"> </w:t>
            </w:r>
            <m:oMath>
              <m:r>
                <m:t>u</m:t>
              </m:r>
              <m:r>
                <m:rPr>
                  <m:sty m:val="p"/>
                </m:rPr>
                <m:t>‴</m:t>
              </m:r>
              <m:d>
                <m:dPr>
                  <m:begChr m:val="("/>
                  <m:sepChr m:val=""/>
                  <m:endChr m:val=")"/>
                  <m:grow/>
                </m:dPr>
                <m:e>
                  <m:r>
                    <m:t>x</m:t>
                  </m:r>
                </m:e>
              </m:d>
            </m:oMath>
          </w:p>
        </w:tc>
        <w:tc>
          <w:tcPr>
            <w:vAlign w:val="center"/>
          </w:tcPr>
          <w:p>
            <w:pPr>
              <w:pStyle w:val="Celdatceesalvia"/>
              <w:jc w:val="center"/>
            </w:pPr>
            <m:oMath>
              <m:r>
                <m:t>0</m:t>
              </m:r>
            </m:oMath>
            <w:r>
              <w:t xml:space="preserve"> </w:t>
            </w:r>
            <w:r>
              <w:t xml:space="preserve">(sin prudencia)</w:t>
            </w:r>
          </w:p>
        </w:tc>
        <w:tc>
          <w:tcPr>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39"/>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39"/>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39"/>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39"/>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0"/>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0"/>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1"/>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1"/>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2"/>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3"/>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3"/>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3"/>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3"/>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4"/>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Segundo paso del gráfico </w:t>
      </w:r>
      <w:hyperlink w:anchor="fig_seguros">
        <w:r>
          <w:rPr>
            <w:rStyle w:val="Hyperlink"/>
          </w:rPr>
          <w:t xml:space="preserve">9</w:t>
        </w:r>
      </w:hyperlink>
      <w:r>
        <w:t xml:space="preserve">.</w:t>
      </w:r>
    </w:p>
    <w:p>
      <w:pPr>
        <w:numPr>
          <w:ilvl w:val="0"/>
          <w:numId w:val="1045"/>
        </w:numPr>
      </w:pPr>
      <w:r>
        <w:t xml:space="preserve">El consumidor elige la cobertura que maximiza su utilidad esperada:</w:t>
      </w:r>
    </w:p>
    <w:bookmarkStart w:id="103" w:name="eq_problema_seguro"/>
    <w:bookmarkEnd w:id="103"/>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46"/>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47"/>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47"/>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Tercer paso del gráfico </w:t>
      </w:r>
      <w:hyperlink w:anchor="fig_seguros">
        <w:r>
          <w:rPr>
            <w:rStyle w:val="Hyperlink"/>
          </w:rPr>
          <w:t xml:space="preserve">9</w:t>
        </w:r>
      </w:hyperlink>
      <w:r>
        <w:t xml:space="preserve">.</w:t>
      </w:r>
    </w:p>
    <w:p>
      <w:pPr>
        <w:numPr>
          <w:ilvl w:val="0"/>
          <w:numId w:val="1048"/>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49"/>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0"/>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1"/>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1"/>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1"/>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2"/>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3"/>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3"/>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3"/>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Prima favorable</w:t>
            </w:r>
            <w:r>
              <w:br/>
            </w:r>
            <w:r>
              <w:t xml:space="preserve">(</w:t>
            </w:r>
            <m:oMath>
              <m:r>
                <m:t>γ</m:t>
              </m:r>
              <m:r>
                <m:rPr>
                  <m:sty m:val="p"/>
                </m:rPr>
                <m:t>&lt;</m:t>
              </m:r>
              <m:r>
                <m:t>π</m:t>
              </m:r>
            </m:oMath>
            <w:r>
              <w:t xml:space="preserve">)</w:t>
            </w:r>
          </w:p>
        </w:tc>
        <w:tc>
          <w:tcPr>
            <w:vAlign w:val="center"/>
          </w:tcPr>
          <w:p>
            <w:pPr>
              <w:pStyle w:val="Celdatceeazulpalido"/>
              <w:jc w:val="center"/>
            </w:pPr>
            <w:r>
              <w:rPr>
                <w:b/>
                <w:bCs/>
              </w:rPr>
              <w:t xml:space="preserve">Prima justa</w:t>
            </w:r>
            <w:r>
              <w:br/>
            </w:r>
            <w:r>
              <w:t xml:space="preserve">(</w:t>
            </w:r>
            <m:oMath>
              <m:r>
                <m:t>γ</m:t>
              </m:r>
              <m:r>
                <m:rPr>
                  <m:sty m:val="p"/>
                </m:rPr>
                <m:t>=</m:t>
              </m:r>
              <m:r>
                <m:t>π</m:t>
              </m:r>
            </m:oMath>
            <w:r>
              <w:t xml:space="preserve">)</w:t>
            </w:r>
          </w:p>
        </w:tc>
        <w:tc>
          <w:tcPr>
            <w:vAlign w:val="center"/>
          </w:tcPr>
          <w:p>
            <w:pPr>
              <w:pStyle w:val="Celdatceeazulpalido"/>
              <w:jc w:val="center"/>
            </w:pPr>
            <w:r>
              <w:rPr>
                <w:b/>
                <w:bCs/>
              </w:rPr>
              <w:t xml:space="preserve">Prima recargada</w:t>
            </w:r>
            <w:r>
              <w:br/>
            </w:r>
            <w:r>
              <w:t xml:space="preserve">(</w:t>
            </w:r>
            <m:oMath>
              <m:r>
                <m:t>γ</m:t>
              </m:r>
              <m:r>
                <m:rPr>
                  <m:sty m:val="p"/>
                </m:rPr>
                <m:t>&gt;</m:t>
              </m:r>
              <m:r>
                <m:t>π</m:t>
              </m:r>
            </m:oMath>
            <w:r>
              <w:t xml:space="preserve">)</w:t>
            </w:r>
          </w:p>
        </w:tc>
      </w:tr>
      <w:t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4"/>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55"/>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55"/>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55"/>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56"/>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56"/>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57"/>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58"/>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59"/>
        </w:numPr>
      </w:pPr>
      <w:r>
        <w:t xml:space="preserve">Una vez aplicada la utilidad esperada a la demanda, pasamos a 2 extensiones que flexibilizan el modelo básico sin abandonarlo.</w:t>
      </w:r>
    </w:p>
    <w:p>
      <w:pPr>
        <w:pStyle w:val="Notaalopositor"/>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0"/>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0"/>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1"/>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1"/>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1"/>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2"/>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3"/>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4"/>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65"/>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66"/>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66"/>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65"/>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67"/>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67"/>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68"/>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68"/>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69"/>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69"/>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tblHeader w:val="on"/>
        </w:trPr>
        <w:tc>
          <w:tcPr>
            <w:vAlign w:val="center"/>
          </w:tcPr>
          <w:p>
            <w:pPr>
              <w:pStyle w:val="Celdatceeazulpalido"/>
              <w:jc w:val="center"/>
            </w:pPr>
            <w:r>
              <w:t xml:space="preserve"> </w:t>
            </w:r>
            <w:r>
              <w:rPr>
                <w:b/>
                <w:bCs/>
              </w:rPr>
              <w:t xml:space="preserve">Juego 1</w:t>
            </w:r>
          </w:p>
        </w:tc>
        <w:tc>
          <w:tcPr>
            <w:vAlign w:val="center"/>
          </w:tcPr>
          <w:p>
            <w:pPr>
              <w:pStyle w:val="Celdatceeazulpalido"/>
              <w:jc w:val="center"/>
            </w:pPr>
            <w:r>
              <w:rPr>
                <w:b/>
                <w:bCs/>
              </w:rPr>
              <w:t xml:space="preserve">Juego 2</w:t>
            </w:r>
          </w:p>
        </w:tc>
      </w:tr>
      <w:tr>
        <w:tc>
          <w:tcPr>
            <w:vAlign w:val="center"/>
          </w:tcPr>
          <w:p>
            <w:pPr>
              <w:pStyle w:val="Celdatceesalvia"/>
              <w:jc w:val="center"/>
            </w:pPr>
            <w:r>
              <w:drawing>
                <wp:inline>
                  <wp:extent cx="1655999" cy="846526"/>
                  <wp:effectExtent b="0" l="0" r="0" t="0"/>
                  <wp:docPr descr=""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c>
          <w:tcPr>
            <w:vAlign w:val="center"/>
          </w:tcPr>
          <w:p>
            <w:pPr>
              <w:pStyle w:val="Compact"/>
              <w:jc w:val="center"/>
            </w:pPr>
            <w:r>
              <w:drawing>
                <wp:inline>
                  <wp:extent cx="1655999" cy="846526"/>
                  <wp:effectExtent b="0" l="0" r="0" t="0"/>
                  <wp:docPr descr=""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eldatceesalvia"/>
              <w:jc w:val="center"/>
            </w:pPr>
            <w:r>
              <w:drawing>
                <wp:inline>
                  <wp:extent cx="1655999" cy="846526"/>
                  <wp:effectExtent b="0" l="0" r="0" t="0"/>
                  <wp:docPr descr=""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0"/>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0"/>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1"/>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1"/>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2"/>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3"/>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3"/>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4"/>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4"/>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4"/>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75"/>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76"/>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76"/>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0"/>
          <w:numId w:val="1075"/>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 cómo se</w:t>
      </w:r>
      <w:r>
        <w:t xml:space="preserve"> </w:t>
      </w:r>
      <w:r>
        <w:rPr>
          <w:i/>
          <w:iCs/>
        </w:rPr>
        <w:t xml:space="preserve">definen</w:t>
      </w:r>
      <w:r>
        <w:t xml:space="preserve"> </w:t>
      </w:r>
      <w:r>
        <w:t xml:space="preserve">las alternativas (como ganancias o pérdidas respecto a un punto de referencia), cómo se</w:t>
      </w:r>
      <w:r>
        <w:t xml:space="preserve"> </w:t>
      </w:r>
      <w:r>
        <w:rPr>
          <w:i/>
          <w:iCs/>
        </w:rPr>
        <w:t xml:space="preserve">valoran</w:t>
      </w:r>
      <w:r>
        <w:t xml:space="preserve"> </w:t>
      </w:r>
      <w:r>
        <w:t xml:space="preserve">(con una función de valor en forma de S) 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77"/>
        </w:numPr>
      </w:pPr>
      <w:r>
        <w:t xml:space="preserve">Nuestra limitada capacidad de cálculo nos obliga a simplificar los problemas de decisión, y lo hacemos con reglas heurísticas. Por eso la elección tiene 2 fases:</w:t>
      </w:r>
    </w:p>
    <w:p>
      <w:pPr>
        <w:keepNext/>
        <w:numPr>
          <w:ilvl w:val="1"/>
          <w:numId w:val="1078"/>
        </w:numPr>
      </w:pPr>
      <w:r>
        <w:rPr>
          <w:b/>
          <w:bCs/>
        </w:rPr>
        <w:t xml:space="preserve">Fase de edición</w:t>
      </w:r>
      <w:r>
        <w:t xml:space="preserve">: el decisor simplifica el problema.</w:t>
      </w:r>
    </w:p>
    <w:p>
      <w:pPr>
        <w:numPr>
          <w:ilvl w:val="2"/>
          <w:numId w:val="1079"/>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79"/>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78"/>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0"/>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1"/>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1"/>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2"/>
        </w:numPr>
      </w:pPr>
      <w:r>
        <w:rPr>
          <w:i/>
          <w:iCs/>
        </w:rPr>
        <w:t xml:space="preserve">dependencia del punto de referencia</w:t>
      </w:r>
      <w:r>
        <w:t xml:space="preserve">: se valoran cambios, no niveles de riqueza;</w:t>
      </w:r>
    </w:p>
    <w:p>
      <w:pPr>
        <w:numPr>
          <w:ilvl w:val="1"/>
          <w:numId w:val="1082"/>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2"/>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3"/>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84"/>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84"/>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84"/>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85"/>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86"/>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86"/>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85"/>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87"/>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87"/>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88"/>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88"/>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88"/>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tblHeader w:val="on"/>
        </w:trPr>
        <w:tc>
          <w:tcPr>
            <w:vAlign w:val="center"/>
          </w:tcPr>
          <w:p>
            <w:pPr>
              <w:pStyle w:val="Celdatceeazulpalido"/>
              <w:jc w:val="center"/>
            </w:pPr>
            <w:r>
              <w:t xml:space="preserve"> </w:t>
            </w:r>
            <w:r>
              <w:rPr>
                <w:b/>
                <w:bCs/>
              </w:rPr>
              <w:t xml:space="preserve">Teoría</w:t>
            </w:r>
          </w:p>
        </w:tc>
        <w:tc>
          <w:tcPr>
            <w:vAlign w:val="center"/>
          </w:tcPr>
          <w:p>
            <w:pPr>
              <w:pStyle w:val="Celdatceeazulpalido"/>
              <w:jc w:val="center"/>
            </w:pPr>
            <w:r>
              <w:rPr>
                <w:b/>
                <w:bCs/>
              </w:rPr>
              <w:t xml:space="preserve">Valor de una lotería</w:t>
            </w:r>
          </w:p>
        </w:tc>
        <w:tc>
          <w:tcPr>
            <w:vAlign w:val="center"/>
          </w:tcPr>
          <w:p>
            <w:pPr>
              <w:pStyle w:val="Celdatceeazulpalido"/>
              <w:jc w:val="center"/>
            </w:pPr>
            <w:r>
              <w:rPr>
                <w:b/>
                <w:bCs/>
              </w:rPr>
              <w:t xml:space="preserve">Qué cambia</w:t>
            </w:r>
          </w:p>
        </w:tc>
      </w:tr>
      <w:tr>
        <w:tc>
          <w:tcPr>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vAlign w:val="center"/>
          </w:tcPr>
          <w:p>
            <w:pPr>
              <w:pStyle w:val="Celdatceesalvia"/>
              <w:jc w:val="center"/>
            </w:pPr>
            <w:r>
              <w:t xml:space="preserve">—</w:t>
            </w:r>
          </w:p>
        </w:tc>
      </w:tr>
      <w:t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89"/>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89"/>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0"/>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0"/>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0"/>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0"/>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numPr>
          <w:ilvl w:val="0"/>
          <w:numId w:val="1091"/>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numPr>
          <w:ilvl w:val="0"/>
          <w:numId w:val="1091"/>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numPr>
          <w:ilvl w:val="0"/>
          <w:numId w:val="1091"/>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numPr>
          <w:ilvl w:val="0"/>
          <w:numId w:val="1091"/>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2"/>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numPr>
          <w:ilvl w:val="0"/>
          <w:numId w:val="1092"/>
        </w:numPr>
      </w:pPr>
      <w:r>
        <w:t xml:space="preserve">Sus límites: el punto de referencia no está determinado por la teoría (¿la riqueza actual, la esperada, la de los demás?), lo que le da muchos grados de libertad; no tiene la fuerza normativa de la utilidad esperada, y sus aplicaciones a los mercados requieren supuestos sobre cómo se agregan los sesgos individuales. 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093"/>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094"/>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095"/>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095"/>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096"/>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097"/>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097"/>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097"/>
        </w:numPr>
      </w:pPr>
      <w:r>
        <w:t xml:space="preserve">P3 y P4: el orden de los resultados no depende del estado en que se reciben, y la apuesta preferida entre 2 sucesos no depende del premio (así se puede leer en ella qué suceso se cree más probable);</w:t>
      </w:r>
    </w:p>
    <w:p>
      <w:pPr>
        <w:numPr>
          <w:ilvl w:val="1"/>
          <w:numId w:val="1097"/>
        </w:numPr>
      </w:pPr>
      <w:r>
        <w:t xml:space="preserve">P5 a P7: no todo es indiferente; los sucesos se pueden partir en otros tan poco probables como se quiera (una forma de continuidad), y una condición técnica para infinitos resultados.</w:t>
      </w:r>
    </w:p>
    <w:bookmarkEnd w:id="216"/>
    <w:bookmarkStart w:id="218" w:name="ii_desarrollo_4"/>
    <w:p>
      <w:pPr>
        <w:pStyle w:val="Heading5"/>
      </w:pPr>
      <w:r>
        <w:t xml:space="preserve">ii) Desarrollo</w:t>
      </w:r>
    </w:p>
    <w:p>
      <w:pPr>
        <w:numPr>
          <w:ilvl w:val="0"/>
          <w:numId w:val="1098"/>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099"/>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099"/>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0"/>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1"/>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1"/>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1"/>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1"/>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02"/>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03"/>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04"/>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04"/>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03"/>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03"/>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05"/>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06"/>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06"/>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06"/>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06"/>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06"/>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c>
          <w:tcPr>
            <w:vAlign w:val="center"/>
          </w:tcPr>
          <w:p/>
        </w:tc>
        <w:tc>
          <w:tcPr>
            <w:gridSpan w:val="3"/>
            <w:vAlign w:val="center"/>
          </w:tcPr>
          <w:p>
            <w:pPr>
              <w:pStyle w:val="Celdatceeazulpalido"/>
              <w:jc w:val="center"/>
            </w:pPr>
            <w:r>
              <w:rPr>
                <w:b/>
                <w:bCs/>
              </w:rPr>
              <w:t xml:space="preserve">Pagos</w:t>
            </w:r>
          </w:p>
        </w:tc>
        <w:tc>
          <w:tcPr>
            <w:gridSpan w:val="3"/>
            <w:vAlign w:val="center"/>
          </w:tcPr>
          <w:p>
            <w:pPr>
              <w:pStyle w:val="Celdatceeazulpalido"/>
              <w:jc w:val="center"/>
            </w:pPr>
            <w:r>
              <w:rPr>
                <w:b/>
                <w:bCs/>
              </w:rPr>
              <w:t xml:space="preserve">Pesares</w:t>
            </w:r>
          </w:p>
        </w:tc>
        <w:tc>
          <w:tcPr>
            <w:vAlign w:val="center"/>
          </w:tcPr>
          <w:p>
            <w:pPr>
              <w:pStyle w:val="Celdatceeazulpalido"/>
              <w:jc w:val="center"/>
            </w:pPr>
            <w:r>
              <w:rPr>
                <w:b/>
                <w:bCs/>
              </w:rPr>
              <w:t xml:space="preserve">Peor</w:t>
            </w:r>
          </w:p>
        </w:tc>
        <w:tc>
          <w:tcPr>
            <w:vAlign w:val="center"/>
          </w:tcPr>
          <w:p>
            <w:pPr>
              <w:pStyle w:val="Celdatceeazulpalido"/>
              <w:jc w:val="center"/>
            </w:pPr>
            <w:r>
              <w:rPr>
                <w:b/>
                <w:bCs/>
              </w:rPr>
              <w:t xml:space="preserve">Mejor</w:t>
            </w:r>
          </w:p>
        </w:tc>
        <w:tc>
          <w:tcPr>
            <w:vAlign w:val="center"/>
          </w:tcPr>
          <w:p>
            <w:pPr>
              <w:pStyle w:val="Celdatceeazulpalido"/>
              <w:jc w:val="center"/>
            </w:pPr>
            <w:r>
              <w:rPr>
                <w:b/>
                <w:bCs/>
              </w:rPr>
              <w:t xml:space="preserve">Media</w:t>
            </w:r>
          </w:p>
        </w:tc>
        <w:tc>
          <w:tcPr>
            <w:vAlign w:val="center"/>
          </w:tcPr>
          <w:p>
            <w:pPr>
              <w:pStyle w:val="Celdatceeazulpalido"/>
              <w:jc w:val="center"/>
            </w:pPr>
            <w:r>
              <w:rPr>
                <w:b/>
                <w:bCs/>
              </w:rPr>
              <w:t xml:space="preserve">Pesar máx.</w:t>
            </w:r>
          </w:p>
        </w:tc>
      </w:tr>
      <w:tr>
        <w:tc>
          <w:tcPr>
            <w:vAlign w:val="center"/>
          </w:tcPr>
          <w:p>
            <w:pPr>
              <w:pStyle w:val="Celdatceeazulpalido"/>
              <w:jc w:val="center"/>
            </w:pPr>
            <w:r>
              <w:t xml:space="preserve"> </w:t>
            </w:r>
            <w:r>
              <w:rPr>
                <w:b/>
                <w:bCs/>
              </w:rPr>
              <w:t xml:space="preserve">Acción</w:t>
            </w:r>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w:r>
              <w:t xml:space="preserve">(</w:t>
            </w:r>
            <w:r>
              <w:rPr>
                <w:smallCaps/>
              </w:rPr>
              <w:t xml:space="preserve">Wald</w:t>
            </w:r>
            <w:r>
              <w:t xml:space="preserve">)</w:t>
            </w:r>
          </w:p>
        </w:tc>
        <w:tc>
          <w:tcPr>
            <w:vAlign w:val="center"/>
          </w:tcPr>
          <w:p>
            <w:pPr>
              <w:pStyle w:val="Celdatceeazulpalido"/>
              <w:jc w:val="center"/>
            </w:pPr>
            <w:r>
              <w:t xml:space="preserve">(maximax)</w:t>
            </w:r>
          </w:p>
        </w:tc>
        <w:tc>
          <w:tcPr>
            <w:vAlign w:val="center"/>
          </w:tcPr>
          <w:p>
            <w:pPr>
              <w:pStyle w:val="Celdatceeazulpalido"/>
              <w:jc w:val="center"/>
            </w:pPr>
            <w:r>
              <w:t xml:space="preserve">(</w:t>
            </w:r>
            <w:r>
              <w:rPr>
                <w:smallCaps/>
              </w:rPr>
              <w:t xml:space="preserve">Laplace</w:t>
            </w:r>
            <w:r>
              <w:t xml:space="preserve">)</w:t>
            </w:r>
          </w:p>
        </w:tc>
        <w:tc>
          <w:tcPr>
            <w:vAlign w:val="center"/>
          </w:tcPr>
          <w:p>
            <w:pPr>
              <w:pStyle w:val="Celdatceeazulpalido"/>
              <w:jc w:val="center"/>
            </w:pPr>
            <w:r>
              <w:t xml:space="preserve">(</w:t>
            </w:r>
            <w:r>
              <w:rPr>
                <w:smallCaps/>
              </w:rPr>
              <w:t xml:space="preserve">Savage</w:t>
            </w:r>
            <w:r>
              <w:t xml:space="preserve">)</w:t>
            </w:r>
          </w:p>
        </w:tc>
      </w:tr>
      <w:t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eldatceesalvia"/>
              <w:jc w:val="center"/>
            </w:pPr>
            <w:r>
              <w:t xml:space="preserve">6</w:t>
            </w:r>
          </w:p>
        </w:tc>
        <w:tc>
          <w:tcPr>
            <w:vAlign w:val="center"/>
          </w:tcPr>
          <w:p>
            <w:pPr>
              <w:pStyle w:val="Compact"/>
              <w:jc w:val="center"/>
            </w:pPr>
            <w:r>
              <w:t xml:space="preserve">5</w:t>
            </w:r>
          </w:p>
        </w:tc>
      </w:tr>
      <w:t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numPr>
          <w:ilvl w:val="0"/>
          <w:numId w:val="1107"/>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r>
        <w:t xml:space="preserve"> </w:t>
      </w:r>
      <w:r>
        <w:rPr>
          <w:smallCaps/>
        </w:rPr>
        <w:t xml:space="preserve">Wald</w:t>
      </w:r>
      <w:r>
        <w:t xml:space="preserve"> </w:t>
      </w:r>
      <w:r>
        <w:t xml:space="preserve">y maximax solo miran un resultado por acción;</w:t>
      </w:r>
      <w:r>
        <w:t xml:space="preserve"> </w:t>
      </w:r>
      <w:r>
        <w:rPr>
          <w:smallCaps/>
        </w:rPr>
        <w:t xml:space="preserve">Laplace</w:t>
      </w:r>
      <w:r>
        <w:t xml:space="preserve"> </w:t>
      </w:r>
      <w:r>
        <w:t xml:space="preserve">depende de cómo se cuenten los estados (partir uno en 2 cambia las probabilidades), 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 Son reglas prácticas para la ignorancia completa, no una teoría de las preferencias; los modelos de ambigüedad son su versión axiomática.</w:t>
      </w:r>
    </w:p>
    <w:p>
      <w:pPr>
        <w:numPr>
          <w:ilvl w:val="0"/>
          <w:numId w:val="1107"/>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08"/>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09"/>
        </w:numPr>
      </w:pPr>
      <w:r>
        <w:rPr>
          <w:b/>
          <w:bCs/>
          <w:i/>
          <w:iCs/>
        </w:rPr>
        <w:t xml:space="preserve">Recapitulación (ideas clave)</w:t>
      </w:r>
      <w:r>
        <w:t xml:space="preserve">:</w:t>
      </w:r>
    </w:p>
    <w:p>
      <w:pPr>
        <w:numPr>
          <w:ilvl w:val="1"/>
          <w:numId w:val="1110"/>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0"/>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numPr>
          <w:ilvl w:val="1"/>
          <w:numId w:val="1110"/>
        </w:numPr>
      </w:pPr>
      <w:r>
        <w:t xml:space="preserve">Cuando las probabilidades no se conocen,</w:t>
      </w:r>
      <w:r>
        <w:t xml:space="preserve"> </w:t>
      </w:r>
      <w:r>
        <w:rPr>
          <w:smallCaps/>
        </w:rPr>
        <w:t xml:space="preserve">Savage</w:t>
      </w:r>
      <w:r>
        <w:t xml:space="preserve"> </w:t>
      </w:r>
      <w:r>
        <w:t xml:space="preserve">muestra que se puede actuar como si se tuvieran;</w:t>
      </w:r>
      <w:r>
        <w:t xml:space="preserve"> </w:t>
      </w:r>
      <w:r>
        <w:rPr>
          <w:smallCaps/>
        </w:rPr>
        <w:t xml:space="preserve">Ellsberg</w:t>
      </w:r>
      <w:r>
        <w:t xml:space="preserve"> </w:t>
      </w:r>
      <w:r>
        <w:t xml:space="preserve">muestra que la gente rechaza la ambigüedad, y los modelos de previos múltiples lo acomodan (</w:t>
      </w:r>
      <w:hyperlink w:anchor="sec_incertidumbre">
        <w:r>
          <w:rPr>
            <w:rStyle w:val="Hyperlink"/>
          </w:rPr>
          <w:t xml:space="preserve">III</w:t>
        </w:r>
      </w:hyperlink>
      <w:r>
        <w:t xml:space="preserve">).</w:t>
      </w:r>
    </w:p>
    <w:p>
      <w:pPr>
        <w:numPr>
          <w:ilvl w:val="0"/>
          <w:numId w:val="1109"/>
        </w:numPr>
      </w:pPr>
      <w:r>
        <w:rPr>
          <w:b/>
          <w:bCs/>
          <w:i/>
          <w:iCs/>
        </w:rPr>
        <w:t xml:space="preserve">Relevancia</w:t>
      </w:r>
      <w:r>
        <w:t xml:space="preserve">: la utilidad esperada es el lenguaje en que se escriben la teoría de carteras</w:t>
      </w:r>
      <w:r>
        <w:t xml:space="preserve"> </w:t>
      </w:r>
      <w:hyperlink r:id="rId26">
        <w:r>
          <w:rPr>
            <w:rStyle w:val="Referenciaatema"/>
          </w:rPr>
          <w:t xml:space="preserve">[ver tema 3.B.23]</w:t>
        </w:r>
      </w:hyperlink>
      <w:r>
        <w:t xml:space="preserve">, la demanda de dinero como activo</w:t>
      </w:r>
      <w:r>
        <w:t xml:space="preserve"> </w:t>
      </w:r>
      <w:hyperlink r:id="rId25">
        <w:r>
          <w:rPr>
            <w:rStyle w:val="Referenciaatema"/>
          </w:rPr>
          <w:t xml:space="preserve">[ver tema 3.A.35]</w:t>
        </w:r>
      </w:hyperlink>
      <w:r>
        <w:t xml:space="preserve">, los seguros y los contratos con información asimétrica</w:t>
      </w:r>
      <w:r>
        <w:t xml:space="preserve"> </w:t>
      </w:r>
      <w:hyperlink r:id="rId21">
        <w:r>
          <w:rPr>
            <w:rStyle w:val="Referenciaatema"/>
          </w:rPr>
          <w:t xml:space="preserve">[ver tema 3.A.13]</w:t>
        </w:r>
      </w:hyperlink>
      <w:r>
        <w:t xml:space="preserve"> </w:t>
      </w:r>
      <w:r>
        <w:t xml:space="preserve">y los juegos con estrategias mixtas y las subastas</w:t>
      </w:r>
      <w:r>
        <w:t xml:space="preserve"> </w:t>
      </w:r>
      <w:hyperlink r:id="rId22">
        <w:r>
          <w:rPr>
            <w:rStyle w:val="Referenciaatema"/>
          </w:rPr>
          <w:t xml:space="preserve">[ver tema 3.A.14]</w:t>
        </w:r>
      </w:hyperlink>
      <w:r>
        <w:t xml:space="preserve">; 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1"/>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numPr>
          <w:ilvl w:val="1"/>
          <w:numId w:val="1111"/>
        </w:numPr>
      </w:pPr>
      <w:r>
        <w:t xml:space="preserve">En macroeconomía, la aversión relativa constante fija también la elasticidad de sustitución intertemporal</w:t>
      </w:r>
      <w:r>
        <w:t xml:space="preserve"> </w:t>
      </w:r>
      <w:hyperlink r:id="rId74">
        <w:r>
          <w:rPr>
            <w:rStyle w:val="Referenciaatema"/>
          </w:rPr>
          <w:t xml:space="preserve">[ver tema 3.A.29]</w:t>
        </w:r>
      </w:hyperlink>
      <w:r>
        <w:t xml:space="preserve">; 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 y la incertidumbre y la irreversibilidad retrasan la inversión</w:t>
      </w:r>
      <w:r>
        <w:t xml:space="preserve"> </w:t>
      </w:r>
      <w:hyperlink r:id="rId242">
        <w:r>
          <w:rPr>
            <w:rStyle w:val="Referenciaatema"/>
          </w:rPr>
          <w:t xml:space="preserve">[ver tema 3.A.34]</w:t>
        </w:r>
      </w:hyperlink>
      <w:r>
        <w:t xml:space="preserve">. 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09"/>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09"/>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12"/>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tblHeader w:val="on"/>
        </w:trPr>
        <w:tc>
          <w:tcPr>
            <w:vAlign w:val="center"/>
          </w:tcPr>
          <w:p>
            <w:pPr>
              <w:pStyle w:val="Celdatceeazulpalido"/>
              <w:jc w:val="center"/>
            </w:pPr>
            <w:r>
              <w:t xml:space="preserve"> </w:t>
            </w:r>
            <w:r>
              <w:rPr>
                <w:b/>
                <w:bCs/>
              </w:rPr>
              <w:t xml:space="preserve">Escala</w:t>
            </w:r>
          </w:p>
        </w:tc>
        <w:tc>
          <w:tcPr>
            <w:vAlign w:val="center"/>
          </w:tcPr>
          <w:p>
            <w:pPr>
              <w:pStyle w:val="Celdatceeazulpalido"/>
              <w:jc w:val="center"/>
            </w:pPr>
            <w:r>
              <w:rPr>
                <w:b/>
                <w:bCs/>
              </w:rPr>
              <w:t xml:space="preserve">Ejemplo</w:t>
            </w:r>
          </w:p>
        </w:tc>
        <w:tc>
          <w:tcPr>
            <w:vAlign w:val="center"/>
          </w:tcPr>
          <w:p>
            <w:pPr>
              <w:pStyle w:val="Celdatceeazulpalido"/>
              <w:jc w:val="center"/>
            </w:pPr>
            <w:r>
              <w:rPr>
                <w:b/>
                <w:bCs/>
              </w:rPr>
              <w:t xml:space="preserve">Transformaciones</w:t>
            </w:r>
            <w:r>
              <w:br/>
            </w:r>
            <w:r>
              <w:rPr>
                <w:b/>
                <w:bCs/>
              </w:rPr>
              <w:t xml:space="preserve">admitidas</w:t>
            </w:r>
          </w:p>
        </w:tc>
        <w:tc>
          <w:tcPr>
            <w:vAlign w:val="center"/>
          </w:tcPr>
          <w:p>
            <w:pPr>
              <w:pStyle w:val="Celdatceeazulpalido"/>
              <w:jc w:val="center"/>
            </w:pPr>
            <w:r>
              <w:rPr>
                <w:b/>
                <w:bCs/>
              </w:rPr>
              <w:t xml:space="preserve">Orden</w:t>
            </w:r>
          </w:p>
        </w:tc>
        <w:tc>
          <w:tcPr>
            <w:vAlign w:val="center"/>
          </w:tcPr>
          <w:p>
            <w:pPr>
              <w:pStyle w:val="Celdatceeazulpalido"/>
              <w:jc w:val="center"/>
            </w:pPr>
            <w:r>
              <w:rPr>
                <w:b/>
                <w:bCs/>
              </w:rPr>
              <w:t xml:space="preserve">Diferencias</w:t>
            </w:r>
          </w:p>
        </w:tc>
        <w:tc>
          <w:tcPr>
            <w:vAlign w:val="center"/>
          </w:tcPr>
          <w:p>
            <w:pPr>
              <w:pStyle w:val="Celdatceeazulpalido"/>
              <w:jc w:val="center"/>
            </w:pPr>
            <w:r>
              <w:rPr>
                <w:b/>
                <w:bCs/>
              </w:rPr>
              <w:t xml:space="preserve">Cocientes</w:t>
            </w:r>
          </w:p>
        </w:tc>
      </w:tr>
      <w:t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eldatceesalvia"/>
              <w:jc w:val="center"/>
            </w:pPr>
            <w:r>
              <w:t xml:space="preserve"> </w:t>
            </w:r>
            <w:r>
              <w:t xml:space="preserve">De intervalo</w:t>
            </w:r>
          </w:p>
        </w:tc>
        <w:tc>
          <w:tcPr>
            <w:vAlign w:val="center"/>
          </w:tcPr>
          <w:p>
            <w:pPr>
              <w:pStyle w:val="Celdatceesalvia"/>
              <w:jc w:val="center"/>
            </w:pPr>
            <w:r>
              <w:t xml:space="preserve">Temperatura en grados centígrados; utilidad de</w:t>
            </w:r>
            <w:r>
              <w:t xml:space="preserve"> </w:t>
            </w:r>
            <w:r>
              <w:rPr>
                <w:smallCaps/>
              </w:rPr>
              <w:t xml:space="preserve">Bernoulli</w:t>
            </w:r>
          </w:p>
        </w:tc>
        <w:tc>
          <w:tcPr>
            <w:vAlign w:val="center"/>
          </w:tcPr>
          <w:p>
            <w:pPr>
              <w:pStyle w:val="Celdatceesalvia"/>
              <w:jc w:val="center"/>
            </w:pPr>
            <w:r>
              <w:t xml:space="preserve">Afín positiva,</w:t>
            </w:r>
            <w:r>
              <w:t xml:space="preserve"> </w:t>
            </w:r>
            <m:oMath>
              <m:r>
                <m:t>a</m:t>
              </m:r>
              <m:r>
                <m:t> </m:t>
              </m:r>
              <m:r>
                <m:t>x</m:t>
              </m:r>
              <m:r>
                <m:rPr>
                  <m:sty m:val="p"/>
                </m:rPr>
                <m:t>+</m:t>
              </m:r>
              <m:r>
                <m:t>b</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r>
      <w:t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13"/>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13"/>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13"/>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14"/>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14"/>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14"/>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15"/>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15"/>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15"/>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16"/>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16"/>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16"/>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16"/>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16"/>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17"/>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18"/>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19"/>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19"/>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19"/>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20"/>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20"/>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21"/>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23"/>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numPr>
          <w:ilvl w:val="0"/>
          <w:numId w:val="1123"/>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 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 Si es constante (CARA),</w:t>
      </w:r>
      <w:r>
        <w:t xml:space="preserve"> </w:t>
      </w:r>
      <m:oMath>
        <m:sSup>
          <m:e>
            <m:r>
              <m:t>α</m:t>
            </m:r>
          </m:e>
          <m:sup>
            <m:r>
              <m:rPr>
                <m:sty m:val="p"/>
              </m:rPr>
              <m:t>*</m:t>
            </m:r>
          </m:sup>
        </m:sSup>
      </m:oMath>
      <w:r>
        <w:t xml:space="preserve"> </w:t>
      </w:r>
      <w:r>
        <w:t xml:space="preserve">no depende de la riqueza, y si es creciente (IARA, como la cuadrática), disminuye con ella: el activo con riesgo sería un bien inferior, lo que contradice la evidencia. 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23"/>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24"/>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24"/>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25"/>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26"/>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numPr>
          <w:ilvl w:val="0"/>
          <w:numId w:val="1127"/>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 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 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 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 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28"/>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28"/>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28"/>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29"/>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30"/>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30"/>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31"/>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32"/>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33"/>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33"/>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32"/>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32"/>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32"/>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34"/>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34"/>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34"/>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34"/>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35"/>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35"/>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36"/>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36"/>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37"/>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37"/>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37"/>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37"/>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38"/>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38"/>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38"/>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39"/>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39"/>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40"/>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40"/>
        </w:numPr>
      </w:pPr>
      <w:r>
        <w:rPr>
          <w:i/>
          <w:iCs/>
        </w:rPr>
        <w:t xml:space="preserve">Preguntas de otros exámenes</w:t>
      </w:r>
      <w:r>
        <w:t xml:space="preserve">:</w:t>
      </w:r>
    </w:p>
    <w:p>
      <w:pPr>
        <w:numPr>
          <w:ilvl w:val="1"/>
          <w:numId w:val="1141"/>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41"/>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40"/>
        </w:numPr>
      </w:pPr>
      <w:r>
        <w:rPr>
          <w:i/>
          <w:iCs/>
        </w:rPr>
        <w:t xml:space="preserve">Trampas habituales</w:t>
      </w:r>
      <w:r>
        <w:t xml:space="preserve">:</w:t>
      </w:r>
    </w:p>
    <w:p>
      <w:pPr>
        <w:numPr>
          <w:ilvl w:val="1"/>
          <w:numId w:val="1142"/>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42"/>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42"/>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42"/>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42"/>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numPr>
          <w:ilvl w:val="1"/>
          <w:numId w:val="1142"/>
        </w:numPr>
      </w:pPr>
      <w:r>
        <w:t xml:space="preserve">con prima justa el averso se asegura por completo; con prima recargada, en parte (</w:t>
      </w:r>
      <w:r>
        <w:rPr>
          <w:smallCaps/>
        </w:rPr>
        <w:t xml:space="preserve">Mossin</w:t>
      </w:r>
      <w:r>
        <w:t xml:space="preserve">); 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42"/>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numPr>
          <w:ilvl w:val="1"/>
          <w:numId w:val="1142"/>
        </w:numPr>
      </w:pPr>
      <w:r>
        <w:rPr>
          <w:smallCaps/>
        </w:rPr>
        <w:t xml:space="preserve">Allais</w:t>
      </w:r>
      <w:r>
        <w:t xml:space="preserve"> </w:t>
      </w:r>
      <w:r>
        <w:t xml:space="preserve">viola el axioma de independencia;</w:t>
      </w:r>
      <w:r>
        <w:t xml:space="preserve"> </w:t>
      </w:r>
      <w:r>
        <w:rPr>
          <w:smallCaps/>
        </w:rPr>
        <w:t xml:space="preserve">Ellsberg</w:t>
      </w:r>
      <w:r>
        <w:t xml:space="preserve">, el principio de la cosa segura;</w:t>
      </w:r>
      <w:r>
        <w:t xml:space="preserve"> </w:t>
      </w:r>
      <w:r>
        <w:rPr>
          <w:smallCaps/>
        </w:rPr>
        <w:t xml:space="preserve">Quiggin</w:t>
      </w:r>
      <w:r>
        <w:t xml:space="preserve"> </w:t>
      </w:r>
      <w:r>
        <w:t xml:space="preserve">(dependiente del rango) explica</w:t>
      </w:r>
      <w:r>
        <w:t xml:space="preserve"> </w:t>
      </w:r>
      <w:r>
        <w:rPr>
          <w:smallCaps/>
        </w:rPr>
        <w:t xml:space="preserve">Allais</w:t>
      </w:r>
      <w:r>
        <w:t xml:space="preserve">;</w:t>
      </w:r>
      <w:r>
        <w:t xml:space="preserve"> </w:t>
      </w: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42"/>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42"/>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29"/>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29"/>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29"/>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2026-10-20T14:02:10Z</dcterms:created>
  <dcterms:modified xsi:type="dcterms:W3CDTF">2026-10-20T14:02:10Z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C:\Users\vgutierrez\Documents\src\victorgutierrezmarcos.github.io-revision\oposicion\temario\fuentes\3A10\graficos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38 págs. · Anexos: 11 · Bibliografía: 6</vt:lpwstr>
  </property>
  <property fmtid="{D5CDD505-2E9C-101B-9397-08002B2CF9AE}" pid="21"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2" name="reference-section-title">
    <vt:lpwstr>Bibliografía</vt:lpwstr>
  </property>
  <property fmtid="{D5CDD505-2E9C-101B-9397-08002B2CF9AE}" pid="23" name="resumen">
    <vt:lpwstr>Utilidad esperada de von Neumann-Morgenstern, aversión al riesgo, demanda de seguros, Allais, teoría de las perspectivas, Savage, Ellsberg y ambigüedad.</vt:lpwstr>
  </property>
  <property fmtid="{D5CDD505-2E9C-101B-9397-08002B2CF9AE}" pid="24" name="titulo">
    <vt:lpwstr>Teoría de la demanda del consumidor (III). Elección del consumidor en situaciones de riesgo e incertidumbre.</vt:lpwstr>
  </property>
  <property fmtid="{D5CDD505-2E9C-101B-9397-08002B2CF9AE}" pid="25" name="titulo-cita">
    <vt:lpwstr>Teoría de la demanda del consumidor (III). Elección del consumidor en situaciones de riesgo e incertidumbre</vt:lpwstr>
  </property>
  <property fmtid="{D5CDD505-2E9C-101B-9397-08002B2CF9AE}" pid="26" name="titulo-seo">
    <vt:lpwstr>Utilidad esperada: riesgo e incertidumbre</vt:lpwstr>
  </property>
</Properties>
</file>