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6.png" ContentType="image/png"/>
  <Override PartName="/word/media/rId85.png" ContentType="image/png"/>
  <Override PartName="/word/media/rId300.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4.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w:t>
      </w:r>
      <w:hyperlink w:anchor="sec_caracterizacion_monopolio_escenario">
        <w:r>
          <w:rPr>
            <w:rStyle w:val="Hyperlink"/>
          </w:rPr>
          <w:t xml:space="preserve">I.1</w:t>
        </w:r>
      </w:hyperlink>
      <w:r>
        <w:t xml:space="preserve">), 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 y el análisis de eficiencia y bienestar (</w:t>
      </w:r>
      <w:hyperlink w:anchor="sec_analisis_eficiencia_bienestar">
        <w:r>
          <w:rPr>
            <w:rStyle w:val="Hyperlink"/>
          </w:rPr>
          <w:t xml:space="preserve">I.3</w:t>
        </w:r>
      </w:hyperlink>
      <w:r>
        <w:t xml:space="preserve">),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w:t>
      </w:r>
      <w:r>
        <w:t xml:space="preserve"> </w:t>
      </w:r>
      <w:hyperlink w:anchor="sec_discriminacion_precios">
        <w:r>
          <w:rPr>
            <w:rStyle w:val="Hyperlink"/>
          </w:rPr>
          <w:t xml:space="preserve">II.1</w:t>
        </w:r>
      </w:hyperlink>
      <w:r>
        <w:t xml:space="preserve">), unos costes sin ventajas de tamaño (monopolio natural y su regulación,</w:t>
      </w:r>
      <w:r>
        <w:t xml:space="preserve"> </w:t>
      </w:r>
      <w:hyperlink w:anchor="sec_monopolio_natural">
        <w:r>
          <w:rPr>
            <w:rStyle w:val="Hyperlink"/>
          </w:rPr>
          <w:t xml:space="preserve">II.2</w:t>
        </w:r>
      </w:hyperlink>
      <w:r>
        <w:t xml:space="preserve">) y el producto y la planta únicos (producción conjunta,</w:t>
      </w:r>
      <w:r>
        <w:t xml:space="preserve"> </w:t>
      </w:r>
      <w:hyperlink w:anchor="sec_produccion_conjunta">
        <w:r>
          <w:rPr>
            <w:rStyle w:val="Hyperlink"/>
          </w:rPr>
          <w:t xml:space="preserve">II.3</w:t>
        </w:r>
      </w:hyperlink>
      <w:r>
        <w:t xml:space="preserve">).</w:t>
      </w:r>
    </w:p>
    <w:p>
      <w:pPr>
        <w:numPr>
          <w:ilvl w:val="1"/>
          <w:numId w:val="1008"/>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0"/>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1"/>
        </w:numPr>
      </w:pPr>
      <w:r>
        <w:t xml:space="preserve">Supuesto a supuesto, el escenario base del monopolio queda así:</w:t>
      </w:r>
    </w:p>
    <w:p>
      <w:pPr>
        <w:numPr>
          <w:ilvl w:val="1"/>
          <w:numId w:val="1012"/>
        </w:numPr>
      </w:pPr>
      <w:r>
        <w:rPr>
          <w:i/>
          <w:iCs/>
        </w:rPr>
        <w:t xml:space="preserve">Se mantiene: agentes racionales</w:t>
      </w:r>
      <w:r>
        <w:t xml:space="preserve">. Los consumidores maximizan su utilidad y el monopolista, su beneficio.</w:t>
      </w:r>
    </w:p>
    <w:p>
      <w:pPr>
        <w:numPr>
          <w:ilvl w:val="1"/>
          <w:numId w:val="1012"/>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2"/>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2"/>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2"/>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3"/>
        </w:numPr>
      </w:pPr>
      <w:r>
        <w:rPr>
          <w:i/>
          <w:iCs/>
        </w:rPr>
        <w:t xml:space="preserve">estratégicas</w:t>
      </w:r>
      <w:r>
        <w:t xml:space="preserve">: conductas del monopolista que disuaden la entrada de competidores potenciales;</w:t>
      </w:r>
    </w:p>
    <w:p>
      <w:pPr>
        <w:numPr>
          <w:ilvl w:val="2"/>
          <w:numId w:val="1013"/>
        </w:numPr>
      </w:pPr>
      <w:r>
        <w:rPr>
          <w:i/>
          <w:iCs/>
        </w:rPr>
        <w:t xml:space="preserve">legales o administrativas</w:t>
      </w:r>
      <w:r>
        <w:t xml:space="preserve">: patentes, licencias, concesiones o aranceles que excluyen a los competidores extranjeros;</w:t>
      </w:r>
    </w:p>
    <w:p>
      <w:pPr>
        <w:numPr>
          <w:ilvl w:val="2"/>
          <w:numId w:val="1013"/>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1"/>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1"/>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4"/>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15"/>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5"/>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16"/>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17"/>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17"/>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18"/>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18"/>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9"/>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9"/>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18"/>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18"/>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0"/>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0"/>
        </w:numPr>
      </w:pPr>
      <w:r>
        <w:t xml:space="preserve">cuanto más inelástica es la demanda, es decir, cuanto menos reaccionan los consumidores a una subida del precio, mayor es el poder de mercado y mayor el precio.</w:t>
      </w:r>
    </w:p>
    <w:p>
      <w:pPr>
        <w:numPr>
          <w:ilvl w:val="0"/>
          <w:numId w:val="1018"/>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18"/>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8"/>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1"/>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1"/>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1"/>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18"/>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mathrm{IMg}=\mathrm{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2"/>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2"/>
        </w:numPr>
      </w:pPr>
      <w:r>
        <w:t xml:space="preserve">A diferencia de la competencia perfecta:</w:t>
      </w:r>
    </w:p>
    <w:p>
      <w:pPr>
        <w:numPr>
          <w:ilvl w:val="1"/>
          <w:numId w:val="1023"/>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3"/>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4"/>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25"/>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5"/>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26"/>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27"/>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28"/>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28"/>
        </w:numPr>
      </w:pPr>
      <w:r>
        <w:t xml:space="preserve">El coste marginal mide el coste de oportunidad de producir.</w:t>
      </w:r>
    </w:p>
    <w:p>
      <w:pPr>
        <w:numPr>
          <w:ilvl w:val="0"/>
          <w:numId w:val="1028"/>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29"/>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0"/>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0"/>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9"/>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1"/>
        </w:numPr>
      </w:pPr>
      <w:r>
        <w:rPr>
          <w:i/>
          <w:iCs/>
        </w:rPr>
        <w:t xml:space="preserve">Otras ineficiencias</w:t>
      </w:r>
      <w:r>
        <w:t xml:space="preserve">. El triángulo es solo la parte más visible del coste social del monopolio; hay otras 4, que pueden ser mayores:</w:t>
      </w:r>
    </w:p>
    <w:p>
      <w:pPr>
        <w:numPr>
          <w:ilvl w:val="1"/>
          <w:numId w:val="1032"/>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2"/>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2"/>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2"/>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3"/>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3"/>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4"/>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4"/>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4"/>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35"/>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5"/>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36"/>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36"/>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37"/>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38"/>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38"/>
        </w:numPr>
      </w:pPr>
      <w:r>
        <w:t xml:space="preserve">Requiere 3 condiciones:</w:t>
      </w:r>
    </w:p>
    <w:p>
      <w:pPr>
        <w:numPr>
          <w:ilvl w:val="1"/>
          <w:numId w:val="1039"/>
        </w:numPr>
      </w:pPr>
      <w:r>
        <w:rPr>
          <w:i/>
          <w:iCs/>
        </w:rPr>
        <w:t xml:space="preserve">poder de mercado</w:t>
      </w:r>
      <w:r>
        <w:t xml:space="preserve">: con demanda perfectamente elástica no hay excedente que extraer;</w:t>
      </w:r>
    </w:p>
    <w:p>
      <w:pPr>
        <w:numPr>
          <w:ilvl w:val="1"/>
          <w:numId w:val="1039"/>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9"/>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8"/>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0"/>
        </w:numPr>
      </w:pPr>
      <w:r>
        <w:rPr>
          <w:b/>
          <w:bCs/>
        </w:rPr>
        <w:t xml:space="preserve">primer grado</w:t>
      </w:r>
      <w:r>
        <w:t xml:space="preserve"> </w:t>
      </w:r>
      <w:r>
        <w:t xml:space="preserve">(discriminación perfecta): observa la valoración de cada consumidor;</w:t>
      </w:r>
    </w:p>
    <w:p>
      <w:pPr>
        <w:numPr>
          <w:ilvl w:val="1"/>
          <w:numId w:val="1040"/>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0"/>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8"/>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1"/>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2"/>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3"/>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44"/>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44"/>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45"/>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46"/>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47"/>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47"/>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48"/>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8"/>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8"/>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49"/>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9"/>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9"/>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9"/>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0"/>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0"/>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0"/>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0"/>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numPr>
          <w:ilvl w:val="0"/>
          <w:numId w:val="1051"/>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1"/>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52"/>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52"/>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52"/>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numPr>
          <w:ilvl w:val="0"/>
          <w:numId w:val="1000"/>
        </w:numPr>
      </w:pPr>
      <w:r>
        <w:t xml:space="preserve">En el gráfico se ve también lo que el monopolista</w:t>
      </w:r>
      <w:r>
        <w:t xml:space="preserve"> </w:t>
      </w:r>
      <w:r>
        <w:rPr>
          <w:i/>
          <w:iCs/>
        </w:rPr>
        <w:t xml:space="preserve">no</w:t>
      </w:r>
      <w:r>
        <w:t xml:space="preserve"> </w:t>
      </w:r>
      <w:r>
        <w:t xml:space="preserve">se apropia: nada en el caso i); 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 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53"/>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54"/>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55"/>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5"/>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56"/>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57"/>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7"/>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7"/>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58"/>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8"/>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58"/>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numPr>
          <w:ilvl w:val="0"/>
          <w:numId w:val="1059"/>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6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6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62"/>
        </w:numPr>
      </w:pPr>
      <w:r>
        <w:t xml:space="preserve">El bien es duradero: quien compra hoy no vuelve a comprar mañana.</w:t>
      </w:r>
    </w:p>
    <w:p>
      <w:pPr>
        <w:numPr>
          <w:ilvl w:val="0"/>
          <w:numId w:val="1062"/>
        </w:numPr>
      </w:pPr>
      <w:r>
        <w:t xml:space="preserve">El monopolista puede revisar el precio con frecuencia y no puede comprometerse a mantenerlo.</w:t>
      </w:r>
    </w:p>
    <w:p>
      <w:pPr>
        <w:numPr>
          <w:ilvl w:val="0"/>
          <w:numId w:val="106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6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numPr>
          <w:ilvl w:val="0"/>
          <w:numId w:val="1064"/>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65"/>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numPr>
          <w:ilvl w:val="0"/>
          <w:numId w:val="1066"/>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6"/>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67"/>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68"/>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8"/>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68"/>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69"/>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69"/>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70"/>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70"/>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70"/>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69"/>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71"/>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71"/>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72"/>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72"/>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73"/>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74"/>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75"/>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76"/>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numPr>
          <w:ilvl w:val="1"/>
          <w:numId w:val="1076"/>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76"/>
      </w:r>
    </w:p>
    <w:p>
      <w:pPr>
        <w:numPr>
          <w:ilvl w:val="1"/>
          <w:numId w:val="1076"/>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75"/>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7"/>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7"/>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77"/>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77"/>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mathrm{CMg} y beneficio nulo con p=\mathrm{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numPr>
          <w:ilvl w:val="0"/>
          <w:numId w:val="1078"/>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8"/>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78"/>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79"/>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9"/>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79"/>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80"/>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81"/>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82"/>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82"/>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3"/>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83"/>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82"/>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82"/>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81"/>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84"/>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84"/>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4"/>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090"/>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094"/>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099"/>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00"/>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01"/>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numPr>
          <w:ilvl w:val="1"/>
          <w:numId w:val="1107"/>
        </w:numPr>
      </w:pPr>
      <w:r>
        <w:t xml:space="preserve">Los desarrollos adaptan esa misma regla y pueden cambiar el juicio de bienestar (</w:t>
      </w:r>
      <w:hyperlink w:anchor="sec_desarrollos_teoria_monopolio">
        <w:r>
          <w:rPr>
            <w:rStyle w:val="Hyperlink"/>
          </w:rPr>
          <w:t xml:space="preserve">II</w:t>
        </w:r>
      </w:hyperlink>
      <w:r>
        <w:t xml:space="preserve">):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06"/>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 las barreras de entrada y la amenaza de entrada, que puede disciplinar al monopolista, en la teoría de la empresa</w:t>
      </w:r>
      <w:r>
        <w:t xml:space="preserve"> </w:t>
      </w:r>
      <w:hyperlink r:id="rId25">
        <w:r>
          <w:rPr>
            <w:rStyle w:val="Referenciaatema"/>
          </w:rPr>
          <w:t xml:space="preserve">[ver tema 3.A.15]</w:t>
        </w:r>
      </w:hyperlink>
      <w:r>
        <w:t xml:space="preserve">; la regulación con información asimétrica y la definición del mercado relevante</w:t>
      </w:r>
      <w:r>
        <w:t xml:space="preserve"> </w:t>
      </w:r>
      <w:hyperlink r:id="rId33">
        <w:r>
          <w:rPr>
            <w:rStyle w:val="Referenciaatema"/>
          </w:rPr>
          <w:t xml:space="preserve">[ver tema 3.A.20]</w:t>
        </w:r>
      </w:hyperlink>
      <w:r>
        <w:t xml:space="preserve">; los fallos del sector público</w:t>
      </w:r>
      <w:r>
        <w:t xml:space="preserve"> </w:t>
      </w:r>
      <w:hyperlink r:id="rId97">
        <w:r>
          <w:rPr>
            <w:rStyle w:val="Referenciaatema"/>
          </w:rPr>
          <w:t xml:space="preserve">[ver tema 3.A.23]</w:t>
        </w:r>
      </w:hyperlink>
      <w:r>
        <w:t xml:space="preserve">; la negociación, en la teoría de juegos</w:t>
      </w:r>
      <w:r>
        <w:t xml:space="preserve"> </w:t>
      </w:r>
      <w:hyperlink r:id="rId153">
        <w:r>
          <w:rPr>
            <w:rStyle w:val="Referenciaatema"/>
          </w:rPr>
          <w:t xml:space="preserve">[ver tema 3.A.14]</w:t>
        </w:r>
      </w:hyperlink>
      <w:r>
        <w:t xml:space="preserve">, y la negociación salarial</w:t>
      </w:r>
      <w:r>
        <w:t xml:space="preserve"> </w:t>
      </w:r>
      <w:hyperlink r:id="rId231">
        <w:r>
          <w:rPr>
            <w:rStyle w:val="Referenciaatema"/>
          </w:rPr>
          <w:t xml:space="preserve">[ver tema 3.A.27]</w:t>
        </w:r>
      </w:hyperlink>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299" w:name="anexo_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08"/>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14"/>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15"/>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49"/>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19"/>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2" w:name="anexo_nueva_teoria_regulacion"/>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0"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69"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7" name="Picture"/>
            <a:graphic>
              <a:graphicData uri="http://schemas.openxmlformats.org/drawingml/2006/picture">
                <pic:pic>
                  <pic:nvPicPr>
                    <pic:cNvPr descr="C:\Users\vgutierrez\Documents\src\victorgutierrezmarcos.github.io-revision\oposicion\temario\fuentes\3A17\graficos/averch-johnson.png" id="268" name="Picture"/>
                    <pic:cNvPicPr>
                      <a:picLocks noChangeArrowheads="1" noChangeAspect="1"/>
                    </pic:cNvPicPr>
                  </pic:nvPicPr>
                  <pic:blipFill>
                    <a:blip r:embed="rId266"/>
                    <a:stretch>
                      <a:fillRect/>
                    </a:stretch>
                  </pic:blipFill>
                  <pic:spPr bwMode="auto">
                    <a:xfrm>
                      <a:off x="0" y="0"/>
                      <a:ext cx="2908342" cy="2119328"/>
                    </a:xfrm>
                    <a:prstGeom prst="rect">
                      <a:avLst/>
                    </a:prstGeom>
                    <a:noFill/>
                    <a:ln w="9525">
                      <a:noFill/>
                      <a:headEnd/>
                      <a:tailEnd/>
                    </a:ln>
                  </pic:spPr>
                </pic:pic>
              </a:graphicData>
            </a:graphic>
          </wp:inline>
        </w:drawing>
      </w:r>
    </w:p>
    <w:bookmarkEnd w:id="269"/>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0"/>
    <w:bookmarkStart w:id="272"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1"/>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2"/>
    <w:bookmarkStart w:id="273"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73"/>
    <w:bookmarkStart w:id="281"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4" w:name="a_idea_9"/>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4"/>
    <w:bookmarkStart w:id="280" w:name="b_modelo_9"/>
    <w:p>
      <w:pPr>
        <w:pStyle w:val="Heading4"/>
      </w:pPr>
      <w:r>
        <w:t xml:space="preserve">b) Modelo</w:t>
      </w:r>
    </w:p>
    <w:bookmarkStart w:id="276" w:name="i_supuestos_9"/>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5"/>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6"/>
    <w:bookmarkStart w:id="277" w:name="ii_desarrollo_9"/>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7"/>
    <w:bookmarkStart w:id="279" w:name="iii_implicaciones_9"/>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78"/>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79"/>
    <w:bookmarkEnd w:id="280"/>
    <w:bookmarkEnd w:id="281"/>
    <w:bookmarkStart w:id="282" w:name="anexo_efecto_trinquete_desfase"/>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2"/>
    <w:bookmarkStart w:id="290"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3" w:name="a_idea_10"/>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3"/>
    <w:bookmarkStart w:id="287" w:name="b_modelo_10"/>
    <w:p>
      <w:pPr>
        <w:pStyle w:val="Heading4"/>
      </w:pPr>
      <w:r>
        <w:t xml:space="preserve">b) Modelo</w:t>
      </w:r>
    </w:p>
    <w:bookmarkStart w:id="284" w:name="i_supuestos_10"/>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4"/>
    <w:bookmarkStart w:id="285" w:name="ii_desarrollo_10"/>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5"/>
    <w:bookmarkStart w:id="286" w:name="iii_implicaciones_10"/>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6"/>
    <w:bookmarkEnd w:id="287"/>
    <w:bookmarkStart w:id="288" w:name="c_evidencia_emp__rica_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8"/>
    <w:bookmarkStart w:id="289" w:name="d_valoraci__n_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89"/>
    <w:bookmarkEnd w:id="290"/>
    <w:bookmarkStart w:id="291" w:name="anexo_evidencia_empirica_regulacion"/>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1"/>
    <w:bookmarkEnd w:id="292"/>
    <w:bookmarkStart w:id="296" w:name="anexo_teoria_positiva_regulacio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3"/>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39"/>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4">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https://www.youtube.com/watch?v=lhD5s-4v3oM</w:t>
        </w:r>
      </w:hyperlink>
    </w:p>
    <w:bookmarkEnd w:id="296"/>
    <w:bookmarkStart w:id="297" w:name="anexo_instituciones_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7"/>
    <w:bookmarkStart w:id="298" w:name="anexo_valoracion_2"/>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8"/>
    <w:bookmarkEnd w:id="299"/>
    <w:bookmarkStart w:id="327" w:name="anexo_derivaciones"/>
    <w:p>
      <w:pPr>
        <w:pStyle w:val="Heading1"/>
      </w:pPr>
      <w:r>
        <w:t xml:space="preserve">B. Anexo: derivaciones</w:t>
      </w:r>
    </w:p>
    <w:bookmarkStart w:id="304" w:name="anexo_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3"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1" name="Picture"/>
            <a:graphic>
              <a:graphicData uri="http://schemas.openxmlformats.org/drawingml/2006/picture">
                <pic:pic>
                  <pic:nvPicPr>
                    <pic:cNvPr descr="C:\Users\vgutierrez\Documents\src\victorgutierrezmarcos.github.io-revision\oposicion\temario\fuentes\3A17\graficos/cso-monopolio.png" id="302" name="Picture"/>
                    <pic:cNvPicPr>
                      <a:picLocks noChangeArrowheads="1" noChangeAspect="1"/>
                    </pic:cNvPicPr>
                  </pic:nvPicPr>
                  <pic:blipFill>
                    <a:blip r:embed="rId300"/>
                    <a:stretch>
                      <a:fillRect/>
                    </a:stretch>
                  </pic:blipFill>
                  <pic:spPr bwMode="auto">
                    <a:xfrm>
                      <a:off x="0" y="0"/>
                      <a:ext cx="4951216" cy="2223307"/>
                    </a:xfrm>
                    <a:prstGeom prst="rect">
                      <a:avLst/>
                    </a:prstGeom>
                    <a:noFill/>
                    <a:ln w="9525">
                      <a:noFill/>
                      <a:headEnd/>
                      <a:tailEnd/>
                    </a:ln>
                  </pic:spPr>
                </pic:pic>
              </a:graphicData>
            </a:graphic>
          </wp:inline>
        </w:drawing>
      </w:r>
    </w:p>
    <w:bookmarkEnd w:id="30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4"/>
    <w:bookmarkStart w:id="309" w:name="anexo_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8"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6" name="Picture"/>
            <a:graphic>
              <a:graphicData uri="http://schemas.openxmlformats.org/drawingml/2006/picture">
                <pic:pic>
                  <pic:nvPicPr>
                    <pic:cNvPr descr="C:\Users\vgutierrez\Documents\src\victorgutierrezmarcos.github.io-revision\oposicion\temario\fuentes\3A17\graficos/viabilidad-monopolio.png" id="307" name="Picture"/>
                    <pic:cNvPicPr>
                      <a:picLocks noChangeArrowheads="1" noChangeAspect="1"/>
                    </pic:cNvPicPr>
                  </pic:nvPicPr>
                  <pic:blipFill>
                    <a:blip r:embed="rId305"/>
                    <a:stretch>
                      <a:fillRect/>
                    </a:stretch>
                  </pic:blipFill>
                  <pic:spPr bwMode="auto">
                    <a:xfrm>
                      <a:off x="0" y="0"/>
                      <a:ext cx="5073650" cy="2218904"/>
                    </a:xfrm>
                    <a:prstGeom prst="rect">
                      <a:avLst/>
                    </a:prstGeom>
                    <a:noFill/>
                    <a:ln w="9525">
                      <a:noFill/>
                      <a:headEnd/>
                      <a:tailEnd/>
                    </a:ln>
                  </pic:spPr>
                </pic:pic>
              </a:graphicData>
            </a:graphic>
          </wp:inline>
        </w:drawing>
      </w:r>
    </w:p>
    <w:bookmarkEnd w:id="308"/>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09"/>
    <w:bookmarkStart w:id="310" w:name="anexo_segundo_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0"/>
    <w:bookmarkStart w:id="311"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1"/>
    <w:bookmarkStart w:id="321" w:name="anexo_proporciones_fijas"/>
    <w:p>
      <w:pPr>
        <w:pStyle w:val="Heading2"/>
      </w:pPr>
      <w:r>
        <w:t xml:space="preserve">B.5. Producción conjunta en proporciones fijas</w:t>
      </w:r>
    </w:p>
    <w:bookmarkStart w:id="312" w:name="a_idea_11"/>
    <w:p>
      <w:pPr>
        <w:pStyle w:val="Heading4"/>
      </w:pPr>
      <w:r>
        <w:t xml:space="preserve">a) Idea</w:t>
      </w:r>
    </w:p>
    <w:p>
      <w:pPr>
        <w:numPr>
          <w:ilvl w:val="0"/>
          <w:numId w:val="1149"/>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2"/>
    <w:bookmarkStart w:id="320" w:name="b_modelo_11"/>
    <w:p>
      <w:pPr>
        <w:pStyle w:val="Heading4"/>
      </w:pPr>
      <w:r>
        <w:t xml:space="preserve">b) Modelo</w:t>
      </w:r>
    </w:p>
    <w:bookmarkStart w:id="313" w:name="i_supuestos_11"/>
    <w:p>
      <w:pPr>
        <w:pStyle w:val="Heading5"/>
      </w:pPr>
      <w:r>
        <w:t xml:space="preserve">i) Supuestos</w:t>
      </w:r>
    </w:p>
    <w:p>
      <w:pPr>
        <w:numPr>
          <w:ilvl w:val="0"/>
          <w:numId w:val="1150"/>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50"/>
        </w:numPr>
      </w:pPr>
      <w:r>
        <w:t xml:space="preserve">El monopolista puede desechar lo que sobre de cada bien.</w:t>
      </w:r>
    </w:p>
    <w:bookmarkEnd w:id="313"/>
    <w:bookmarkStart w:id="318" w:name="ii_desarrollo_11"/>
    <w:p>
      <w:pPr>
        <w:pStyle w:val="Heading5"/>
      </w:pPr>
      <w:r>
        <w:t xml:space="preserve">ii) Desarrollo</w:t>
      </w:r>
    </w:p>
    <w:p>
      <w:pPr>
        <w:numPr>
          <w:ilvl w:val="0"/>
          <w:numId w:val="1151"/>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51"/>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51"/>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7"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5" name="Picture"/>
            <a:graphic>
              <a:graphicData uri="http://schemas.openxmlformats.org/drawingml/2006/picture">
                <pic:pic>
                  <pic:nvPicPr>
                    <pic:cNvPr descr="C:\Users\vgutierrez\Documents\src\victorgutierrezmarcos.github.io-revision\oposicion\temario\fuentes\3A17\graficos/produccion-conjunta.png" id="316" name="Picture"/>
                    <pic:cNvPicPr>
                      <a:picLocks noChangeArrowheads="1" noChangeAspect="1"/>
                    </pic:cNvPicPr>
                  </pic:nvPicPr>
                  <pic:blipFill>
                    <a:blip r:embed="rId314"/>
                    <a:stretch>
                      <a:fillRect/>
                    </a:stretch>
                  </pic:blipFill>
                  <pic:spPr bwMode="auto">
                    <a:xfrm>
                      <a:off x="0" y="0"/>
                      <a:ext cx="3293674" cy="2697327"/>
                    </a:xfrm>
                    <a:prstGeom prst="rect">
                      <a:avLst/>
                    </a:prstGeom>
                    <a:noFill/>
                    <a:ln w="9525">
                      <a:noFill/>
                      <a:headEnd/>
                      <a:tailEnd/>
                    </a:ln>
                  </pic:spPr>
                </pic:pic>
              </a:graphicData>
            </a:graphic>
          </wp:inline>
        </w:drawing>
      </w:r>
    </w:p>
    <w:bookmarkEnd w:id="317"/>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8"/>
    <w:bookmarkStart w:id="319" w:name="iii_implicaciones_11"/>
    <w:p>
      <w:pPr>
        <w:pStyle w:val="Heading5"/>
      </w:pPr>
      <w:r>
        <w:t xml:space="preserve">iii) Implicaciones</w:t>
      </w:r>
    </w:p>
    <w:p>
      <w:pPr>
        <w:numPr>
          <w:ilvl w:val="0"/>
          <w:numId w:val="1152"/>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19"/>
    <w:bookmarkEnd w:id="320"/>
    <w:bookmarkEnd w:id="321"/>
    <w:bookmarkStart w:id="322"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53"/>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53"/>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53"/>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53"/>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2"/>
    <w:bookmarkStart w:id="323" w:name="anexo_sostenibilidad"/>
    <w:p>
      <w:pPr>
        <w:pStyle w:val="Heading2"/>
      </w:pPr>
      <w:r>
        <w:t xml:space="preserve">B.7. Sostenibilidad del monopolio natural con reacción del incumbente</w:t>
      </w:r>
    </w:p>
    <w:p>
      <w:pPr>
        <w:numPr>
          <w:ilvl w:val="0"/>
          <w:numId w:val="1154"/>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4"/>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4"/>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5"/>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5"/>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54"/>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3"/>
    <w:bookmarkStart w:id="324" w:name="anexo_cuatro_casos"/>
    <w:p>
      <w:pPr>
        <w:pStyle w:val="Heading2"/>
      </w:pPr>
      <w:r>
        <w:t xml:space="preserve">B.8. Poder de mercado en el bien y en el trabajo: los 4 casos y el sindicato</w:t>
      </w:r>
    </w:p>
    <w:p>
      <w:pPr>
        <w:numPr>
          <w:ilvl w:val="0"/>
          <w:numId w:val="1156"/>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6"/>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6"/>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56"/>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4"/>
    <w:bookmarkStart w:id="325"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57"/>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7"/>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7"/>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7"/>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5"/>
    <w:bookmarkStart w:id="326"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58"/>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8"/>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8"/>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8"/>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6"/>
    <w:bookmarkEnd w:id="327"/>
    <w:bookmarkStart w:id="330" w:name="anexo_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328">
        <w:r>
          <w:rPr>
            <w:rStyle w:val="Hyperlink"/>
          </w:rPr>
          <w:t xml:space="preserve">simulador de test</w:t>
        </w:r>
      </w:hyperlink>
      <w:r>
        <w:t xml:space="preserve">.</w:t>
      </w:r>
    </w:p>
    <w:p>
      <w:pPr>
        <w:numPr>
          <w:ilvl w:val="0"/>
          <w:numId w:val="1159"/>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9"/>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9"/>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9"/>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9"/>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9"/>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9"/>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9"/>
        </w:numPr>
      </w:pPr>
      <w:r>
        <w:rPr>
          <w:i/>
          <w:iCs/>
        </w:rPr>
        <w:t xml:space="preserve">Primer grado</w:t>
      </w:r>
      <w:r>
        <w:t xml:space="preserve">: eficiente (la cantidad es la competitiva), excedente del consumidor nulo.</w:t>
      </w:r>
    </w:p>
    <w:p>
      <w:pPr>
        <w:numPr>
          <w:ilvl w:val="0"/>
          <w:numId w:val="1159"/>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9"/>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9"/>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9"/>
        </w:numPr>
      </w:pPr>
      <w:r>
        <w:rPr>
          <w:i/>
          <w:iCs/>
        </w:rPr>
        <w:t xml:space="preserve">Doble marginalización</w:t>
      </w:r>
      <w:r>
        <w:t xml:space="preserve">: con demanda lineal, la cadena separada vende la mitad que la integrada.</w:t>
      </w:r>
    </w:p>
    <w:p>
      <w:pPr>
        <w:numPr>
          <w:ilvl w:val="0"/>
          <w:numId w:val="1159"/>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29" w:name="preguntas_probables_del_tribunal"/>
    <w:p>
      <w:pPr>
        <w:pStyle w:val="Heading4"/>
      </w:pPr>
      <w:r>
        <w:t xml:space="preserve">Preguntas probables del tribunal</w:t>
      </w:r>
    </w:p>
    <w:p>
      <w:pPr>
        <w:numPr>
          <w:ilvl w:val="0"/>
          <w:numId w:val="1160"/>
        </w:numPr>
      </w:pPr>
      <w:r>
        <w:t xml:space="preserve">¿Por qué el monopolista no tiene curva de oferta? ¿Por qué nunca produce en el tramo inelástico?</w:t>
      </w:r>
    </w:p>
    <w:p>
      <w:pPr>
        <w:numPr>
          <w:ilvl w:val="0"/>
          <w:numId w:val="1160"/>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60"/>
        </w:numPr>
      </w:pPr>
      <w:r>
        <w:t xml:space="preserve">¿Es eficiente la discriminación de primer grado? ¿Cuándo aumenta el excedente total la de tercer grado?</w:t>
      </w:r>
    </w:p>
    <w:p>
      <w:pPr>
        <w:numPr>
          <w:ilvl w:val="0"/>
          <w:numId w:val="1160"/>
        </w:numPr>
      </w:pPr>
      <w:r>
        <w:t xml:space="preserve">¿Por qué en la discriminación de segundo grado se distorsiona la cantidad del tipo bajo y no la del alto?</w:t>
      </w:r>
    </w:p>
    <w:p>
      <w:pPr>
        <w:numPr>
          <w:ilvl w:val="0"/>
          <w:numId w:val="1160"/>
        </w:numPr>
      </w:pPr>
      <w:r>
        <w:t xml:space="preserve">¿Son las economías de escala necesarias para que haya monopolio natural? ¿Y las de alcance en el multiproducto?</w:t>
      </w:r>
    </w:p>
    <w:p>
      <w:pPr>
        <w:numPr>
          <w:ilvl w:val="0"/>
          <w:numId w:val="1160"/>
        </w:numPr>
      </w:pPr>
      <w:r>
        <w:t xml:space="preserve">¿Qué dice la conjetura de</w:t>
      </w:r>
      <w:r>
        <w:t xml:space="preserve"> </w:t>
      </w:r>
      <w:r>
        <w:rPr>
          <w:smallCaps/>
        </w:rPr>
        <w:t xml:space="preserve">Coase</w:t>
      </w:r>
      <w:r>
        <w:t xml:space="preserve">?</w:t>
      </w:r>
    </w:p>
    <w:p>
      <w:pPr>
        <w:numPr>
          <w:ilvl w:val="0"/>
          <w:numId w:val="1160"/>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60"/>
        </w:numPr>
      </w:pPr>
      <w:r>
        <w:t xml:space="preserve">¿Hay paro involuntario con monopsonio? ¿Por qué un salario mínimo puede aumentar el empleo?</w:t>
      </w:r>
    </w:p>
    <w:p>
      <w:pPr>
        <w:numPr>
          <w:ilvl w:val="0"/>
          <w:numId w:val="1160"/>
        </w:numPr>
      </w:pPr>
      <w:r>
        <w:t xml:space="preserve">En el monopolio bilateral, ¿depende la cantidad del poder de negociación?</w:t>
      </w:r>
    </w:p>
    <w:p>
      <w:pPr>
        <w:numPr>
          <w:ilvl w:val="0"/>
          <w:numId w:val="1160"/>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29"/>
    <w:bookmarkEnd w:id="330"/>
    <w:bookmarkStart w:id="522" w:name="bibliografia"/>
    <w:p>
      <w:pPr>
        <w:pStyle w:val="Heading1"/>
      </w:pPr>
      <w:r>
        <w:t xml:space="preserve">Bibliografía</w:t>
      </w:r>
    </w:p>
    <w:bookmarkStart w:id="521" w:name="refs"/>
    <w:bookmarkStart w:id="332"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1">
        <w:r>
          <w:rPr>
            <w:rStyle w:val="Hyperlink"/>
          </w:rPr>
          <w:t xml:space="preserve">https://doi.org/10.2307/1886045</w:t>
        </w:r>
      </w:hyperlink>
      <w:r>
        <w:t xml:space="preserve">.</w:t>
      </w:r>
    </w:p>
    <w:bookmarkEnd w:id="332"/>
    <w:bookmarkStart w:id="334"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3">
        <w:r>
          <w:rPr>
            <w:rStyle w:val="Hyperlink"/>
          </w:rPr>
          <w:t xml:space="preserve">https://doi.org/10.1093/qje/120.2.701</w:t>
        </w:r>
      </w:hyperlink>
      <w:r>
        <w:t xml:space="preserve">.</w:t>
      </w:r>
    </w:p>
    <w:bookmarkEnd w:id="334"/>
    <w:bookmarkStart w:id="33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5"/>
    <w:bookmarkStart w:id="336"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6"/>
    <w:bookmarkStart w:id="337"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7"/>
    <w:bookmarkStart w:id="338"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8"/>
    <w:bookmarkStart w:id="340"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39">
        <w:r>
          <w:rPr>
            <w:rStyle w:val="Hyperlink"/>
          </w:rPr>
          <w:t xml:space="preserve">https://ideas.repec.org/a/aea/aecrev/v72y1982i1p1-15.html</w:t>
        </w:r>
      </w:hyperlink>
      <w:r>
        <w:t xml:space="preserve">.</w:t>
      </w:r>
    </w:p>
    <w:bookmarkEnd w:id="340"/>
    <w:bookmarkStart w:id="341"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1"/>
    <w:bookmarkStart w:id="343"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2">
        <w:r>
          <w:rPr>
            <w:rStyle w:val="Hyperlink"/>
          </w:rPr>
          <w:t xml:space="preserve">https://doi.org/10.2307/3003181</w:t>
        </w:r>
      </w:hyperlink>
      <w:r>
        <w:t xml:space="preserve">.</w:t>
      </w:r>
    </w:p>
    <w:bookmarkEnd w:id="343"/>
    <w:bookmarkStart w:id="344"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4"/>
    <w:bookmarkStart w:id="346"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5">
        <w:r>
          <w:rPr>
            <w:rStyle w:val="Hyperlink"/>
          </w:rPr>
          <w:t xml:space="preserve">https://doi.org/10.2307/1886017</w:t>
        </w:r>
      </w:hyperlink>
      <w:r>
        <w:t xml:space="preserve">.</w:t>
      </w:r>
    </w:p>
    <w:bookmarkEnd w:id="346"/>
    <w:bookmarkStart w:id="348"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7">
        <w:r>
          <w:rPr>
            <w:rStyle w:val="Hyperlink"/>
          </w:rPr>
          <w:t xml:space="preserve">https://doi.org/10.2307/2555382</w:t>
        </w:r>
      </w:hyperlink>
      <w:r>
        <w:t xml:space="preserve">.</w:t>
      </w:r>
    </w:p>
    <w:bookmarkEnd w:id="348"/>
    <w:bookmarkStart w:id="349"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49"/>
    <w:bookmarkStart w:id="351"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0">
        <w:r>
          <w:rPr>
            <w:rStyle w:val="Hyperlink"/>
          </w:rPr>
          <w:t xml:space="preserve">https://doi.org/10.2307/1905256</w:t>
        </w:r>
      </w:hyperlink>
      <w:r>
        <w:t xml:space="preserve">.</w:t>
      </w:r>
    </w:p>
    <w:bookmarkEnd w:id="351"/>
    <w:bookmarkStart w:id="353"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2">
        <w:r>
          <w:rPr>
            <w:rStyle w:val="Hyperlink"/>
          </w:rPr>
          <w:t xml:space="preserve">https://doi.org/10.2307/2224123</w:t>
        </w:r>
      </w:hyperlink>
      <w:r>
        <w:t xml:space="preserve">.</w:t>
      </w:r>
    </w:p>
    <w:bookmarkEnd w:id="353"/>
    <w:bookmarkStart w:id="355"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4">
        <w:r>
          <w:rPr>
            <w:rStyle w:val="Hyperlink"/>
          </w:rPr>
          <w:t xml:space="preserve">https://doi.org/10.1016/S1573-448X(89)02011-X</w:t>
        </w:r>
      </w:hyperlink>
      <w:r>
        <w:t xml:space="preserve">.</w:t>
      </w:r>
    </w:p>
    <w:bookmarkEnd w:id="355"/>
    <w:bookmarkStart w:id="357"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6">
        <w:r>
          <w:rPr>
            <w:rStyle w:val="Hyperlink"/>
          </w:rPr>
          <w:t xml:space="preserve">https://doi.org/10.1086/261058</w:t>
        </w:r>
      </w:hyperlink>
      <w:r>
        <w:t xml:space="preserve">.</w:t>
      </w:r>
    </w:p>
    <w:bookmarkEnd w:id="357"/>
    <w:bookmarkStart w:id="359"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8">
        <w:r>
          <w:rPr>
            <w:rStyle w:val="Hyperlink"/>
          </w:rPr>
          <w:t xml:space="preserve">https://doi.org/10.1086/261135</w:t>
        </w:r>
      </w:hyperlink>
      <w:r>
        <w:t xml:space="preserve">.</w:t>
      </w:r>
    </w:p>
    <w:bookmarkEnd w:id="359"/>
    <w:bookmarkStart w:id="361"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0">
        <w:r>
          <w:rPr>
            <w:rStyle w:val="Hyperlink"/>
          </w:rPr>
          <w:t xml:space="preserve">https://www.gesetze-im-internet.de/aregv/anlage_3.html</w:t>
        </w:r>
      </w:hyperlink>
      <w:r>
        <w:t xml:space="preserve">.</w:t>
      </w:r>
    </w:p>
    <w:bookmarkEnd w:id="361"/>
    <w:bookmarkStart w:id="363"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2">
        <w:r>
          <w:rPr>
            <w:rStyle w:val="Hyperlink"/>
          </w:rPr>
          <w:t xml:space="preserve">https://www.bundesnetzagentur.de/DE/Beschlusskammern/BK08/BK8_05_EOG/54_Effizienzvgl/start.html</w:t>
        </w:r>
      </w:hyperlink>
      <w:r>
        <w:t xml:space="preserve">.</w:t>
      </w:r>
    </w:p>
    <w:bookmarkEnd w:id="363"/>
    <w:bookmarkStart w:id="365"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4">
        <w:r>
          <w:rPr>
            <w:rStyle w:val="Hyperlink"/>
          </w:rPr>
          <w:t xml:space="preserve">https://ideas.repec.org/a/aea/aecrev/v84y1994i4p772-93.html</w:t>
        </w:r>
      </w:hyperlink>
      <w:r>
        <w:t xml:space="preserve">.</w:t>
      </w:r>
    </w:p>
    <w:bookmarkEnd w:id="365"/>
    <w:bookmarkStart w:id="367"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6">
        <w:r>
          <w:rPr>
            <w:rStyle w:val="Hyperlink"/>
          </w:rPr>
          <w:t xml:space="preserve">https://doi.org/10.2307/2549764</w:t>
        </w:r>
      </w:hyperlink>
      <w:r>
        <w:t xml:space="preserve">.</w:t>
      </w:r>
    </w:p>
    <w:bookmarkEnd w:id="367"/>
    <w:bookmarkStart w:id="369"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8">
        <w:r>
          <w:rPr>
            <w:rStyle w:val="Hyperlink"/>
          </w:rPr>
          <w:t xml:space="preserve">https://doi.org/10.1086/466731</w:t>
        </w:r>
      </w:hyperlink>
      <w:r>
        <w:t xml:space="preserve">.</w:t>
      </w:r>
    </w:p>
    <w:bookmarkEnd w:id="369"/>
    <w:bookmarkStart w:id="371"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0">
        <w:r>
          <w:rPr>
            <w:rStyle w:val="Hyperlink"/>
          </w:rPr>
          <w:t xml:space="preserve">https://www.cnmc.es/sites/default/files/1972516_6.pdf</w:t>
        </w:r>
      </w:hyperlink>
      <w:r>
        <w:t xml:space="preserve">.</w:t>
      </w:r>
    </w:p>
    <w:bookmarkEnd w:id="371"/>
    <w:bookmarkStart w:id="373"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2">
        <w:r>
          <w:rPr>
            <w:rStyle w:val="Hyperlink"/>
          </w:rPr>
          <w:t xml:space="preserve">https://www.cnmc.es/sites/default/files/2100627.pdf</w:t>
        </w:r>
      </w:hyperlink>
      <w:r>
        <w:t xml:space="preserve">.</w:t>
      </w:r>
    </w:p>
    <w:bookmarkEnd w:id="373"/>
    <w:bookmarkStart w:id="374"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4"/>
    <w:bookmarkStart w:id="376"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5">
        <w:r>
          <w:rPr>
            <w:rStyle w:val="Hyperlink"/>
          </w:rPr>
          <w:t xml:space="preserve">https://www.boe.es/buscar/act.php?id=BOE-A-2020-1066</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2">
        <w:r>
          <w:rPr>
            <w:rStyle w:val="Hyperlink"/>
          </w:rPr>
          <w:t xml:space="preserve">https://doi.org/10.1093/qje/qjz041</w:t>
        </w:r>
      </w:hyperlink>
      <w:r>
        <w:t xml:space="preserve">.</w:t>
      </w:r>
    </w:p>
    <w:bookmarkEnd w:id="383"/>
    <w:bookmarkStart w:id="385"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4">
        <w:r>
          <w:rPr>
            <w:rStyle w:val="Hyperlink"/>
          </w:rPr>
          <w:t xml:space="preserve">https://doi.org/10.1093/jeea/jvac060</w:t>
        </w:r>
      </w:hyperlink>
      <w:r>
        <w:t xml:space="preserve">.</w:t>
      </w:r>
    </w:p>
    <w:bookmarkEnd w:id="385"/>
    <w:bookmarkStart w:id="387"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6">
        <w:r>
          <w:rPr>
            <w:rStyle w:val="Hyperlink"/>
          </w:rPr>
          <w:t xml:space="preserve">https://doi.org/10.1086/466643</w:t>
        </w:r>
      </w:hyperlink>
      <w:r>
        <w:t xml:space="preserve">.</w:t>
      </w:r>
    </w:p>
    <w:bookmarkEnd w:id="387"/>
    <w:bookmarkStart w:id="389"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8">
        <w:r>
          <w:rPr>
            <w:rStyle w:val="Hyperlink"/>
          </w:rPr>
          <w:t xml:space="preserve">https://doi.org/10.1111/j.1430-9134.1996.00149.x</w:t>
        </w:r>
      </w:hyperlink>
      <w:r>
        <w:t xml:space="preserve">.</w:t>
      </w:r>
    </w:p>
    <w:bookmarkEnd w:id="389"/>
    <w:bookmarkStart w:id="391"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0">
        <w:r>
          <w:rPr>
            <w:rStyle w:val="Hyperlink"/>
          </w:rPr>
          <w:t xml:space="preserve">https://www.boe.es/diario_boe/txt.php?id=BOE-A-2026-19507</w:t>
        </w:r>
      </w:hyperlink>
      <w:r>
        <w:t xml:space="preserve">.</w:t>
      </w:r>
    </w:p>
    <w:bookmarkEnd w:id="391"/>
    <w:bookmarkStart w:id="392"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2"/>
    <w:bookmarkStart w:id="393"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3"/>
    <w:bookmarkStart w:id="394"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4"/>
    <w:bookmarkStart w:id="395"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5"/>
    <w:bookmarkStart w:id="397"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6">
        <w:r>
          <w:rPr>
            <w:rStyle w:val="Hyperlink"/>
          </w:rPr>
          <w:t xml:space="preserve">https://doi.org/10.2307/1883013</w:t>
        </w:r>
      </w:hyperlink>
      <w:r>
        <w:t xml:space="preserve">.</w:t>
      </w:r>
    </w:p>
    <w:bookmarkEnd w:id="397"/>
    <w:bookmarkStart w:id="3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8"/>
    <w:bookmarkStart w:id="400"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99">
        <w:r>
          <w:rPr>
            <w:rStyle w:val="Hyperlink"/>
          </w:rPr>
          <w:t xml:space="preserve">https://ideas.repec.org/a/aea/aecrev/v65y1975i5p966-77.html</w:t>
        </w:r>
      </w:hyperlink>
      <w:r>
        <w:t xml:space="preserve">.</w:t>
      </w:r>
    </w:p>
    <w:bookmarkEnd w:id="400"/>
    <w:bookmarkStart w:id="402"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1">
        <w:r>
          <w:rPr>
            <w:rStyle w:val="Hyperlink"/>
          </w:rPr>
          <w:t xml:space="preserve">https://doi.org/10.2307/1879566</w:t>
        </w:r>
      </w:hyperlink>
      <w:r>
        <w:t xml:space="preserve">.</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5"/>
    <w:bookmarkStart w:id="407"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6">
        <w:r>
          <w:rPr>
            <w:rStyle w:val="Hyperlink"/>
          </w:rPr>
          <w:t xml:space="preserve">https://doi.org/10.1016/0022-0531(86)90024-4</w:t>
        </w:r>
      </w:hyperlink>
      <w:r>
        <w:t xml:space="preserve">.</w:t>
      </w:r>
    </w:p>
    <w:bookmarkEnd w:id="407"/>
    <w:bookmarkStart w:id="408"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8"/>
    <w:bookmarkStart w:id="410"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09">
        <w:r>
          <w:rPr>
            <w:rStyle w:val="Hyperlink"/>
          </w:rPr>
          <w:t xml:space="preserve">https://doi.org/10.2307/1907343</w:t>
        </w:r>
      </w:hyperlink>
      <w:r>
        <w:t xml:space="preserve">.</w:t>
      </w:r>
    </w:p>
    <w:bookmarkEnd w:id="410"/>
    <w:bookmarkStart w:id="412"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1">
        <w:r>
          <w:rPr>
            <w:rStyle w:val="Hyperlink"/>
          </w:rPr>
          <w:t xml:space="preserve">https://doi.org/10.2307/2224214</w:t>
        </w:r>
      </w:hyperlink>
      <w:r>
        <w:t xml:space="preserve">.</w:t>
      </w:r>
    </w:p>
    <w:bookmarkEnd w:id="412"/>
    <w:bookmarkStart w:id="414"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3">
        <w:r>
          <w:rPr>
            <w:rStyle w:val="Hyperlink"/>
          </w:rPr>
          <w:t xml:space="preserve">https://doi.org/10.2307/1907054</w:t>
        </w:r>
      </w:hyperlink>
      <w:r>
        <w:t xml:space="preserve">.</w:t>
      </w:r>
    </w:p>
    <w:bookmarkEnd w:id="414"/>
    <w:bookmarkStart w:id="415"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5"/>
    <w:bookmarkStart w:id="416"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6"/>
    <w:bookmarkStart w:id="418"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7">
        <w:r>
          <w:rPr>
            <w:rStyle w:val="Hyperlink"/>
          </w:rPr>
          <w:t xml:space="preserve">https://www.boe.es/eli/es/l/2013/06/04/3</w:t>
        </w:r>
      </w:hyperlink>
      <w:r>
        <w:t xml:space="preserve">.</w:t>
      </w:r>
    </w:p>
    <w:bookmarkEnd w:id="418"/>
    <w:bookmarkStart w:id="420"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19">
        <w:r>
          <w:rPr>
            <w:rStyle w:val="Hyperlink"/>
          </w:rPr>
          <w:t xml:space="preserve">https://www.boe.es/buscar/act.php?id=BOE-A-2015-3443</w:t>
        </w:r>
      </w:hyperlink>
      <w:r>
        <w:t xml:space="preserve">.</w:t>
      </w:r>
    </w:p>
    <w:bookmarkEnd w:id="420"/>
    <w:bookmarkStart w:id="422"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1">
        <w:r>
          <w:rPr>
            <w:rStyle w:val="Hyperlink"/>
          </w:rPr>
          <w:t xml:space="preserve">https://doi.org/10.1086/466794</w:t>
        </w:r>
      </w:hyperlink>
      <w:r>
        <w:t xml:space="preserve">.</w:t>
      </w:r>
    </w:p>
    <w:bookmarkEnd w:id="422"/>
    <w:bookmarkStart w:id="423"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3"/>
    <w:bookmarkStart w:id="424"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4"/>
    <w:bookmarkStart w:id="426"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5">
        <w:r>
          <w:rPr>
            <w:rStyle w:val="Hyperlink"/>
          </w:rPr>
          <w:t xml:space="preserve">https://doi.org/10.1086/261392</w:t>
        </w:r>
      </w:hyperlink>
      <w:r>
        <w:t xml:space="preserve">.</w:t>
      </w:r>
    </w:p>
    <w:bookmarkEnd w:id="426"/>
    <w:bookmarkStart w:id="428"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27">
        <w:r>
          <w:rPr>
            <w:rStyle w:val="Hyperlink"/>
          </w:rPr>
          <w:t xml:space="preserve">https://doi.org/10.2307/1911362</w:t>
        </w:r>
      </w:hyperlink>
      <w:r>
        <w:t xml:space="preserve">.</w:t>
      </w:r>
    </w:p>
    <w:bookmarkEnd w:id="428"/>
    <w:bookmarkStart w:id="430"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29">
        <w:r>
          <w:rPr>
            <w:rStyle w:val="Hyperlink"/>
          </w:rPr>
          <w:t xml:space="preserve">https://doi.org/10.2307/2937958</w:t>
        </w:r>
      </w:hyperlink>
      <w:r>
        <w:t xml:space="preserve">.</w:t>
      </w:r>
    </w:p>
    <w:bookmarkEnd w:id="430"/>
    <w:bookmarkStart w:id="431"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1"/>
    <w:bookmarkStart w:id="433"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2">
        <w:r>
          <w:rPr>
            <w:rStyle w:val="Hyperlink"/>
          </w:rPr>
          <w:t xml:space="preserve">https://www.jstor.org/stable/1823775</w:t>
        </w:r>
      </w:hyperlink>
      <w:r>
        <w:t xml:space="preserve">.</w:t>
      </w:r>
    </w:p>
    <w:bookmarkEnd w:id="433"/>
    <w:bookmarkStart w:id="435"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4">
        <w:r>
          <w:rPr>
            <w:rStyle w:val="Hyperlink"/>
          </w:rPr>
          <w:t xml:space="preserve">https://doi.org/10.2307/2967480</w:t>
        </w:r>
      </w:hyperlink>
      <w:r>
        <w:t xml:space="preserve">.</w:t>
      </w:r>
    </w:p>
    <w:bookmarkEnd w:id="435"/>
    <w:bookmarkStart w:id="436"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6"/>
    <w:bookmarkStart w:id="438"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37">
        <w:r>
          <w:rPr>
            <w:rStyle w:val="Hyperlink"/>
          </w:rPr>
          <w:t xml:space="preserve">https://doi.org/10.1086/466949</w:t>
        </w:r>
      </w:hyperlink>
      <w:r>
        <w:t xml:space="preserve">.</w:t>
      </w:r>
    </w:p>
    <w:bookmarkEnd w:id="438"/>
    <w:bookmarkStart w:id="439"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39"/>
    <w:bookmarkStart w:id="441"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0">
        <w:r>
          <w:rPr>
            <w:rStyle w:val="Hyperlink"/>
          </w:rPr>
          <w:t xml:space="preserve">https://www.marxists.org/reference/subject/economics/marshall/bk1ch01.htm</w:t>
        </w:r>
      </w:hyperlink>
      <w:r>
        <w:t xml:space="preserve">.</w:t>
      </w:r>
    </w:p>
    <w:bookmarkEnd w:id="441"/>
    <w:bookmarkStart w:id="443"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2">
        <w:r>
          <w:rPr>
            <w:rStyle w:val="Hyperlink"/>
          </w:rPr>
          <w:t xml:space="preserve">https://doi.org/10.2307/2555674</w:t>
        </w:r>
      </w:hyperlink>
      <w:r>
        <w:t xml:space="preserve">.</w:t>
      </w:r>
    </w:p>
    <w:bookmarkEnd w:id="443"/>
    <w:bookmarkStart w:id="445"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4">
        <w:r>
          <w:rPr>
            <w:rStyle w:val="Hyperlink"/>
          </w:rPr>
          <w:t xml:space="preserve">https://ideas.repec.org/a/aea/aecrev/v71y1981i5p896-908.html</w:t>
        </w:r>
      </w:hyperlink>
      <w:r>
        <w:t xml:space="preserve">.</w:t>
      </w:r>
    </w:p>
    <w:bookmarkEnd w:id="445"/>
    <w:bookmarkStart w:id="447"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6">
        <w:r>
          <w:rPr>
            <w:rStyle w:val="Hyperlink"/>
          </w:rPr>
          <w:t xml:space="preserve">https://www.gutenberg.org/cache/epub/30107/pg30107.txt</w:t>
        </w:r>
      </w:hyperlink>
      <w:r>
        <w:t xml:space="preserve">.</w:t>
      </w:r>
    </w:p>
    <w:bookmarkEnd w:id="447"/>
    <w:bookmarkStart w:id="449"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48">
        <w:r>
          <w:rPr>
            <w:rStyle w:val="Hyperlink"/>
          </w:rPr>
          <w:t xml:space="preserve">https://www.boe.es/eli/es/rd/2017/02/03/55</w:t>
        </w:r>
      </w:hyperlink>
      <w:r>
        <w:t xml:space="preserve">.</w:t>
      </w:r>
    </w:p>
    <w:bookmarkEnd w:id="449"/>
    <w:bookmarkStart w:id="451"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0">
        <w:r>
          <w:rPr>
            <w:rStyle w:val="Hyperlink"/>
          </w:rPr>
          <w:t xml:space="preserve">https://www.boe.es/diario_boe/txt.php?id=BOE-A-2026-3815</w:t>
        </w:r>
      </w:hyperlink>
      <w:r>
        <w:t xml:space="preserve">.</w:t>
      </w:r>
    </w:p>
    <w:bookmarkEnd w:id="451"/>
    <w:bookmarkStart w:id="453"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2">
        <w:r>
          <w:rPr>
            <w:rStyle w:val="Hyperlink"/>
          </w:rPr>
          <w:t xml:space="preserve">https://doi.org/10.1086/258035</w:t>
        </w:r>
      </w:hyperlink>
      <w:r>
        <w:t xml:space="preserve">.</w:t>
      </w:r>
    </w:p>
    <w:bookmarkEnd w:id="453"/>
    <w:bookmarkStart w:id="455"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4">
        <w:r>
          <w:rPr>
            <w:rStyle w:val="Hyperlink"/>
          </w:rPr>
          <w:t xml:space="preserve">https://doi.org/10.1016/0022-0531(78)90085-6</w:t>
        </w:r>
      </w:hyperlink>
      <w:r>
        <w:t xml:space="preserve">.</w:t>
      </w:r>
    </w:p>
    <w:bookmarkEnd w:id="455"/>
    <w:bookmarkStart w:id="457"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6">
        <w:r>
          <w:rPr>
            <w:rStyle w:val="Hyperlink"/>
          </w:rPr>
          <w:t xml:space="preserve">https://doi.org/10.2307/1907266</w:t>
        </w:r>
      </w:hyperlink>
      <w:r>
        <w:t xml:space="preserve">.</w:t>
      </w:r>
    </w:p>
    <w:bookmarkEnd w:id="457"/>
    <w:bookmarkStart w:id="459"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58">
        <w:r>
          <w:rPr>
            <w:rStyle w:val="Hyperlink"/>
          </w:rPr>
          <w:t xml:space="preserve">https://doi.org/10.2307/1881841</w:t>
        </w:r>
      </w:hyperlink>
      <w:r>
        <w:t xml:space="preserve">.</w:t>
      </w:r>
    </w:p>
    <w:bookmarkEnd w:id="459"/>
    <w:bookmarkStart w:id="46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0">
        <w:r>
          <w:rPr>
            <w:rStyle w:val="Hyperlink"/>
          </w:rPr>
          <w:t xml:space="preserve">https://doi.org/10.4159/9780674041660</w:t>
        </w:r>
      </w:hyperlink>
      <w:r>
        <w:t xml:space="preserve">.</w:t>
      </w:r>
    </w:p>
    <w:bookmarkEnd w:id="461"/>
    <w:bookmarkStart w:id="463"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2">
        <w:r>
          <w:rPr>
            <w:rStyle w:val="Hyperlink"/>
          </w:rPr>
          <w:t xml:space="preserve">https://doi.org/10.2307/3003484</w:t>
        </w:r>
      </w:hyperlink>
      <w:r>
        <w:t xml:space="preserve">.</w:t>
      </w:r>
    </w:p>
    <w:bookmarkEnd w:id="463"/>
    <w:bookmarkStart w:id="46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4">
        <w:r>
          <w:rPr>
            <w:rStyle w:val="Hyperlink"/>
          </w:rPr>
          <w:t xml:space="preserve">https://doi.org/10.1086/466865</w:t>
        </w:r>
      </w:hyperlink>
      <w:r>
        <w:t xml:space="preserve">.</w:t>
      </w:r>
    </w:p>
    <w:bookmarkEnd w:id="465"/>
    <w:bookmarkStart w:id="467"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6">
        <w:r>
          <w:rPr>
            <w:rStyle w:val="Hyperlink"/>
          </w:rPr>
          <w:t xml:space="preserve">https://www.econlib.org/library/NPDBooks/Pigou/pgEW28.html</w:t>
        </w:r>
      </w:hyperlink>
      <w:r>
        <w:t xml:space="preserve">.</w:t>
      </w:r>
    </w:p>
    <w:bookmarkEnd w:id="467"/>
    <w:bookmarkStart w:id="469"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68">
        <w:r>
          <w:rPr>
            <w:rStyle w:val="Hyperlink"/>
          </w:rPr>
          <w:t xml:space="preserve">https://doi.org/10.1086/260357</w:t>
        </w:r>
      </w:hyperlink>
      <w:r>
        <w:t xml:space="preserve">.</w:t>
      </w:r>
    </w:p>
    <w:bookmarkEnd w:id="469"/>
    <w:bookmarkStart w:id="470"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4">
        <w:r>
          <w:rPr>
            <w:rStyle w:val="Hyperlink"/>
          </w:rPr>
          <w:t xml:space="preserve">https://www.promarket.org/2021/07/27/assessing-george-stiglers-economic-theory-of-regulation/</w:t>
        </w:r>
      </w:hyperlink>
      <w:r>
        <w:t xml:space="preserve">.</w:t>
      </w:r>
    </w:p>
    <w:bookmarkEnd w:id="470"/>
    <w:bookmarkStart w:id="472"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1">
        <w:r>
          <w:rPr>
            <w:rStyle w:val="Hyperlink"/>
          </w:rPr>
          <w:t xml:space="preserve">https://doi.org/10.2307/2222721</w:t>
        </w:r>
      </w:hyperlink>
      <w:r>
        <w:t xml:space="preserve">.</w:t>
      </w:r>
    </w:p>
    <w:bookmarkEnd w:id="472"/>
    <w:bookmarkStart w:id="474"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3">
        <w:r>
          <w:rPr>
            <w:rStyle w:val="Hyperlink"/>
          </w:rPr>
          <w:t xml:space="preserve">https://plato.stanford.edu/entries/ceteris-paribus/</w:t>
        </w:r>
      </w:hyperlink>
      <w:r>
        <w:t xml:space="preserve">.</w:t>
      </w:r>
    </w:p>
    <w:bookmarkEnd w:id="474"/>
    <w:bookmarkStart w:id="476"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5">
        <w:r>
          <w:rPr>
            <w:rStyle w:val="Hyperlink"/>
          </w:rPr>
          <w:t xml:space="preserve">https://www.gutenberg.org/cache/epub/33310/pg33310.txt</w:t>
        </w:r>
      </w:hyperlink>
      <w:r>
        <w:t xml:space="preserve">.</w:t>
      </w:r>
    </w:p>
    <w:bookmarkEnd w:id="476"/>
    <w:bookmarkStart w:id="477"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77"/>
    <w:bookmarkStart w:id="479"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78">
        <w:r>
          <w:rPr>
            <w:rStyle w:val="Hyperlink"/>
          </w:rPr>
          <w:t xml:space="preserve">https://doi.org/10.2307/1912531</w:t>
        </w:r>
      </w:hyperlink>
      <w:r>
        <w:t xml:space="preserve">.</w:t>
      </w:r>
    </w:p>
    <w:bookmarkEnd w:id="479"/>
    <w:bookmarkStart w:id="481"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0">
        <w:r>
          <w:rPr>
            <w:rStyle w:val="Hyperlink"/>
          </w:rPr>
          <w:t xml:space="preserve">https://www.youtube.com/watch?v=TO4snWe61JE</w:t>
        </w:r>
      </w:hyperlink>
      <w:r>
        <w:t xml:space="preserve">.</w:t>
      </w:r>
    </w:p>
    <w:bookmarkEnd w:id="481"/>
    <w:bookmarkStart w:id="482"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2"/>
    <w:bookmarkStart w:id="484"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3">
        <w:r>
          <w:rPr>
            <w:rStyle w:val="Hyperlink"/>
          </w:rPr>
          <w:t xml:space="preserve">https://minneapolisfed.org/article/2012/new-and-larger-costs-of-monopoly-and-tariffs</w:t>
        </w:r>
      </w:hyperlink>
      <w:r>
        <w:t xml:space="preserve">.</w:t>
      </w:r>
    </w:p>
    <w:bookmarkEnd w:id="484"/>
    <w:bookmarkStart w:id="485"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5"/>
    <w:bookmarkStart w:id="48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6"/>
    <w:bookmarkStart w:id="48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87"/>
    <w:bookmarkStart w:id="489"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88">
        <w:r>
          <w:rPr>
            <w:rStyle w:val="Hyperlink"/>
          </w:rPr>
          <w:t xml:space="preserve">https://www.gutenberg.org/cache/epub/3300/pg3300.txt</w:t>
        </w:r>
      </w:hyperlink>
      <w:r>
        <w:t xml:space="preserve">.</w:t>
      </w:r>
    </w:p>
    <w:bookmarkEnd w:id="489"/>
    <w:bookmarkStart w:id="491"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0">
        <w:r>
          <w:rPr>
            <w:rStyle w:val="Hyperlink"/>
          </w:rPr>
          <w:t xml:space="preserve">https://doi.org/10.1086/256964</w:t>
        </w:r>
      </w:hyperlink>
      <w:r>
        <w:t xml:space="preserve">.</w:t>
      </w:r>
    </w:p>
    <w:bookmarkEnd w:id="491"/>
    <w:bookmarkStart w:id="493"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2">
        <w:r>
          <w:rPr>
            <w:rStyle w:val="Hyperlink"/>
          </w:rPr>
          <w:t xml:space="preserve">https://doi.org/10.2307/1885712</w:t>
        </w:r>
      </w:hyperlink>
      <w:r>
        <w:t xml:space="preserve">.</w:t>
      </w:r>
    </w:p>
    <w:bookmarkEnd w:id="493"/>
    <w:bookmarkStart w:id="494"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5">
        <w:r>
          <w:rPr>
            <w:rStyle w:val="Hyperlink"/>
          </w:rPr>
          <w:t xml:space="preserve">https://www.youtube.com/watch?v=lhD5s-4v3oM</w:t>
        </w:r>
      </w:hyperlink>
      <w:r>
        <w:t xml:space="preserve">.</w:t>
      </w:r>
    </w:p>
    <w:bookmarkEnd w:id="494"/>
    <w:bookmarkStart w:id="496"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5">
        <w:r>
          <w:rPr>
            <w:rStyle w:val="Hyperlink"/>
          </w:rPr>
          <w:t xml:space="preserve">https://doi.org/10.2307/3003160</w:t>
        </w:r>
      </w:hyperlink>
      <w:r>
        <w:t xml:space="preserve">.</w:t>
      </w:r>
    </w:p>
    <w:bookmarkEnd w:id="496"/>
    <w:bookmarkStart w:id="498"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97">
        <w:r>
          <w:rPr>
            <w:rStyle w:val="Hyperlink"/>
          </w:rPr>
          <w:t xml:space="preserve">https://www.nobelprize.org/prizes/economic-sciences/1982/summary/</w:t>
        </w:r>
      </w:hyperlink>
      <w:r>
        <w:t xml:space="preserve">.</w:t>
      </w:r>
    </w:p>
    <w:bookmarkEnd w:id="498"/>
    <w:bookmarkStart w:id="500"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99">
        <w:r>
          <w:rPr>
            <w:rStyle w:val="Hyperlink"/>
          </w:rPr>
          <w:t xml:space="preserve">https://www.nobelprize.org/prizes/economic-sciences/2014/summary/</w:t>
        </w:r>
      </w:hyperlink>
      <w:r>
        <w:t xml:space="preserve">.</w:t>
      </w:r>
    </w:p>
    <w:bookmarkEnd w:id="500"/>
    <w:bookmarkStart w:id="50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1"/>
    <w:bookmarkStart w:id="503"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2">
        <w:r>
          <w:rPr>
            <w:rStyle w:val="Hyperlink"/>
          </w:rPr>
          <w:t xml:space="preserve">https://www.nobelprize.org/prizes/economic-sciences/2014/tirole/lecture/</w:t>
        </w:r>
      </w:hyperlink>
      <w:r>
        <w:t xml:space="preserve">.</w:t>
      </w:r>
    </w:p>
    <w:bookmarkEnd w:id="503"/>
    <w:bookmarkStart w:id="50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4"/>
    <w:bookmarkStart w:id="506"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5">
        <w:r>
          <w:rPr>
            <w:rStyle w:val="Hyperlink"/>
          </w:rPr>
          <w:t xml:space="preserve">https://www.boe.es/buscar/doc.php?id=DOUE-Z-2010-70002</w:t>
        </w:r>
      </w:hyperlink>
      <w:r>
        <w:t xml:space="preserve">.</w:t>
      </w:r>
    </w:p>
    <w:bookmarkEnd w:id="506"/>
    <w:bookmarkStart w:id="507"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07"/>
    <w:bookmarkStart w:id="508"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08"/>
    <w:bookmarkStart w:id="510"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09">
        <w:r>
          <w:rPr>
            <w:rStyle w:val="Hyperlink"/>
          </w:rPr>
          <w:t xml:space="preserve">https://doi.org/10.1016/S1573-448X(89)01013-7</w:t>
        </w:r>
      </w:hyperlink>
      <w:r>
        <w:t xml:space="preserve">.</w:t>
      </w:r>
    </w:p>
    <w:bookmarkEnd w:id="510"/>
    <w:bookmarkStart w:id="511"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1"/>
    <w:bookmarkStart w:id="512"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2"/>
    <w:bookmarkStart w:id="514"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3">
        <w:r>
          <w:rPr>
            <w:rStyle w:val="Hyperlink"/>
          </w:rPr>
          <w:t xml:space="preserve">https://doi.org/10.2307/3003414</w:t>
        </w:r>
      </w:hyperlink>
      <w:r>
        <w:t xml:space="preserve">.</w:t>
      </w:r>
    </w:p>
    <w:bookmarkEnd w:id="514"/>
    <w:bookmarkStart w:id="516"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5">
        <w:r>
          <w:rPr>
            <w:rStyle w:val="Hyperlink"/>
          </w:rPr>
          <w:t xml:space="preserve">https://doi.org/10.2307/3003191</w:t>
        </w:r>
      </w:hyperlink>
      <w:r>
        <w:t xml:space="preserve">.</w:t>
      </w:r>
    </w:p>
    <w:bookmarkEnd w:id="516"/>
    <w:bookmarkStart w:id="518"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17">
        <w:r>
          <w:rPr>
            <w:rStyle w:val="Hyperlink"/>
          </w:rPr>
          <w:t xml:space="preserve">https://doi.org/10.2514/8.155</w:t>
        </w:r>
      </w:hyperlink>
      <w:r>
        <w:t xml:space="preserve">.</w:t>
      </w:r>
    </w:p>
    <w:bookmarkEnd w:id="518"/>
    <w:bookmarkStart w:id="520"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19">
        <w:r>
          <w:rPr>
            <w:rStyle w:val="Hyperlink"/>
          </w:rPr>
          <w:t xml:space="preserve">https://doi.org/10.1257/aer.20200025</w:t>
        </w:r>
      </w:hyperlink>
      <w:r>
        <w:t xml:space="preserve">.</w:t>
      </w:r>
    </w:p>
    <w:bookmarkEnd w:id="520"/>
    <w:bookmarkEnd w:id="521"/>
    <w:bookmarkEnd w:id="52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71">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5">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8">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3">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6" Target="media/rId266.png" /><Relationship Type="http://schemas.openxmlformats.org/officeDocument/2006/relationships/image" Id="rId85" Target="media/rId85.png" /><Relationship Type="http://schemas.openxmlformats.org/officeDocument/2006/relationships/image" Id="rId300" Target="media/rId30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4" Target="media/rId314.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5" Target="media/rId305.png" /><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52" Target="media/rId5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2026-10-20T14:06:46Z</dcterms:created>
  <dcterms:modified xsi:type="dcterms:W3CDTF">2026-10-20T14:06:46Z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