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88.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39.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02.png" ContentType="image/png"/>
  <Override PartName="/word/media/rId244.png" ContentType="image/png"/>
  <Override PartName="/word/media/rId216.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(Engel)</w:t>
      </w:r>
      <w:r>
        <w:br/>
      </w:r>
      <w:r>
        <w:t xml:space="preserve">2. Variaciones en los precios (Slutsky, Cournot)</w:t>
      </w:r>
      <w:r>
        <w:br/>
      </w:r>
      <w:r>
        <w:t xml:space="preserve">3. Valoración</w:t>
      </w:r>
      <w:r>
        <w:br/>
      </w:r>
      <w:r>
        <w:t xml:space="preserve">III. Otros desarrollos de la teoría de la demanda</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tres desarrollos que acercan la teoría a lo observable (preferencia revelada, producción doméstica y precios hedónicos). Reparto orientativo del cante: I, 10 minutos (I.1, 5; I.2, 3; I.3, 2); II, 7 (II.1, 2; II.2, 4; II.3, 1); III, 7 (3 + 1,5 + 2,5).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259e28cd8918d972b8412f8d61c55997d28be0b"/>
    <w:p>
      <w:pPr>
        <w:pStyle w:val="Heading1"/>
      </w:pPr>
      <w:r>
        <w:t xml:space="preserve">I.</w:t>
      </w:r>
      <w:r>
        <w:t xml:space="preserve"> </w:t>
      </w:r>
      <w:r>
        <w:t xml:space="preserve">Análisis de la teoría neoclásica de la demanda del consumidor (I): fundamentos de la teoría de la elección racional</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372100" cy="1921871"/>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siete axiomas con lo que garantiza cada uno y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Después, el conjunto presupuestario y la recta de balance. Los cuatro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20"/>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9"/>
        </w:numPr>
      </w:pPr>
      <w:r>
        <w:t xml:space="preserve">Entre dos cestas cualesquiera caben cuatro casos lógicos (gráfico 2):</w:t>
      </w:r>
    </w:p>
    <w:p>
      <w:pPr>
        <w:numPr>
          <w:ilvl w:val="2"/>
          <w:numId w:val="1021"/>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1"/>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1"/>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9"/>
        </w:numPr>
      </w:pPr>
      <w:r>
        <w:t xml:space="preserve">Para cada cesta</w:t>
      </w:r>
      <w:r>
        <w:t xml:space="preserve"> </w:t>
      </w:r>
      <m:oMath>
        <m:sSup>
          <m:e>
            <m:r>
              <m:t>x</m:t>
            </m:r>
          </m:e>
          <m:sup>
            <m:r>
              <m:t>0</m:t>
            </m:r>
          </m:sup>
        </m:sSup>
      </m:oMath>
      <w:r>
        <w:t xml:space="preserve">, la relación define tres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que resume también qué garantiza cada uno):</w:t>
      </w:r>
    </w:p>
    <w:p>
      <w:pPr>
        <w:numPr>
          <w:ilvl w:val="1"/>
          <w:numId w:val="1024"/>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7"/>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30"/>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4559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073650" cy="3945591"/>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758490"/>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68347" cy="2758490"/>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580596"/>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073650" cy="1580596"/>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t xml:space="preserve">Pérez Domínguez (</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dos de sus cestas.</w:t>
      </w:r>
    </w:p>
    <w:p>
      <w:pPr>
        <w:numPr>
          <w:ilvl w:val="0"/>
          <w:numId w:val="1045"/>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dos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 Kuhn-Tucker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3"/>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4"/>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5"/>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6"/>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21554"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7"/>
        </w:numPr>
      </w:pPr>
      <w:r>
        <w:t xml:space="preserve">Sus</w:t>
      </w:r>
      <w:r>
        <w:t xml:space="preserve"> </w:t>
      </w:r>
      <w:r>
        <w:rPr>
          <w:b/>
          <w:bCs/>
        </w:rPr>
        <w:t xml:space="preserve">propiedades</w:t>
      </w:r>
      <w:r>
        <w:t xml:space="preserve">:</w:t>
      </w:r>
    </w:p>
    <w:p>
      <w:pPr>
        <w:numPr>
          <w:ilvl w:val="1"/>
          <w:numId w:val="1058"/>
        </w:numPr>
      </w:pPr>
      <w:r>
        <w:rPr>
          <w:i/>
          <w:iCs/>
        </w:rPr>
        <w:t xml:space="preserve">Existe y es única</w:t>
      </w:r>
      <w:r>
        <w:t xml:space="preserve">.</w:t>
      </w:r>
      <w:r>
        <w:rPr>
          <w:rStyle w:val="FootnoteReference"/>
        </w:rPr>
        <w:footnoteReference w:id="110"/>
      </w:r>
    </w:p>
    <w:p>
      <w:pPr>
        <w:numPr>
          <w:ilvl w:val="1"/>
          <w:numId w:val="105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1"/>
      </w:r>
    </w:p>
    <w:p>
      <w:pPr>
        <w:numPr>
          <w:ilvl w:val="1"/>
          <w:numId w:val="105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5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9"/>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6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60"/>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6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2"/>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62"/>
        </w:numPr>
      </w:pPr>
      <w:r>
        <w:t xml:space="preserve">Casos particulares:</w:t>
      </w:r>
    </w:p>
    <w:p>
      <w:pPr>
        <w:numPr>
          <w:ilvl w:val="2"/>
          <w:numId w:val="106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4"/>
        </w:numPr>
      </w:pPr>
      <w:r>
        <w:rPr>
          <w:b/>
          <w:bCs/>
        </w:rPr>
        <w:t xml:space="preserve">El efecto renta nulo</w:t>
      </w:r>
      <w:r>
        <w:t xml:space="preserve"> </w:t>
      </w:r>
      <w:r>
        <w:t xml:space="preserve">(preferencias cuasilineales) es el caso más usado en equilibrio parcial porque:</w:t>
      </w:r>
    </w:p>
    <w:p>
      <w:pPr>
        <w:numPr>
          <w:ilvl w:val="1"/>
          <w:numId w:val="1065"/>
        </w:numPr>
      </w:pPr>
      <w:r>
        <w:t xml:space="preserve">la demanda de cada bien depende solo de los precios, y la agregación es inmediata;</w:t>
      </w:r>
    </w:p>
    <w:p>
      <w:pPr>
        <w:numPr>
          <w:ilvl w:val="1"/>
          <w:numId w:val="106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4"/>
        </w:numPr>
      </w:pPr>
      <w:r>
        <w:rPr>
          <w:b/>
          <w:bCs/>
        </w:rPr>
        <w:t xml:space="preserve">Problemas del efecto renta nulo</w:t>
      </w:r>
      <w:r>
        <w:t xml:space="preserve">:</w:t>
      </w:r>
    </w:p>
    <w:p>
      <w:pPr>
        <w:numPr>
          <w:ilvl w:val="1"/>
          <w:numId w:val="106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6"/>
        </w:numPr>
      </w:pPr>
      <w:r>
        <w:t xml:space="preserve">exige que toda la renta adicional vaya al numerario, lo que solo es razonable para bienes que pesan poco en el gasto;</w:t>
      </w:r>
    </w:p>
    <w:p>
      <w:pPr>
        <w:numPr>
          <w:ilvl w:val="1"/>
          <w:numId w:val="1066"/>
        </w:numPr>
      </w:pPr>
      <w:r>
        <w:t xml:space="preserve">si la renta de algún consumidor es baja, aparecen soluciones de esquina en el numerario y la forma deja de valer;</w:t>
      </w:r>
    </w:p>
    <w:p>
      <w:pPr>
        <w:numPr>
          <w:ilvl w:val="1"/>
          <w:numId w:val="106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p>
      <w:pPr>
        <w:numPr>
          <w:ilvl w:val="0"/>
          <w:numId w:val="1067"/>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4" w:name="Xfc271646a2d08b145c758d58cda4d7e1396cb1d"/>
    <w:p>
      <w:pPr>
        <w:pStyle w:val="Heading1"/>
      </w:pPr>
      <w:r>
        <w:t xml:space="preserve">II.</w:t>
      </w:r>
      <w:r>
        <w:t xml:space="preserve"> </w:t>
      </w:r>
      <w:r>
        <w:t xml:space="preserve">Análisis de la teoría neoclásica de la demanda del consumidor (II): estática comparativa (análisis gráfico y de elasticidades)</w:t>
      </w:r>
    </w:p>
    <w:p>
      <w:pPr>
        <w:pStyle w:val="Notaalopositor"/>
      </w:pPr>
      <w:r>
        <w:rPr>
          <w:b/>
          <w:bCs/>
        </w:rPr>
        <w:t xml:space="preserve">Nota al opositor. </w:t>
      </w:r>
      <w:r>
        <w:t xml:space="preserve">En el cante: variaciones en la renta (unos 2 minutos), variaciones en los precios, propio y cruzado (4),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8"/>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9"/>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69"/>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 Engel</w:t>
      </w:r>
    </w:p>
    <w:p>
      <w:pPr>
        <w:numPr>
          <w:ilvl w:val="0"/>
          <w:numId w:val="1070"/>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1"/>
        </w:numPr>
      </w:pPr>
      <w:r>
        <w:t xml:space="preserve">Si los dos bienes son normales, tiene pendiente positiva; en el tramo en que uno de ellos es inferior, la pendiente es negativa.</w:t>
      </w:r>
    </w:p>
    <w:p>
      <w:pPr>
        <w:numPr>
          <w:ilvl w:val="1"/>
          <w:numId w:val="1071"/>
        </w:numPr>
      </w:pPr>
      <w:r>
        <w:t xml:space="preserve">Con preferencias homotéticas, la CRC es una semirrecta que parte del origen: la proporción en que se consumen los bienes no depende de la renta.</w:t>
      </w:r>
      <w:r>
        <w:rPr>
          <w:rStyle w:val="FootnoteReference"/>
        </w:rPr>
        <w:footnoteReference w:id="127"/>
      </w:r>
    </w:p>
    <w:p>
      <w:pPr>
        <w:numPr>
          <w:ilvl w:val="0"/>
          <w:numId w:val="1070"/>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2"/>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2"/>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 Engel</w:t>
      </w:r>
    </w:p>
    <w:p>
      <w:pPr>
        <w:numPr>
          <w:ilvl w:val="0"/>
          <w:numId w:val="1073"/>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73"/>
        </w:numPr>
      </w:pPr>
      <w:r>
        <w:t xml:space="preserve">Según su valor, los bienes se clasifican (tabla 1) en:</w:t>
      </w:r>
    </w:p>
    <w:p>
      <w:pPr>
        <w:numPr>
          <w:ilvl w:val="1"/>
          <w:numId w:val="1074"/>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4"/>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4"/>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5"/>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5"/>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73"/>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6"/>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 Engel</w:t>
      </w:r>
    </w:p>
    <w:p>
      <w:pPr>
        <w:numPr>
          <w:ilvl w:val="0"/>
          <w:numId w:val="1077"/>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8"/>
        </w:numPr>
      </w:pPr>
      <w:r>
        <w:t xml:space="preserve">La media de las elasticidades-renta, ponderada por las participaciones en el gasto, es igual a uno: cuando aumenta la renta, el gasto total aumenta en la misma cuantía.</w:t>
      </w:r>
    </w:p>
    <w:p>
      <w:pPr>
        <w:numPr>
          <w:ilvl w:val="1"/>
          <w:numId w:val="1078"/>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2"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79"/>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9"/>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t xml:space="preserve">Varian (</w:t>
      </w:r>
      <w:hyperlink w:anchor="ref-Varian2016Intermedia">
        <w:r>
          <w:rPr>
            <w:rStyle w:val="Hyperlink"/>
          </w:rPr>
          <w:t xml:space="preserve">2016, cap. 6</w:t>
        </w:r>
      </w:hyperlink>
      <w:r>
        <w:t xml:space="preserve">)</w:t>
      </w:r>
      <w:r>
        <w:t xml:space="preserve">.</w:t>
      </w:r>
    </w:p>
    <w:bookmarkEnd w:id="146"/>
    <w:bookmarkStart w:id="169"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0"/>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1"/>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1"/>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7"/>
    <w:p>
      <w:pPr>
        <w:pStyle w:val="BodyText"/>
      </w:pPr>
      <w:r>
        <w:rPr>
          <w:i/>
          <w:iCs/>
        </w:rPr>
        <w:t xml:space="preserve">Fuente: elaboración propia.</w:t>
      </w:r>
    </w:p>
    <w:bookmarkEnd w:id="148"/>
    <w:bookmarkStart w:id="165" w:name="X48ba6469c19ce68a111ea029ce3090ff64e14be"/>
    <w:p>
      <w:pPr>
        <w:pStyle w:val="Heading4"/>
      </w:pPr>
      <w:r>
        <w:t xml:space="preserve">Efecto sustitución y efecto renta: la ecuación de Slutsky para el precio propio</w:t>
      </w:r>
    </w:p>
    <w:p>
      <w:pPr>
        <w:numPr>
          <w:ilvl w:val="0"/>
          <w:numId w:val="1082"/>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2"/>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2"/>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83"/>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3"/>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numPr>
          <w:ilvl w:val="0"/>
          <w:numId w:val="1082"/>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4"/>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4"/>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p>
            <w:pPr>
              <w:pStyle w:val="Celdatceesalvia"/>
              <w:jc w:val="left"/>
            </w:pPr>
            <m:oMath>
              <m:limLow>
                <m:e>
                  <m:limLow>
                    <m:e>
                      <m:r>
                        <m:rPr>
                          <m:sty m:val="p"/>
                        </m:rPr>
                        <m:t>−</m:t>
                      </m:r>
                      <m:r>
                        <m:t> </m:t>
                      </m:r>
                      <m:sSub>
                        <m:e>
                          <m:r>
                            <m:t>x</m:t>
                          </m:r>
                        </m:e>
                        <m:sub>
                          <m:r>
                            <m:t>i</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p>
            <w:pPr>
              <w:pStyle w:val="Celdatceeazulpalido"/>
              <w:jc w:val="left"/>
            </w:pPr>
            <w:r>
              <w:rPr>
                <w:i/>
                <w:iCs/>
              </w:rPr>
              <w:t xml:space="preserve">Efecto sustitución propio</w:t>
            </w:r>
          </w:p>
        </w:tc>
        <w:tc>
          <w:tcPr/>
          <w:p>
            <w:pPr>
              <w:pStyle w:val="Celdatceeazulpalido"/>
              <w:jc w:val="left"/>
            </w:pPr>
            <w:r>
              <w:rPr>
                <w:i/>
                <w:iCs/>
              </w:rPr>
              <w:t xml:space="preserve">Efecto renta propio</w:t>
            </w:r>
          </w:p>
        </w:tc>
        <w:tc>
          <w:tcPr/>
          <w:p>
            <w:pPr>
              <w:pStyle w:val="Celdatceeazulpalido"/>
              <w:jc w:val="left"/>
            </w:pPr>
            <w:r>
              <w:rPr>
                <w:i/>
                <w:iCs/>
              </w:rPr>
              <w:t xml:space="preserve">Efecto total propio</w:t>
            </w:r>
          </w:p>
        </w:tc>
      </w:tr>
      <w:tr>
        <w:tc>
          <w:tcPr/>
          <w:p>
            <w:pPr>
              <w:pStyle w:val="Compact"/>
              <w:jc w:val="left"/>
            </w:pPr>
            <m:oMath>
              <m:r>
                <m:rPr>
                  <m:sty m:val="p"/>
                </m:rPr>
                <m:t>≤</m:t>
              </m:r>
              <m:r>
                <m:t>0</m:t>
              </m:r>
            </m:oMath>
          </w:p>
        </w:tc>
        <w:tc>
          <w:tcPr/>
          <w:p>
            <w:pPr>
              <w:pStyle w:val="Compact"/>
              <w:jc w:val="left"/>
            </w:pPr>
            <m:oMath>
              <m:r>
                <m:rPr>
                  <m:sty m:val="p"/>
                </m:rPr>
                <m:t>&lt;</m:t>
              </m:r>
              <m:r>
                <m:t>0</m:t>
              </m:r>
            </m:oMath>
            <w:r>
              <w:br/>
            </w:r>
            <w:r>
              <w:rPr>
                <w:rStyle w:val="Textoverde"/>
              </w:rPr>
              <w:t xml:space="preserve">Bien normal</w:t>
            </w:r>
          </w:p>
        </w:tc>
        <w:tc>
          <w:tcPr>
            <w:vMerge w:val="restart"/>
          </w:tcPr>
          <w:p>
            <w:pPr>
              <w:pStyle w:val="Compact"/>
              <w:jc w:val="left"/>
            </w:pPr>
            <m:oMath>
              <m:r>
                <m:rPr>
                  <m:sty m:val="p"/>
                </m:rPr>
                <m:t>≤</m:t>
              </m:r>
              <m:r>
                <m:t>0</m:t>
              </m:r>
            </m:oMath>
            <w:r>
              <w:br/>
            </w:r>
            <w:r>
              <w:rPr>
                <w:rStyle w:val="Textoazul"/>
              </w:rPr>
              <w:t xml:space="preserve">Bien ordinario</w:t>
            </w:r>
            <w:r>
              <w:br/>
            </w:r>
            <w:r>
              <w:t xml:space="preserve">(|ES|</w:t>
            </w:r>
            <w:r>
              <w:t xml:space="preserve"> </w:t>
            </w:r>
            <m:oMath>
              <m:r>
                <m:rPr>
                  <m:sty m:val="p"/>
                </m:rPr>
                <m:t>≥</m:t>
              </m:r>
            </m:oMath>
            <w:r>
              <w:t xml:space="preserve"> </w:t>
            </w:r>
            <w:r>
              <w:t xml:space="preserve">ER)</w:t>
            </w:r>
          </w:p>
        </w:tc>
      </w:tr>
      <w:tr>
        <w:tc>
          <w:tcPr/>
          <w:p>
            <w:pPr>
              <w:pStyle w:val="Compact"/>
              <w:jc w:val="left"/>
            </w:pPr>
            <m:oMath>
              <m:r>
                <m:rPr>
                  <m:sty m:val="p"/>
                </m:rPr>
                <m:t>≤</m:t>
              </m:r>
              <m:r>
                <m:t>0</m:t>
              </m:r>
            </m:oMath>
          </w:p>
        </w:tc>
        <w:tc>
          <w:tcPr/>
          <w:p>
            <w:pPr>
              <w:pStyle w:val="Compact"/>
              <w:jc w:val="left"/>
            </w:pPr>
            <m:oMath>
              <m:r>
                <m:rPr>
                  <m:sty m:val="p"/>
                </m:rPr>
                <m:t>=</m:t>
              </m:r>
              <m:r>
                <m:t>0</m:t>
              </m:r>
            </m:oMath>
            <w:r>
              <w:br/>
            </w:r>
            <w:r>
              <w:t xml:space="preserve">Bien frontera</w:t>
            </w:r>
          </w:p>
        </w:tc>
        <w:tc>
          <w:tcPr>
            <w:gridSpan w:val="1"/>
            <w:vMerge w:val="continue"/>
          </w:tcPr>
          <w:p>
            <w:pPr/>
          </w:p>
        </w:tc>
      </w:tr>
      <w:tr>
        <w:tc>
          <w:tcPr/>
          <w:p>
            <w:pPr>
              <w:pStyle w:val="Compact"/>
              <w:jc w:val="left"/>
            </w:pPr>
            <m:oMath>
              <m:r>
                <m:rPr>
                  <m:sty m:val="p"/>
                </m:rPr>
                <m:t>≤</m:t>
              </m:r>
              <m:r>
                <m:t>0</m:t>
              </m:r>
            </m:oMath>
          </w:p>
        </w:tc>
        <w:tc>
          <w:tcPr>
            <w:vMerge w:val="restart"/>
          </w:tcPr>
          <w:p>
            <w:pPr>
              <w:pStyle w:val="Compact"/>
              <w:jc w:val="left"/>
            </w:pPr>
            <m:oMath>
              <m:r>
                <m:rPr>
                  <m:sty m:val="p"/>
                </m:rPr>
                <m:t>&gt;</m:t>
              </m:r>
              <m:r>
                <m:t>0</m:t>
              </m:r>
            </m:oMath>
            <w:r>
              <w:br/>
            </w:r>
            <w:r>
              <w:rPr>
                <w:rStyle w:val="Textonaranja"/>
              </w:rPr>
              <w:t xml:space="preserve">Bien inferior</w:t>
            </w:r>
          </w:p>
        </w:tc>
        <w:tc>
          <w:tcPr>
            <w:gridSpan w:val="1"/>
            <w:vMerge w:val="continue"/>
          </w:tcPr>
          <w:p>
            <w:pPr/>
          </w:p>
        </w:tc>
      </w:tr>
      <w:tr>
        <w:tc>
          <w:tcPr/>
          <w:p>
            <w:pPr>
              <w:pStyle w:val="Compact"/>
              <w:jc w:val="left"/>
            </w:pPr>
            <m:oMath>
              <m:r>
                <m:rPr>
                  <m:sty m:val="p"/>
                </m:rPr>
                <m:t>≤</m:t>
              </m:r>
              <m:r>
                <m:t>0</m:t>
              </m:r>
            </m:oMath>
          </w:p>
        </w:tc>
        <w:tc>
          <w:tcPr>
            <w:gridSpan w:val="1"/>
            <w:vMerge w:val="continue"/>
          </w:tcPr>
          <w:p>
            <w:pPr/>
          </w:p>
        </w:tc>
        <w:tc>
          <w:tcPr/>
          <w:p>
            <w:pPr>
              <w:pStyle w:val="Compact"/>
              <w:jc w:val="left"/>
            </w:pPr>
            <m:oMath>
              <m:r>
                <m:rPr>
                  <m:sty m:val="p"/>
                </m:rPr>
                <m:t>&gt;</m:t>
              </m:r>
              <m:r>
                <m:t>0</m:t>
              </m:r>
            </m:oMath>
            <w:r>
              <w:br/>
            </w:r>
            <w:r>
              <w:rPr>
                <w:rStyle w:val="Textorojo"/>
              </w:rPr>
              <w:t xml:space="preserve">Bien</w:t>
            </w:r>
            <w:r>
              <w:rPr>
                <w:rStyle w:val="Textorojo"/>
              </w:rPr>
              <w:t xml:space="preserve"> </w:t>
            </w:r>
            <w:r>
              <w:rPr>
                <w:rStyle w:val="Textorojo"/>
                <w:smallCaps/>
              </w:rPr>
              <w:t xml:space="preserve">Giffen</w:t>
            </w:r>
            <w:r>
              <w:br/>
            </w:r>
            <w:r>
              <w:t xml:space="preserve">(ER</w:t>
            </w:r>
            <w:r>
              <w:t xml:space="preserve"> </w:t>
            </w:r>
            <m:oMath>
              <m:r>
                <m:rPr>
                  <m:sty m:val="p"/>
                </m:rPr>
                <m:t>&gt;</m:t>
              </m:r>
            </m:oMath>
            <w:r>
              <w:t xml:space="preserve"> </w:t>
            </w:r>
            <w:r>
              <w:t xml:space="preserve">|ES|)</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numPr>
          <w:ilvl w:val="0"/>
          <w:numId w:val="1085"/>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6"/>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6"/>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5"/>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7"/>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8"/>
        </w:numPr>
      </w:pPr>
      <w:r>
        <w:t xml:space="preserve">«A.9 Efectos de renta y sustitución»:</w:t>
      </w:r>
      <w:r>
        <w:t xml:space="preserve"> </w:t>
      </w:r>
      <w:hyperlink r:id="rId163">
        <w:r>
          <w:rPr>
            <w:rStyle w:val="Hyperlink"/>
          </w:rPr>
          <w:t xml:space="preserve">https://www.youtube.com/watch?v=J0PSPX2B5FI</w:t>
        </w:r>
      </w:hyperlink>
    </w:p>
    <w:p>
      <w:pPr>
        <w:pStyle w:val="Cajadeanotaciones"/>
        <w:numPr>
          <w:ilvl w:val="0"/>
          <w:numId w:val="1088"/>
        </w:numPr>
      </w:pPr>
      <w:r>
        <w:t xml:space="preserve">«A.10 Demandas marshalliana y hicksiana»:</w:t>
      </w:r>
      <w:r>
        <w:t xml:space="preserve"> </w:t>
      </w:r>
      <w:hyperlink r:id="rId164">
        <w:r>
          <w:rPr>
            <w:rStyle w:val="Hyperlink"/>
          </w:rPr>
          <w:t xml:space="preserve">https://policonomics.com/es/video-a10-demandas-marshalliana-hicksiana/</w:t>
        </w:r>
      </w:hyperlink>
    </w:p>
    <w:bookmarkEnd w:id="165"/>
    <w:bookmarkStart w:id="166" w:name="Xaaa1e4df7044140dee48bca4ee19ec63f092a77"/>
    <w:p>
      <w:pPr>
        <w:pStyle w:val="Heading4"/>
      </w:pPr>
      <w:r>
        <w:t xml:space="preserve">Elasticidad-precio cruzada: sustitutivos y complementarios brutos</w:t>
      </w:r>
    </w:p>
    <w:p>
      <w:pPr>
        <w:numPr>
          <w:ilvl w:val="0"/>
          <w:numId w:val="1089"/>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0"/>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9"/>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6"/>
    <w:bookmarkStart w:id="168" w:name="X2d943c7574facc3af59dae703202b6504df7dff"/>
    <w:p>
      <w:pPr>
        <w:pStyle w:val="Heading4"/>
      </w:pPr>
      <w:r>
        <w:t xml:space="preserve">Ecuación de Slutsky para el precio cruzado: sustitutivos y complementarios netos</w:t>
      </w:r>
    </w:p>
    <w:p>
      <w:pPr>
        <w:numPr>
          <w:ilvl w:val="0"/>
          <w:numId w:val="1091"/>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91"/>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92"/>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2"/>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91"/>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7"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p>
            <w:pPr>
              <w:pStyle w:val="Celdatceesalvia"/>
              <w:jc w:val="left"/>
            </w:pPr>
            <m:oMath>
              <m:limLow>
                <m:e>
                  <m:limLow>
                    <m:e>
                      <m:r>
                        <m:rPr>
                          <m:sty m:val="p"/>
                        </m:rPr>
                        <m:t>−</m:t>
                      </m:r>
                      <m:r>
                        <m:t> </m:t>
                      </m:r>
                      <m:sSub>
                        <m:e>
                          <m:r>
                            <m:t>x</m:t>
                          </m:r>
                        </m:e>
                        <m:sub>
                          <m:r>
                            <m:t>j</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p>
            <w:pPr>
              <w:pStyle w:val="Celdatceesalmon"/>
              <w:jc w:val="left"/>
            </w:pPr>
            <w:r>
              <w:rPr>
                <w:i/>
                <w:iCs/>
              </w:rPr>
              <w:t xml:space="preserve">Efecto sustitución cruzado</w:t>
            </w:r>
            <w:r>
              <w:br/>
            </w:r>
            <w:r>
              <w:t xml:space="preserve">(relación neta)</w:t>
            </w:r>
          </w:p>
        </w:tc>
        <w:tc>
          <w:tcPr/>
          <w:p>
            <w:pPr>
              <w:pStyle w:val="Celdatceesalmon"/>
              <w:jc w:val="left"/>
            </w:pPr>
            <w:r>
              <w:rPr>
                <w:i/>
                <w:iCs/>
              </w:rPr>
              <w:t xml:space="preserve">Efecto renta cruzado</w:t>
            </w:r>
            <w:r>
              <w:br/>
            </w:r>
            <w:r>
              <w:t xml:space="preserve">(según el bien</w:t>
            </w:r>
            <w:r>
              <w:t xml:space="preserve"> </w:t>
            </w:r>
            <m:oMath>
              <m:r>
                <m:t>i</m:t>
              </m:r>
            </m:oMath>
            <w:r>
              <w:t xml:space="preserve">)</w:t>
            </w:r>
          </w:p>
        </w:tc>
        <w:tc>
          <w:tcPr/>
          <w:p>
            <w:pPr>
              <w:pStyle w:val="Celdatceesalmon"/>
              <w:jc w:val="left"/>
            </w:pPr>
            <w:r>
              <w:rPr>
                <w:i/>
                <w:iCs/>
              </w:rPr>
              <w:t xml:space="preserve">Efecto total cruzado</w:t>
            </w:r>
            <w:r>
              <w:br/>
            </w:r>
            <w:r>
              <w:t xml:space="preserve">(relación bruta)</w:t>
            </w:r>
          </w:p>
        </w:tc>
      </w:tr>
      <w:tr>
        <w:tc>
          <w:tcPr>
            <w:vMerge w:val="restart"/>
          </w:tcPr>
          <w:p>
            <w:pPr>
              <w:pStyle w:val="Compact"/>
              <w:jc w:val="left"/>
            </w:pPr>
            <m:oMath>
              <m:r>
                <m:rPr>
                  <m:sty m:val="p"/>
                </m:rPr>
                <m:t>&gt;</m:t>
              </m:r>
              <m:r>
                <m:t>0</m:t>
              </m:r>
            </m:oMath>
            <w:r>
              <w:br/>
            </w:r>
            <w:r>
              <w:rPr>
                <w:rStyle w:val="Textoverde"/>
              </w:rPr>
              <w:t xml:space="preserve">Sustitutivos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w:r>
              <w:t xml:space="preserve">ambiguo: sustitutivos brutos si ES</w:t>
            </w:r>
            <w:r>
              <w:t xml:space="preserve"> </w:t>
            </w:r>
            <m:oMath>
              <m:r>
                <m:rPr>
                  <m:sty m:val="p"/>
                </m:rPr>
                <m:t>&gt;</m:t>
              </m:r>
            </m:oMath>
            <w:r>
              <w:t xml:space="preserve"> </w:t>
            </w:r>
            <w:r>
              <w:t xml:space="preserve">|ER|; complementarios brutos si ES</w:t>
            </w:r>
            <w:r>
              <w:t xml:space="preserve"> </w:t>
            </w:r>
            <m:oMath>
              <m:r>
                <m:rPr>
                  <m:sty m:val="p"/>
                </m:rPr>
                <m:t>&lt;</m:t>
              </m:r>
            </m:oMath>
            <w:r>
              <w:t xml:space="preserve"> </w:t>
            </w:r>
            <w:r>
              <w:t xml:space="preserve">|ER|</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rPr>
                <w:rStyle w:val="Textoverde"/>
              </w:rPr>
              <w:t xml:space="preserve">: sustitutivos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m:t>
              </m:r>
              <m:r>
                <m:t>0</m:t>
              </m:r>
            </m:oMath>
            <w:r>
              <w:br/>
            </w:r>
            <w:r>
              <w:t xml:space="preserve">Independientes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&lt;</m:t>
              </m:r>
              <m:r>
                <m:t>0</m:t>
              </m:r>
            </m:oMath>
            <w:r>
              <w:br/>
            </w:r>
            <w:r>
              <w:rPr>
                <w:rStyle w:val="Textonaranja"/>
              </w:rPr>
              <w:t xml:space="preserve">Complementarios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w:r>
              <w:t xml:space="preserve">ambiguo: complementarios brutos si |ES|</w:t>
            </w:r>
            <w:r>
              <w:t xml:space="preserve"> </w:t>
            </w:r>
            <m:oMath>
              <m:r>
                <m:rPr>
                  <m:sty m:val="p"/>
                </m:rPr>
                <m:t>&gt;</m:t>
              </m:r>
            </m:oMath>
            <w:r>
              <w:t xml:space="preserve"> </w:t>
            </w:r>
            <w:r>
              <w:t xml:space="preserve">ER; sustitutivos brutos si |ES|</w:t>
            </w:r>
            <w:r>
              <w:t xml:space="preserve"> </w:t>
            </w:r>
            <m:oMath>
              <m:r>
                <m:rPr>
                  <m:sty m:val="p"/>
                </m:rPr>
                <m:t>&lt;</m:t>
              </m:r>
            </m:oMath>
            <w:r>
              <w:t xml:space="preserve"> </w:t>
            </w:r>
            <w:r>
              <w:t xml:space="preserve">ER</w:t>
            </w:r>
          </w:p>
        </w:tc>
      </w:tr>
    </w:tbl>
    <w:bookmarkEnd w:id="167"/>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8"/>
    <w:bookmarkEnd w:id="169"/>
    <w:bookmarkStart w:id="171" w:name="Xd418e15a2044822659669a5bd0d925fdc3e987e"/>
    <w:p>
      <w:pPr>
        <w:pStyle w:val="Heading3"/>
      </w:pPr>
      <w:r>
        <w:t xml:space="preserve">II.2.3.</w:t>
      </w:r>
      <w:r>
        <w:t xml:space="preserve"> </w:t>
      </w:r>
      <w:r>
        <w:t xml:space="preserve">Agregación de Cournot y restricciones de la demanda</w:t>
      </w:r>
    </w:p>
    <w:p>
      <w:pPr>
        <w:numPr>
          <w:ilvl w:val="0"/>
          <w:numId w:val="1093"/>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4"/>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0"/>
      </w:r>
    </w:p>
    <w:p>
      <w:pPr>
        <w:numPr>
          <w:ilvl w:val="0"/>
          <w:numId w:val="1093"/>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71"/>
    <w:bookmarkEnd w:id="172"/>
    <w:bookmarkStart w:id="173" w:name="valoración"/>
    <w:p>
      <w:pPr>
        <w:pStyle w:val="Heading2"/>
      </w:pPr>
      <w:r>
        <w:t xml:space="preserve">II.3.</w:t>
      </w:r>
      <w:r>
        <w:t xml:space="preserve"> </w:t>
      </w:r>
      <w:r>
        <w:t xml:space="preserve">Valoración</w:t>
      </w:r>
    </w:p>
    <w:p>
      <w:pPr>
        <w:numPr>
          <w:ilvl w:val="0"/>
          <w:numId w:val="1095"/>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6"/>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6"/>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6"/>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6"/>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3"/>
    <w:bookmarkEnd w:id="174"/>
    <w:bookmarkStart w:id="212" w:name="Xfa3f331d3d7311f94ec7e13665bc71233aed8e5"/>
    <w:p>
      <w:pPr>
        <w:pStyle w:val="Heading1"/>
      </w:pPr>
      <w:r>
        <w:t xml:space="preserve">III.</w:t>
      </w:r>
      <w:r>
        <w:t xml:space="preserve"> </w:t>
      </w:r>
      <w:r>
        <w:t xml:space="preserve">Otros desarrollos de la teoría de la demanda</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8" w:name="la-teoría-de-la-preferencia-revelada"/>
    <w:p>
      <w:pPr>
        <w:pStyle w:val="Heading2"/>
      </w:pPr>
      <w:r>
        <w:t xml:space="preserve">III.1.</w:t>
      </w:r>
      <w:r>
        <w:t xml:space="preserve"> </w:t>
      </w:r>
      <w:r>
        <w:t xml:space="preserve">La teoría de la preferencia revelada</w:t>
      </w:r>
    </w:p>
    <w:bookmarkStart w:id="177" w:name="idea"/>
    <w:p>
      <w:pPr>
        <w:pStyle w:val="Heading3"/>
      </w:pPr>
      <w:r>
        <w:t xml:space="preserve">III.1.1.</w:t>
      </w:r>
      <w:r>
        <w:t xml:space="preserve"> </w:t>
      </w:r>
      <w:r>
        <w:t xml:space="preserve">Idea</w:t>
      </w:r>
    </w:p>
    <w:p>
      <w:pPr>
        <w:numPr>
          <w:ilvl w:val="0"/>
          <w:numId w:val="1097"/>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5"/>
      </w:r>
      <w:r>
        <w:rPr>
          <w:vertAlign w:val="superscript"/>
        </w:rPr>
        <w:t xml:space="preserve">,</w:t>
      </w:r>
      <w:r>
        <w:rPr>
          <w:rStyle w:val="FootnoteReference"/>
        </w:rPr>
        <w:footnoteReference w:id="176"/>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8"/>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7"/>
    <w:bookmarkStart w:id="179" w:name="supuestos"/>
    <w:p>
      <w:pPr>
        <w:pStyle w:val="Heading3"/>
      </w:pPr>
      <w:r>
        <w:t xml:space="preserve">III.1.2.</w:t>
      </w:r>
      <w:r>
        <w:t xml:space="preserve"> </w:t>
      </w:r>
      <w:r>
        <w:t xml:space="preserve">Supuestos</w:t>
      </w:r>
    </w:p>
    <w:p>
      <w:pPr>
        <w:numPr>
          <w:ilvl w:val="0"/>
          <w:numId w:val="1099"/>
        </w:numPr>
      </w:pPr>
      <w:r>
        <w:t xml:space="preserve">Se parte de un consumidor</w:t>
      </w:r>
      <w:r>
        <w:t xml:space="preserve"> </w:t>
      </w:r>
      <w:r>
        <w:rPr>
          <w:i/>
          <w:iCs/>
        </w:rPr>
        <w:t xml:space="preserve">individual</w:t>
      </w:r>
      <w:r>
        <w:rPr>
          <w:rStyle w:val="FootnoteReference"/>
        </w:rPr>
        <w:footnoteReference w:id="178"/>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9"/>
    <w:bookmarkStart w:id="186" w:name="X585d9060e5ec9b3bc8e06e3a6fd5afea7373538"/>
    <w:p>
      <w:pPr>
        <w:pStyle w:val="Heading3"/>
      </w:pPr>
      <w:r>
        <w:t xml:space="preserve">III.1.3.</w:t>
      </w:r>
      <w:r>
        <w:t xml:space="preserve"> </w:t>
      </w:r>
      <w:r>
        <w:t xml:space="preserve">El axioma débil de la preferencia revelada</w:t>
      </w:r>
    </w:p>
    <w:p>
      <w:pPr>
        <w:numPr>
          <w:ilvl w:val="0"/>
          <w:numId w:val="1100"/>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100"/>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80"/>
      </w:r>
    </w:p>
    <w:bookmarkStart w:id="184"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2" name="Picture"/>
            <a:graphic>
              <a:graphicData uri="http://schemas.openxmlformats.org/drawingml/2006/picture">
                <pic:pic>
                  <pic:nvPicPr>
                    <pic:cNvPr descr="C:\Users\vgutierrez\Documents\src\victorgutierrezmarcos.github.io-revision\oposicion\temario\fuentes\3A08\graficos/adpr-efecto-sustitucion.png" id="183" name="Picture"/>
                    <pic:cNvPicPr>
                      <a:picLocks noChangeArrowheads="1" noChangeAspect="1"/>
                    </pic:cNvPicPr>
                  </pic:nvPicPr>
                  <pic:blipFill>
                    <a:blip r:embed="rId181"/>
                    <a:stretch>
                      <a:fillRect/>
                    </a:stretch>
                  </pic:blipFill>
                  <pic:spPr bwMode="auto">
                    <a:xfrm>
                      <a:off x="0" y="0"/>
                      <a:ext cx="5370188" cy="2088746"/>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101"/>
        </w:numPr>
      </w:pPr>
      <w:r>
        <w:rPr>
          <w:b/>
          <w:bCs/>
        </w:rPr>
        <w:t xml:space="preserve">Implicaciones</w:t>
      </w:r>
      <w:r>
        <w:t xml:space="preserve"> </w:t>
      </w:r>
      <w:r>
        <w:t xml:space="preserve">del ADPR:</w:t>
      </w:r>
    </w:p>
    <w:p>
      <w:pPr>
        <w:numPr>
          <w:ilvl w:val="1"/>
          <w:numId w:val="1102"/>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5"/>
      </w:r>
    </w:p>
    <w:p>
      <w:pPr>
        <w:numPr>
          <w:ilvl w:val="1"/>
          <w:numId w:val="1102"/>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r>
              <m:t>p</m:t>
            </m:r>
          </m:e>
          <m:sup>
            <m:r>
              <m:t>0</m:t>
            </m:r>
          </m:sup>
        </m:sSup>
      </m:oMath>
      <w:r>
        <w:t xml:space="preserve"> </w:t>
      </w:r>
      <w:r>
        <w:t xml:space="preserve">a</w:t>
      </w:r>
      <w:r>
        <w:t xml:space="preserve"> </w:t>
      </w:r>
      <m:oMath>
        <m:sSup>
          <m:e>
            <m:r>
              <m:t>p</m:t>
            </m:r>
          </m:e>
          <m:sup>
            <m:r>
              <m:t>1</m:t>
            </m:r>
          </m:sup>
        </m:sSup>
      </m:oMath>
      <w:r>
        <w:t xml:space="preserve"> </w:t>
      </w:r>
      <w:r>
        <w:t xml:space="preserve">y se compensa la renta para que el consumidor pueda seguir comprando la cesta inicial</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y elige</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2"/>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6"/>
    <w:bookmarkStart w:id="192" w:name="X03ad5a7673dae3e81b501ae31e239104d667e31"/>
    <w:p>
      <w:pPr>
        <w:pStyle w:val="Heading3"/>
      </w:pPr>
      <w:r>
        <w:t xml:space="preserve">III.1.4.</w:t>
      </w:r>
      <w:r>
        <w:t xml:space="preserve"> </w:t>
      </w:r>
      <w:r>
        <w:t xml:space="preserve">El axioma fuerte de la preferencia revelada</w:t>
      </w:r>
    </w:p>
    <w:p>
      <w:pPr>
        <w:numPr>
          <w:ilvl w:val="0"/>
          <w:numId w:val="1103"/>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103"/>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7"/>
      </w:r>
    </w:p>
    <w:p>
      <w:pPr>
        <w:numPr>
          <w:ilvl w:val="0"/>
          <w:numId w:val="1103"/>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91"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282950" cy="1884151"/>
            <wp:effectExtent b="0" l="0" r="0" t="0"/>
            <wp:docPr descr="" title="" id="189" name="Picture"/>
            <a:graphic>
              <a:graphicData uri="http://schemas.openxmlformats.org/drawingml/2006/picture">
                <pic:pic>
                  <pic:nvPicPr>
                    <pic:cNvPr descr="C:\Users\vgutierrez\Documents\src\victorgutierrezmarcos.github.io-revision\oposicion\temario\fuentes\3A08\graficos/afpr.png" id="190" name="Picture"/>
                    <pic:cNvPicPr>
                      <a:picLocks noChangeArrowheads="1" noChangeAspect="1"/>
                    </pic:cNvPicPr>
                  </pic:nvPicPr>
                  <pic:blipFill>
                    <a:blip r:embed="rId188"/>
                    <a:stretch>
                      <a:fillRect/>
                    </a:stretch>
                  </pic:blipFill>
                  <pic:spPr bwMode="auto">
                    <a:xfrm>
                      <a:off x="0" y="0"/>
                      <a:ext cx="3282950" cy="1884151"/>
                    </a:xfrm>
                    <a:prstGeom prst="rect">
                      <a:avLst/>
                    </a:prstGeom>
                    <a:noFill/>
                    <a:ln w="9525">
                      <a:noFill/>
                      <a:headEnd/>
                      <a:tailEnd/>
                    </a:ln>
                  </pic:spPr>
                </pic:pic>
              </a:graphicData>
            </a:graphic>
          </wp:inline>
        </w:drawing>
      </w:r>
    </w:p>
    <w:bookmarkEnd w:id="191"/>
    <w:p>
      <w:pPr>
        <w:pStyle w:val="Piedeimagen"/>
      </w:pPr>
      <w:r>
        <w:t xml:space="preserve">Fuente: elaboración propia basada en</w:t>
      </w:r>
      <w:r>
        <w:t xml:space="preserve"> </w:t>
      </w:r>
      <w:r>
        <w:t xml:space="preserve">Varian (</w:t>
      </w:r>
      <w:hyperlink w:anchor="ref-Varian2016Intermedia">
        <w:r>
          <w:rPr>
            <w:rStyle w:val="Hyperlink"/>
          </w:rPr>
          <w:t xml:space="preserve">2016, cap. 7</w:t>
        </w:r>
      </w:hyperlink>
      <w:r>
        <w:t xml:space="preserve">)</w:t>
      </w:r>
      <w:r>
        <w:t xml:space="preserve">.</w:t>
      </w:r>
    </w:p>
    <w:bookmarkEnd w:id="192"/>
    <w:bookmarkStart w:id="197" w:name="aplicaciones-y-valoración"/>
    <w:p>
      <w:pPr>
        <w:pStyle w:val="Heading3"/>
      </w:pPr>
      <w:r>
        <w:t xml:space="preserve">III.1.5.</w:t>
      </w:r>
      <w:r>
        <w:t xml:space="preserve"> </w:t>
      </w:r>
      <w:r>
        <w:t xml:space="preserve">Aplicaciones y valoración</w:t>
      </w:r>
    </w:p>
    <w:p>
      <w:pPr>
        <w:numPr>
          <w:ilvl w:val="0"/>
          <w:numId w:val="1104"/>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4"/>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4"/>
        </w:numPr>
      </w:pPr>
      <w:r>
        <w:rPr>
          <w:b/>
          <w:bCs/>
        </w:rPr>
        <w:t xml:space="preserve">Valoración</w:t>
      </w:r>
      <w:r>
        <w:t xml:space="preserve">:</w:t>
      </w:r>
    </w:p>
    <w:p>
      <w:pPr>
        <w:numPr>
          <w:ilvl w:val="1"/>
          <w:numId w:val="1105"/>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5"/>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5"/>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7"/>
    <w:bookmarkEnd w:id="198"/>
    <w:bookmarkStart w:id="200" w:name="la-producción-doméstica"/>
    <w:p>
      <w:pPr>
        <w:pStyle w:val="Heading2"/>
      </w:pPr>
      <w:r>
        <w:t xml:space="preserve">III.2.</w:t>
      </w:r>
      <w:r>
        <w:t xml:space="preserve"> </w:t>
      </w:r>
      <w:r>
        <w:t xml:space="preserve">La producción doméstica</w:t>
      </w:r>
    </w:p>
    <w:p>
      <w:pPr>
        <w:numPr>
          <w:ilvl w:val="0"/>
          <w:numId w:val="1106"/>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7"/>
        </w:numPr>
      </w:pPr>
      <w:r>
        <w:t xml:space="preserve">Becker (</w:t>
      </w:r>
      <w:hyperlink w:anchor="ref-Becker1965Allocation">
        <w:r>
          <w:rPr>
            <w:rStyle w:val="Hyperlink"/>
          </w:rPr>
          <w:t xml:space="preserve">1965</w:t>
        </w:r>
      </w:hyperlink>
      <w:r>
        <w:t xml:space="preserve">)</w:t>
      </w:r>
      <w:r>
        <w:rPr>
          <w:rStyle w:val="FootnoteReference"/>
        </w:rPr>
        <w:footnoteReference w:id="199"/>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7"/>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revisado, está en el anexo F, y su papel en la diferenciación de productos se estudia en</w:t>
      </w:r>
      <w:r>
        <w:t xml:space="preserve"> </w:t>
      </w:r>
      <w:r>
        <w:rPr>
          <w:rStyle w:val="Referenciaatema"/>
        </w:rPr>
        <w:t xml:space="preserve">[ver tema 3.A.18]</w:t>
      </w:r>
      <w:r>
        <w:t xml:space="preserve">; aquí es el antecedente de los precios hedónicos (III.3).</w:t>
      </w:r>
    </w:p>
    <w:p>
      <w:pPr>
        <w:numPr>
          <w:ilvl w:val="0"/>
          <w:numId w:val="1106"/>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bar>
          <m:barPr>
            <m:pos m:val="top"/>
          </m:barPr>
          <m:e>
            <m:r>
              <m:t>W</m:t>
            </m:r>
          </m:e>
        </m:bar>
      </m:oMath>
      <w:r>
        <w:t xml:space="preserve"> </w:t>
      </w:r>
      <w:r>
        <w:t xml:space="preserve">la renta no laboral (exógena)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08"/>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6"/>
        </w:numPr>
      </w:pPr>
      <w:r>
        <w:rPr>
          <w:b/>
          <w:bCs/>
          <w:i/>
          <w:iCs/>
        </w:rPr>
        <w:t xml:space="preserve">Implicaciones</w:t>
      </w:r>
      <w:r>
        <w:t xml:space="preserve">:</w:t>
      </w:r>
    </w:p>
    <w:p>
      <w:pPr>
        <w:numPr>
          <w:ilvl w:val="1"/>
          <w:numId w:val="1109"/>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9"/>
        </w:numPr>
      </w:pPr>
      <w:r>
        <w:t xml:space="preserve">Un cambio de precios afecta a la demanda de bienes también a través de la tecnología del hogar, lo que da lugar a nuevos efectos sustitución.</w:t>
      </w:r>
    </w:p>
    <w:p>
      <w:pPr>
        <w:numPr>
          <w:ilvl w:val="1"/>
          <w:numId w:val="1109"/>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6"/>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200"/>
    <w:bookmarkStart w:id="211" w:name="precios-hedónicos"/>
    <w:p>
      <w:pPr>
        <w:pStyle w:val="Heading2"/>
      </w:pPr>
      <w:r>
        <w:t xml:space="preserve">III.3.</w:t>
      </w:r>
      <w:r>
        <w:t xml:space="preserve"> </w:t>
      </w:r>
      <w:r>
        <w:t xml:space="preserve">Precios hedónicos</w:t>
      </w:r>
    </w:p>
    <w:bookmarkStart w:id="201" w:name="idea-y-origen"/>
    <w:p>
      <w:pPr>
        <w:pStyle w:val="Heading3"/>
      </w:pPr>
      <w:r>
        <w:t xml:space="preserve">III.3.1.</w:t>
      </w:r>
      <w:r>
        <w:t xml:space="preserve"> </w:t>
      </w:r>
      <w:r>
        <w:t xml:space="preserve">Idea y origen</w:t>
      </w:r>
    </w:p>
    <w:p>
      <w:pPr>
        <w:numPr>
          <w:ilvl w:val="0"/>
          <w:numId w:val="1110"/>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1"/>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1"/>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1"/>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201"/>
    <w:bookmarkStart w:id="206" w:name="la-función-hedónica-y-el-modelo-de-rosen"/>
    <w:p>
      <w:pPr>
        <w:pStyle w:val="Heading3"/>
      </w:pPr>
      <w:r>
        <w:t xml:space="preserve">III.3.2.</w:t>
      </w:r>
      <w:r>
        <w:t xml:space="preserve"> </w:t>
      </w:r>
      <w:r>
        <w:t xml:space="preserve">La función hedónica y el modelo de Rosen</w:t>
      </w:r>
    </w:p>
    <w:p>
      <w:pPr>
        <w:numPr>
          <w:ilvl w:val="0"/>
          <w:numId w:val="1112"/>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5"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29749" cy="2455729"/>
            <wp:effectExtent b="0" l="0" r="0" t="0"/>
            <wp:docPr descr="" title="" id="203" name="Picture"/>
            <a:graphic>
              <a:graphicData uri="http://schemas.openxmlformats.org/drawingml/2006/picture">
                <pic:pic>
                  <pic:nvPicPr>
                    <pic:cNvPr descr="C:\Users\vgutierrez\Documents\src\victorgutierrezmarcos.github.io-revision\oposicion\temario\fuentes\3A08\graficos/funcion-hedonica-rosen.png" id="204" name="Picture"/>
                    <pic:cNvPicPr>
                      <a:picLocks noChangeArrowheads="1" noChangeAspect="1"/>
                    </pic:cNvPicPr>
                  </pic:nvPicPr>
                  <pic:blipFill>
                    <a:blip r:embed="rId202"/>
                    <a:stretch>
                      <a:fillRect/>
                    </a:stretch>
                  </pic:blipFill>
                  <pic:spPr bwMode="auto">
                    <a:xfrm>
                      <a:off x="0" y="0"/>
                      <a:ext cx="2929749" cy="2455729"/>
                    </a:xfrm>
                    <a:prstGeom prst="rect">
                      <a:avLst/>
                    </a:prstGeom>
                    <a:noFill/>
                    <a:ln w="9525">
                      <a:noFill/>
                      <a:headEnd/>
                      <a:tailEnd/>
                    </a:ln>
                  </pic:spPr>
                </pic:pic>
              </a:graphicData>
            </a:graphic>
          </wp:inline>
        </w:drawing>
      </w:r>
    </w:p>
    <w:bookmarkEnd w:id="205"/>
    <w:p>
      <w:pPr>
        <w:pStyle w:val="Piedeimagen"/>
      </w:pPr>
      <w:r>
        <w:t xml:space="preserve">Fuente: elaboración propia basada en</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13"/>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4"/>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4"/>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B</m:t>
            </m:r>
          </m:e>
        </m:d>
      </m:oMath>
      <w:r>
        <w:t xml:space="preserve">, lo mínimo que aceptaría por cada</w:t>
      </w:r>
      <w:r>
        <w:t xml:space="preserve"> </w:t>
      </w:r>
      <m:oMath>
        <m:r>
          <m:t>z</m:t>
        </m:r>
      </m:oMath>
      <w:r>
        <w:t xml:space="preserve"> </w:t>
      </w:r>
      <w:r>
        <w:t xml:space="preserve">obteniendo un beneficio</w:t>
      </w:r>
      <w:r>
        <w:t xml:space="preserve"> </w:t>
      </w:r>
      <m:oMath>
        <m:r>
          <m:t>B</m:t>
        </m:r>
      </m:oMath>
      <w:r>
        <w:t xml:space="preserve">.</w:t>
      </w:r>
    </w:p>
    <w:p>
      <w:pPr>
        <w:numPr>
          <w:ilvl w:val="1"/>
          <w:numId w:val="1114"/>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6"/>
    <w:bookmarkStart w:id="207" w:name="estimación"/>
    <w:p>
      <w:pPr>
        <w:pStyle w:val="Heading3"/>
      </w:pPr>
      <w:r>
        <w:t xml:space="preserve">III.3.3.</w:t>
      </w:r>
      <w:r>
        <w:t xml:space="preserve"> </w:t>
      </w:r>
      <w:r>
        <w:t xml:space="preserve">Estimación</w:t>
      </w:r>
    </w:p>
    <w:p>
      <w:pPr>
        <w:numPr>
          <w:ilvl w:val="0"/>
          <w:numId w:val="1115"/>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5"/>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7"/>
    <w:bookmarkStart w:id="209" w:name="aplicaciones"/>
    <w:p>
      <w:pPr>
        <w:pStyle w:val="Heading3"/>
      </w:pPr>
      <w:r>
        <w:t xml:space="preserve">III.3.4.</w:t>
      </w:r>
      <w:r>
        <w:t xml:space="preserve"> </w:t>
      </w:r>
      <w:r>
        <w:t xml:space="preserve">Aplicaciones</w:t>
      </w:r>
    </w:p>
    <w:p>
      <w:pPr>
        <w:numPr>
          <w:ilvl w:val="0"/>
          <w:numId w:val="111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7"/>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7"/>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7"/>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6"/>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8"/>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6"/>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9"/>
    <w:bookmarkStart w:id="210" w:name="limitaciones"/>
    <w:p>
      <w:pPr>
        <w:pStyle w:val="Heading3"/>
      </w:pPr>
      <w:r>
        <w:t xml:space="preserve">III.3.5.</w:t>
      </w:r>
      <w:r>
        <w:t xml:space="preserve"> </w:t>
      </w:r>
      <w:r>
        <w:t xml:space="preserve">Limitaciones</w:t>
      </w:r>
    </w:p>
    <w:p>
      <w:pPr>
        <w:numPr>
          <w:ilvl w:val="0"/>
          <w:numId w:val="1118"/>
        </w:numPr>
      </w:pPr>
      <w:r>
        <w:t xml:space="preserve">El resultado depende de la forma funcional y de las características que se incluyan (sesgo por variables omitidas, multicolinealidad entre características).</w:t>
      </w:r>
    </w:p>
    <w:p>
      <w:pPr>
        <w:numPr>
          <w:ilvl w:val="0"/>
          <w:numId w:val="1118"/>
        </w:numPr>
      </w:pPr>
      <w:r>
        <w:t xml:space="preserve">La segunda etapa está mal identificada.</w:t>
      </w:r>
    </w:p>
    <w:p>
      <w:pPr>
        <w:numPr>
          <w:ilvl w:val="0"/>
          <w:numId w:val="1118"/>
        </w:numPr>
      </w:pPr>
      <w:r>
        <w:t xml:space="preserve">Supone un mercado en equilibrio, competitivo y con información perfecta sobre las características, algo dudoso, por ejemplo, en la vivienda.</w:t>
      </w:r>
    </w:p>
    <w:p>
      <w:pPr>
        <w:numPr>
          <w:ilvl w:val="0"/>
          <w:numId w:val="1118"/>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10"/>
    <w:bookmarkEnd w:id="211"/>
    <w:bookmarkEnd w:id="212"/>
    <w:bookmarkStart w:id="215" w:name="conclusión"/>
    <w:p>
      <w:pPr>
        <w:pStyle w:val="Heading1"/>
      </w:pPr>
      <w:r>
        <w:t xml:space="preserve">Conclusión</w:t>
      </w:r>
    </w:p>
    <w:p>
      <w:pPr>
        <w:numPr>
          <w:ilvl w:val="0"/>
          <w:numId w:val="1119"/>
        </w:numPr>
      </w:pPr>
      <w:r>
        <w:rPr>
          <w:b/>
          <w:bCs/>
          <w:i/>
          <w:iCs/>
        </w:rPr>
        <w:t xml:space="preserve">Recapitulación</w:t>
      </w:r>
      <w:r>
        <w:t xml:space="preserve">:</w:t>
      </w:r>
    </w:p>
    <w:p>
      <w:pPr>
        <w:numPr>
          <w:ilvl w:val="1"/>
          <w:numId w:val="1120"/>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20"/>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20"/>
        </w:numPr>
      </w:pPr>
      <w:r>
        <w:t xml:space="preserve">Y hemos visto tres desarrollos que acercan la teoría a lo observable: la preferencia revelada, la producción doméstica y los precios hedónicos (III).</w:t>
      </w:r>
    </w:p>
    <w:p>
      <w:pPr>
        <w:numPr>
          <w:ilvl w:val="0"/>
          <w:numId w:val="1119"/>
        </w:numPr>
      </w:pPr>
      <w:r>
        <w:rPr>
          <w:b/>
          <w:bCs/>
          <w:i/>
          <w:iCs/>
        </w:rPr>
        <w:t xml:space="preserve">Valoración</w:t>
      </w:r>
      <w:r>
        <w:t xml:space="preserve">:</w:t>
      </w:r>
    </w:p>
    <w:p>
      <w:pPr>
        <w:numPr>
          <w:ilvl w:val="1"/>
          <w:numId w:val="1121"/>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21"/>
        </w:numPr>
      </w:pPr>
      <w:r>
        <w:t xml:space="preserve">Su estatus empírico es más discutible:</w:t>
      </w:r>
    </w:p>
    <w:p>
      <w:pPr>
        <w:numPr>
          <w:ilvl w:val="2"/>
          <w:numId w:val="1122"/>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22"/>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22"/>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3"/>
      </w:r>
    </w:p>
    <w:p>
      <w:pPr>
        <w:numPr>
          <w:ilvl w:val="2"/>
          <w:numId w:val="1122"/>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21"/>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9"/>
        </w:numPr>
      </w:pPr>
      <w:r>
        <w:rPr>
          <w:b/>
          <w:bCs/>
          <w:i/>
          <w:iCs/>
        </w:rPr>
        <w:t xml:space="preserve">Extensiones y relación con otras partes del temario</w:t>
      </w:r>
      <w:r>
        <w:t xml:space="preserve">:</w:t>
      </w:r>
    </w:p>
    <w:p>
      <w:pPr>
        <w:numPr>
          <w:ilvl w:val="1"/>
          <w:numId w:val="1123"/>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14"/>
      </w:r>
    </w:p>
    <w:p>
      <w:pPr>
        <w:numPr>
          <w:ilvl w:val="1"/>
          <w:numId w:val="1123"/>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23"/>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23"/>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9"/>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15"/>
    <w:bookmarkStart w:id="220"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24"/>
        </w:numPr>
      </w:pPr>
      <w:r>
        <w:t xml:space="preserve">Con dos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r>
              <m:t>p</m:t>
            </m:r>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24"/>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r>
          <m:t>p</m:t>
        </m:r>
        <m:r>
          <m:rPr>
            <m:sty m:val="p"/>
          </m:rPr>
          <m:t>⋅</m:t>
        </m:r>
        <m:sSup>
          <m:e>
            <m:r>
              <m:t>x</m:t>
            </m:r>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24"/>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r>
          <m:t>p</m:t>
        </m:r>
        <m:r>
          <m:rPr>
            <m:sty m:val="p"/>
          </m:rPr>
          <m:t>⋅</m:t>
        </m:r>
        <m:sSup>
          <m:e>
            <m:r>
              <m:t>x</m:t>
            </m:r>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24"/>
        </w:numPr>
      </w:pPr>
      <w:r>
        <w:t xml:space="preserve">Por eso, con preferencias localmente insaciables, el PMU puede escribirse con la restricción en igualdad,</w:t>
      </w:r>
    </w:p>
    <w:p>
      <w:pPr>
        <w:pStyle w:val="BodyText"/>
      </w:pPr>
      <m:oMathPara>
        <m:oMathParaPr>
          <m:jc m:val="center"/>
        </m:oMathParaPr>
        <m:oMath>
          <m:limLow>
            <m:e>
              <m:r>
                <m:rPr>
                  <m:sty m:val="p"/>
                </m:rPr>
                <m:t>max</m:t>
              </m:r>
            </m:e>
            <m:lim>
              <m:r>
                <m:t>x</m:t>
              </m:r>
            </m:lim>
          </m:limLow>
          <m:r>
            <m:t> </m:t>
          </m:r>
          <m:r>
            <m:t>U</m:t>
          </m:r>
          <m:d>
            <m:dPr>
              <m:begChr m:val="("/>
              <m:sepChr m:val=""/>
              <m:endChr m:val=")"/>
              <m:grow/>
            </m:dPr>
            <m:e>
              <m:r>
                <m:t>x</m:t>
              </m:r>
            </m:e>
          </m:d>
          <m:r>
            <m:t> </m:t>
          </m:r>
          <m:r>
            <m:rPr>
              <m:nor/>
              <m:sty m:val="p"/>
            </m:rPr>
            <m:t>s.a.</m:t>
          </m:r>
          <m:r>
            <m:t> </m:t>
          </m:r>
          <m:r>
            <m:t>p</m:t>
          </m:r>
          <m:r>
            <m:rPr>
              <m:sty m:val="p"/>
            </m:rPr>
            <m:t>⋅</m:t>
          </m:r>
          <m:r>
            <m:t>x</m:t>
          </m:r>
          <m:r>
            <m:rPr>
              <m:sty m:val="p"/>
            </m:rPr>
            <m:t>=</m:t>
          </m:r>
          <m:bar>
            <m:barPr>
              <m:pos m:val="top"/>
            </m:barPr>
            <m:e>
              <m:r>
                <m:t>W</m:t>
              </m:r>
            </m:e>
          </m:bar>
          <m:r>
            <m:rPr>
              <m:sty m:val="p"/>
            </m:rPr>
            <m:t>,</m:t>
          </m:r>
          <m:r>
            <m:t> </m:t>
          </m:r>
          <m:r>
            <m:t>x</m:t>
          </m:r>
          <m:r>
            <m:rPr>
              <m:sty m:val="p"/>
            </m:rPr>
            <m:t>≥</m:t>
          </m:r>
          <m:r>
            <m:t>0</m:t>
          </m:r>
          <m:r>
            <m:rPr>
              <m:sty m:val="p"/>
            </m:rPr>
            <m:t>,</m:t>
          </m:r>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19"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2898813"/>
            <wp:effectExtent b="0" l="0" r="0" t="0"/>
            <wp:docPr descr="" title="" id="217" name="Picture"/>
            <a:graphic>
              <a:graphicData uri="http://schemas.openxmlformats.org/drawingml/2006/picture">
                <pic:pic>
                  <pic:nvPicPr>
                    <pic:cNvPr descr="C:\Users\vgutierrez\Documents\src\victorgutierrezmarcos.github.io-revision\oposicion\temario\fuentes\3A08\graficos/pmu-r3.png" id="218" name="Picture"/>
                    <pic:cNvPicPr>
                      <a:picLocks noChangeArrowheads="1" noChangeAspect="1"/>
                    </pic:cNvPicPr>
                  </pic:nvPicPr>
                  <pic:blipFill>
                    <a:blip r:embed="rId216"/>
                    <a:stretch>
                      <a:fillRect/>
                    </a:stretch>
                  </pic:blipFill>
                  <pic:spPr bwMode="auto">
                    <a:xfrm>
                      <a:off x="0" y="0"/>
                      <a:ext cx="4775200" cy="2898813"/>
                    </a:xfrm>
                    <a:prstGeom prst="rect">
                      <a:avLst/>
                    </a:prstGeom>
                    <a:noFill/>
                    <a:ln w="9525">
                      <a:noFill/>
                      <a:headEnd/>
                      <a:tailEnd/>
                    </a:ln>
                  </pic:spPr>
                </pic:pic>
              </a:graphicData>
            </a:graphic>
          </wp:inline>
        </w:drawing>
      </w:r>
    </w:p>
    <w:bookmarkEnd w:id="219"/>
    <w:p>
      <w:pPr>
        <w:pStyle w:val="Piedeimagen"/>
      </w:pPr>
      <w:r>
        <w:t xml:space="preserve">Fuente: elaboración propia basada en</w:t>
      </w:r>
      <w:r>
        <w:t xml:space="preserve"> </w:t>
      </w:r>
      <w:r>
        <w:t xml:space="preserve">Mas-Colell, Whinston y Green (</w:t>
      </w:r>
      <w:hyperlink w:anchor="ref-MasColellWhinstonGreen1995">
        <w:r>
          <w:rPr>
            <w:rStyle w:val="Hyperlink"/>
          </w:rPr>
          <w:t xml:space="preserve">1995, párr. 3.D</w:t>
        </w:r>
      </w:hyperlink>
      <w:r>
        <w:t xml:space="preserve">)</w:t>
      </w:r>
      <w:r>
        <w:t xml:space="preserve"> </w:t>
      </w:r>
      <w:r>
        <w:t xml:space="preserve">y</w:t>
      </w:r>
      <w:r>
        <w:t xml:space="preserve"> </w:t>
      </w:r>
      <w:r>
        <w:t xml:space="preserve">Sydsæter et al. (</w:t>
      </w:r>
      <w:hyperlink w:anchor="ref-SydsaeterEtAl2008Further">
        <w:r>
          <w:rPr>
            <w:rStyle w:val="Hyperlink"/>
          </w:rPr>
          <w:t xml:space="preserve">2008, cap. 3</w:t>
        </w:r>
      </w:hyperlink>
      <w:r>
        <w:t xml:space="preserve">)</w:t>
      </w:r>
      <w:r>
        <w:t xml:space="preserve">.</w:t>
      </w:r>
    </w:p>
    <w:bookmarkEnd w:id="220"/>
    <w:bookmarkStart w:id="230"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1" w:name="der:homogeneidad"/>
    <w:p>
      <w:pPr>
        <w:pStyle w:val="Heading2"/>
      </w:pPr>
      <w:r>
        <w:t xml:space="preserve">B.1. Homogeneidad de grado cero: restricción en elasticidades (teorema de Euler)</w:t>
      </w:r>
    </w:p>
    <w:p>
      <w:pPr>
        <w:numPr>
          <w:ilvl w:val="0"/>
          <w:numId w:val="1125"/>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5"/>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1"/>
    <w:bookmarkStart w:id="222" w:name="der:engel"/>
    <w:p>
      <w:pPr>
        <w:pStyle w:val="Heading2"/>
      </w:pPr>
      <w:r>
        <w:t xml:space="preserve">B.2. Agregación de Engel</w:t>
      </w:r>
    </w:p>
    <w:p>
      <w:pPr>
        <w:numPr>
          <w:ilvl w:val="0"/>
          <w:numId w:val="1126"/>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6"/>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2"/>
    <w:bookmarkStart w:id="223" w:name="der:cournot"/>
    <w:p>
      <w:pPr>
        <w:pStyle w:val="Heading2"/>
      </w:pPr>
      <w:r>
        <w:t xml:space="preserve">B.3. Agregación de Cournot</w:t>
      </w:r>
    </w:p>
    <w:p>
      <w:pPr>
        <w:numPr>
          <w:ilvl w:val="0"/>
          <w:numId w:val="1127"/>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7"/>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7"/>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3"/>
    <w:bookmarkStart w:id="224" w:name="der:roy"/>
    <w:p>
      <w:pPr>
        <w:pStyle w:val="Heading2"/>
      </w:pPr>
      <w:r>
        <w:t xml:space="preserve">B.4. Identidad de Roy</w:t>
      </w:r>
    </w:p>
    <w:p>
      <w:pPr>
        <w:numPr>
          <w:ilvl w:val="0"/>
          <w:numId w:val="1128"/>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8"/>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4"/>
    <w:bookmarkStart w:id="225" w:name="der:slutsky"/>
    <w:p>
      <w:pPr>
        <w:pStyle w:val="Heading2"/>
      </w:pPr>
      <w:r>
        <w:t xml:space="preserve">B.5. Ecuación de Slutsky</w:t>
      </w:r>
    </w:p>
    <w:p>
      <w:pPr>
        <w:numPr>
          <w:ilvl w:val="0"/>
          <w:numId w:val="1129"/>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9"/>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9"/>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9"/>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5"/>
    <w:bookmarkStart w:id="226" w:name="der:matriz-slutsky"/>
    <w:p>
      <w:pPr>
        <w:pStyle w:val="Heading2"/>
      </w:pPr>
      <w:r>
        <w:t xml:space="preserve">B.6. Propiedades de la matriz de Slutsky: negatividad, simetría y sustitutivos netos</w:t>
      </w:r>
    </w:p>
    <w:p>
      <w:pPr>
        <w:numPr>
          <w:ilvl w:val="0"/>
          <w:numId w:val="1130"/>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30"/>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30"/>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30"/>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6"/>
    <w:bookmarkStart w:id="227" w:name="der:adpr"/>
    <w:p>
      <w:pPr>
        <w:pStyle w:val="Heading2"/>
      </w:pPr>
      <w:r>
        <w:t xml:space="preserve">B.7. Ley de la demanda compensada a partir del axioma débil</w:t>
      </w:r>
    </w:p>
    <w:p>
      <w:pPr>
        <w:numPr>
          <w:ilvl w:val="0"/>
          <w:numId w:val="1131"/>
        </w:numPr>
      </w:pPr>
      <w:r>
        <w:t xml:space="preserve">Sean</w:t>
      </w:r>
      <w:r>
        <w:t xml:space="preserve"> </w:t>
      </w:r>
      <m:oMath>
        <m:sSup>
          <m:e>
            <m:r>
              <m:t>x</m:t>
            </m:r>
          </m:e>
          <m:sup>
            <m:r>
              <m:t>0</m:t>
            </m:r>
          </m:sup>
        </m:sSup>
        <m:r>
          <m:rPr>
            <m:sty m:val="p"/>
          </m:rPr>
          <m:t>=</m:t>
        </m:r>
        <m:r>
          <m:t>x</m:t>
        </m:r>
        <m:d>
          <m:dPr>
            <m:begChr m:val="("/>
            <m:sepChr m:val=""/>
            <m:endChr m:val=")"/>
            <m:grow/>
          </m:dPr>
          <m:e>
            <m:sSup>
              <m:e>
                <m:r>
                  <m:t>p</m:t>
                </m:r>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r>
          <m:t>x</m:t>
        </m:r>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1</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m:t>
          </m:r>
        </m:oMath>
      </m:oMathPara>
    </w:p>
    <w:p>
      <w:pPr>
        <w:numPr>
          <w:ilvl w:val="0"/>
          <w:numId w:val="1131"/>
        </w:numPr>
      </w:pPr>
      <w:r>
        <w:t xml:space="preserve">El primer término es nulo: por la ley de</w:t>
      </w:r>
      <w:r>
        <w:t xml:space="preserve"> </w:t>
      </w:r>
      <w:r>
        <w:rPr>
          <w:smallCaps/>
        </w:rPr>
        <w:t xml:space="preserve">Walras</w:t>
      </w:r>
      <w:r>
        <w:t xml:space="preserve">,</w:t>
      </w:r>
      <w:r>
        <w:t xml:space="preserve"> </w:t>
      </w:r>
      <m:oMath>
        <m:sSup>
          <m:e>
            <m:r>
              <m:t>p</m:t>
            </m:r>
          </m:e>
          <m:sup>
            <m:r>
              <m:t>1</m:t>
            </m:r>
          </m:sup>
        </m:sSup>
        <m:r>
          <m:rPr>
            <m:sty m:val="p"/>
          </m:rPr>
          <m:t>⋅</m:t>
        </m:r>
        <m:sSup>
          <m:e>
            <m:r>
              <m:t>x</m:t>
            </m:r>
          </m:e>
          <m:sup>
            <m:r>
              <m:t>1</m:t>
            </m:r>
          </m:sup>
        </m:sSup>
        <m:r>
          <m:rPr>
            <m:sty m:val="p"/>
          </m:rPr>
          <m:t>=</m:t>
        </m:r>
        <m:sSup>
          <m:e>
            <m:bar>
              <m:barPr>
                <m:pos m:val="top"/>
              </m:barPr>
              <m:e>
                <m:r>
                  <m:t>W</m:t>
                </m:r>
              </m:e>
            </m:bar>
          </m:e>
          <m:sup>
            <m:r>
              <m:t>1</m:t>
            </m:r>
          </m:sup>
        </m:sSup>
        <m:r>
          <m:rPr>
            <m:sty m:val="p"/>
          </m:rPr>
          <m:t>=</m:t>
        </m:r>
        <m:sSup>
          <m:e>
            <m:r>
              <m:t>p</m:t>
            </m:r>
          </m:e>
          <m:sup>
            <m:r>
              <m:t>1</m:t>
            </m:r>
          </m:sup>
        </m:sSup>
        <m:r>
          <m:rPr>
            <m:sty m:val="p"/>
          </m:rPr>
          <m:t>⋅</m:t>
        </m:r>
        <m:sSup>
          <m:e>
            <m:r>
              <m:t>x</m:t>
            </m:r>
          </m:e>
          <m:sup>
            <m:r>
              <m:t>0</m:t>
            </m:r>
          </m:sup>
        </m:sSup>
      </m:oMath>
      <w:r>
        <w:t xml:space="preserve">.</w:t>
      </w:r>
    </w:p>
    <w:p>
      <w:pPr>
        <w:numPr>
          <w:ilvl w:val="0"/>
          <w:numId w:val="1131"/>
        </w:numPr>
      </w:pPr>
      <w:r>
        <w:t xml:space="preserve">Si</w:t>
      </w:r>
      <w:r>
        <w:t xml:space="preserve"> </w:t>
      </w:r>
      <m:oMath>
        <m:sSup>
          <m:e>
            <m:r>
              <m:t>x</m:t>
            </m:r>
          </m:e>
          <m:sup>
            <m:r>
              <m:t>1</m:t>
            </m:r>
          </m:sup>
        </m:sSup>
        <m:r>
          <m:rPr>
            <m:sty m:val="p"/>
          </m:rPr>
          <m:t>=</m:t>
        </m:r>
        <m:sSup>
          <m:e>
            <m:r>
              <m:t>x</m:t>
            </m:r>
          </m:e>
          <m:sup>
            <m:r>
              <m:t>0</m:t>
            </m:r>
          </m:sup>
        </m:sSup>
      </m:oMath>
      <w:r>
        <w:t xml:space="preserve">, todo es cero. Si</w:t>
      </w:r>
      <w:r>
        <w:t xml:space="preserve"> </w:t>
      </w:r>
      <m:oMath>
        <m:sSup>
          <m:e>
            <m:r>
              <m:t>x</m:t>
            </m:r>
          </m:e>
          <m:sup>
            <m:r>
              <m:t>1</m:t>
            </m:r>
          </m:sup>
        </m:sSup>
        <m:r>
          <m:rPr>
            <m:sty m:val="p"/>
          </m:rPr>
          <m:t>≠</m:t>
        </m:r>
        <m:sSup>
          <m:e>
            <m:r>
              <m:t>x</m:t>
            </m:r>
          </m:e>
          <m:sup>
            <m:r>
              <m:t>0</m:t>
            </m:r>
          </m:sup>
        </m:sSup>
      </m:oMath>
      <w:r>
        <w:t xml:space="preserve">, la cesta</w:t>
      </w:r>
      <w:r>
        <w:t xml:space="preserve"> </w:t>
      </w:r>
      <m:oMath>
        <m:sSup>
          <m:e>
            <m:r>
              <m:t>x</m:t>
            </m:r>
          </m:e>
          <m:sup>
            <m:r>
              <m:t>0</m:t>
            </m:r>
          </m:sup>
        </m:sSup>
      </m:oMath>
      <w:r>
        <w:t xml:space="preserve"> </w:t>
      </w:r>
      <w:r>
        <w:t xml:space="preserve">era asequible en</w:t>
      </w:r>
      <w:r>
        <w:t xml:space="preserve"> </w:t>
      </w:r>
      <m:oMath>
        <m:d>
          <m:dPr>
            <m:begChr m:val="("/>
            <m:sepChr m:val=""/>
            <m:endChr m:val=")"/>
            <m:grow/>
          </m:dPr>
          <m:e>
            <m:sSup>
              <m:e>
                <m:r>
                  <m:t>p</m:t>
                </m:r>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r>
              <m:t>x</m:t>
            </m:r>
          </m:e>
          <m:sup>
            <m:r>
              <m:t>1</m:t>
            </m:r>
          </m:sup>
        </m:sSup>
      </m:oMath>
      <w:r>
        <w:t xml:space="preserve">:</w:t>
      </w:r>
      <w:r>
        <w:t xml:space="preserve"> </w:t>
      </w:r>
      <m:oMath>
        <m:sSup>
          <m:e>
            <m:r>
              <m:t>x</m:t>
            </m:r>
          </m:e>
          <m:sup>
            <m:r>
              <m:t>1</m:t>
            </m:r>
          </m:sup>
        </m:sSup>
      </m:oMath>
      <w:r>
        <w:t xml:space="preserve"> </w:t>
      </w:r>
      <w:r>
        <w:t xml:space="preserve">se revela preferida a</w:t>
      </w:r>
      <w:r>
        <w:t xml:space="preserve"> </w:t>
      </w:r>
      <m:oMath>
        <m:sSup>
          <m:e>
            <m:r>
              <m:t>x</m:t>
            </m:r>
          </m:e>
          <m:sup>
            <m:r>
              <m:t>0</m:t>
            </m:r>
          </m:sup>
        </m:sSup>
      </m:oMath>
      <w:r>
        <w:t xml:space="preserve">. Por el ADPR,</w:t>
      </w:r>
      <w:r>
        <w:t xml:space="preserve"> </w:t>
      </w:r>
      <m:oMath>
        <m:sSup>
          <m:e>
            <m:r>
              <m:t>x</m:t>
            </m:r>
          </m:e>
          <m:sup>
            <m:r>
              <m:t>1</m:t>
            </m:r>
          </m:sup>
        </m:sSup>
      </m:oMath>
      <w:r>
        <w:t xml:space="preserve"> </w:t>
      </w:r>
      <w:r>
        <w:t xml:space="preserve">no puede ser asequible cuando se eligió</w:t>
      </w:r>
      <w:r>
        <w:t xml:space="preserve"> </w:t>
      </w:r>
      <m:oMath>
        <m:sSup>
          <m:e>
            <m:r>
              <m:t>x</m:t>
            </m:r>
          </m:e>
          <m:sup>
            <m:r>
              <m:t>0</m:t>
            </m:r>
          </m:sup>
        </m:sSup>
      </m:oMath>
      <w:r>
        <w:t xml:space="preserve">:</w:t>
      </w:r>
      <w:r>
        <w:t xml:space="preserve"> </w:t>
      </w:r>
      <m:oMath>
        <m:sSup>
          <m:e>
            <m:r>
              <m:t>p</m:t>
            </m:r>
          </m:e>
          <m:sup>
            <m:r>
              <m:t>0</m:t>
            </m:r>
          </m:sup>
        </m:sSup>
        <m:r>
          <m:rPr>
            <m:sty m:val="p"/>
          </m:rPr>
          <m:t>⋅</m:t>
        </m:r>
        <m:sSup>
          <m:e>
            <m:r>
              <m:t>x</m:t>
            </m:r>
          </m:e>
          <m:sup>
            <m:r>
              <m:t>1</m:t>
            </m:r>
          </m:sup>
        </m:sSup>
        <m:r>
          <m:rPr>
            <m:sty m:val="p"/>
          </m:rPr>
          <m:t>&gt;</m:t>
        </m:r>
        <m:sSup>
          <m:e>
            <m:bar>
              <m:barPr>
                <m:pos m:val="top"/>
              </m:barPr>
              <m:e>
                <m:r>
                  <m:t>W</m:t>
                </m:r>
              </m:e>
            </m:bar>
          </m:e>
          <m:sup>
            <m:r>
              <m:t>0</m:t>
            </m:r>
          </m:sup>
        </m:sSup>
        <m:r>
          <m:rPr>
            <m:sty m:val="p"/>
          </m:rPr>
          <m:t>=</m:t>
        </m:r>
        <m:sSup>
          <m:e>
            <m:r>
              <m:t>p</m:t>
            </m:r>
          </m:e>
          <m:sup>
            <m:r>
              <m:t>0</m:t>
            </m:r>
          </m:sup>
        </m:sSup>
        <m:r>
          <m:rPr>
            <m:sty m:val="p"/>
          </m:rPr>
          <m:t>⋅</m:t>
        </m:r>
        <m:sSup>
          <m:e>
            <m:r>
              <m:t>x</m:t>
            </m:r>
          </m:e>
          <m:sup>
            <m:r>
              <m:t>0</m:t>
            </m:r>
          </m:sup>
        </m:sSup>
      </m:oMath>
      <w:r>
        <w:t xml:space="preserve">, es decir,</w:t>
      </w:r>
      <w:r>
        <w:t xml:space="preserve"> </w:t>
      </w:r>
      <m:oMath>
        <m:sSup>
          <m:e>
            <m:r>
              <m:t>p</m:t>
            </m:r>
          </m:e>
          <m:sup>
            <m:r>
              <m:t>0</m:t>
            </m:r>
          </m:sup>
        </m:sSup>
        <m:r>
          <m:rPr>
            <m:sty m:val="p"/>
          </m:rPr>
          <m:t>⋅</m:t>
        </m:r>
        <m:d>
          <m:dPr>
            <m:begChr m:val="("/>
            <m:sepChr m:val=""/>
            <m:endChr m:val=")"/>
            <m:grow/>
          </m:dPr>
          <m:e>
            <m:sSup>
              <m:e>
                <m:r>
                  <m:t>x</m:t>
                </m:r>
              </m:e>
              <m:sup>
                <m:r>
                  <m:t>1</m:t>
                </m:r>
              </m:sup>
            </m:sSup>
            <m:r>
              <m:rPr>
                <m:sty m:val="p"/>
              </m:rPr>
              <m:t>−</m:t>
            </m:r>
            <m:sSup>
              <m:e>
                <m:r>
                  <m:t>x</m:t>
                </m:r>
              </m:e>
              <m:sup>
                <m:r>
                  <m:t>0</m:t>
                </m:r>
              </m:sup>
            </m:sSup>
          </m:e>
        </m:d>
        <m:r>
          <m:rPr>
            <m:sty m:val="p"/>
          </m:rPr>
          <m:t>&gt;</m:t>
        </m:r>
        <m:r>
          <m:t>0</m:t>
        </m:r>
      </m:oMath>
      <w:r>
        <w:t xml:space="preserve">. Por tanto,</w:t>
      </w:r>
    </w:p>
    <w:p>
      <w:pPr>
        <w:pStyle w:val="BodyText"/>
      </w:pPr>
      <m:oMathPara>
        <m:oMathParaPr>
          <m:jc m:val="center"/>
        </m:oMathParaPr>
        <m:oMath>
          <m:d>
            <m:dPr>
              <m:begChr m:val="("/>
              <m:sepChr m:val=""/>
              <m:endChr m:val=")"/>
              <m:grow/>
            </m:dPr>
            <m:e>
              <m:sSup>
                <m:e>
                  <m:r>
                    <m:t>p</m:t>
                  </m:r>
                </m:e>
                <m:sup>
                  <m:r>
                    <m:t>1</m:t>
                  </m:r>
                </m:sup>
              </m:sSup>
              <m:r>
                <m:rPr>
                  <m:sty m:val="p"/>
                </m:rPr>
                <m:t>−</m:t>
              </m:r>
              <m:sSup>
                <m:e>
                  <m:r>
                    <m:t>p</m:t>
                  </m:r>
                </m:e>
                <m:sup>
                  <m:r>
                    <m:t>0</m:t>
                  </m:r>
                </m:sup>
              </m:sSup>
            </m:e>
          </m:d>
          <m:r>
            <m:rPr>
              <m:sty m:val="p"/>
            </m:rPr>
            <m:t>⋅</m:t>
          </m:r>
          <m:d>
            <m:dPr>
              <m:begChr m:val="("/>
              <m:sepChr m:val=""/>
              <m:endChr m:val=")"/>
              <m:grow/>
            </m:dPr>
            <m:e>
              <m:sSup>
                <m:e>
                  <m:r>
                    <m:t>x</m:t>
                  </m:r>
                </m:e>
                <m:sup>
                  <m:r>
                    <m:t>1</m:t>
                  </m:r>
                </m:sup>
              </m:sSup>
              <m:r>
                <m:rPr>
                  <m:sty m:val="p"/>
                </m:rPr>
                <m:t>−</m:t>
              </m:r>
              <m:sSup>
                <m:e>
                  <m:r>
                    <m:t>x</m:t>
                  </m:r>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7"/>
    <w:bookmarkStart w:id="228" w:name="der:cobb-douglas"/>
    <w:p>
      <w:pPr>
        <w:pStyle w:val="Heading2"/>
      </w:pPr>
      <w:r>
        <w:t xml:space="preserve">B.8. Demandas de la Cobb-Douglas</w:t>
      </w:r>
    </w:p>
    <w:p>
      <w:pPr>
        <w:numPr>
          <w:ilvl w:val="0"/>
          <w:numId w:val="1132"/>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2"/>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(32):</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8"/>
    <w:bookmarkStart w:id="229" w:name="der:ces"/>
    <w:p>
      <w:pPr>
        <w:pStyle w:val="Heading2"/>
      </w:pPr>
      <w:r>
        <w:t xml:space="preserve">B.9. La Cobb-Douglas como límite de la CES</w:t>
      </w:r>
    </w:p>
    <w:p>
      <w:pPr>
        <w:numPr>
          <w:ilvl w:val="0"/>
          <w:numId w:val="1133"/>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3"/>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9"/>
    <w:bookmarkEnd w:id="230"/>
    <w:bookmarkStart w:id="235" w:name="anexo:formas"/>
    <w:p>
      <w:pPr>
        <w:pStyle w:val="Heading1"/>
      </w:pPr>
      <w:r>
        <w:t xml:space="preserve">C. Anexo: formas comunes de la función de utilidad</w:t>
      </w:r>
    </w:p>
    <w:p>
      <w:pPr>
        <w:numPr>
          <w:ilvl w:val="0"/>
          <w:numId w:val="1134"/>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5"/>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5"/>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6"/>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6"/>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6"/>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1"/>
      </w:r>
      <w:r>
        <w:t xml:space="preserve"> </w:t>
      </w:r>
      <w:r>
        <w:t xml:space="preserve">Sus propiedades:</w:t>
      </w:r>
    </w:p>
    <w:p>
      <w:pPr>
        <w:numPr>
          <w:ilvl w:val="3"/>
          <w:numId w:val="1137"/>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7"/>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7"/>
        </w:numPr>
      </w:pPr>
      <w:r>
        <w:t xml:space="preserve">su elasticidad de sustitución es constante e igual a uno;</w:t>
      </w:r>
    </w:p>
    <w:p>
      <w:pPr>
        <w:numPr>
          <w:ilvl w:val="3"/>
          <w:numId w:val="1137"/>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7"/>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5"/>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 </w:t>
      </w:r>
      <w:r>
        <w:t xml:space="preserve">(anexo D).</w:t>
      </w:r>
    </w:p>
    <w:p>
      <w:pPr>
        <w:numPr>
          <w:ilvl w:val="0"/>
          <w:numId w:val="1134"/>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2"/>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Su uso empírico se resume en el anexo D y se estudia en</w:t>
      </w:r>
      <w:r>
        <w:t xml:space="preserve"> </w:t>
      </w:r>
      <w:r>
        <w:rPr>
          <w:rStyle w:val="Referenciaatema"/>
        </w:rPr>
        <w:t xml:space="preserve">[ver tema 3.A.9]</w:t>
      </w:r>
      <w:r>
        <w:t xml:space="preserve">.</w:t>
      </w:r>
    </w:p>
    <w:p>
      <w:pPr>
        <w:numPr>
          <w:ilvl w:val="0"/>
          <w:numId w:val="1134"/>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3"/>
      </w:r>
    </w:p>
    <w:p>
      <w:pPr>
        <w:numPr>
          <w:ilvl w:val="0"/>
          <w:numId w:val="1134"/>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8"/>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8"/>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8"/>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34"/>
      </w:r>
    </w:p>
    <w:bookmarkEnd w:id="235"/>
    <w:bookmarkStart w:id="237"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que se desarrolla en</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p>
      <w:pPr>
        <w:numPr>
          <w:ilvl w:val="0"/>
          <w:numId w:val="1139"/>
        </w:numPr>
      </w:pPr>
      <w:r>
        <w:rPr>
          <w:b/>
          <w:bCs/>
          <w:i/>
          <w:iCs/>
        </w:rPr>
        <w:t xml:space="preserve">Idea</w:t>
      </w:r>
      <w:r>
        <w:t xml:space="preserve">: 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rPr>
          <w:t xml:space="preserve">Deaton y Muellbauer 1980b</w:t>
        </w:r>
      </w:hyperlink>
      <w:r>
        <w:t xml:space="preserve">, caps. 1 y 3;</w:t>
      </w:r>
      <w:r>
        <w:t xml:space="preserve"> </w:t>
      </w:r>
      <w:hyperlink w:anchor="ref-AguilarMateos2015Deaton">
        <w:r>
          <w:rPr>
            <w:rStyle w:val="Hyperlink"/>
          </w:rPr>
          <w:t xml:space="preserve">Aguilar García y Mateos Bustamante 2015</w:t>
        </w:r>
      </w:hyperlink>
      <w:r>
        <w:t xml:space="preserve">)</w:t>
      </w:r>
      <w:r>
        <w:t xml:space="preserve">.</w:t>
      </w:r>
    </w:p>
    <w:p>
      <w:pPr>
        <w:numPr>
          <w:ilvl w:val="0"/>
          <w:numId w:val="1139"/>
        </w:numPr>
      </w:pPr>
      <w:r>
        <w:rPr>
          <w:b/>
          <w:bCs/>
          <w:i/>
          <w:iCs/>
        </w:rPr>
        <w:t xml:space="preserve">Pasos que sigue la literatura</w:t>
      </w:r>
      <w:r>
        <w:t xml:space="preserve">:</w:t>
      </w:r>
    </w:p>
    <w:p>
      <w:pPr>
        <w:numPr>
          <w:ilvl w:val="1"/>
          <w:numId w:val="1140"/>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2"/>
          <w:numId w:val="1141"/>
        </w:numPr>
      </w:pPr>
      <w:r>
        <w:rPr>
          <w:b/>
          <w:bCs/>
        </w:rPr>
        <w:t xml:space="preserve">Cobb-Douglas</w:t>
      </w:r>
      <w:r>
        <w:t xml:space="preserve">, en logaritmos,</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2"/>
          <w:numId w:val="1141"/>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r>
              <m:t>x</m:t>
            </m:r>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pStyle w:val="BodyT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2"/>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y con preferencias aditivas las elasticidades-precio quedan prácticamente ligadas a las elasticidades-renta, algo que los datos rechazan</w:t>
      </w:r>
      <w:r>
        <w:t xml:space="preserve"> </w:t>
      </w:r>
      <w:r>
        <w:t xml:space="preserve">(</w:t>
      </w:r>
      <w:hyperlink w:anchor="ref-Deaton1974Analysis">
        <w:r>
          <w:rPr>
            <w:rStyle w:val="Hyperlink"/>
          </w:rPr>
          <w:t xml:space="preserve">Deaton 1974</w:t>
        </w:r>
      </w:hyperlink>
      <w:r>
        <w:t xml:space="preserve">)</w:t>
      </w:r>
      <w:r>
        <w:t xml:space="preserve">.</w:t>
      </w:r>
    </w:p>
    <w:p>
      <w:pPr>
        <w:numPr>
          <w:ilvl w:val="2"/>
          <w:numId w:val="1141"/>
        </w:numPr>
      </w:pPr>
      <w:r>
        <w:rPr>
          <w:b/>
          <w:bCs/>
        </w:rPr>
        <w:t xml:space="preserve">Modelo de Rotterdam</w:t>
      </w:r>
      <w:r>
        <w:t xml:space="preserve"> </w:t>
      </w:r>
      <w:r>
        <w:t xml:space="preserve">(</w:t>
      </w:r>
      <w:hyperlink w:anchor="ref-Theil1965Information">
        <w:r>
          <w:rPr>
            <w:rStyle w:val="Hyperlink"/>
          </w:rPr>
          <w:t xml:space="preserve">Theil 1965</w:t>
        </w:r>
      </w:hyperlink>
      <w:r>
        <w:t xml:space="preserve">;</w:t>
      </w:r>
      <w:r>
        <w:t xml:space="preserve"> </w:t>
      </w:r>
      <w:hyperlink w:anchor="ref-Barten1967Slutsky">
        <w:r>
          <w:rPr>
            <w:rStyle w:val="Hyperlink"/>
          </w:rPr>
          <w:t xml:space="preserve">Barten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t xml:space="preserve">Barten (</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2"/>
          <w:numId w:val="1141"/>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t xml:space="preserve">Christensen, Jorgenson y Lau (</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2"/>
          <w:numId w:val="1141"/>
        </w:numPr>
      </w:pPr>
      <w:r>
        <w:rPr>
          <w:b/>
          <w:bCs/>
        </w:rPr>
        <w:t xml:space="preserve">Sistema casi ideal de demanda</w:t>
      </w:r>
      <w:r>
        <w:t xml:space="preserve"> </w:t>
      </w:r>
      <w:r>
        <w:t xml:space="preserve">(AIDS) de</w:t>
      </w:r>
      <w:r>
        <w:t xml:space="preserve"> </w:t>
      </w:r>
      <w:r>
        <w:t xml:space="preserve">Deaton y Muellbauer (</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2"/>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rPr>
          <w:t xml:space="preserve">Muellbauer 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36"/>
      </w:r>
    </w:p>
    <w:p>
      <w:pPr>
        <w:numPr>
          <w:ilvl w:val="1"/>
          <w:numId w:val="1140"/>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dos etapas: primero se reparte el gasto entre grupos y luego, dentro de cada grupo</w:t>
      </w:r>
      <w:r>
        <w:t xml:space="preserve"> </w:t>
      </w:r>
      <w:r>
        <w:t xml:space="preserve">(</w:t>
      </w:r>
      <w:hyperlink w:anchor="ref-DeatonMuellbauer1980Economics">
        <w:r>
          <w:rPr>
            <w:rStyle w:val="Hyperlink"/>
          </w:rPr>
          <w:t xml:space="preserve">Deaton y Muellbauer 1980b, cap. 5</w:t>
        </w:r>
      </w:hyperlink>
      <w:r>
        <w:t xml:space="preserve">)</w:t>
      </w:r>
      <w:r>
        <w:t xml:space="preserve">.</w:t>
      </w:r>
    </w:p>
    <w:p>
      <w:pPr>
        <w:numPr>
          <w:ilvl w:val="1"/>
          <w:numId w:val="1140"/>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dos años seguidos, lo que da un panel corto; sustituyó a la Encuesta Continua de Presupuestos Familiares</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1"/>
          <w:numId w:val="1140"/>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rPr>
          <w:t xml:space="preserve">Barten 1969</w:t>
        </w:r>
      </w:hyperlink>
      <w:r>
        <w:t xml:space="preserve">)</w:t>
      </w:r>
      <w:r>
        <w:t xml:space="preserve">.</w:t>
      </w:r>
    </w:p>
    <w:p>
      <w:pPr>
        <w:numPr>
          <w:ilvl w:val="1"/>
          <w:numId w:val="1140"/>
        </w:numPr>
      </w:pPr>
      <w:r>
        <w:rPr>
          <w:i/>
          <w:iCs/>
        </w:rPr>
        <w:t xml:space="preserve">Resultados</w:t>
      </w:r>
      <w:r>
        <w:t xml:space="preserve">. Se obtienen las elasticidades 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rPr>
          <w:t xml:space="preserve">Barten 1967</w:t>
        </w:r>
      </w:hyperlink>
      <w:r>
        <w:t xml:space="preserve">;</w:t>
      </w:r>
      <w:r>
        <w:t xml:space="preserve"> </w:t>
      </w:r>
      <w:hyperlink w:anchor="ref-DeatonMuellbauer1980AIDS">
        <w:r>
          <w:rPr>
            <w:rStyle w:val="Hyperlink"/>
          </w:rPr>
          <w:t xml:space="preserve">Deaton y Muellbauer 1980a</w:t>
        </w:r>
      </w:hyperlink>
      <w:r>
        <w:t xml:space="preserve">)</w:t>
      </w:r>
      <w:r>
        <w:t xml:space="preserve">.</w:t>
      </w:r>
    </w:p>
    <w:bookmarkEnd w:id="237"/>
    <w:bookmarkStart w:id="243" w:name="anexo:cardinal"/>
    <w:p>
      <w:pPr>
        <w:pStyle w:val="Heading1"/>
      </w:pPr>
      <w:r>
        <w:t xml:space="preserve">E.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p>
      <w:pPr>
        <w:numPr>
          <w:ilvl w:val="0"/>
          <w:numId w:val="1142"/>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42"/>
        </w:numPr>
      </w:pPr>
      <w:r>
        <w:rPr>
          <w:b/>
          <w:bCs/>
          <w:i/>
          <w:iCs/>
        </w:rPr>
        <w:t xml:space="preserve">Supuestos</w:t>
      </w:r>
      <w:r>
        <w:t xml:space="preserve"> </w:t>
      </w:r>
      <w:r>
        <w:t xml:space="preserve">sobre la función de utilidad:</w:t>
      </w:r>
    </w:p>
    <w:p>
      <w:pPr>
        <w:numPr>
          <w:ilvl w:val="1"/>
          <w:numId w:val="1143"/>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38"/>
      </w:r>
    </w:p>
    <w:p>
      <w:pPr>
        <w:numPr>
          <w:ilvl w:val="1"/>
          <w:numId w:val="1143"/>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43"/>
        </w:numPr>
      </w:pPr>
      <w:r>
        <w:rPr>
          <w:i/>
          <w:iCs/>
        </w:rPr>
        <w:t xml:space="preserve">creciente</w:t>
      </w:r>
      <w:r>
        <w:t xml:space="preserve"> </w:t>
      </w:r>
      <w:r>
        <w:t xml:space="preserve">en cada bien y en el dinero;</w:t>
      </w:r>
    </w:p>
    <w:p>
      <w:pPr>
        <w:numPr>
          <w:ilvl w:val="1"/>
          <w:numId w:val="1143"/>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43"/>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42"/>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42"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40" name="Picture"/>
            <a:graphic>
              <a:graphicData uri="http://schemas.openxmlformats.org/drawingml/2006/picture">
                <pic:pic>
                  <pic:nvPicPr>
                    <pic:cNvPr descr="C:\Users\vgutierrez\Documents\src\victorgutierrezmarcos.github.io-revision\oposicion\temario\fuentes\3A08\graficos/demanda-cardinal.png" id="241" name="Picture"/>
                    <pic:cNvPicPr>
                      <a:picLocks noChangeArrowheads="1" noChangeAspect="1"/>
                    </pic:cNvPicPr>
                  </pic:nvPicPr>
                  <pic:blipFill>
                    <a:blip r:embed="rId239"/>
                    <a:stretch>
                      <a:fillRect/>
                    </a:stretch>
                  </pic:blipFill>
                  <pic:spPr bwMode="auto">
                    <a:xfrm>
                      <a:off x="0" y="0"/>
                      <a:ext cx="2960331" cy="2672861"/>
                    </a:xfrm>
                    <a:prstGeom prst="rect">
                      <a:avLst/>
                    </a:prstGeom>
                    <a:noFill/>
                    <a:ln w="9525">
                      <a:noFill/>
                      <a:headEnd/>
                      <a:tailEnd/>
                    </a:ln>
                  </pic:spPr>
                </pic:pic>
              </a:graphicData>
            </a:graphic>
          </wp:inline>
        </w:drawing>
      </w:r>
    </w:p>
    <w:bookmarkEnd w:id="242"/>
    <w:p>
      <w:pPr>
        <w:pStyle w:val="Piedeimagen"/>
      </w:pPr>
      <w:r>
        <w:t xml:space="preserve">Fuente: elaboración propia basada en</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44"/>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44"/>
        </w:numPr>
      </w:pPr>
      <w:r>
        <w:rPr>
          <w:b/>
          <w:bCs/>
          <w:i/>
          <w:iCs/>
        </w:rPr>
        <w:t xml:space="preserve">Valoración</w:t>
      </w:r>
      <w:r>
        <w:t xml:space="preserve">:</w:t>
      </w:r>
    </w:p>
    <w:p>
      <w:pPr>
        <w:numPr>
          <w:ilvl w:val="1"/>
          <w:numId w:val="1145"/>
        </w:numPr>
      </w:pPr>
      <w:r>
        <w:t xml:space="preserve">la utilidad cardinal exige más información de la necesaria: para derivar la demanda basta con ordenar las cestas;</w:t>
      </w:r>
    </w:p>
    <w:p>
      <w:pPr>
        <w:numPr>
          <w:ilvl w:val="1"/>
          <w:numId w:val="1145"/>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45"/>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43"/>
    <w:bookmarkStart w:id="248" w:name="anexo:lancaster"/>
    <w:p>
      <w:pPr>
        <w:pStyle w:val="Heading1"/>
      </w:pPr>
      <w:r>
        <w:t xml:space="preserve">F. Anexo: la teoría de la demanda de características de 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se estudia en</w:t>
      </w:r>
      <w:r>
        <w:t xml:space="preserve"> </w:t>
      </w:r>
      <w:r>
        <w:rPr>
          <w:rStyle w:val="Referenciaatema"/>
        </w:rPr>
        <w:t xml:space="preserve">[ver tema 3.A.18]</w:t>
      </w:r>
      <w:r>
        <w:t xml:space="preserve">.</w:t>
      </w:r>
    </w:p>
    <w:p>
      <w:pPr>
        <w:numPr>
          <w:ilvl w:val="0"/>
          <w:numId w:val="1146"/>
        </w:numPr>
      </w:pPr>
      <w:r>
        <w:rPr>
          <w:b/>
          <w:bCs/>
          <w:i/>
          <w:iCs/>
        </w:rPr>
        <w:t xml:space="preserve">Idea</w:t>
      </w:r>
      <w:r>
        <w:t xml:space="preserve">: la teoría tradicional trata los bienes como homogéneos y distintos entre sí solo por su precio y por la utilidad que dan.</w:t>
      </w:r>
      <w:r>
        <w:t xml:space="preserve"> </w:t>
      </w:r>
      <w:r>
        <w:t xml:space="preserve">Lancaster (</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p>
      <w:pPr>
        <w:numPr>
          <w:ilvl w:val="0"/>
          <w:numId w:val="1146"/>
        </w:numPr>
      </w:pPr>
      <w:r>
        <w:rPr>
          <w:b/>
          <w:bCs/>
          <w:i/>
          <w:iCs/>
        </w:rPr>
        <w:t xml:space="preserve">Supuestos</w:t>
      </w:r>
      <w:r>
        <w:t xml:space="preserve">:</w:t>
      </w:r>
    </w:p>
    <w:p>
      <w:pPr>
        <w:numPr>
          <w:ilvl w:val="1"/>
          <w:numId w:val="1147"/>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1"/>
          <w:numId w:val="1147"/>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1"/>
          <w:numId w:val="1147"/>
        </w:numPr>
      </w:pPr>
      <w:r>
        <w:t xml:space="preserve">la utilidad, ordinal y con las propiedades habituales, depende de las características, no de los bienes.</w:t>
      </w:r>
    </w:p>
    <w:p>
      <w:pPr>
        <w:numPr>
          <w:ilvl w:val="0"/>
          <w:numId w:val="1146"/>
        </w:numPr>
      </w:pPr>
      <w:r>
        <w:rPr>
          <w:b/>
          <w:bCs/>
          <w:i/>
          <w:iCs/>
        </w:rPr>
        <w:t xml:space="preserve">Modelo</w:t>
      </w:r>
      <w:r>
        <w:t xml:space="preserve">: 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t> </m:t>
          </m:r>
          <m:r>
            <m:t> </m:t>
          </m:r>
          <m:d>
            <m:dPr>
              <m:begChr m:val="("/>
              <m:sepChr m:val=""/>
              <m:endChr m:val=")"/>
              <m:grow/>
            </m:dPr>
            <m:e>
              <m:r>
                <m:t>j</m:t>
              </m:r>
              <m:r>
                <m:rPr>
                  <m:sty m:val="p"/>
                </m:rPr>
                <m:t>=</m:t>
              </m:r>
              <m:r>
                <m:t>1</m:t>
              </m:r>
              <m:r>
                <m:rPr>
                  <m:sty m:val="p"/>
                </m:rPr>
                <m:t>,</m:t>
              </m:r>
              <m:r>
                <m:rPr>
                  <m:sty m:val="p"/>
                </m:rPr>
                <m:t>…</m:t>
              </m:r>
              <m:r>
                <m:rPr>
                  <m:sty m:val="p"/>
                </m:rPr>
                <m:t>,</m:t>
              </m:r>
              <m:r>
                <m:t>k</m:t>
              </m:r>
            </m:e>
          </m:d>
          <m:r>
            <m:rPr>
              <m:sty m:val="p"/>
            </m:rPr>
            <m:t>,</m:t>
          </m:r>
          <m:r>
            <m:t>  </m:t>
          </m:r>
          <m:sSub>
            <m:e>
              <m:r>
                <m:t>x</m:t>
              </m:r>
            </m:e>
            <m:sub>
              <m:r>
                <m:t>i</m:t>
              </m:r>
            </m:sub>
          </m:sSub>
          <m:r>
            <m:rPr>
              <m:sty m:val="p"/>
            </m:rPr>
            <m:t>≥</m:t>
          </m:r>
          <m:r>
            <m:t>0</m:t>
          </m:r>
          <m:r>
            <m:rPr>
              <m:sty m:val="p"/>
            </m:rPr>
            <m:t>,</m:t>
          </m:r>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r>
          <m:t>z</m:t>
        </m:r>
        <m:r>
          <m:rPr>
            <m:sty m:val="p"/>
          </m:rPr>
          <m:t>=</m:t>
        </m:r>
        <m:r>
          <m:t>B</m:t>
        </m:r>
        <m:r>
          <m:t>x</m:t>
        </m:r>
      </m:oMath>
      <w:r>
        <w:t xml:space="preserve">.</w:t>
      </w:r>
    </w:p>
    <w:p>
      <w:pPr>
        <w:numPr>
          <w:ilvl w:val="0"/>
          <w:numId w:val="1146"/>
        </w:numPr>
      </w:pPr>
      <w:r>
        <w:rPr>
          <w:b/>
          <w:bCs/>
          <w:i/>
          <w:iCs/>
        </w:rPr>
        <w:t xml:space="preserve">Desarrollo gráfico</w:t>
      </w:r>
      <w:r>
        <w:t xml:space="preserve"> </w:t>
      </w:r>
      <w:r>
        <w:t xml:space="preserve">(gráfico 24): con dos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p>
      <w:pPr>
        <w:numPr>
          <w:ilvl w:val="0"/>
          <w:numId w:val="1146"/>
        </w:numPr>
      </w:pPr>
      <w:r>
        <w:rPr>
          <w:b/>
          <w:bCs/>
          <w:i/>
          <w:iCs/>
        </w:rPr>
        <w:t xml:space="preserve">Implicaciones</w:t>
      </w:r>
      <w:r>
        <w:t xml:space="preserve">:</w:t>
      </w:r>
    </w:p>
    <w:p>
      <w:pPr>
        <w:numPr>
          <w:ilvl w:val="1"/>
          <w:numId w:val="1148"/>
        </w:numPr>
      </w:pPr>
      <w:r>
        <w:t xml:space="preserve">la elección tiene dos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1"/>
          <w:numId w:val="1148"/>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1"/>
          <w:numId w:val="1148"/>
        </w:numPr>
      </w:pPr>
      <w:r>
        <w:t xml:space="preserve">un bien nuevo es un rayo nuevo: tiene mercado si amplía la frontera de eficiencia;</w:t>
      </w:r>
    </w:p>
    <w:p>
      <w:pPr>
        <w:numPr>
          <w:ilvl w:val="1"/>
          <w:numId w:val="1148"/>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p>
    <w:p>
      <w:pPr>
        <w:numPr>
          <w:ilvl w:val="0"/>
          <w:numId w:val="1146"/>
        </w:numPr>
      </w:pPr>
      <w:r>
        <w:rPr>
          <w:b/>
          <w:bCs/>
          <w:i/>
          <w:iCs/>
        </w:rPr>
        <w:t xml:space="preserve">Aplicaciones</w:t>
      </w:r>
      <w:r>
        <w:t xml:space="preserve">:</w:t>
      </w:r>
    </w:p>
    <w:p>
      <w:pPr>
        <w:numPr>
          <w:ilvl w:val="1"/>
          <w:numId w:val="1149"/>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1"/>
          <w:numId w:val="1149"/>
        </w:numPr>
      </w:pPr>
      <w:r>
        <w:t xml:space="preserve">la</w:t>
      </w:r>
      <w:r>
        <w:t xml:space="preserve"> </w:t>
      </w:r>
      <w:r>
        <w:rPr>
          <w:i/>
          <w:iCs/>
        </w:rPr>
        <w:t xml:space="preserve">elección de cartera</w:t>
      </w:r>
      <w:r>
        <w:t xml:space="preserve">: un activo financiero puede verse como un conjunto de dos características, la rentabilidad esperada y el riesgo, y el modelo de media y varianza de</w:t>
      </w:r>
      <w:r>
        <w:t xml:space="preserve"> </w:t>
      </w:r>
      <w:r>
        <w:t xml:space="preserve">Markowitz (</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p>
      <w:pPr>
        <w:numPr>
          <w:ilvl w:val="0"/>
          <w:numId w:val="1146"/>
        </w:numPr>
      </w:pPr>
      <w:r>
        <w:rPr>
          <w:b/>
          <w:bCs/>
          <w:i/>
          <w:iCs/>
        </w:rPr>
        <w:t xml:space="preserve">Valoración</w:t>
      </w:r>
      <w:r>
        <w:t xml:space="preserve">: 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rPr>
          <w:t xml:space="preserve">Lancaster 1966</w:t>
        </w:r>
      </w:hyperlink>
      <w:r>
        <w:t xml:space="preserve">)</w:t>
      </w:r>
      <w:r>
        <w:t xml:space="preserve">.</w:t>
      </w:r>
    </w:p>
    <w:bookmarkStart w:id="247"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45" name="Picture"/>
            <a:graphic>
              <a:graphicData uri="http://schemas.openxmlformats.org/drawingml/2006/picture">
                <pic:pic>
                  <pic:nvPicPr>
                    <pic:cNvPr descr="C:\Users\vgutierrez\Documents\src\victorgutierrezmarcos.github.io-revision\oposicion\temario\fuentes\3A08\graficos/lancaster-caracteristicas.png" id="246" name="Picture"/>
                    <pic:cNvPicPr>
                      <a:picLocks noChangeArrowheads="1" noChangeAspect="1"/>
                    </pic:cNvPicPr>
                  </pic:nvPicPr>
                  <pic:blipFill>
                    <a:blip r:embed="rId244"/>
                    <a:stretch>
                      <a:fillRect/>
                    </a:stretch>
                  </pic:blipFill>
                  <pic:spPr bwMode="auto">
                    <a:xfrm>
                      <a:off x="0" y="0"/>
                      <a:ext cx="3039844" cy="2483253"/>
                    </a:xfrm>
                    <a:prstGeom prst="rect">
                      <a:avLst/>
                    </a:prstGeom>
                    <a:noFill/>
                    <a:ln w="9525">
                      <a:noFill/>
                      <a:headEnd/>
                      <a:tailEnd/>
                    </a:ln>
                  </pic:spPr>
                </pic:pic>
              </a:graphicData>
            </a:graphic>
          </wp:inline>
        </w:drawing>
      </w:r>
    </w:p>
    <w:bookmarkEnd w:id="247"/>
    <w:p>
      <w:pPr>
        <w:pStyle w:val="Piedeimagen"/>
      </w:pPr>
      <w:r>
        <w:t xml:space="preserve">Fuente: elaboración propia basada en</w:t>
      </w:r>
      <w:r>
        <w:t xml:space="preserve"> </w:t>
      </w:r>
      <w:r>
        <w:t xml:space="preserve">Lancaster (</w:t>
      </w:r>
      <w:hyperlink w:anchor="ref-Lancaster1966New">
        <w:r>
          <w:rPr>
            <w:rStyle w:val="Hyperlink"/>
          </w:rPr>
          <w:t xml:space="preserve">1966</w:t>
        </w:r>
      </w:hyperlink>
      <w:r>
        <w:t xml:space="preserve">)</w:t>
      </w:r>
      <w:r>
        <w:t xml:space="preserve">.</w:t>
      </w:r>
    </w:p>
    <w:bookmarkEnd w:id="248"/>
    <w:bookmarkStart w:id="249" w:name="anexo:thaler"/>
    <w:p>
      <w:pPr>
        <w:pStyle w:val="Heading1"/>
      </w:pPr>
      <w:r>
        <w:t xml:space="preserve">G. Anexo: psicología y economía (Thaler)</w:t>
      </w:r>
    </w:p>
    <w:p>
      <w:pPr>
        <w:pStyle w:val="Notaalopositor"/>
      </w:pPr>
      <w:r>
        <w:rPr>
          <w:b/>
          <w:bCs/>
        </w:rPr>
        <w:t xml:space="preserve">Nota al opositor. </w:t>
      </w:r>
      <w:r>
        <w:t xml:space="preserve">Este anexo no se canta: amplía la valoración de la Conclusión. Las aportaciones de</w:t>
      </w:r>
      <w:r>
        <w:t xml:space="preserve"> </w:t>
      </w:r>
      <w:r>
        <w:rPr>
          <w:smallCaps/>
        </w:rPr>
        <w:t xml:space="preserve">Thaler</w:t>
      </w:r>
      <w:r>
        <w:t xml:space="preserve"> </w:t>
      </w:r>
      <w:r>
        <w:t xml:space="preserve">cuestionan los axiomas sobre las preferencias del apartado I.1.</w:t>
      </w:r>
    </w:p>
    <w:p>
      <w:pPr>
        <w:numPr>
          <w:ilvl w:val="0"/>
          <w:numId w:val="1150"/>
        </w:numPr>
      </w:pPr>
      <w:r>
        <w:rPr>
          <w:smallCaps/>
        </w:rPr>
        <w:t xml:space="preserve">Richard 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más útiles para la teoría del consumidor son tres:</w:t>
      </w:r>
    </w:p>
    <w:p>
      <w:pPr>
        <w:numPr>
          <w:ilvl w:val="1"/>
          <w:numId w:val="1151"/>
        </w:numPr>
      </w:pPr>
      <w:r>
        <w:rPr>
          <w:b/>
          <w:bCs/>
        </w:rPr>
        <w:t xml:space="preserve">Contabilidad mental</w:t>
      </w:r>
      <w:r>
        <w:t xml:space="preserve"> </w:t>
      </w:r>
      <w:r>
        <w:t xml:space="preserve">(</w:t>
      </w:r>
      <w:hyperlink w:anchor="ref-Thaler1985Mental">
        <w:r>
          <w:rPr>
            <w:rStyle w:val="Hyperlink"/>
          </w:rPr>
          <w:t xml:space="preserve">Thaler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t xml:space="preserve">Simon (</w:t>
      </w:r>
      <w:hyperlink w:anchor="ref-Simon1955Behavioral">
        <w:r>
          <w:rPr>
            <w:rStyle w:val="Hyperlink"/>
          </w:rPr>
          <w:t xml:space="preserve">1955</w:t>
        </w:r>
      </w:hyperlink>
      <w:r>
        <w:t xml:space="preserve">)</w:t>
      </w:r>
      <w:r>
        <w:t xml:space="preserve">.</w:t>
      </w:r>
    </w:p>
    <w:p>
      <w:pPr>
        <w:numPr>
          <w:ilvl w:val="1"/>
          <w:numId w:val="1151"/>
        </w:numPr>
      </w:pPr>
      <w:r>
        <w:rPr>
          <w:b/>
          <w:bCs/>
        </w:rPr>
        <w:t xml:space="preserve">Efecto dotación</w:t>
      </w:r>
      <w:r>
        <w:t xml:space="preserve"> </w:t>
      </w:r>
      <w:r>
        <w:t xml:space="preserve">(</w:t>
      </w:r>
      <w:hyperlink w:anchor="ref-Thaler1980Positive">
        <w:r>
          <w:rPr>
            <w:rStyle w:val="Hyperlink"/>
          </w:rPr>
          <w:t xml:space="preserve">Thaler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Contradice que las curvas de indiferencia no dependan de la dotación inicial.</w:t>
      </w:r>
    </w:p>
    <w:p>
      <w:pPr>
        <w:numPr>
          <w:ilvl w:val="1"/>
          <w:numId w:val="115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rPr>
          <w:t xml:space="preserve">Kahneman, Knetsch y Thaler 1986</w:t>
        </w:r>
      </w:hyperlink>
      <w:r>
        <w:t xml:space="preserve">)</w:t>
      </w:r>
      <w:r>
        <w:t xml:space="preserve">.</w:t>
      </w:r>
    </w:p>
    <w:p>
      <w:pPr>
        <w:numPr>
          <w:ilvl w:val="0"/>
          <w:numId w:val="1150"/>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49"/>
    <w:bookmarkStart w:id="256" w:name="anexo:test"/>
    <w:p>
      <w:pPr>
        <w:pStyle w:val="Heading1"/>
      </w:pPr>
      <w:r>
        <w:t xml:space="preserve">H. Anexo: aspectos relevantes para el test</w:t>
      </w:r>
    </w:p>
    <w:p>
      <w:pPr>
        <w:pStyle w:val="Cajadeanotaciones"/>
      </w:pPr>
      <w:r>
        <w:t xml:space="preserve">Preguntas tipo test:</w:t>
      </w:r>
      <w:r>
        <w:t xml:space="preserve"> </w:t>
      </w:r>
      <w:hyperlink r:id="rId250">
        <w:r>
          <w:rPr>
            <w:rStyle w:val="Hyperlink"/>
          </w:rPr>
          <w:t xml:space="preserve">simulador de test</w:t>
        </w:r>
      </w:hyperlink>
      <w:r>
        <w:t xml:space="preserve">.</w:t>
      </w:r>
    </w:p>
    <w:bookmarkStart w:id="252" w:name="h.1.-bienes-males-y-bienes-neutrales"/>
    <w:p>
      <w:pPr>
        <w:pStyle w:val="Heading2"/>
      </w:pPr>
      <w:r>
        <w:t xml:space="preserve">H.1. Bienes, males y bienes neutrales</w:t>
      </w:r>
    </w:p>
    <w:p>
      <w:pPr>
        <w:pStyle w:val="FirstParagraph"/>
      </w:pPr>
      <w:r>
        <w:t xml:space="preserve">Se mira el signo de las utilidades marginales:</w:t>
      </w:r>
    </w:p>
    <w:bookmarkStart w:id="251"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51"/>
    <w:p>
      <w:pPr>
        <w:pStyle w:val="BodyText"/>
      </w:pPr>
      <w:r>
        <w:rPr>
          <w:i/>
          <w:iCs/>
        </w:rPr>
        <w:t xml:space="preserve">Fuente: elaboración propia.</w:t>
      </w:r>
    </w:p>
    <w:p>
      <w:pPr>
        <w:numPr>
          <w:ilvl w:val="0"/>
          <w:numId w:val="115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5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52"/>
    <w:bookmarkStart w:id="253"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53"/>
    <w:bookmarkStart w:id="255"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54"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54"/>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53"/>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55"/>
    <w:bookmarkEnd w:id="256"/>
    <w:bookmarkStart w:id="423" w:name="bibliography"/>
    <w:p>
      <w:pPr>
        <w:pStyle w:val="Heading1"/>
      </w:pPr>
      <w:r>
        <w:t xml:space="preserve">Bibliografía</w:t>
      </w:r>
    </w:p>
    <w:bookmarkStart w:id="422" w:name="refs"/>
    <w:bookmarkStart w:id="258"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57">
        <w:r>
          <w:rPr>
            <w:rStyle w:val="Hyperlink"/>
          </w:rPr>
          <w:t xml:space="preserve">https://doi.org/10.2307/2525382</w:t>
        </w:r>
      </w:hyperlink>
      <w:r>
        <w:t xml:space="preserve">.</w:t>
      </w:r>
    </w:p>
    <w:bookmarkEnd w:id="258"/>
    <w:bookmarkStart w:id="260"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59">
        <w:r>
          <w:rPr>
            <w:rStyle w:val="Hyperlink"/>
          </w:rPr>
          <w:t xml:space="preserve">https://presidencia.gva.es/documents/166658342/166714754/Ejemplar+3070/2957e02b-f135-4235-98a6-bfc909292066</w:t>
        </w:r>
      </w:hyperlink>
      <w:r>
        <w:t xml:space="preserve">.</w:t>
      </w:r>
    </w:p>
    <w:bookmarkEnd w:id="260"/>
    <w:bookmarkStart w:id="261"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61"/>
    <w:bookmarkStart w:id="263"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62">
        <w:r>
          <w:rPr>
            <w:rStyle w:val="Hyperlink"/>
          </w:rPr>
          <w:t xml:space="preserve">https://doi.org/10.2307/1927286</w:t>
        </w:r>
      </w:hyperlink>
      <w:r>
        <w:t xml:space="preserve">.</w:t>
      </w:r>
    </w:p>
    <w:bookmarkEnd w:id="263"/>
    <w:bookmarkStart w:id="264"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64"/>
    <w:bookmarkStart w:id="265"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65"/>
    <w:bookmarkStart w:id="267"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66">
        <w:r>
          <w:rPr>
            <w:rStyle w:val="Hyperlink"/>
          </w:rPr>
          <w:t xml:space="preserve">https://doi.org/10.2307/1937885</w:t>
        </w:r>
      </w:hyperlink>
      <w:r>
        <w:t xml:space="preserve">.</w:t>
      </w:r>
    </w:p>
    <w:bookmarkEnd w:id="267"/>
    <w:bookmarkStart w:id="269"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68">
        <w:r>
          <w:rPr>
            <w:rStyle w:val="Hyperlink"/>
          </w:rPr>
          <w:t xml:space="preserve">https://doi.org/10.1016/0014-2921(69)90017-8</w:t>
        </w:r>
      </w:hyperlink>
      <w:r>
        <w:t xml:space="preserve">.</w:t>
      </w:r>
    </w:p>
    <w:bookmarkEnd w:id="269"/>
    <w:bookmarkStart w:id="271"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70">
        <w:r>
          <w:rPr>
            <w:rStyle w:val="Hyperlink"/>
          </w:rPr>
          <w:t xml:space="preserve">https://doi.org/10.2307/2228949</w:t>
        </w:r>
      </w:hyperlink>
      <w:r>
        <w:t xml:space="preserve">.</w:t>
      </w:r>
    </w:p>
    <w:bookmarkEnd w:id="271"/>
    <w:bookmarkStart w:id="273"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72">
        <w:r>
          <w:rPr>
            <w:rStyle w:val="Hyperlink"/>
          </w:rPr>
          <w:t xml:space="preserve">https://doi.org/10.2307/1909829</w:t>
        </w:r>
      </w:hyperlink>
      <w:r>
        <w:t xml:space="preserve">.</w:t>
      </w:r>
    </w:p>
    <w:bookmarkEnd w:id="273"/>
    <w:bookmarkStart w:id="274"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74"/>
    <w:bookmarkStart w:id="275"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75"/>
    <w:bookmarkStart w:id="276"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76"/>
    <w:bookmarkStart w:id="277"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77"/>
    <w:bookmarkStart w:id="279"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78">
        <w:r>
          <w:rPr>
            <w:rStyle w:val="Hyperlink"/>
          </w:rPr>
          <w:t xml:space="preserve">https://allengoodman.wayne.edu/Research/PUBS/Court_Hedonic.pdf</w:t>
        </w:r>
      </w:hyperlink>
      <w:r>
        <w:t xml:space="preserve">.</w:t>
      </w:r>
    </w:p>
    <w:bookmarkEnd w:id="279"/>
    <w:bookmarkStart w:id="281"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80">
        <w:r>
          <w:rPr>
            <w:rStyle w:val="Hyperlink"/>
          </w:rPr>
          <w:t xml:space="preserve">https://doi.org/10.2307/1911983</w:t>
        </w:r>
      </w:hyperlink>
      <w:r>
        <w:t xml:space="preserve">.</w:t>
      </w:r>
    </w:p>
    <w:bookmarkEnd w:id="281"/>
    <w:bookmarkStart w:id="282"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82"/>
    <w:bookmarkStart w:id="283"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83"/>
    <w:bookmarkStart w:id="285"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4">
        <w:r>
          <w:rPr>
            <w:rStyle w:val="Hyperlink"/>
          </w:rPr>
          <w:t xml:space="preserve">https://cowles.yale.edu/sites/default/files/2022-09/m17-all.pdf</w:t>
        </w:r>
      </w:hyperlink>
      <w:r>
        <w:t xml:space="preserve">.</w:t>
      </w:r>
    </w:p>
    <w:bookmarkEnd w:id="285"/>
    <w:bookmarkStart w:id="286"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86"/>
    <w:bookmarkStart w:id="28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7"/>
    <w:bookmarkStart w:id="28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88"/>
    <w:bookmarkStart w:id="289"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89"/>
    <w:bookmarkStart w:id="290"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90"/>
    <w:bookmarkStart w:id="291"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91"/>
    <w:bookmarkStart w:id="293"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92">
        <w:r>
          <w:rPr>
            <w:rStyle w:val="Hyperlink"/>
          </w:rPr>
          <w:t xml:space="preserve">https://doi.org/10.2785/055028</w:t>
        </w:r>
      </w:hyperlink>
      <w:r>
        <w:t xml:space="preserve">.</w:t>
      </w:r>
    </w:p>
    <w:bookmarkEnd w:id="293"/>
    <w:bookmarkStart w:id="295"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94">
        <w:r>
          <w:rPr>
            <w:rStyle w:val="Hyperlink"/>
          </w:rPr>
          <w:t xml:space="preserve">https://ec.europa.eu/eurostat/databrowser/view/nama_10_gdp/default/table</w:t>
        </w:r>
      </w:hyperlink>
      <w:r>
        <w:t xml:space="preserve">.</w:t>
      </w:r>
    </w:p>
    <w:bookmarkEnd w:id="295"/>
    <w:bookmarkStart w:id="296"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96"/>
    <w:bookmarkStart w:id="297"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97"/>
    <w:bookmarkStart w:id="298"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98"/>
    <w:bookmarkStart w:id="300"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99">
        <w:r>
          <w:rPr>
            <w:rStyle w:val="Hyperlink"/>
          </w:rPr>
          <w:t xml:space="preserve">https://web.archive.org/web/20260106065001/http://www2.hawaii.edu/~fuleky/anatomy/anatomy.html</w:t>
        </w:r>
      </w:hyperlink>
      <w:r>
        <w:t xml:space="preserve">.</w:t>
      </w:r>
    </w:p>
    <w:bookmarkEnd w:id="300"/>
    <w:bookmarkStart w:id="302"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01">
        <w:r>
          <w:rPr>
            <w:rStyle w:val="Hyperlink"/>
          </w:rPr>
          <w:t xml:space="preserve">https://doi.org/10.2307/2296107</w:t>
        </w:r>
      </w:hyperlink>
      <w:r>
        <w:t xml:space="preserve">.</w:t>
      </w:r>
    </w:p>
    <w:bookmarkEnd w:id="302"/>
    <w:bookmarkStart w:id="304"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03">
        <w:r>
          <w:rPr>
            <w:rStyle w:val="Hyperlink"/>
          </w:rPr>
          <w:t xml:space="preserve">https://doi.org/10.1006/juec.1997.2071</w:t>
        </w:r>
      </w:hyperlink>
      <w:r>
        <w:t xml:space="preserve">.</w:t>
      </w:r>
    </w:p>
    <w:bookmarkEnd w:id="304"/>
    <w:bookmarkStart w:id="306"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05">
        <w:r>
          <w:rPr>
            <w:rStyle w:val="Hyperlink"/>
          </w:rPr>
          <w:t xml:space="preserve">https://doi.org/10.2307/1906943</w:t>
        </w:r>
      </w:hyperlink>
      <w:r>
        <w:t xml:space="preserve">.</w:t>
      </w:r>
    </w:p>
    <w:bookmarkEnd w:id="306"/>
    <w:bookmarkStart w:id="308"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07">
        <w:r>
          <w:rPr>
            <w:rStyle w:val="Hyperlink"/>
          </w:rPr>
          <w:t xml:space="preserve">https://doi.org/10.1111/j.1467-999X.1961.tb00819.x</w:t>
        </w:r>
      </w:hyperlink>
      <w:r>
        <w:t xml:space="preserve">.</w:t>
      </w:r>
    </w:p>
    <w:bookmarkEnd w:id="308"/>
    <w:bookmarkStart w:id="309"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09"/>
    <w:bookmarkStart w:id="310"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10"/>
    <w:bookmarkStart w:id="312"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11">
        <w:r>
          <w:rPr>
            <w:rStyle w:val="Hyperlink"/>
          </w:rPr>
          <w:t xml:space="preserve">https://www.nber.org/system/files/chapters/c6492/c6492.pdf</w:t>
        </w:r>
      </w:hyperlink>
      <w:r>
        <w:t xml:space="preserve">.</w:t>
      </w:r>
    </w:p>
    <w:bookmarkEnd w:id="312"/>
    <w:bookmarkStart w:id="313"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13"/>
    <w:bookmarkStart w:id="31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4">
        <w:r>
          <w:rPr>
            <w:rStyle w:val="Hyperlink"/>
          </w:rPr>
          <w:t xml:space="preserve">https://doi.org/10.1086/260629</w:t>
        </w:r>
      </w:hyperlink>
      <w:r>
        <w:t xml:space="preserve">.</w:t>
      </w:r>
    </w:p>
    <w:bookmarkEnd w:id="315"/>
    <w:bookmarkStart w:id="317"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16">
        <w:r>
          <w:rPr>
            <w:rStyle w:val="Hyperlink"/>
          </w:rPr>
          <w:t xml:space="preserve">https://doi.org/10.2307/2548574</w:t>
        </w:r>
      </w:hyperlink>
      <w:r>
        <w:t xml:space="preserve">.</w:t>
      </w:r>
    </w:p>
    <w:bookmarkEnd w:id="317"/>
    <w:bookmarkStart w:id="31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18">
        <w:r>
          <w:rPr>
            <w:rStyle w:val="Hyperlink"/>
          </w:rPr>
          <w:t xml:space="preserve">https://doi.org/10.2307/2549382</w:t>
        </w:r>
      </w:hyperlink>
      <w:r>
        <w:t xml:space="preserve">.</w:t>
      </w:r>
    </w:p>
    <w:bookmarkEnd w:id="319"/>
    <w:bookmarkStart w:id="32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20"/>
    <w:bookmarkStart w:id="32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21">
        <w:r>
          <w:rPr>
            <w:rStyle w:val="Hyperlink"/>
          </w:rPr>
          <w:t xml:space="preserve">https://www.ine.es/daco/daco42/daco4213/resmeto06.pdf</w:t>
        </w:r>
      </w:hyperlink>
      <w:r>
        <w:t xml:space="preserve">.</w:t>
      </w:r>
    </w:p>
    <w:bookmarkEnd w:id="322"/>
    <w:bookmarkStart w:id="32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23">
        <w:r>
          <w:rPr>
            <w:rStyle w:val="Hyperlink"/>
          </w:rPr>
          <w:t xml:space="preserve">https://www.ine.es/jaxiT3/Tabla.htm?t=67823</w:t>
        </w:r>
      </w:hyperlink>
      <w:r>
        <w:t xml:space="preserve">.</w:t>
      </w:r>
    </w:p>
    <w:bookmarkEnd w:id="324"/>
    <w:bookmarkStart w:id="32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25">
        <w:r>
          <w:rPr>
            <w:rStyle w:val="Hyperlink"/>
          </w:rPr>
          <w:t xml:space="preserve">https://www.ine.es/jaxiT3/Tabla.htm?t=73828</w:t>
        </w:r>
      </w:hyperlink>
      <w:r>
        <w:t xml:space="preserve">.</w:t>
      </w:r>
    </w:p>
    <w:bookmarkEnd w:id="326"/>
    <w:bookmarkStart w:id="32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27">
        <w:r>
          <w:rPr>
            <w:rStyle w:val="Hyperlink"/>
          </w:rPr>
          <w:t xml:space="preserve">https://www.ine.es/metodologia/t25/metodologia_IPC_base_2025.pdf</w:t>
        </w:r>
      </w:hyperlink>
      <w:r>
        <w:t xml:space="preserve">.</w:t>
      </w:r>
    </w:p>
    <w:bookmarkEnd w:id="328"/>
    <w:bookmarkStart w:id="33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29">
        <w:r>
          <w:rPr>
            <w:rStyle w:val="Hyperlink"/>
          </w:rPr>
          <w:t xml:space="preserve">https://www.ine.es/daco/daco42/ipv/metodologia2025.pdf</w:t>
        </w:r>
      </w:hyperlink>
      <w:r>
        <w:t xml:space="preserve">.</w:t>
      </w:r>
    </w:p>
    <w:bookmarkEnd w:id="330"/>
    <w:bookmarkStart w:id="33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31">
        <w:r>
          <w:rPr>
            <w:rStyle w:val="Hyperlink"/>
          </w:rPr>
          <w:t xml:space="preserve">https://www.ine.es/dyngs/Prensa/EPF2025.htm</w:t>
        </w:r>
      </w:hyperlink>
      <w:r>
        <w:t xml:space="preserve">.</w:t>
      </w:r>
    </w:p>
    <w:bookmarkEnd w:id="332"/>
    <w:bookmarkStart w:id="33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33">
        <w:r>
          <w:rPr>
            <w:rStyle w:val="Hyperlink"/>
          </w:rPr>
          <w:t xml:space="preserve">https://www.ine.es/metodologia/t25/t2530p458.pdf</w:t>
        </w:r>
      </w:hyperlink>
      <w:r>
        <w:t xml:space="preserve">.</w:t>
      </w:r>
    </w:p>
    <w:bookmarkEnd w:id="334"/>
    <w:bookmarkStart w:id="33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35">
        <w:r>
          <w:rPr>
            <w:rStyle w:val="Hyperlink"/>
          </w:rPr>
          <w:t xml:space="preserve">https://doi.org/10.1257/aer.99.4.1097</w:t>
        </w:r>
      </w:hyperlink>
      <w:r>
        <w:t xml:space="preserve">.</w:t>
      </w:r>
    </w:p>
    <w:bookmarkEnd w:id="336"/>
    <w:bookmarkStart w:id="33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7"/>
    <w:bookmarkStart w:id="33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38"/>
    <w:bookmarkStart w:id="33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39"/>
    <w:bookmarkStart w:id="34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40">
        <w:r>
          <w:rPr>
            <w:rStyle w:val="Hyperlink"/>
          </w:rPr>
          <w:t xml:space="preserve">https://doi.org/10.1086/261737</w:t>
        </w:r>
      </w:hyperlink>
      <w:r>
        <w:t xml:space="preserve">.</w:t>
      </w:r>
    </w:p>
    <w:bookmarkEnd w:id="341"/>
    <w:bookmarkStart w:id="34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42">
        <w:r>
          <w:rPr>
            <w:rStyle w:val="Hyperlink"/>
          </w:rPr>
          <w:t xml:space="preserve">https://doi.org/10.2307/1914185</w:t>
        </w:r>
      </w:hyperlink>
      <w:r>
        <w:t xml:space="preserve">.</w:t>
      </w:r>
    </w:p>
    <w:bookmarkEnd w:id="343"/>
    <w:bookmarkStart w:id="34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44">
        <w:r>
          <w:rPr>
            <w:rStyle w:val="Hyperlink"/>
          </w:rPr>
          <w:t xml:space="preserve">https://doi.org/10.1037/0003-066X.39.4.341</w:t>
        </w:r>
      </w:hyperlink>
      <w:r>
        <w:t xml:space="preserve">.</w:t>
      </w:r>
    </w:p>
    <w:bookmarkEnd w:id="345"/>
    <w:bookmarkStart w:id="34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46">
        <w:r>
          <w:rPr>
            <w:rStyle w:val="Hyperlink"/>
          </w:rPr>
          <w:t xml:space="preserve">https://doi.org/10.2307/1911539</w:t>
        </w:r>
      </w:hyperlink>
      <w:r>
        <w:t xml:space="preserve">.</w:t>
      </w:r>
    </w:p>
    <w:bookmarkEnd w:id="347"/>
    <w:bookmarkStart w:id="34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48">
        <w:r>
          <w:rPr>
            <w:rStyle w:val="Hyperlink"/>
          </w:rPr>
          <w:t xml:space="preserve">https://doi.org/10.1016/0304-3932(88)90030-X</w:t>
        </w:r>
      </w:hyperlink>
      <w:r>
        <w:t xml:space="preserve">.</w:t>
      </w:r>
    </w:p>
    <w:bookmarkEnd w:id="349"/>
    <w:bookmarkStart w:id="35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50">
        <w:r>
          <w:rPr>
            <w:rStyle w:val="Hyperlink"/>
          </w:rPr>
          <w:t xml:space="preserve">https://doi.org/10.1023/A:1020529028761</w:t>
        </w:r>
      </w:hyperlink>
      <w:r>
        <w:t xml:space="preserve">.</w:t>
      </w:r>
    </w:p>
    <w:bookmarkEnd w:id="351"/>
    <w:bookmarkStart w:id="35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52"/>
    <w:bookmarkStart w:id="35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3">
        <w:r>
          <w:rPr>
            <w:rStyle w:val="Hyperlink"/>
          </w:rPr>
          <w:t xml:space="preserve">https://www.nobelprize.org/prizes/economic-sciences/2017/press-release/</w:t>
        </w:r>
      </w:hyperlink>
      <w:r>
        <w:t xml:space="preserve">.</w:t>
      </w:r>
    </w:p>
    <w:bookmarkEnd w:id="354"/>
    <w:bookmarkStart w:id="35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5">
        <w:r>
          <w:rPr>
            <w:rStyle w:val="Hyperlink"/>
          </w:rPr>
          <w:t xml:space="preserve">https://doi.org/10.1086/259131</w:t>
        </w:r>
      </w:hyperlink>
      <w:r>
        <w:t xml:space="preserve">.</w:t>
      </w:r>
    </w:p>
    <w:bookmarkEnd w:id="356"/>
    <w:bookmarkStart w:id="35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57"/>
    <w:bookmarkStart w:id="35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58"/>
    <w:bookmarkStart w:id="360"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59">
        <w:r>
          <w:rPr>
            <w:rStyle w:val="Hyperlink"/>
          </w:rPr>
          <w:t xml:space="preserve">https://doi.org/10.2307/2975974</w:t>
        </w:r>
      </w:hyperlink>
      <w:r>
        <w:t xml:space="preserve">.</w:t>
      </w:r>
    </w:p>
    <w:bookmarkEnd w:id="360"/>
    <w:bookmarkStart w:id="36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1">
        <w:r>
          <w:rPr>
            <w:rStyle w:val="Hyperlink"/>
          </w:rPr>
          <w:t xml:space="preserve">https://www.marxists.org/reference/subject/economics/marshall/bk1ch01.htm</w:t>
        </w:r>
      </w:hyperlink>
      <w:r>
        <w:t xml:space="preserve">.</w:t>
      </w:r>
    </w:p>
    <w:bookmarkEnd w:id="362"/>
    <w:bookmarkStart w:id="36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3"/>
    <w:bookmarkStart w:id="365"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64">
        <w:r>
          <w:rPr>
            <w:rStyle w:val="Hyperlink"/>
          </w:rPr>
          <w:t xml:space="preserve">https://doi.org/10.2307/2296792</w:t>
        </w:r>
      </w:hyperlink>
      <w:r>
        <w:t xml:space="preserve">.</w:t>
      </w:r>
    </w:p>
    <w:bookmarkEnd w:id="365"/>
    <w:bookmarkStart w:id="367"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66">
        <w:r>
          <w:rPr>
            <w:rStyle w:val="Hyperlink"/>
          </w:rPr>
          <w:t xml:space="preserve">https://doi.org/10.2307/1911540</w:t>
        </w:r>
      </w:hyperlink>
      <w:r>
        <w:t xml:space="preserve">.</w:t>
      </w:r>
    </w:p>
    <w:bookmarkEnd w:id="367"/>
    <w:bookmarkStart w:id="369"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68">
        <w:r>
          <w:rPr>
            <w:rStyle w:val="Hyperlink"/>
          </w:rPr>
          <w:t xml:space="preserve">https://doi.org/10.11647/OBP.0204</w:t>
        </w:r>
      </w:hyperlink>
      <w:r>
        <w:t xml:space="preserve">.</w:t>
      </w:r>
    </w:p>
    <w:bookmarkEnd w:id="369"/>
    <w:bookmarkStart w:id="370" w:name="ref-Pareto1896Cours"/>
    <w:p>
      <w:pPr>
        <w:pStyle w:val="Bibliography"/>
      </w:pPr>
      <w:r>
        <w:t xml:space="preserve">Pareto, Vilfredo. 1896.</w:t>
      </w:r>
      <w:r>
        <w:t xml:space="preserve"> </w:t>
      </w:r>
      <w:r>
        <w:rPr>
          <w:i/>
          <w:iCs/>
        </w:rPr>
        <w:t xml:space="preserve">Cours d’économie politique</w:t>
      </w:r>
      <w:r>
        <w:t xml:space="preserve">. Lausana: F. Rouge.</w:t>
      </w:r>
    </w:p>
    <w:bookmarkEnd w:id="370"/>
    <w:bookmarkStart w:id="37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71"/>
    <w:bookmarkStart w:id="37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72"/>
    <w:bookmarkStart w:id="373"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73"/>
    <w:bookmarkStart w:id="375"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74">
        <w:r>
          <w:rPr>
            <w:rStyle w:val="Hyperlink"/>
          </w:rPr>
          <w:t xml:space="preserve">https://doi.org/10.1086/260169</w:t>
        </w:r>
      </w:hyperlink>
      <w:r>
        <w:t xml:space="preserve">.</w:t>
      </w:r>
    </w:p>
    <w:bookmarkEnd w:id="375"/>
    <w:bookmarkStart w:id="376"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76"/>
    <w:bookmarkStart w:id="378"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77">
        <w:r>
          <w:rPr>
            <w:rStyle w:val="Hyperlink"/>
          </w:rPr>
          <w:t xml:space="preserve">https://doi.org/10.2307/1905479</w:t>
        </w:r>
      </w:hyperlink>
      <w:r>
        <w:t xml:space="preserve">.</w:t>
      </w:r>
    </w:p>
    <w:bookmarkEnd w:id="378"/>
    <w:bookmarkStart w:id="380"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79">
        <w:r>
          <w:rPr>
            <w:rStyle w:val="Hyperlink"/>
          </w:rPr>
          <w:t xml:space="preserve">https://doi.org/10.2307/2548836</w:t>
        </w:r>
      </w:hyperlink>
      <w:r>
        <w:t xml:space="preserve">.</w:t>
      </w:r>
    </w:p>
    <w:bookmarkEnd w:id="380"/>
    <w:bookmarkStart w:id="382"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81">
        <w:r>
          <w:rPr>
            <w:rStyle w:val="Hyperlink"/>
          </w:rPr>
          <w:t xml:space="preserve">https://doi.org/10.2307/2549561</w:t>
        </w:r>
      </w:hyperlink>
      <w:r>
        <w:t xml:space="preserve">.</w:t>
      </w:r>
    </w:p>
    <w:bookmarkEnd w:id="382"/>
    <w:bookmarkStart w:id="383"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83"/>
    <w:bookmarkStart w:id="384"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84"/>
    <w:bookmarkStart w:id="385"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85"/>
    <w:bookmarkStart w:id="387"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86">
        <w:r>
          <w:rPr>
            <w:rStyle w:val="Hyperlink"/>
          </w:rPr>
          <w:t xml:space="preserve">https://doi.org/10.2307/1884852</w:t>
        </w:r>
      </w:hyperlink>
      <w:r>
        <w:t xml:space="preserve">.</w:t>
      </w:r>
    </w:p>
    <w:bookmarkEnd w:id="387"/>
    <w:bookmarkStart w:id="38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88"/>
    <w:bookmarkStart w:id="390"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89">
        <w:r>
          <w:rPr>
            <w:rStyle w:val="Hyperlink"/>
          </w:rPr>
          <w:t xml:space="preserve">https://doi.org/10.1016/0022-0531(73)90066-5</w:t>
        </w:r>
      </w:hyperlink>
      <w:r>
        <w:t xml:space="preserve">.</w:t>
      </w:r>
    </w:p>
    <w:bookmarkEnd w:id="390"/>
    <w:bookmarkStart w:id="392"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91">
        <w:r>
          <w:rPr>
            <w:rStyle w:val="Hyperlink"/>
          </w:rPr>
          <w:t xml:space="preserve">https://doi.org/10.2307/1909201</w:t>
        </w:r>
      </w:hyperlink>
      <w:r>
        <w:t xml:space="preserve">.</w:t>
      </w:r>
    </w:p>
    <w:bookmarkEnd w:id="392"/>
    <w:bookmarkStart w:id="394"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93">
        <w:r>
          <w:rPr>
            <w:rStyle w:val="Hyperlink"/>
          </w:rPr>
          <w:t xml:space="preserve">https://doi.org/10.1086/258464</w:t>
        </w:r>
      </w:hyperlink>
      <w:r>
        <w:t xml:space="preserve">.</w:t>
      </w:r>
    </w:p>
    <w:bookmarkEnd w:id="394"/>
    <w:bookmarkStart w:id="396"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95">
        <w:r>
          <w:rPr>
            <w:rStyle w:val="Hyperlink"/>
          </w:rPr>
          <w:t xml:space="preserve">https://doi.org/10.2307/2227743</w:t>
        </w:r>
      </w:hyperlink>
      <w:r>
        <w:t xml:space="preserve">.</w:t>
      </w:r>
    </w:p>
    <w:bookmarkEnd w:id="396"/>
    <w:bookmarkStart w:id="397"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97"/>
    <w:bookmarkStart w:id="399"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98">
        <w:r>
          <w:rPr>
            <w:rStyle w:val="Hyperlink"/>
          </w:rPr>
          <w:t xml:space="preserve">https://doi.org/10.1016/0167-2681(80)90051-7</w:t>
        </w:r>
      </w:hyperlink>
      <w:r>
        <w:t xml:space="preserve">.</w:t>
      </w:r>
    </w:p>
    <w:bookmarkEnd w:id="399"/>
    <w:bookmarkStart w:id="401"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00">
        <w:r>
          <w:rPr>
            <w:rStyle w:val="Hyperlink"/>
          </w:rPr>
          <w:t xml:space="preserve">https://doi.org/10.1287/mksc.4.3.199</w:t>
        </w:r>
      </w:hyperlink>
      <w:r>
        <w:t xml:space="preserve">.</w:t>
      </w:r>
    </w:p>
    <w:bookmarkEnd w:id="401"/>
    <w:bookmarkStart w:id="403"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02">
        <w:r>
          <w:rPr>
            <w:rStyle w:val="Hyperlink"/>
          </w:rPr>
          <w:t xml:space="preserve">https://www.nobelprize.org/prizes/economic-sciences/1970/summary/</w:t>
        </w:r>
      </w:hyperlink>
      <w:r>
        <w:t xml:space="preserve">.</w:t>
      </w:r>
    </w:p>
    <w:bookmarkEnd w:id="403"/>
    <w:bookmarkStart w:id="405"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04">
        <w:r>
          <w:rPr>
            <w:rStyle w:val="Hyperlink"/>
          </w:rPr>
          <w:t xml:space="preserve">https://www.nobelprize.org/prizes/economic-sciences/1992/summary/</w:t>
        </w:r>
      </w:hyperlink>
      <w:r>
        <w:t xml:space="preserve">.</w:t>
      </w:r>
    </w:p>
    <w:bookmarkEnd w:id="405"/>
    <w:bookmarkStart w:id="407"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06">
        <w:r>
          <w:rPr>
            <w:rStyle w:val="Hyperlink"/>
          </w:rPr>
          <w:t xml:space="preserve">https://www.nobelprize.org/prizes/economic-sciences/2015/summary/</w:t>
        </w:r>
      </w:hyperlink>
      <w:r>
        <w:t xml:space="preserve">.</w:t>
      </w:r>
    </w:p>
    <w:bookmarkEnd w:id="407"/>
    <w:bookmarkStart w:id="409"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08">
        <w:r>
          <w:rPr>
            <w:rStyle w:val="Hyperlink"/>
          </w:rPr>
          <w:t xml:space="preserve">https://doi.org/10.2307/1911889</w:t>
        </w:r>
      </w:hyperlink>
      <w:r>
        <w:t xml:space="preserve">.</w:t>
      </w:r>
    </w:p>
    <w:bookmarkEnd w:id="409"/>
    <w:bookmarkStart w:id="411"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10">
        <w:r>
          <w:rPr>
            <w:rStyle w:val="Hyperlink"/>
          </w:rPr>
          <w:t xml:space="preserve">https://doi.org/10.1787/9789264028159-en</w:t>
        </w:r>
      </w:hyperlink>
      <w:r>
        <w:t xml:space="preserve">.</w:t>
      </w:r>
    </w:p>
    <w:bookmarkEnd w:id="411"/>
    <w:bookmarkStart w:id="413"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12">
        <w:r>
          <w:rPr>
            <w:rStyle w:val="Hyperlink"/>
          </w:rPr>
          <w:t xml:space="preserve">https://doi.org/10.1126/science.7455683</w:t>
        </w:r>
      </w:hyperlink>
      <w:r>
        <w:t xml:space="preserve">.</w:t>
      </w:r>
    </w:p>
    <w:bookmarkEnd w:id="413"/>
    <w:bookmarkStart w:id="415"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14">
        <w:r>
          <w:rPr>
            <w:rStyle w:val="Hyperlink"/>
          </w:rPr>
          <w:t xml:space="preserve">https://www.bls.gov/cpi/quality-adjustment/</w:t>
        </w:r>
      </w:hyperlink>
      <w:r>
        <w:t xml:space="preserve">.</w:t>
      </w:r>
    </w:p>
    <w:bookmarkEnd w:id="415"/>
    <w:bookmarkStart w:id="417"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16">
        <w:r>
          <w:rPr>
            <w:rStyle w:val="Hyperlink"/>
          </w:rPr>
          <w:t xml:space="preserve">https://doi.org/10.2307/1912771</w:t>
        </w:r>
      </w:hyperlink>
      <w:r>
        <w:t xml:space="preserve">.</w:t>
      </w:r>
    </w:p>
    <w:bookmarkEnd w:id="417"/>
    <w:bookmarkStart w:id="418"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18"/>
    <w:bookmarkStart w:id="419"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19"/>
    <w:bookmarkStart w:id="420"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20"/>
    <w:bookmarkStart w:id="421"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21"/>
    <w:bookmarkEnd w:id="422"/>
    <w:bookmarkEnd w:id="423"/>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70">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5">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8">
    <w:p>
      <w:pPr>
        <w:pStyle w:val="FootnoteText"/>
      </w:pPr>
      <w:r>
        <w:rPr>
          <w:rStyle w:val="FootnoteReference"/>
        </w:rPr>
        <w:footnoteRef/>
      </w:r>
      <w:r>
        <w:t xml:space="preserve"> </w:t>
      </w:r>
      <w:r>
        <w:t xml:space="preserve">No del consumidor representativo: la agregación no conserva el axioma débil (apartado I.3).</w:t>
      </w:r>
    </w:p>
  </w:footnote>
  <w:footnote w:id="180">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5">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7">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9">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8">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3">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Sus aportaciones a la teoría del consumidor se resumen en el anexo G.</w:t>
      </w:r>
    </w:p>
  </w:footnote>
  <w:footnote w:id="214">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1">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w:t>
      </w:r>
    </w:p>
  </w:footnote>
  <w:footnote w:id="232">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34">
    <w:p>
      <w:pPr>
        <w:pStyle w:val="FootnoteText"/>
      </w:pPr>
      <w:r>
        <w:rPr>
          <w:rStyle w:val="FootnoteReference"/>
        </w:rPr>
        <w:footnoteRef/>
      </w:r>
      <w:r>
        <w:t xml:space="preserve"> </w:t>
      </w:r>
      <w:r>
        <w:t xml:space="preserve">Jaimovich y Rebelo (</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36">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38">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88" Target="media/rId188.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39" Target="media/rId239.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2" Target="media/rId202.png" /><Relationship Type="http://schemas.openxmlformats.org/officeDocument/2006/relationships/image" Id="rId244" Target="media/rId244.png" /><Relationship Type="http://schemas.openxmlformats.org/officeDocument/2006/relationships/image" Id="rId216" Target="media/rId216.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278" Target="https://allengoodman.wayne.edu/Research/PUBS/Court_Hedonic.pdf" TargetMode="External" /><Relationship Type="http://schemas.openxmlformats.org/officeDocument/2006/relationships/hyperlink" Id="rId284" Target="https://cowles.yale.edu/sites/default/files/2022-09/m17-all.pdf" TargetMode="External" /><Relationship Type="http://schemas.openxmlformats.org/officeDocument/2006/relationships/hyperlink" Id="rId303" Target="https://doi.org/10.1006/juec.1997.2071" TargetMode="External" /><Relationship Type="http://schemas.openxmlformats.org/officeDocument/2006/relationships/hyperlink" Id="rId268" Target="https://doi.org/10.1016/0014-2921(69)90017-8" TargetMode="External" /><Relationship Type="http://schemas.openxmlformats.org/officeDocument/2006/relationships/hyperlink" Id="rId389" Target="https://doi.org/10.1016/0022-0531(73)90066-5" TargetMode="External" /><Relationship Type="http://schemas.openxmlformats.org/officeDocument/2006/relationships/hyperlink" Id="rId398" Target="https://doi.org/10.1016/0167-2681(80)90051-7" TargetMode="External" /><Relationship Type="http://schemas.openxmlformats.org/officeDocument/2006/relationships/hyperlink" Id="rId348" Target="https://doi.org/10.1016/0304-3932(88)90030-X" TargetMode="External" /><Relationship Type="http://schemas.openxmlformats.org/officeDocument/2006/relationships/hyperlink" Id="rId350" Target="https://doi.org/10.1023/A:1020529028761" TargetMode="External" /><Relationship Type="http://schemas.openxmlformats.org/officeDocument/2006/relationships/hyperlink" Id="rId344" Target="https://doi.org/10.1037/0003-066X.39.4.341" TargetMode="External" /><Relationship Type="http://schemas.openxmlformats.org/officeDocument/2006/relationships/hyperlink" Id="rId393" Target="https://doi.org/10.1086/258464" TargetMode="External" /><Relationship Type="http://schemas.openxmlformats.org/officeDocument/2006/relationships/hyperlink" Id="rId355" Target="https://doi.org/10.1086/259131" TargetMode="External" /><Relationship Type="http://schemas.openxmlformats.org/officeDocument/2006/relationships/hyperlink" Id="rId374" Target="https://doi.org/10.1086/260169" TargetMode="External" /><Relationship Type="http://schemas.openxmlformats.org/officeDocument/2006/relationships/hyperlink" Id="rId314" Target="https://doi.org/10.1086/260629" TargetMode="External" /><Relationship Type="http://schemas.openxmlformats.org/officeDocument/2006/relationships/hyperlink" Id="rId340" Target="https://doi.org/10.1086/261737" TargetMode="External" /><Relationship Type="http://schemas.openxmlformats.org/officeDocument/2006/relationships/hyperlink" Id="rId307" Target="https://doi.org/10.1111/j.1467-999X.1961.tb00819.x" TargetMode="External" /><Relationship Type="http://schemas.openxmlformats.org/officeDocument/2006/relationships/hyperlink" Id="rId412" Target="https://doi.org/10.1126/science.7455683" TargetMode="External" /><Relationship Type="http://schemas.openxmlformats.org/officeDocument/2006/relationships/hyperlink" Id="rId368" Target="https://doi.org/10.11647/OBP.0204" TargetMode="External" /><Relationship Type="http://schemas.openxmlformats.org/officeDocument/2006/relationships/hyperlink" Id="rId335" Target="https://doi.org/10.1257/aer.99.4.1097" TargetMode="External" /><Relationship Type="http://schemas.openxmlformats.org/officeDocument/2006/relationships/hyperlink" Id="rId400" Target="https://doi.org/10.1287/mksc.4.3.199" TargetMode="External" /><Relationship Type="http://schemas.openxmlformats.org/officeDocument/2006/relationships/hyperlink" Id="rId410" Target="https://doi.org/10.1787/9789264028159-en" TargetMode="External" /><Relationship Type="http://schemas.openxmlformats.org/officeDocument/2006/relationships/hyperlink" Id="rId386" Target="https://doi.org/10.2307/1884852" TargetMode="External" /><Relationship Type="http://schemas.openxmlformats.org/officeDocument/2006/relationships/hyperlink" Id="rId377" Target="https://doi.org/10.2307/1905479" TargetMode="External" /><Relationship Type="http://schemas.openxmlformats.org/officeDocument/2006/relationships/hyperlink" Id="rId305" Target="https://doi.org/10.2307/1906943" TargetMode="External" /><Relationship Type="http://schemas.openxmlformats.org/officeDocument/2006/relationships/hyperlink" Id="rId391" Target="https://doi.org/10.2307/1909201" TargetMode="External" /><Relationship Type="http://schemas.openxmlformats.org/officeDocument/2006/relationships/hyperlink" Id="rId272" Target="https://doi.org/10.2307/1909829" TargetMode="External" /><Relationship Type="http://schemas.openxmlformats.org/officeDocument/2006/relationships/hyperlink" Id="rId346" Target="https://doi.org/10.2307/1911539" TargetMode="External" /><Relationship Type="http://schemas.openxmlformats.org/officeDocument/2006/relationships/hyperlink" Id="rId366" Target="https://doi.org/10.2307/1911540" TargetMode="External" /><Relationship Type="http://schemas.openxmlformats.org/officeDocument/2006/relationships/hyperlink" Id="rId408" Target="https://doi.org/10.2307/1911889" TargetMode="External" /><Relationship Type="http://schemas.openxmlformats.org/officeDocument/2006/relationships/hyperlink" Id="rId280" Target="https://doi.org/10.2307/1911983" TargetMode="External" /><Relationship Type="http://schemas.openxmlformats.org/officeDocument/2006/relationships/hyperlink" Id="rId416" Target="https://doi.org/10.2307/1912771" TargetMode="External" /><Relationship Type="http://schemas.openxmlformats.org/officeDocument/2006/relationships/hyperlink" Id="rId342" Target="https://doi.org/10.2307/1914185" TargetMode="External" /><Relationship Type="http://schemas.openxmlformats.org/officeDocument/2006/relationships/hyperlink" Id="rId262" Target="https://doi.org/10.2307/1927286" TargetMode="External" /><Relationship Type="http://schemas.openxmlformats.org/officeDocument/2006/relationships/hyperlink" Id="rId266" Target="https://doi.org/10.2307/1937885" TargetMode="External" /><Relationship Type="http://schemas.openxmlformats.org/officeDocument/2006/relationships/hyperlink" Id="rId395" Target="https://doi.org/10.2307/2227743" TargetMode="External" /><Relationship Type="http://schemas.openxmlformats.org/officeDocument/2006/relationships/hyperlink" Id="rId270" Target="https://doi.org/10.2307/2228949" TargetMode="External" /><Relationship Type="http://schemas.openxmlformats.org/officeDocument/2006/relationships/hyperlink" Id="rId301" Target="https://doi.org/10.2307/2296107" TargetMode="External" /><Relationship Type="http://schemas.openxmlformats.org/officeDocument/2006/relationships/hyperlink" Id="rId364" Target="https://doi.org/10.2307/2296792" TargetMode="External" /><Relationship Type="http://schemas.openxmlformats.org/officeDocument/2006/relationships/hyperlink" Id="rId257" Target="https://doi.org/10.2307/2525382" TargetMode="External" /><Relationship Type="http://schemas.openxmlformats.org/officeDocument/2006/relationships/hyperlink" Id="rId316" Target="https://doi.org/10.2307/2548574" TargetMode="External" /><Relationship Type="http://schemas.openxmlformats.org/officeDocument/2006/relationships/hyperlink" Id="rId379" Target="https://doi.org/10.2307/2548836" TargetMode="External" /><Relationship Type="http://schemas.openxmlformats.org/officeDocument/2006/relationships/hyperlink" Id="rId318" Target="https://doi.org/10.2307/2549382" TargetMode="External" /><Relationship Type="http://schemas.openxmlformats.org/officeDocument/2006/relationships/hyperlink" Id="rId381" Target="https://doi.org/10.2307/2549561" TargetMode="External" /><Relationship Type="http://schemas.openxmlformats.org/officeDocument/2006/relationships/hyperlink" Id="rId359" Target="https://doi.org/10.2307/2975974" TargetMode="External" /><Relationship Type="http://schemas.openxmlformats.org/officeDocument/2006/relationships/hyperlink" Id="rId292" Target="https://doi.org/10.2785/055028" TargetMode="External" /><Relationship Type="http://schemas.openxmlformats.org/officeDocument/2006/relationships/hyperlink" Id="rId294"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9" Target="https://presidencia.gva.es/documents/166658342/166714754/Ejemplar+3070/2957e02b-f135-4235-98a6-bfc909292066" TargetMode="External" /><Relationship Type="http://schemas.openxmlformats.org/officeDocument/2006/relationships/hyperlink" Id="rId299" Target="https://web.archive.org/web/20260106065001/http://www2.hawaii.edu/~fuleky/anatomy/anatomy.html" TargetMode="External" /><Relationship Type="http://schemas.openxmlformats.org/officeDocument/2006/relationships/hyperlink" Id="rId414" Target="https://www.bls.gov/cpi/quality-adjustment/" TargetMode="External" /><Relationship Type="http://schemas.openxmlformats.org/officeDocument/2006/relationships/hyperlink" Id="rId321" Target="https://www.ine.es/daco/daco42/daco4213/resmeto06.pdf" TargetMode="External" /><Relationship Type="http://schemas.openxmlformats.org/officeDocument/2006/relationships/hyperlink" Id="rId329" Target="https://www.ine.es/daco/daco42/ipv/metodologia2025.pdf" TargetMode="External" /><Relationship Type="http://schemas.openxmlformats.org/officeDocument/2006/relationships/hyperlink" Id="rId331" Target="https://www.ine.es/dyngs/Prensa/EPF2025.htm" TargetMode="External" /><Relationship Type="http://schemas.openxmlformats.org/officeDocument/2006/relationships/hyperlink" Id="rId323" Target="https://www.ine.es/jaxiT3/Tabla.htm?t=67823" TargetMode="External" /><Relationship Type="http://schemas.openxmlformats.org/officeDocument/2006/relationships/hyperlink" Id="rId325" Target="https://www.ine.es/jaxiT3/Tabla.htm?t=73828" TargetMode="External" /><Relationship Type="http://schemas.openxmlformats.org/officeDocument/2006/relationships/hyperlink" Id="rId327" Target="https://www.ine.es/metodologia/t25/metodologia_IPC_base_2025.pdf" TargetMode="External" /><Relationship Type="http://schemas.openxmlformats.org/officeDocument/2006/relationships/hyperlink" Id="rId333" Target="https://www.ine.es/metodologia/t25/t2530p458.pdf" TargetMode="External" /><Relationship Type="http://schemas.openxmlformats.org/officeDocument/2006/relationships/hyperlink" Id="rId361" Target="https://www.marxists.org/reference/subject/economics/marshall/bk1ch01.htm" TargetMode="External" /><Relationship Type="http://schemas.openxmlformats.org/officeDocument/2006/relationships/hyperlink" Id="rId311" Target="https://www.nber.org/system/files/chapters/c6492/c6492.pdf" TargetMode="External" /><Relationship Type="http://schemas.openxmlformats.org/officeDocument/2006/relationships/hyperlink" Id="rId402" Target="https://www.nobelprize.org/prizes/economic-sciences/1970/summary/" TargetMode="External" /><Relationship Type="http://schemas.openxmlformats.org/officeDocument/2006/relationships/hyperlink" Id="rId404" Target="https://www.nobelprize.org/prizes/economic-sciences/1992/summary/" TargetMode="External" /><Relationship Type="http://schemas.openxmlformats.org/officeDocument/2006/relationships/hyperlink" Id="rId406" Target="https://www.nobelprize.org/prizes/economic-sciences/2015/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250"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78" Target="https://allengoodman.wayne.edu/Research/PUBS/Court_Hedonic.pdf" TargetMode="External" /><Relationship Type="http://schemas.openxmlformats.org/officeDocument/2006/relationships/hyperlink" Id="rId284" Target="https://cowles.yale.edu/sites/default/files/2022-09/m17-all.pdf" TargetMode="External" /><Relationship Type="http://schemas.openxmlformats.org/officeDocument/2006/relationships/hyperlink" Id="rId303" Target="https://doi.org/10.1006/juec.1997.2071" TargetMode="External" /><Relationship Type="http://schemas.openxmlformats.org/officeDocument/2006/relationships/hyperlink" Id="rId268" Target="https://doi.org/10.1016/0014-2921(69)90017-8" TargetMode="External" /><Relationship Type="http://schemas.openxmlformats.org/officeDocument/2006/relationships/hyperlink" Id="rId389" Target="https://doi.org/10.1016/0022-0531(73)90066-5" TargetMode="External" /><Relationship Type="http://schemas.openxmlformats.org/officeDocument/2006/relationships/hyperlink" Id="rId398" Target="https://doi.org/10.1016/0167-2681(80)90051-7" TargetMode="External" /><Relationship Type="http://schemas.openxmlformats.org/officeDocument/2006/relationships/hyperlink" Id="rId348" Target="https://doi.org/10.1016/0304-3932(88)90030-X" TargetMode="External" /><Relationship Type="http://schemas.openxmlformats.org/officeDocument/2006/relationships/hyperlink" Id="rId350" Target="https://doi.org/10.1023/A:1020529028761" TargetMode="External" /><Relationship Type="http://schemas.openxmlformats.org/officeDocument/2006/relationships/hyperlink" Id="rId344" Target="https://doi.org/10.1037/0003-066X.39.4.341" TargetMode="External" /><Relationship Type="http://schemas.openxmlformats.org/officeDocument/2006/relationships/hyperlink" Id="rId393" Target="https://doi.org/10.1086/258464" TargetMode="External" /><Relationship Type="http://schemas.openxmlformats.org/officeDocument/2006/relationships/hyperlink" Id="rId355" Target="https://doi.org/10.1086/259131" TargetMode="External" /><Relationship Type="http://schemas.openxmlformats.org/officeDocument/2006/relationships/hyperlink" Id="rId374" Target="https://doi.org/10.1086/260169" TargetMode="External" /><Relationship Type="http://schemas.openxmlformats.org/officeDocument/2006/relationships/hyperlink" Id="rId314" Target="https://doi.org/10.1086/260629" TargetMode="External" /><Relationship Type="http://schemas.openxmlformats.org/officeDocument/2006/relationships/hyperlink" Id="rId340" Target="https://doi.org/10.1086/261737" TargetMode="External" /><Relationship Type="http://schemas.openxmlformats.org/officeDocument/2006/relationships/hyperlink" Id="rId307" Target="https://doi.org/10.1111/j.1467-999X.1961.tb00819.x" TargetMode="External" /><Relationship Type="http://schemas.openxmlformats.org/officeDocument/2006/relationships/hyperlink" Id="rId412" Target="https://doi.org/10.1126/science.7455683" TargetMode="External" /><Relationship Type="http://schemas.openxmlformats.org/officeDocument/2006/relationships/hyperlink" Id="rId368" Target="https://doi.org/10.11647/OBP.0204" TargetMode="External" /><Relationship Type="http://schemas.openxmlformats.org/officeDocument/2006/relationships/hyperlink" Id="rId335" Target="https://doi.org/10.1257/aer.99.4.1097" TargetMode="External" /><Relationship Type="http://schemas.openxmlformats.org/officeDocument/2006/relationships/hyperlink" Id="rId400" Target="https://doi.org/10.1287/mksc.4.3.199" TargetMode="External" /><Relationship Type="http://schemas.openxmlformats.org/officeDocument/2006/relationships/hyperlink" Id="rId410" Target="https://doi.org/10.1787/9789264028159-en" TargetMode="External" /><Relationship Type="http://schemas.openxmlformats.org/officeDocument/2006/relationships/hyperlink" Id="rId386" Target="https://doi.org/10.2307/1884852" TargetMode="External" /><Relationship Type="http://schemas.openxmlformats.org/officeDocument/2006/relationships/hyperlink" Id="rId377" Target="https://doi.org/10.2307/1905479" TargetMode="External" /><Relationship Type="http://schemas.openxmlformats.org/officeDocument/2006/relationships/hyperlink" Id="rId305" Target="https://doi.org/10.2307/1906943" TargetMode="External" /><Relationship Type="http://schemas.openxmlformats.org/officeDocument/2006/relationships/hyperlink" Id="rId391" Target="https://doi.org/10.2307/1909201" TargetMode="External" /><Relationship Type="http://schemas.openxmlformats.org/officeDocument/2006/relationships/hyperlink" Id="rId272" Target="https://doi.org/10.2307/1909829" TargetMode="External" /><Relationship Type="http://schemas.openxmlformats.org/officeDocument/2006/relationships/hyperlink" Id="rId346" Target="https://doi.org/10.2307/1911539" TargetMode="External" /><Relationship Type="http://schemas.openxmlformats.org/officeDocument/2006/relationships/hyperlink" Id="rId366" Target="https://doi.org/10.2307/1911540" TargetMode="External" /><Relationship Type="http://schemas.openxmlformats.org/officeDocument/2006/relationships/hyperlink" Id="rId408" Target="https://doi.org/10.2307/1911889" TargetMode="External" /><Relationship Type="http://schemas.openxmlformats.org/officeDocument/2006/relationships/hyperlink" Id="rId280" Target="https://doi.org/10.2307/1911983" TargetMode="External" /><Relationship Type="http://schemas.openxmlformats.org/officeDocument/2006/relationships/hyperlink" Id="rId416" Target="https://doi.org/10.2307/1912771" TargetMode="External" /><Relationship Type="http://schemas.openxmlformats.org/officeDocument/2006/relationships/hyperlink" Id="rId342" Target="https://doi.org/10.2307/1914185" TargetMode="External" /><Relationship Type="http://schemas.openxmlformats.org/officeDocument/2006/relationships/hyperlink" Id="rId262" Target="https://doi.org/10.2307/1927286" TargetMode="External" /><Relationship Type="http://schemas.openxmlformats.org/officeDocument/2006/relationships/hyperlink" Id="rId266" Target="https://doi.org/10.2307/1937885" TargetMode="External" /><Relationship Type="http://schemas.openxmlformats.org/officeDocument/2006/relationships/hyperlink" Id="rId395" Target="https://doi.org/10.2307/2227743" TargetMode="External" /><Relationship Type="http://schemas.openxmlformats.org/officeDocument/2006/relationships/hyperlink" Id="rId270" Target="https://doi.org/10.2307/2228949" TargetMode="External" /><Relationship Type="http://schemas.openxmlformats.org/officeDocument/2006/relationships/hyperlink" Id="rId301" Target="https://doi.org/10.2307/2296107" TargetMode="External" /><Relationship Type="http://schemas.openxmlformats.org/officeDocument/2006/relationships/hyperlink" Id="rId364" Target="https://doi.org/10.2307/2296792" TargetMode="External" /><Relationship Type="http://schemas.openxmlformats.org/officeDocument/2006/relationships/hyperlink" Id="rId257" Target="https://doi.org/10.2307/2525382" TargetMode="External" /><Relationship Type="http://schemas.openxmlformats.org/officeDocument/2006/relationships/hyperlink" Id="rId316" Target="https://doi.org/10.2307/2548574" TargetMode="External" /><Relationship Type="http://schemas.openxmlformats.org/officeDocument/2006/relationships/hyperlink" Id="rId379" Target="https://doi.org/10.2307/2548836" TargetMode="External" /><Relationship Type="http://schemas.openxmlformats.org/officeDocument/2006/relationships/hyperlink" Id="rId318" Target="https://doi.org/10.2307/2549382" TargetMode="External" /><Relationship Type="http://schemas.openxmlformats.org/officeDocument/2006/relationships/hyperlink" Id="rId381" Target="https://doi.org/10.2307/2549561" TargetMode="External" /><Relationship Type="http://schemas.openxmlformats.org/officeDocument/2006/relationships/hyperlink" Id="rId359" Target="https://doi.org/10.2307/2975974" TargetMode="External" /><Relationship Type="http://schemas.openxmlformats.org/officeDocument/2006/relationships/hyperlink" Id="rId292" Target="https://doi.org/10.2785/055028" TargetMode="External" /><Relationship Type="http://schemas.openxmlformats.org/officeDocument/2006/relationships/hyperlink" Id="rId294" Target="https://ec.europa.eu/eurostat/databrowser/view/nama_10_gdp/default/table" TargetMode="External" /><Relationship Type="http://schemas.openxmlformats.org/officeDocument/2006/relationships/hyperlink" Id="rId164" Target="https://policonomics.com/es/video-a10-demandas-marshalliana-hicksiana/" TargetMode="External" /><Relationship Type="http://schemas.openxmlformats.org/officeDocument/2006/relationships/hyperlink" Id="rId259" Target="https://presidencia.gva.es/documents/166658342/166714754/Ejemplar+3070/2957e02b-f135-4235-98a6-bfc909292066" TargetMode="External" /><Relationship Type="http://schemas.openxmlformats.org/officeDocument/2006/relationships/hyperlink" Id="rId299" Target="https://web.archive.org/web/20260106065001/http://www2.hawaii.edu/~fuleky/anatomy/anatomy.html" TargetMode="External" /><Relationship Type="http://schemas.openxmlformats.org/officeDocument/2006/relationships/hyperlink" Id="rId414" Target="https://www.bls.gov/cpi/quality-adjustment/" TargetMode="External" /><Relationship Type="http://schemas.openxmlformats.org/officeDocument/2006/relationships/hyperlink" Id="rId321" Target="https://www.ine.es/daco/daco42/daco4213/resmeto06.pdf" TargetMode="External" /><Relationship Type="http://schemas.openxmlformats.org/officeDocument/2006/relationships/hyperlink" Id="rId329" Target="https://www.ine.es/daco/daco42/ipv/metodologia2025.pdf" TargetMode="External" /><Relationship Type="http://schemas.openxmlformats.org/officeDocument/2006/relationships/hyperlink" Id="rId331" Target="https://www.ine.es/dyngs/Prensa/EPF2025.htm" TargetMode="External" /><Relationship Type="http://schemas.openxmlformats.org/officeDocument/2006/relationships/hyperlink" Id="rId323" Target="https://www.ine.es/jaxiT3/Tabla.htm?t=67823" TargetMode="External" /><Relationship Type="http://schemas.openxmlformats.org/officeDocument/2006/relationships/hyperlink" Id="rId325" Target="https://www.ine.es/jaxiT3/Tabla.htm?t=73828" TargetMode="External" /><Relationship Type="http://schemas.openxmlformats.org/officeDocument/2006/relationships/hyperlink" Id="rId327" Target="https://www.ine.es/metodologia/t25/metodologia_IPC_base_2025.pdf" TargetMode="External" /><Relationship Type="http://schemas.openxmlformats.org/officeDocument/2006/relationships/hyperlink" Id="rId333" Target="https://www.ine.es/metodologia/t25/t2530p458.pdf" TargetMode="External" /><Relationship Type="http://schemas.openxmlformats.org/officeDocument/2006/relationships/hyperlink" Id="rId361" Target="https://www.marxists.org/reference/subject/economics/marshall/bk1ch01.htm" TargetMode="External" /><Relationship Type="http://schemas.openxmlformats.org/officeDocument/2006/relationships/hyperlink" Id="rId311" Target="https://www.nber.org/system/files/chapters/c6492/c6492.pdf" TargetMode="External" /><Relationship Type="http://schemas.openxmlformats.org/officeDocument/2006/relationships/hyperlink" Id="rId402" Target="https://www.nobelprize.org/prizes/economic-sciences/1970/summary/" TargetMode="External" /><Relationship Type="http://schemas.openxmlformats.org/officeDocument/2006/relationships/hyperlink" Id="rId404" Target="https://www.nobelprize.org/prizes/economic-sciences/1992/summary/" TargetMode="External" /><Relationship Type="http://schemas.openxmlformats.org/officeDocument/2006/relationships/hyperlink" Id="rId406" Target="https://www.nobelprize.org/prizes/economic-sciences/2015/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250" Target="https://www.victorgutierrezmarcos.es/oposicion/temario/primer-ejercicio/test/simulador.html" TargetMode="External" /><Relationship Type="http://schemas.openxmlformats.org/officeDocument/2006/relationships/hyperlink" Id="rId163"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2026-10-13T18:55:28Z</dcterms:created>
  <dcterms:modified xsi:type="dcterms:W3CDTF">2026-10-13T18:55:28Z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csl">
    <vt:lpwstr>C:\Users\vgutierrez\Documents\src\victorgutierrezmarcos.github.io-revision\oposicion\temario\latex\tcee.csl</vt:lpwstr>
  </property>
  <property fmtid="{D5CDD505-2E9C-101B-9397-08002B2CF9AE}" pid="7" name="date">
    <vt:lpwstr>Última actualización: 10/10/2026</vt:lpwstr>
  </property>
  <property fmtid="{D5CDD505-2E9C-101B-9397-08002B2CF9AE}" pid="8" name="ejercicio">
    <vt:lpwstr>Tercer ejercicio</vt:lpwstr>
  </property>
  <property fmtid="{D5CDD505-2E9C-101B-9397-08002B2CF9AE}" pid="9" name="fecha">
    <vt:lpwstr>10/10/2026</vt:lpwstr>
  </property>
  <property fmtid="{D5CDD505-2E9C-101B-9397-08002B2CF9AE}" pid="10" name="graficos-docx">
    <vt:lpwstr>C:\Users\vgutierrez\Documents\src\victorgutierrezmarcos.github.io-revision\oposicion\temario\fuentes\3A08\graficos</vt:lpwstr>
  </property>
  <property fmtid="{D5CDD505-2E9C-101B-9397-08002B2CF9AE}" pid="11" name="link-citations">
    <vt:lpwstr>True</vt:lpwstr>
  </property>
  <property fmtid="{D5CDD505-2E9C-101B-9397-08002B2CF9AE}" pid="12" name="reference-section-title">
    <vt:lpwstr>Bibliografía</vt:lpwstr>
  </property>
  <property fmtid="{D5CDD505-2E9C-101B-9397-08002B2CF9AE}" pid="13" name="titulo">
    <vt:lpwstr>Teoría de la demanda del consumidor (I). Axiomas sobre las preferencias, función de utilidad y función de demanda marshalliana. La teoría de la preferencia revelada. Precios hedónicos.</vt:lpwstr>
  </property>
</Properties>
</file>