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1.png" ContentType="image/png"/>
  <Override PartName="/word/media/rId40.png" ContentType="image/png"/>
  <Override PartName="/word/media/rId25.png" ContentType="image/png"/>
  <Override PartName="/word/media/rId51.png" ContentType="image/png"/>
  <Override PartName="/word/media/rId87.png" ContentType="image/png"/>
  <Override PartName="/word/media/rId3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13/10/2026</w:t>
      </w:r>
    </w:p>
    <w:bookmarkStart w:id="21"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rPr>
          <w:t xml:space="preserve">Ministerio de Empleo y Seguridad Social 2015</w:t>
        </w:r>
      </w:hyperlink>
      <w:r>
        <w:t xml:space="preserve">;</w:t>
      </w:r>
      <w:r>
        <w:t xml:space="preserve"> </w:t>
      </w:r>
      <w:hyperlink w:anchor="ref-Moncloa2025Pensiones">
        <w:r>
          <w:rPr>
            <w:rStyle w:val="Hyperlink"/>
          </w:rPr>
          <w:t xml:space="preserve">Ministerio de Inclusión, Seguridad Social y Migraciones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Para responderla hay que medir el bienestar en euros, y la utilidad es</w:t>
      </w:r>
      <w:r>
        <w:t xml:space="preserve"> </w:t>
      </w:r>
      <w:r>
        <w:rPr>
          <w:i/>
          <w:iCs/>
        </w:rPr>
        <w:t xml:space="preserve">ordinal</w:t>
      </w:r>
      <w:r>
        <w:t xml:space="preserve">: no se puede restar ni sumar. Hace falta una herramienta que traduzca la utilidad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numPr>
          <w:ilvl w:val="0"/>
          <w:numId w:val="1001"/>
        </w:numPr>
      </w:pPr>
      <w:r>
        <w:rPr>
          <w:b/>
          <w:bCs/>
          <w:i/>
          <w:iCs/>
        </w:rPr>
        <w:t xml:space="preserve">Contextualización</w:t>
      </w:r>
      <w:r>
        <w:t xml:space="preserve">:</w:t>
      </w:r>
    </w:p>
    <w:p>
      <w:pPr>
        <w:numPr>
          <w:ilvl w:val="1"/>
          <w:numId w:val="1004"/>
        </w:numPr>
      </w:pPr>
      <w:r>
        <w:t xml:space="preserve">La teoría de la demanda construida a partir de las preferencias, con el</w:t>
      </w:r>
      <w:r>
        <w:t xml:space="preserve"> </w:t>
      </w:r>
      <w:r>
        <w:rPr>
          <w:i/>
          <w:iCs/>
        </w:rPr>
        <w:t xml:space="preserve">problema primal</w:t>
      </w:r>
      <w:r>
        <w:t xml:space="preserve"> </w:t>
      </w:r>
      <w:r>
        <w:t xml:space="preserve">de maximización de la utilidad, se ha estudiado en</w:t>
      </w:r>
      <w:r>
        <w:t xml:space="preserve"> </w:t>
      </w:r>
      <w:r>
        <w:rPr>
          <w:rStyle w:val="Referenciaatema"/>
        </w:rPr>
        <w:t xml:space="preserve">[ver tema 3.A.8]</w:t>
      </w:r>
      <w:r>
        <w:t xml:space="preserve">, junto con la historia del paso de la utilidad cardinal a la ordinal. Esta exposición la completa con cuatro líneas de trabajo que tienen un origen distinto:</w:t>
      </w:r>
    </w:p>
    <w:p>
      <w:pPr>
        <w:numPr>
          <w:ilvl w:val="2"/>
          <w:numId w:val="1005"/>
        </w:numPr>
      </w:pPr>
      <w:r>
        <w:rPr>
          <w:b/>
          <w:bCs/>
        </w:rPr>
        <w:t xml:space="preserve">Dualidad</w:t>
      </w:r>
      <w:r>
        <w:t xml:space="preserve">.</w:t>
      </w:r>
      <w:r>
        <w:t xml:space="preserve"> </w:t>
      </w:r>
      <w:r>
        <w:t xml:space="preserve">Hotelling (</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t xml:space="preserve">Hicks (</w:t>
      </w:r>
      <w:hyperlink w:anchor="ref-Hicks1939Value">
        <w:r>
          <w:rPr>
            <w:rStyle w:val="Hyperlink"/>
          </w:rPr>
          <w:t xml:space="preserve">1939</w:t>
        </w:r>
      </w:hyperlink>
      <w:r>
        <w:t xml:space="preserve">)</w:t>
      </w:r>
      <w:r>
        <w:t xml:space="preserve"> </w:t>
      </w:r>
      <w:r>
        <w:t xml:space="preserve">introduce la demanda compensada;</w:t>
      </w:r>
      <w:r>
        <w:t xml:space="preserve"> </w:t>
      </w:r>
      <w:r>
        <w:t xml:space="preserve">Roy (</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t xml:space="preserve">Shephard (</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t xml:space="preserve">McKenzie (</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t xml:space="preserve">Uzawa (</w:t>
      </w:r>
      <w:hyperlink w:anchor="ref-Uzawa1964Duality">
        <w:r>
          <w:rPr>
            <w:rStyle w:val="Hyperlink"/>
          </w:rPr>
          <w:t xml:space="preserve">1964</w:t>
        </w:r>
      </w:hyperlink>
      <w:r>
        <w:t xml:space="preserve">)</w:t>
      </w:r>
      <w:r>
        <w:t xml:space="preserve"> </w:t>
      </w:r>
      <w:r>
        <w:t xml:space="preserve">y</w:t>
      </w:r>
      <w:r>
        <w:t xml:space="preserve"> </w:t>
      </w:r>
      <w:r>
        <w:t xml:space="preserve">Diewert (</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t xml:space="preserve">Antonelli (</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t xml:space="preserve">Hurwicz y Uzawa (</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se une a la anterior con</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 </w:t>
      </w:r>
      <w:r>
        <w:rPr>
          <w:rStyle w:val="Referenciaatema"/>
        </w:rPr>
        <w:t xml:space="preserve">[ver tema 3.A.8]</w:t>
      </w:r>
      <w:r>
        <w:t xml:space="preserve">.</w:t>
      </w:r>
    </w:p>
    <w:p>
      <w:pPr>
        <w:numPr>
          <w:ilvl w:val="2"/>
          <w:numId w:val="1005"/>
        </w:numPr>
      </w:pPr>
      <w:r>
        <w:rPr>
          <w:b/>
          <w:bCs/>
        </w:rPr>
        <w:t xml:space="preserve">Medición del bienestar</w:t>
      </w:r>
      <w:r>
        <w:t xml:space="preserve">.</w:t>
      </w:r>
      <w:r>
        <w:t xml:space="preserve"> </w:t>
      </w:r>
      <w:r>
        <w:t xml:space="preserve">Dupuit (</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t xml:space="preserve">Marshall (</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t xml:space="preserve">Hicks (</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t xml:space="preserve">Willig (</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rPr>
          <w:t xml:space="preserve">Konüs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t xml:space="preserve">Stone (</w:t>
      </w:r>
      <w:hyperlink w:anchor="ref-Stone1954Linear">
        <w:r>
          <w:rPr>
            <w:rStyle w:val="Hyperlink"/>
          </w:rPr>
          <w:t xml:space="preserve">1954</w:t>
        </w:r>
      </w:hyperlink>
      <w:r>
        <w:t xml:space="preserve">)</w:t>
      </w:r>
      <w:r>
        <w:t xml:space="preserve"> </w:t>
      </w:r>
      <w:r>
        <w:t xml:space="preserve">hasta el sistema casi ideal (AIDS) de</w:t>
      </w:r>
      <w:r>
        <w:t xml:space="preserve"> </w:t>
      </w:r>
      <w:r>
        <w:t xml:space="preserve">Deaton y Muellbauer (</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w:t>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rPr>
          <w:t xml:space="preserve">Mas-Colell, Whinston y Green 1995</w:t>
        </w:r>
      </w:hyperlink>
      <w:r>
        <w:t xml:space="preserve">;</w:t>
      </w:r>
      <w:r>
        <w:t xml:space="preserve"> </w:t>
      </w:r>
      <w:hyperlink w:anchor="ref-Blume2008Duality">
        <w:r>
          <w:rPr>
            <w:rStyle w:val="Hyperlink"/>
          </w:rPr>
          <w:t xml:space="preserve">Blume 2008</w:t>
        </w:r>
      </w:hyperlink>
      <w:r>
        <w:t xml:space="preserve">)</w:t>
      </w:r>
      <w:r>
        <w:t xml:space="preserve">. Aquí se usa en sentido estricto, aunque alguna vez aparezca el amplio.</w:t>
      </w:r>
      <w:r>
        <w:rPr>
          <w:rStyle w:val="FootnoteReference"/>
        </w:rPr>
        <w:footnoteReference w:id="20"/>
      </w:r>
    </w:p>
    <w:p>
      <w:pPr>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que resumimos, y el dual, la minimización del gasto, con su demanda hicksiana, su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 Cobb-Douglas 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en sustitutivos y complementarios netos y brutos (III.2), y la medición de los cambios en el bienestar, con la métrica monetaria, las variaciones compensatoria y equivalente, el excedente del consumidor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(max</w:t>
      </w:r>
      <w:r>
        <w:t xml:space="preserve"> </w:t>
      </w:r>
      <m:oMath>
        <m:r>
          <m:t>U</m:t>
        </m:r>
      </m:oMath>
      <w:r>
        <w:t xml:space="preserve">) y dual (min</w:t>
      </w:r>
      <w:r>
        <w:t xml:space="preserve"> </w:t>
      </w:r>
      <m:oMath>
        <m:r>
          <m:t>p</m:t>
        </m:r>
        <m:r>
          <m:rPr>
            <m:sty m:val="p"/>
          </m:rPr>
          <m:t>⋅</m:t>
        </m:r>
        <m:r>
          <m:t>x</m:t>
        </m:r>
      </m:oMath>
      <w:r>
        <w:t xml:space="preserve">):</w:t>
      </w:r>
      <w:r>
        <w:t xml:space="preserve"> </w:t>
      </w:r>
      <m:oMath>
        <m:r>
          <m:t>h</m:t>
        </m:r>
        <m:d>
          <m:dPr>
            <m:begChr m:val="("/>
            <m:sepChr m:val=""/>
            <m:endChr m:val=")"/>
            <m:grow/>
          </m:dPr>
          <m:e>
            <m:r>
              <m:t>p</m:t>
            </m:r>
            <m:r>
              <m:rPr>
                <m:sty m:val="p"/>
              </m:rPr>
              <m:t>,</m:t>
            </m:r>
            <m:bar>
              <m:barPr>
                <m:pos m:val="top"/>
              </m:barPr>
              <m:e>
                <m:r>
                  <m:t>U</m:t>
                </m:r>
              </m:e>
            </m:bar>
          </m:e>
        </m:d>
      </m:oMath>
      <w:r>
        <w:t xml:space="preserve">,</w:t>
      </w:r>
      <w:r>
        <w:t xml:space="preserve"> </w:t>
      </w:r>
      <m:oMath>
        <m:r>
          <m:t>E</m:t>
        </m:r>
        <m:d>
          <m:dPr>
            <m:begChr m:val="("/>
            <m:sepChr m:val=""/>
            <m:endChr m:val=")"/>
            <m:grow/>
          </m:dPr>
          <m:e>
            <m:r>
              <m:t>p</m:t>
            </m:r>
            <m:r>
              <m:rPr>
                <m:sty m:val="p"/>
              </m:rPr>
              <m:t>,</m:t>
            </m:r>
            <m:bar>
              <m:barPr>
                <m:pos m:val="top"/>
              </m:barPr>
              <m:e>
                <m:r>
                  <m:t>U</m:t>
                </m:r>
              </m:e>
            </m:bar>
          </m:e>
        </m:d>
      </m:oMath>
      <w:r>
        <w:br/>
      </w:r>
      <w:r>
        <w:t xml:space="preserve">3. Relaciones de dualidad (Roy, Shephard)</w:t>
      </w:r>
      <w:r>
        <w:br/>
      </w:r>
      <w:r>
        <w:t xml:space="preserve">II. Sistemas completos de demanda</w:t>
      </w:r>
      <w:r>
        <w:br/>
      </w:r>
      <w:r>
        <w:t xml:space="preserve">1. Idea</w:t>
      </w:r>
      <w:r>
        <w:br/>
      </w:r>
      <w:r>
        <w:t xml:space="preserve">2. Pasos: forma funcional (LES, translog, AIDS), sistema, datos, estimación</w:t>
      </w:r>
      <w:r>
        <w:br/>
      </w:r>
      <w:r>
        <w:t xml:space="preserve">3. Valoración</w:t>
      </w:r>
      <w:r>
        <w:br/>
      </w:r>
      <w:r>
        <w:t xml:space="preserve">III. Aplicaciones de la dualidad</w:t>
      </w:r>
      <w:r>
        <w:br/>
      </w:r>
      <w:r>
        <w:t xml:space="preserve">1. Integrabilidad (Antonelli; Hurwicz y Uzawa)</w:t>
      </w:r>
      <w:r>
        <w:br/>
      </w:r>
      <w:r>
        <w:t xml:space="preserve">2. Ecuación de Slutsky 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orientativo del cante: I, 7 minutos (I.1, 1; I.2, 3,5; I.3, 2,5); II, 5 (II.1, 0,5; II.2, 3,5; II.3, 1); III, 12 (III.1, 3; III.2, 2,5; III.3, 6,5). Los gráficos imprescindibles son el doble primal-dual, el esquema de dualidad, el de la VC, el</w:t>
      </w:r>
      <w:r>
        <w:t xml:space="preserve"> </w:t>
      </w:r>
      <m:oMath>
        <m:r>
          <m:t>Δ</m:t>
        </m:r>
        <m:r>
          <m:rPr>
            <m:sty m:val="p"/>
          </m:rPr>
          <m:t>E</m:t>
        </m:r>
        <m:r>
          <m:rPr>
            <m:sty m:val="p"/>
          </m:rPr>
          <m:t>C</m:t>
        </m:r>
      </m:oMath>
      <w:r>
        <w:t xml:space="preserve"> </w:t>
      </w:r>
      <w:r>
        <w:t xml:space="preserve">y la VE,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las propiedades de la función indirecta de utilidad una a una,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57" w:name="X71f534b4cdd64c3c6c7a75da5470e7aafa576ae"/>
    <w:p>
      <w:pPr>
        <w:pStyle w:val="Heading1"/>
      </w:pPr>
      <w:r>
        <w:t xml:space="preserve">I.</w:t>
      </w:r>
      <w:r>
        <w:t xml:space="preserve"> </w:t>
      </w:r>
      <w:r>
        <w:t xml:space="preserve">Análisis teórico de la dualidad en la decisión de consumo</w:t>
      </w:r>
    </w:p>
    <w:p>
      <w:pPr>
        <w:pStyle w:val="Notaalopositor"/>
      </w:pPr>
      <w:r>
        <w:rPr>
          <w:b/>
          <w:bCs/>
        </w:rPr>
        <w:t xml:space="preserve">Nota al opositor. </w:t>
      </w:r>
      <w:r>
        <w:t xml:space="preserve">En el cante: los ingredientes, en una frase con remisión al primal (1 minuto); el primal, solo planteado, y el dual, desarrollado: planteamiento, tangencia, demanda hicksiana y función de gasto con sus propiedades clave y el lema de</w:t>
      </w:r>
      <w:r>
        <w:t xml:space="preserve"> </w:t>
      </w:r>
      <w:r>
        <w:rPr>
          <w:smallCaps/>
        </w:rPr>
        <w:t xml:space="preserve">Shephard</w:t>
      </w:r>
      <w:r>
        <w:t xml:space="preserve"> </w:t>
      </w:r>
      <w:r>
        <w:t xml:space="preserve">(3,5), y las relaciones de dualidad con el esquema (2,5). Se dibujan el gráfico doble (gráfico 2) y el esquema de dualidad (gráfico 4), que es el gráfico central del bloque.</w:t>
      </w:r>
      <w:r>
        <w:t xml:space="preserve"> </w:t>
      </w:r>
      <w:r>
        <w:rPr>
          <w:smallCaps/>
        </w:rPr>
        <w:t xml:space="preserve">Kuhn</w:t>
      </w:r>
      <w:r>
        <w:t xml:space="preserve">-</w:t>
      </w:r>
      <w:r>
        <w:rPr>
          <w:smallCaps/>
        </w:rPr>
        <w:t xml:space="preserve">Tucker</w:t>
      </w:r>
      <w:r>
        <w:t xml:space="preserve">, las condiciones de segundo orden (anexo A) y la cuasiconvexidad de la función indirecta de utilidad (gráfico 1)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3" w:name="Xadf3614fecccd08a3ec2ecd90481c1f5511b388"/>
    <w:p>
      <w:pPr>
        <w:pStyle w:val="Heading2"/>
      </w:pPr>
      <w:r>
        <w:t xml:space="preserve">I.1.</w:t>
      </w:r>
      <w:r>
        <w:t xml:space="preserve"> </w:t>
      </w:r>
      <w:r>
        <w:t xml:space="preserve">Ingredientes comunes del problema primal y el problema dual</w:t>
      </w:r>
    </w:p>
    <w:p>
      <w:pPr>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Ambos parten de los mismos ingredientes</w:t>
      </w:r>
      <w:r>
        <w:t xml:space="preserve"> </w:t>
      </w:r>
      <w:r>
        <w:rPr>
          <w:rStyle w:val="Referenciaatema"/>
        </w:rPr>
        <w:t xml:space="preserve">[ver tema 3.A.8]</w:t>
      </w:r>
      <w:r>
        <w:t xml:space="preserve">: un 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unas preferencias completas, reflexivas, transitivas, continuas, localmente insaciables y estrictamente convexas, representables por una función de utilidad</w:t>
      </w:r>
      <w:r>
        <w:t xml:space="preserve"> </w:t>
      </w:r>
      <m:oMath>
        <m:r>
          <m:t>U</m:t>
        </m:r>
        <m:d>
          <m:dPr>
            <m:begChr m:val="("/>
            <m:sepChr m:val=""/>
            <m:endChr m:val=")"/>
            <m:grow/>
          </m:dPr>
          <m:e>
            <m:r>
              <m:t>x</m:t>
            </m:r>
          </m:e>
        </m:d>
      </m:oMath>
      <w:r>
        <w:t xml:space="preserve"> </w:t>
      </w:r>
      <w:r>
        <w:t xml:space="preserve">continua, creciente y estrictamente cuasicóncava, y unos precios</w:t>
      </w:r>
      <w:r>
        <w:t xml:space="preserve"> </w:t>
      </w:r>
      <m:oMath>
        <m:r>
          <m:t>p</m:t>
        </m:r>
        <m:r>
          <m:rPr>
            <m:sty m:val="p"/>
          </m:rPr>
          <m:t>≫</m:t>
        </m:r>
        <m:r>
          <m:t>0</m:t>
        </m:r>
      </m:oMath>
      <w:r>
        <w:t xml:space="preserve"> </w:t>
      </w:r>
      <w:r>
        <w:t xml:space="preserve">que el consumidor toma como dados. Los supuestos son también los mismos: contexto estático y sin incertidumbre, información perfecta, bienes homogéneos y consumidor precio-aceptante. Lo único que cambia es qué se toma como objetivo y qué como restricción (tabla 1): la utilidad es el objetivo del primal y la restricción del dual, y el gasto, la restricción del primal y el objetivo del dual.</w:t>
      </w:r>
    </w:p>
    <w:bookmarkStart w:id="22" w:name="tab:ingredientes"/>
    <w:p>
      <w:pPr>
        <w:pStyle w:val="TableCaption"/>
      </w:pPr>
      <w:r>
        <w:t xml:space="preserve">Los mismos ingredientes, con los papeles cambiados</w:t>
      </w:r>
    </w:p>
    <w:tbl>
      <w:tblPr>
        <w:tblStyle w:val="Table"/>
        <w:tblW w:type="auto" w:w="0"/>
        <w:tblLook w:firstRow="1" w:lastRow="0" w:firstColumn="0" w:lastColumn="0" w:noHBand="0" w:noVBand="0" w:val="0020"/>
        <w:tblCaption w:val="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r>
                    <m:t>x</m:t>
                  </m:r>
                </m:e>
              </m:d>
            </m:oMath>
            <w:r>
              <w:t xml:space="preserve"> </w:t>
            </w:r>
            <w:r>
              <w:t xml:space="preserve">(se maximiza)</w:t>
            </w:r>
          </w:p>
        </w:tc>
        <w:tc>
          <w:tcPr/>
          <w:p>
            <w:pPr>
              <w:pStyle w:val="Compact"/>
              <w:jc w:val="left"/>
            </w:pPr>
            <w:r>
              <w:t xml:space="preserve">gasto</w:t>
            </w:r>
            <w:r>
              <w:t xml:space="preserve"> </w:t>
            </w:r>
            <m:oMath>
              <m:r>
                <m:t>p</m:t>
              </m:r>
              <m:r>
                <m:rPr>
                  <m:sty m:val="p"/>
                </m:rPr>
                <m:t>⋅</m:t>
              </m:r>
              <m:r>
                <m:t>x</m:t>
              </m:r>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r>
                <m:t>p</m:t>
              </m:r>
              <m:r>
                <m:rPr>
                  <m:sty m:val="p"/>
                </m:rPr>
                <m:t>⋅</m:t>
              </m:r>
              <m:r>
                <m:t>x</m:t>
              </m:r>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r>
                    <m:t>x</m:t>
                  </m:r>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r>
                <m:t>p</m:t>
              </m:r>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r>
                <m:t>p</m:t>
              </m:r>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r>
                <m:t>x</m:t>
              </m:r>
              <m:d>
                <m:dPr>
                  <m:begChr m:val="("/>
                  <m:sepChr m:val=""/>
                  <m:endChr m:val=")"/>
                  <m:grow/>
                </m:dPr>
                <m:e>
                  <m:r>
                    <m:t>p</m:t>
                  </m:r>
                  <m:r>
                    <m:rPr>
                      <m:sty m:val="p"/>
                    </m:rPr>
                    <m:t>,</m:t>
                  </m:r>
                  <m:bar>
                    <m:barPr>
                      <m:pos m:val="top"/>
                    </m:barPr>
                    <m:e>
                      <m:r>
                        <m:t>W</m:t>
                      </m:r>
                    </m:e>
                  </m:bar>
                </m:e>
              </m:d>
            </m:oMath>
          </w:p>
        </w:tc>
        <w:tc>
          <w:tcPr/>
          <w:p>
            <w:pPr>
              <w:pStyle w:val="Compact"/>
              <w:jc w:val="left"/>
            </w:pPr>
            <w:r>
              <w:t xml:space="preserve">demanda hicksiana</w:t>
            </w:r>
            <w:r>
              <w:t xml:space="preserve"> </w:t>
            </w:r>
            <m:oMath>
              <m:r>
                <m:t>h</m:t>
              </m:r>
              <m:d>
                <m:dPr>
                  <m:begChr m:val="("/>
                  <m:sepChr m:val=""/>
                  <m:endChr m:val=")"/>
                  <m:grow/>
                </m:dPr>
                <m:e>
                  <m:r>
                    <m:t>p</m:t>
                  </m:r>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r>
                    <m:t>p</m:t>
                  </m:r>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r>
                    <m:t>p</m:t>
                  </m:r>
                  <m:r>
                    <m:rPr>
                      <m:sty m:val="p"/>
                    </m:rPr>
                    <m:t>,</m:t>
                  </m:r>
                  <m:bar>
                    <m:barPr>
                      <m:pos m:val="top"/>
                    </m:barPr>
                    <m:e>
                      <m:r>
                        <m:t>U</m:t>
                      </m:r>
                    </m:e>
                  </m:bar>
                </m:e>
              </m:d>
            </m:oMath>
          </w:p>
        </w:tc>
      </w:tr>
    </w:tbl>
    <w:bookmarkEnd w:id="22"/>
    <w:p>
      <w:pPr>
        <w:pStyle w:val="BodyText"/>
      </w:pP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rPr>
        <w:t xml:space="preserve">Maté García y Pérez Domínguez (</w:t>
      </w:r>
      <w:hyperlink w:anchor="ref-MatePerez2007Microeconomia">
        <w:r>
          <w:rPr>
            <w:rStyle w:val="Hyperlink"/>
            <w:i/>
            <w:iCs/>
          </w:rPr>
          <w:t xml:space="preserve">2007</w:t>
        </w:r>
      </w:hyperlink>
      <w:r>
        <w:rPr>
          <w:i/>
          <w:iCs/>
        </w:rPr>
        <w:t xml:space="preserve">)</w:t>
      </w:r>
      <w:r>
        <w:rPr>
          <w:i/>
          <w:iCs/>
        </w:rPr>
        <w:t xml:space="preserve">.</w:t>
      </w:r>
    </w:p>
    <w:bookmarkEnd w:id="23"/>
    <w:bookmarkStart w:id="47" w:name="problemas-primal-y-dual"/>
    <w:p>
      <w:pPr>
        <w:pStyle w:val="Heading2"/>
      </w:pPr>
      <w:r>
        <w:t xml:space="preserve">I.2.</w:t>
      </w:r>
      <w:r>
        <w:t xml:space="preserve"> </w:t>
      </w:r>
      <w:r>
        <w:t xml:space="preserve">Problemas primal y dual</w:t>
      </w:r>
    </w:p>
    <w:bookmarkStart w:id="29" w:name="X7c6d98eafb5dd2ce68979be25b5ecb40da7c1bf"/>
    <w:p>
      <w:pPr>
        <w:pStyle w:val="Heading3"/>
      </w:pPr>
      <w:r>
        <w:t xml:space="preserve">I.2.1.</w:t>
      </w:r>
      <w:r>
        <w:t xml:space="preserve"> </w:t>
      </w:r>
      <w:r>
        <w:t xml:space="preserve">Problema primal: maximización de la utilidad</w:t>
      </w:r>
    </w:p>
    <w:p>
      <w:pPr>
        <w:numPr>
          <w:ilvl w:val="0"/>
          <w:numId w:val="1011"/>
        </w:numPr>
      </w:pPr>
      <w:r>
        <w:rPr>
          <w:i/>
          <w:iCs/>
        </w:rPr>
        <w:t xml:space="preserve">Idea</w:t>
      </w:r>
      <w:r>
        <w:t xml:space="preserve">: conjugar unas necesidades ilimitadas con unos recursos escasos. El problema primal, desarrollado en</w:t>
      </w:r>
      <w:r>
        <w:t xml:space="preserve"> </w:t>
      </w:r>
      <w:r>
        <w:rPr>
          <w:rStyle w:val="Referenciaatema"/>
        </w:rPr>
        <w:t xml:space="preserve">[ver tema 3.A.8]</w:t>
      </w:r>
      <w:r>
        <w:t xml:space="preserve">, se resume aquí porque es el punto de partida de la dualidad.</w:t>
      </w:r>
    </w:p>
    <w:p>
      <w:pPr>
        <w:numPr>
          <w:ilvl w:val="0"/>
          <w:numId w:val="1011"/>
        </w:numPr>
      </w:pPr>
      <w:r>
        <w:t xml:space="preserve">El</w:t>
      </w:r>
      <w:r>
        <w:t xml:space="preserve"> </w:t>
      </w:r>
      <w:r>
        <w:rPr>
          <w:b/>
          <w:bCs/>
        </w:rPr>
        <w:t xml:space="preserve">problema de maximización de la utilidad</w:t>
      </w:r>
      <w:r>
        <w:t xml:space="preserve"> </w:t>
      </w:r>
      <w:r>
        <w:t xml:space="preserve">(PMU) es</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Las condiciones de existencia, unicidad y suficiencia son las del PMU</w:t>
      </w:r>
      <w:r>
        <w:t xml:space="preserve"> </w:t>
      </w:r>
      <w:r>
        <w:rPr>
          <w:rStyle w:val="Referenciaatema"/>
        </w:rPr>
        <w:t xml:space="preserve">[ver tema 3.A.8]</w:t>
      </w:r>
      <w:r>
        <w:t xml:space="preserve">. Con la lagrangiana</w:t>
      </w:r>
      <w:r>
        <w:t xml:space="preserve"> </w:t>
      </w:r>
      <m:oMath>
        <m:r>
          <m:rPr>
            <m:sty m:val="p"/>
            <m:scr m:val="script"/>
          </m:rPr>
          <m:t>L</m:t>
        </m:r>
        <m:r>
          <m:rPr>
            <m:sty m:val="p"/>
          </m:rPr>
          <m:t>=</m:t>
        </m:r>
        <m:r>
          <m:t>U</m:t>
        </m:r>
        <m:d>
          <m:dPr>
            <m:begChr m:val="("/>
            <m:sepChr m:val=""/>
            <m:endChr m:val=")"/>
            <m:grow/>
          </m:dPr>
          <m:e>
            <m:r>
              <m:t>x</m:t>
            </m:r>
          </m:e>
        </m:d>
        <m:r>
          <m:rPr>
            <m:sty m:val="p"/>
          </m:rPr>
          <m:t>+</m:t>
        </m:r>
        <m:r>
          <m:t>λ</m:t>
        </m:r>
        <m:r>
          <m:t> </m:t>
        </m:r>
        <m:d>
          <m:dPr>
            <m:begChr m:val="("/>
            <m:sepChr m:val=""/>
            <m:endChr m:val=")"/>
            <m:grow/>
          </m:dPr>
          <m:e>
            <m:bar>
              <m:barPr>
                <m:pos m:val="top"/>
              </m:barPr>
              <m:e>
                <m:r>
                  <m:t>W</m:t>
                </m:r>
              </m:e>
            </m:bar>
            <m:r>
              <m:rPr>
                <m:sty m:val="p"/>
              </m:rPr>
              <m:t>−</m:t>
            </m:r>
            <m:r>
              <m:t>p</m:t>
            </m:r>
            <m:r>
              <m:rPr>
                <m:sty m:val="p"/>
              </m:rPr>
              <m:t>⋅</m:t>
            </m:r>
            <m:r>
              <m:t>x</m:t>
            </m:r>
          </m:e>
        </m:d>
      </m:oMath>
      <w:r>
        <w:t xml:space="preserve">, en una solución interior las condiciones de</w:t>
      </w:r>
      <w:r>
        <w:t xml:space="preserve"> </w:t>
      </w:r>
      <w:r>
        <w:rPr>
          <w:smallCaps/>
        </w:rPr>
        <w:t xml:space="preserve">Kuhn</w:t>
      </w:r>
      <w:r>
        <w:t xml:space="preserve">-</w:t>
      </w:r>
      <w:r>
        <w:rPr>
          <w:smallCaps/>
        </w:rPr>
        <w:t xml:space="preserve">Tucker</w:t>
      </w:r>
      <w:r>
        <w:t xml:space="preserve"> </w:t>
      </w:r>
      <w:r>
        <w:t xml:space="preserve">dan</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0"/>
          <w:numId w:val="1000"/>
        </w:numPr>
      </w:pPr>
      <w:r>
        <w:t xml:space="preserve">donde</w:t>
      </w:r>
      <w:r>
        <w:t xml:space="preserve"> </w:t>
      </w:r>
      <m:oMath>
        <m:r>
          <m:t>λ</m:t>
        </m:r>
        <m:r>
          <m:rPr>
            <m:sty m:val="p"/>
          </m:rPr>
          <m:t>&gt;</m:t>
        </m:r>
        <m:r>
          <m:t>0</m:t>
        </m:r>
      </m:oMath>
      <w:r>
        <w:t xml:space="preserve"> </w:t>
      </w:r>
      <w:r>
        <w:t xml:space="preserve">es la utilidad marginal de la renta: la curva de indiferencia más alta alcanzable es tangente a la recta de balance (gráfico 2, panel izquierdo). Las condiciones completas, con la solución de esquina, y las de segundo orden están en el anexo A; la solución de esquina se estudia en</w:t>
      </w:r>
      <w:r>
        <w:t xml:space="preserve"> </w:t>
      </w:r>
      <w:r>
        <w:rPr>
          <w:rStyle w:val="Referenciaatema"/>
        </w:rPr>
        <w:t xml:space="preserve">[ver tema 3.A.8]</w:t>
      </w:r>
      <w:r>
        <w:t xml:space="preserve">.</w:t>
      </w:r>
    </w:p>
    <w:p>
      <w:pPr>
        <w:numPr>
          <w:ilvl w:val="0"/>
          <w:numId w:val="1011"/>
        </w:numPr>
      </w:pPr>
      <w:r>
        <w:t xml:space="preserve">La solución es la</w:t>
      </w:r>
      <w:r>
        <w:t xml:space="preserve"> </w:t>
      </w:r>
      <w:r>
        <w:rPr>
          <w:b/>
          <w:bCs/>
        </w:rPr>
        <w:t xml:space="preserve">demanda marshalliana</w:t>
      </w:r>
      <w:r>
        <w:t xml:space="preserve"> </w:t>
      </w:r>
      <w:r>
        <w:t xml:space="preserve">(también llamada ordinaria o walrasiana)</w:t>
      </w:r>
      <w:r>
        <w:t xml:space="preserve"> </w:t>
      </w:r>
      <m:oMath>
        <m:r>
          <m:t>x</m:t>
        </m:r>
        <m:d>
          <m:dPr>
            <m:begChr m:val="("/>
            <m:sepChr m:val=""/>
            <m:endChr m:val=")"/>
            <m:grow/>
          </m:dPr>
          <m:e>
            <m:r>
              <m:t>p</m:t>
            </m:r>
            <m:r>
              <m:rPr>
                <m:sty m:val="p"/>
              </m:rPr>
              <m:t>,</m:t>
            </m:r>
            <m:bar>
              <m:barPr>
                <m:pos m:val="top"/>
              </m:barPr>
              <m:e>
                <m:r>
                  <m:t>W</m:t>
                </m:r>
              </m:e>
            </m:bar>
          </m:e>
        </m:d>
      </m:oMath>
      <w:r>
        <w:t xml:space="preserve">: homogénea de grado cero en</w:t>
      </w:r>
      <w:r>
        <w:t xml:space="preserve"> </w:t>
      </w:r>
      <m:oMath>
        <m:d>
          <m:dPr>
            <m:begChr m:val="("/>
            <m:sepChr m:val=""/>
            <m:endChr m:val=")"/>
            <m:grow/>
          </m:dPr>
          <m:e>
            <m:r>
              <m:t>p</m:t>
            </m:r>
            <m:r>
              <m:rPr>
                <m:sty m:val="p"/>
              </m:rPr>
              <m:t>,</m:t>
            </m:r>
            <m:bar>
              <m:barPr>
                <m:pos m:val="top"/>
              </m:barPr>
              <m:e>
                <m:r>
                  <m:t>W</m:t>
                </m:r>
              </m:e>
            </m:bar>
          </m:e>
        </m:d>
      </m:oMath>
      <w:r>
        <w:t xml:space="preserve"> </w:t>
      </w:r>
      <w:r>
        <w:t xml:space="preserve">(no hay ilusión monetaria) y con la restricción saturada,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w:t>
      </w:r>
      <w:r>
        <w:rPr>
          <w:i/>
          <w:iCs/>
        </w:rPr>
        <w:t xml:space="preserve">ley de</w:t>
      </w:r>
      <w:r>
        <w:rPr>
          <w:i/>
          <w:iCs/>
        </w:rPr>
        <w:t xml:space="preserve"> </w:t>
      </w:r>
      <w:r>
        <w:rPr>
          <w:i/>
          <w:iCs/>
          <w:smallCaps/>
        </w:rPr>
        <w:t xml:space="preserve">Walras</w:t>
      </w:r>
      <w:r>
        <w:t xml:space="preserve">), por la insaciabilidad local.</w:t>
      </w:r>
    </w:p>
    <w:p>
      <w:pPr>
        <w:numPr>
          <w:ilvl w:val="0"/>
          <w:numId w:val="1011"/>
        </w:numPr>
      </w:pPr>
      <w:r>
        <w:t xml:space="preserve">Su función valor es la</w:t>
      </w:r>
      <w:r>
        <w:t xml:space="preserve"> </w:t>
      </w:r>
      <w:r>
        <w:rPr>
          <w:b/>
          <w:bCs/>
        </w:rPr>
        <w:t xml:space="preserve">función indirecta de utilidad</w:t>
      </w:r>
      <w:r>
        <w:t xml:space="preserve"> </w:t>
      </w:r>
      <w:r>
        <w:t xml:space="preserve">(FIU), la utilidad máxima que se alcanza con unos precios y una renta,</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oMath>
      </m:oMathPara>
    </w:p>
    <w:p>
      <w:pPr>
        <w:numPr>
          <w:ilvl w:val="0"/>
          <w:numId w:val="1000"/>
        </w:numPr>
      </w:pPr>
      <w:r>
        <w:t xml:space="preserve">Es continua, homogénea de grado cero en</w:t>
      </w:r>
      <w:r>
        <w:t xml:space="preserve"> </w:t>
      </w:r>
      <m:oMath>
        <m:d>
          <m:dPr>
            <m:begChr m:val="("/>
            <m:sepChr m:val=""/>
            <m:endChr m:val=")"/>
            <m:grow/>
          </m:dPr>
          <m:e>
            <m:r>
              <m:t>p</m:t>
            </m:r>
            <m:r>
              <m:rPr>
                <m:sty m:val="p"/>
              </m:rPr>
              <m:t>,</m:t>
            </m:r>
            <m:bar>
              <m:barPr>
                <m:pos m:val="top"/>
              </m:barPr>
              <m:e>
                <m:r>
                  <m:t>W</m:t>
                </m:r>
              </m:e>
            </m:bar>
          </m:e>
        </m:d>
      </m:oMath>
      <w:r>
        <w:t xml:space="preserve">, estrictamente creciente en</w:t>
      </w:r>
      <w:r>
        <w:t xml:space="preserve"> </w:t>
      </w:r>
      <m:oMath>
        <m:bar>
          <m:barPr>
            <m:pos m:val="top"/>
          </m:barPr>
          <m:e>
            <m:r>
              <m:t>W</m:t>
            </m:r>
          </m:e>
        </m:bar>
      </m:oMath>
      <w:r>
        <w:t xml:space="preserve">, no creciente en</w:t>
      </w:r>
      <w:r>
        <w:t xml:space="preserve"> </w:t>
      </w:r>
      <m:oMath>
        <m:r>
          <m:t>p</m:t>
        </m:r>
      </m:oMath>
      <w:r>
        <w:t xml:space="preserve"> </w:t>
      </w:r>
      <w:r>
        <w:t xml:space="preserve">y cuasiconvexa 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24"/>
      </w:r>
      <w:r>
        <w:t xml:space="preserve"> </w:t>
      </w:r>
      <w:r>
        <w:t xml:space="preserve">y de ella se obtienen las demandas derivando, con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rPr>
          <w:t xml:space="preserve">Roy 1947</w:t>
        </w:r>
      </w:hyperlink>
      <w:r>
        <w:t xml:space="preserve">)</w:t>
      </w:r>
      <w:r>
        <w:t xml:space="preserv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La demostración, con el teorema de la envolvente, está en el anexo B.</w:t>
      </w:r>
    </w:p>
    <w:p>
      <w:pPr>
        <w:numPr>
          <w:ilvl w:val="0"/>
          <w:numId w:val="1011"/>
        </w:numPr>
      </w:pPr>
      <w:r>
        <w:t xml:space="preserve">Como</w:t>
      </w:r>
      <w:r>
        <w:t xml:space="preserve"> </w:t>
      </w:r>
      <m:oMath>
        <m:r>
          <m:t>V</m:t>
        </m:r>
      </m:oMath>
      <w:r>
        <w:t xml:space="preserve"> </w:t>
      </w:r>
      <w:r>
        <w:t xml:space="preserve">se mide en «útiles», que solo ordenan, no sirve por sí sola para cuantificar cambios de bienestar.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Start w:id="28" w:name="fig:cuasiconvexidad-fiu"/>
    <w:p>
      <w:pPr>
        <w:pStyle w:val="ImageCaption"/>
      </w:pPr>
      <w:r>
        <w:t xml:space="preserve">Gráfico 1.–</w:t>
      </w:r>
      <w:r>
        <w:t xml:space="preserve"> </w:t>
      </w:r>
      <w:r>
        <w:t xml:space="preserve">Cuasiconvexidad de la función indirecta de utilidad en los precios (con</w:t>
      </w:r>
      <w:r>
        <w:t xml:space="preserve"> </w:t>
      </w:r>
      <m:oMath>
        <m:bar>
          <m:barPr>
            <m:pos m:val="top"/>
          </m:barPr>
          <m:e>
            <m:r>
              <m:t>W</m:t>
            </m:r>
          </m:e>
        </m:bar>
      </m:oMath>
      <w:r>
        <w:t xml:space="preserve"> </w:t>
      </w:r>
      <w:r>
        <w:t xml:space="preserve">fija)</w:t>
      </w:r>
    </w:p>
    <w:p>
      <w:pPr>
        <w:pStyle w:val="CaptionedFigure"/>
      </w:pPr>
      <w:r>
        <w:drawing>
          <wp:inline>
            <wp:extent cx="2853294" cy="2339518"/>
            <wp:effectExtent b="0" l="0" r="0" t="0"/>
            <wp:docPr descr="" title="" id="26" name="Picture"/>
            <a:graphic>
              <a:graphicData uri="http://schemas.openxmlformats.org/drawingml/2006/picture">
                <pic:pic>
                  <pic:nvPicPr>
                    <pic:cNvPr descr="C:\Users\vgutierrez\Documents\src\victorgutierrezmarcos.github.io-revision\oposicion\temario\fuentes\3A09\graficos/cuasiconvexidad-fiu.png" id="27" name="Picture"/>
                    <pic:cNvPicPr>
                      <a:picLocks noChangeArrowheads="1" noChangeAspect="1"/>
                    </pic:cNvPicPr>
                  </pic:nvPicPr>
                  <pic:blipFill>
                    <a:blip r:embed="rId25"/>
                    <a:stretch>
                      <a:fillRect/>
                    </a:stretch>
                  </pic:blipFill>
                  <pic:spPr bwMode="auto">
                    <a:xfrm>
                      <a:off x="0" y="0"/>
                      <a:ext cx="2853294" cy="2339518"/>
                    </a:xfrm>
                    <a:prstGeom prst="rect">
                      <a:avLst/>
                    </a:prstGeom>
                    <a:noFill/>
                    <a:ln w="9525">
                      <a:noFill/>
                      <a:headEnd/>
                      <a:tailEnd/>
                    </a:ln>
                  </pic:spPr>
                </pic:pic>
              </a:graphicData>
            </a:graphic>
          </wp:inline>
        </w:drawing>
      </w:r>
    </w:p>
    <w:bookmarkEnd w:id="28"/>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fig. 3.D.5</w:t>
        </w:r>
      </w:hyperlink>
      <w:r>
        <w:t xml:space="preserve">)</w:t>
      </w:r>
      <w:r>
        <w:t xml:space="preserve">.</w:t>
      </w:r>
    </w:p>
    <w:bookmarkEnd w:id="29"/>
    <w:bookmarkStart w:id="46" w:name="problema-dual-minimización-del-gasto"/>
    <w:p>
      <w:pPr>
        <w:pStyle w:val="Heading3"/>
      </w:pPr>
      <w:r>
        <w:t xml:space="preserve">I.2.2.</w:t>
      </w:r>
      <w:r>
        <w:t xml:space="preserve"> </w:t>
      </w:r>
      <w:r>
        <w:t xml:space="preserve">Problema dual: minimización del gasto</w:t>
      </w:r>
    </w:p>
    <w:bookmarkStart w:id="30" w:name="idea-y-supuestos"/>
    <w:p>
      <w:pPr>
        <w:pStyle w:val="Heading4"/>
      </w:pPr>
      <w:r>
        <w:t xml:space="preserve">Idea y supuestos</w:t>
      </w:r>
    </w:p>
    <w:p>
      <w:pPr>
        <w:numPr>
          <w:ilvl w:val="0"/>
          <w:numId w:val="1012"/>
        </w:numPr>
      </w:pPr>
      <w:r>
        <w:t xml:space="preserve">En lugar de preguntar cuánta utilidad compra una renta, preguntamos cuál es la forma más barata de alcanzar un nivel de utilidad. Los supuestos son los mismos que en el primal: solo cambia la formulación del problema.</w:t>
      </w:r>
    </w:p>
    <w:bookmarkEnd w:id="30"/>
    <w:bookmarkStart w:id="32" w:name="desarrollo-analítico"/>
    <w:p>
      <w:pPr>
        <w:pStyle w:val="Heading4"/>
      </w:pPr>
      <w:r>
        <w:t xml:space="preserve">Desarrollo analítico</w:t>
      </w:r>
    </w:p>
    <w:p>
      <w:pPr>
        <w:numPr>
          <w:ilvl w:val="0"/>
          <w:numId w:val="1013"/>
        </w:numPr>
      </w:pPr>
      <w:r>
        <w:t xml:space="preserve">El</w:t>
      </w:r>
      <w:r>
        <w:t xml:space="preserve"> </w:t>
      </w:r>
      <w:r>
        <w:rPr>
          <w:b/>
          <w:bCs/>
        </w:rPr>
        <w:t xml:space="preserve">problema de minimización del gasto</w:t>
      </w:r>
      <w:r>
        <w:t xml:space="preserve"> </w:t>
      </w:r>
      <w:r>
        <w:t xml:space="preserve">(PMG) es</w:t>
      </w:r>
    </w:p>
    <w:p>
      <w:pPr>
        <w:pStyle w:val="BodyText"/>
      </w:pPr>
      <m:oMathPara>
        <m:oMathParaPr>
          <m:jc m:val="center"/>
        </m:oMathParaPr>
        <m:oMath>
          <m:limLow>
            <m:e>
              <m:r>
                <m:rPr>
                  <m:sty m:val="p"/>
                </m:rPr>
                <m:t>min</m:t>
              </m:r>
            </m:e>
            <m:lim>
              <m:r>
                <m:t>x</m:t>
              </m:r>
            </m:lim>
          </m:limLow>
          <m:r>
            <m:t> </m:t>
          </m:r>
          <m:r>
            <m:t>p</m:t>
          </m:r>
          <m:r>
            <m:rPr>
              <m:sty m:val="p"/>
            </m:rPr>
            <m:t>⋅</m:t>
          </m:r>
          <m:r>
            <m:t>x</m:t>
          </m:r>
          <m:r>
            <m:t> </m:t>
          </m:r>
          <m:r>
            <m:rPr>
              <m:nor/>
              <m:sty m:val="p"/>
            </m:rPr>
            <m:t>s.a.</m:t>
          </m:r>
          <m:r>
            <m:t> </m:t>
          </m:r>
          <m:r>
            <m:t>U</m:t>
          </m:r>
          <m:d>
            <m:dPr>
              <m:begChr m:val="("/>
              <m:sepChr m:val=""/>
              <m:endChr m:val=")"/>
              <m:grow/>
            </m:dPr>
            <m:e>
              <m:r>
                <m:t>x</m:t>
              </m:r>
            </m:e>
          </m:d>
          <m:r>
            <m:rPr>
              <m:sty m:val="p"/>
            </m:rPr>
            <m:t>≥</m:t>
          </m:r>
          <m:bar>
            <m:barPr>
              <m:pos m:val="top"/>
            </m:barPr>
            <m:e>
              <m:r>
                <m:t>U</m:t>
              </m:r>
            </m:e>
          </m:bar>
          <m:r>
            <m:rPr>
              <m:sty m:val="p"/>
            </m:rPr>
            <m:t>,</m:t>
          </m:r>
          <m:r>
            <m:t> </m:t>
          </m:r>
          <m:r>
            <m:t>x</m:t>
          </m:r>
          <m:r>
            <m:rPr>
              <m:sty m:val="p"/>
            </m:rPr>
            <m:t>≥</m:t>
          </m:r>
          <m:r>
            <m:t>0</m:t>
          </m:r>
          <m:r>
            <m:rPr>
              <m:sty m:val="p"/>
            </m:rPr>
            <m:t>,</m:t>
          </m:r>
        </m:oMath>
      </m:oMathPara>
    </w:p>
    <w:p>
      <w:pPr>
        <w:numPr>
          <w:ilvl w:val="0"/>
          <w:numId w:val="1000"/>
        </w:numPr>
      </w:pPr>
      <w:r>
        <w:t xml:space="preserve">con</w:t>
      </w:r>
      <w:r>
        <w:t xml:space="preserve"> </w:t>
      </w:r>
      <m:oMath>
        <m:bar>
          <m:barPr>
            <m:pos m:val="top"/>
          </m:barPr>
          <m:e>
            <m:r>
              <m:t>U</m:t>
            </m:r>
          </m:e>
        </m:bar>
        <m:r>
          <m:rPr>
            <m:sty m:val="p"/>
          </m:rPr>
          <m:t>&gt;</m:t>
        </m:r>
        <m:r>
          <m:t>U</m:t>
        </m:r>
        <m:d>
          <m:dPr>
            <m:begChr m:val="("/>
            <m:sepChr m:val=""/>
            <m:endChr m:val=")"/>
            <m:grow/>
          </m:dPr>
          <m:e>
            <m:r>
              <m:t>0</m:t>
            </m:r>
          </m:e>
        </m:d>
      </m:oMath>
      <w:r>
        <w:t xml:space="preserve"> </w:t>
      </w:r>
      <w:r>
        <w:t xml:space="preserve">y</w:t>
      </w:r>
      <w:r>
        <w:t xml:space="preserve"> </w:t>
      </w:r>
      <m:oMath>
        <m:r>
          <m:t>p</m:t>
        </m:r>
        <m:r>
          <m:rPr>
            <m:sty m:val="p"/>
          </m:rPr>
          <m:t>≫</m:t>
        </m:r>
        <m:r>
          <m:t>0</m:t>
        </m:r>
      </m:oMath>
      <w:r>
        <w:t xml:space="preserve">: se busca alcanzar al menos el nivel de utilidad</w:t>
      </w:r>
      <w:r>
        <w:t xml:space="preserve"> </w:t>
      </w:r>
      <m:oMath>
        <m:bar>
          <m:barPr>
            <m:pos m:val="top"/>
          </m:barPr>
          <m:e>
            <m:r>
              <m:t>U</m:t>
            </m:r>
          </m:e>
        </m:bar>
      </m:oMath>
      <w:r>
        <w:t xml:space="preserve"> </w:t>
      </w:r>
      <w:r>
        <w:t xml:space="preserve">de la forma más barata posible. La variable de elección es la cesta</w:t>
      </w:r>
      <w:r>
        <w:t xml:space="preserve"> </w:t>
      </w:r>
      <m:oMath>
        <m:r>
          <m:t>x</m:t>
        </m:r>
      </m:oMath>
      <w:r>
        <w:t xml:space="preserve">, igual que en el primal; su solución será la demanda</w:t>
      </w:r>
      <w:r>
        <w:t xml:space="preserve"> </w:t>
      </w:r>
      <m:oMath>
        <m:r>
          <m:t>h</m:t>
        </m:r>
        <m:d>
          <m:dPr>
            <m:begChr m:val="("/>
            <m:sepChr m:val=""/>
            <m:endChr m:val=")"/>
            <m:grow/>
          </m:dPr>
          <m:e>
            <m:r>
              <m:t>p</m:t>
            </m:r>
            <m:r>
              <m:rPr>
                <m:sty m:val="p"/>
              </m:rPr>
              <m:t>,</m:t>
            </m:r>
            <m:bar>
              <m:barPr>
                <m:pos m:val="top"/>
              </m:barPr>
              <m:e>
                <m:r>
                  <m:t>U</m:t>
                </m:r>
              </m:e>
            </m:bar>
          </m:e>
        </m:d>
      </m:oMath>
      <w:r>
        <w:t xml:space="preserve">. Existe solución: aunque el conjunto</w:t>
      </w:r>
      <w:r>
        <w:t xml:space="preserve"> </w:t>
      </w:r>
      <m:oMath>
        <m:r>
          <m:rPr>
            <m:sty m:val="p"/>
          </m:rPr>
          <m:t>{</m:t>
        </m:r>
        <m:r>
          <m:t>x</m:t>
        </m:r>
        <m:r>
          <m:rPr>
            <m:sty m:val="p"/>
          </m:rPr>
          <m:t>:</m:t>
        </m:r>
        <m:r>
          <m:t>U</m:t>
        </m:r>
        <m:d>
          <m:dPr>
            <m:begChr m:val="("/>
            <m:sepChr m:val=""/>
            <m:endChr m:val=")"/>
            <m:grow/>
          </m:dPr>
          <m:e>
            <m:r>
              <m:t>x</m:t>
            </m:r>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rPr>
          <w:t xml:space="preserve">Mas-Colell, Whinston y Green 1995</w:t>
        </w:r>
      </w:hyperlink>
      <w:r>
        <w:t xml:space="preserve">, prop. 3.E.1)</w:t>
      </w:r>
      <w:r>
        <w:t xml:space="preserve">.</w:t>
      </w:r>
    </w:p>
    <w:p>
      <w:pPr>
        <w:numPr>
          <w:ilvl w:val="0"/>
          <w:numId w:val="1013"/>
        </w:numPr>
      </w:pPr>
      <w:r>
        <w:t xml:space="preserve">Como hay restricciones de desigualdad, 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pPr>
      <m:oMathPara>
        <m:oMathParaPr>
          <m:jc m:val="center"/>
        </m:oMathParaPr>
        <m:oMath>
          <m:r>
            <m:rPr>
              <m:sty m:val="p"/>
              <m:scr m:val="script"/>
            </m:rPr>
            <m:t>L</m:t>
          </m:r>
          <m:r>
            <m:rPr>
              <m:sty m:val="p"/>
            </m:rPr>
            <m:t>=</m:t>
          </m:r>
          <m:r>
            <m:t>p</m:t>
          </m:r>
          <m:r>
            <m:rPr>
              <m:sty m:val="p"/>
            </m:rPr>
            <m:t>⋅</m:t>
          </m:r>
          <m:r>
            <m:t>x</m:t>
          </m:r>
          <m:r>
            <m:rPr>
              <m:sty m:val="p"/>
            </m:rPr>
            <m:t>+</m:t>
          </m:r>
          <m:sSup>
            <m:e>
              <m:r>
                <m:t>λ</m:t>
              </m:r>
            </m:e>
            <m:sup>
              <m:r>
                <m:t>E</m:t>
              </m:r>
            </m:sup>
          </m:sSup>
          <m:d>
            <m:dPr>
              <m:begChr m:val="("/>
              <m:sepChr m:val=""/>
              <m:endChr m:val=")"/>
              <m:grow/>
            </m:dPr>
            <m:e>
              <m:bar>
                <m:barPr>
                  <m:pos m:val="top"/>
                </m:barPr>
                <m:e>
                  <m:r>
                    <m:t>U</m:t>
                  </m:r>
                </m:e>
              </m:bar>
              <m:r>
                <m:rPr>
                  <m:sty m:val="p"/>
                </m:rPr>
                <m:t>−</m:t>
              </m:r>
              <m:r>
                <m:t>U</m:t>
              </m:r>
              <m:d>
                <m:dPr>
                  <m:begChr m:val="("/>
                  <m:sepChr m:val=""/>
                  <m:endChr m:val=")"/>
                  <m:grow/>
                </m:dPr>
                <m:e>
                  <m:r>
                    <m:t>x</m:t>
                  </m:r>
                </m:e>
              </m:d>
            </m:e>
          </m:d>
          <m:r>
            <m:rPr>
              <m:sty m:val="p"/>
            </m:rPr>
            <m:t>.</m:t>
          </m:r>
        </m:oMath>
      </m:oMathPara>
    </w:p>
    <w:p>
      <w:pPr>
        <w:numPr>
          <w:ilvl w:val="1"/>
          <w:numId w:val="1014"/>
        </w:numPr>
      </w:pPr>
      <w:r>
        <w:t xml:space="preserve">En una solución interior, las condiciones de primer orden dan</w:t>
      </w:r>
    </w:p>
    <w:p>
      <w:pPr>
        <w:pStyle w:val="BodyT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sSup>
            <m:e>
              <m:r>
                <m:t>λ</m:t>
              </m:r>
            </m:e>
            <m:sup>
              <m:r>
                <m:t>E</m:t>
              </m:r>
            </m:sup>
          </m:sSup>
          <m:r>
            <m:rPr>
              <m:sty m:val="p"/>
            </m:rPr>
            <m:t>,</m:t>
          </m:r>
          <m:r>
            <m:t>  </m:t>
          </m:r>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14"/>
        </w:numPr>
      </w:pPr>
      <w:r>
        <w:t xml:space="preserve">El multiplicador</w:t>
      </w:r>
      <w:r>
        <w:t xml:space="preserve"> </w:t>
      </w:r>
      <m:oMath>
        <m:sSup>
          <m:e>
            <m:r>
              <m:t>λ</m:t>
            </m:r>
          </m:e>
          <m:sup>
            <m:r>
              <m:t>E</m:t>
            </m:r>
          </m:sup>
        </m:sSup>
      </m:oMath>
      <w:r>
        <w:t xml:space="preserve"> </w:t>
      </w:r>
      <w:r>
        <w:t xml:space="preserve">es el</w:t>
      </w:r>
      <w:r>
        <w:t xml:space="preserve"> </w:t>
      </w:r>
      <w:r>
        <w:rPr>
          <w:i/>
          <w:iCs/>
        </w:rPr>
        <w:t xml:space="preserve">coste marginal de la utilidad</w:t>
      </w:r>
      <w:r>
        <w:t xml:space="preserve">: por el teorema de la envolvente,</w:t>
      </w:r>
      <w:r>
        <w:t xml:space="preserve"> </w:t>
      </w:r>
      <m:oMath>
        <m:sSup>
          <m:e>
            <m:r>
              <m:t>λ</m:t>
            </m:r>
          </m:e>
          <m:sup>
            <m:r>
              <m:t>E</m:t>
            </m:r>
            <m:r>
              <m:rPr>
                <m:sty m:val="p"/>
              </m:rPr>
              <m:t>*</m:t>
            </m:r>
          </m:sup>
        </m:sSup>
        <m:r>
          <m:rPr>
            <m:sty m:val="p"/>
          </m:rPr>
          <m:t>=</m:t>
        </m:r>
        <m:r>
          <m:rPr>
            <m:sty m:val="p"/>
          </m:rPr>
          <m:t>∂</m:t>
        </m:r>
        <m:r>
          <m:t>E</m:t>
        </m:r>
        <m:d>
          <m:dPr>
            <m:begChr m:val="("/>
            <m:sepChr m:val=""/>
            <m:endChr m:val=")"/>
            <m:grow/>
          </m:dPr>
          <m:e>
            <m:r>
              <m:t>p</m:t>
            </m:r>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λ</m:t>
            </m:r>
          </m:e>
          <m:sup>
            <m:r>
              <m:t>E</m:t>
            </m:r>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31"/>
      </w:r>
    </w:p>
    <w:p>
      <w:pPr>
        <w:numPr>
          <w:ilvl w:val="1"/>
          <w:numId w:val="1014"/>
        </w:numPr>
      </w:pPr>
      <w:r>
        <w:t xml:space="preserve">La restricción se satura,</w:t>
      </w:r>
      <w:r>
        <w:t xml:space="preserve"> </w:t>
      </w:r>
      <m:oMath>
        <m:r>
          <m:t>U</m:t>
        </m:r>
        <m:d>
          <m:dPr>
            <m:begChr m:val="("/>
            <m:sepChr m:val=""/>
            <m:endChr m:val=")"/>
            <m:grow/>
          </m:dPr>
          <m:e>
            <m:sSup>
              <m:e>
                <m:r>
                  <m:t>x</m:t>
                </m:r>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rPr>
          <w:t xml:space="preserve">Mas-Colell, Whinston y Green 1995</w:t>
        </w:r>
      </w:hyperlink>
      <w:r>
        <w:t xml:space="preserve">, prop. 3.E.3)</w:t>
      </w:r>
      <w:r>
        <w:t xml:space="preserve">. Con preferencias estrictamente convexas se cumplen las condiciones de segundo orden, que son las mismas que en el primal (anexo A).</w:t>
      </w:r>
    </w:p>
    <w:bookmarkEnd w:id="32"/>
    <w:bookmarkStart w:id="37" w:name="desarrollo-gráfico"/>
    <w:p>
      <w:pPr>
        <w:pStyle w:val="Heading4"/>
      </w:pPr>
      <w:r>
        <w:t xml:space="preserve">Desarrollo gráfico</w:t>
      </w:r>
    </w:p>
    <w:p>
      <w:pPr>
        <w:numPr>
          <w:ilvl w:val="0"/>
          <w:numId w:val="1015"/>
        </w:numPr>
      </w:pPr>
      <w:r>
        <w:t xml:space="preserve">El gráfico procede al revés que el del primal (gráfico 2, panel derecho):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r>
          <m:t>p</m:t>
        </m:r>
        <m:r>
          <m:rPr>
            <m:sty m:val="p"/>
          </m:rPr>
          <m:t>⋅</m:t>
        </m:r>
        <m:r>
          <m:t>x</m:t>
        </m:r>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36" w:name="fig:primal-dual"/>
    <w:p>
      <w:pPr>
        <w:pStyle w:val="ImageCaption"/>
      </w:pPr>
      <w:r>
        <w:t xml:space="preserve">Gráfico 2.–</w:t>
      </w:r>
      <w:r>
        <w:t xml:space="preserve"> </w:t>
      </w:r>
      <w:r>
        <w:t xml:space="preserve">Problema primal (izquierda) y problema dual (derecha): la misma tangencia</w:t>
      </w:r>
    </w:p>
    <w:p>
      <w:pPr>
        <w:pStyle w:val="CaptionedFigure"/>
      </w:pPr>
      <w:r>
        <w:drawing>
          <wp:inline>
            <wp:extent cx="5195871" cy="2578057"/>
            <wp:effectExtent b="0" l="0" r="0" t="0"/>
            <wp:docPr descr="" title="" id="34" name="Picture"/>
            <a:graphic>
              <a:graphicData uri="http://schemas.openxmlformats.org/drawingml/2006/picture">
                <pic:pic>
                  <pic:nvPicPr>
                    <pic:cNvPr descr="C:\Users\vgutierrez\Documents\src\victorgutierrezmarcos.github.io-revision\oposicion\temario\fuentes\3A09\graficos/primal-dual.png" id="35" name="Picture"/>
                    <pic:cNvPicPr>
                      <a:picLocks noChangeArrowheads="1" noChangeAspect="1"/>
                    </pic:cNvPicPr>
                  </pic:nvPicPr>
                  <pic:blipFill>
                    <a:blip r:embed="rId33"/>
                    <a:stretch>
                      <a:fillRect/>
                    </a:stretch>
                  </pic:blipFill>
                  <pic:spPr bwMode="auto">
                    <a:xfrm>
                      <a:off x="0" y="0"/>
                      <a:ext cx="5195871" cy="2578057"/>
                    </a:xfrm>
                    <a:prstGeom prst="rect">
                      <a:avLst/>
                    </a:prstGeom>
                    <a:noFill/>
                    <a:ln w="9525">
                      <a:noFill/>
                      <a:headEnd/>
                      <a:tailEnd/>
                    </a:ln>
                  </pic:spPr>
                </pic:pic>
              </a:graphicData>
            </a:graphic>
          </wp:inline>
        </w:drawing>
      </w:r>
    </w:p>
    <w:bookmarkEnd w:id="36"/>
    <w:p>
      <w:pPr>
        <w:pStyle w:val="Piedeimagen"/>
      </w:pPr>
      <w:r>
        <w:t xml:space="preserve">Fuente: elaboración propia basada en</w:t>
      </w:r>
      <w:r>
        <w:t xml:space="preserve"> </w:t>
      </w:r>
      <w:r>
        <w:t xml:space="preserve">Maté García y Pérez Domínguez (</w:t>
      </w:r>
      <w:hyperlink w:anchor="ref-MatePerez2007Microeconomia">
        <w:r>
          <w:rPr>
            <w:rStyle w:val="Hyperlink"/>
          </w:rPr>
          <w:t xml:space="preserve">2007</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fig. 3.E.1</w:t>
        </w:r>
      </w:hyperlink>
      <w:r>
        <w:t xml:space="preserve">)</w:t>
      </w:r>
      <w:r>
        <w:t xml:space="preserve">.</w:t>
      </w:r>
    </w:p>
    <w:bookmarkEnd w:id="37"/>
    <w:bookmarkStart w:id="39" w:name="X53cb9c7f2440a38d5c06d0e3d183eaf8822874f"/>
    <w:p>
      <w:pPr>
        <w:pStyle w:val="Heading4"/>
      </w:pPr>
      <w:r>
        <w:t xml:space="preserve">Solución: la demanda compensada o hicksiana</w:t>
      </w:r>
    </w:p>
    <w:p>
      <w:pPr>
        <w:numPr>
          <w:ilvl w:val="0"/>
          <w:numId w:val="1016"/>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p>
    <w:p>
      <w:pPr>
        <w:pStyle w:val="BodyText"/>
      </w:pPr>
      <m:oMathPara>
        <m:oMathParaPr>
          <m:jc m:val="center"/>
        </m:oMathParaPr>
        <m:oMath>
          <m:r>
            <m:t>h</m:t>
          </m:r>
          <m:d>
            <m:dPr>
              <m:begChr m:val="("/>
              <m:sepChr m:val=""/>
              <m:endChr m:val=")"/>
              <m:grow/>
            </m:dPr>
            <m:e>
              <m:r>
                <m:t>p</m:t>
              </m:r>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cuando cambian los precios, el gasto se ajusta para mantener constante la utilidad: el consumidor recibe justo la compensación que necesita para seguir en</w:t>
      </w:r>
      <w:r>
        <w:t xml:space="preserve"> </w:t>
      </w:r>
      <m:oMath>
        <m:bar>
          <m:barPr>
            <m:pos m:val="top"/>
          </m:barPr>
          <m:e>
            <m:r>
              <m:t>U</m:t>
            </m:r>
          </m:e>
        </m:bar>
      </m:oMath>
      <w:r>
        <w:t xml:space="preserve">.</w:t>
      </w:r>
    </w:p>
    <w:p>
      <w:pPr>
        <w:numPr>
          <w:ilvl w:val="0"/>
          <w:numId w:val="1016"/>
        </w:numPr>
      </w:pPr>
      <w:r>
        <w:t xml:space="preserve">Sus</w:t>
      </w:r>
      <w:r>
        <w:t xml:space="preserve"> </w:t>
      </w:r>
      <w:r>
        <w:rPr>
          <w:b/>
          <w:bCs/>
        </w:rPr>
        <w:t xml:space="preserve">propiedades</w:t>
      </w:r>
      <w:r>
        <w:t xml:space="preserve"> </w:t>
      </w:r>
      <w:r>
        <w:t xml:space="preserve">(</w:t>
      </w:r>
      <w:hyperlink w:anchor="ref-MasColellWhinstonGreen1995">
        <w:r>
          <w:rPr>
            <w:rStyle w:val="Hyperlink"/>
          </w:rPr>
          <w:t xml:space="preserve">Mas-Colell, Whinston y Green 1995</w:t>
        </w:r>
      </w:hyperlink>
      <w:r>
        <w:t xml:space="preserve">, prop. 3.E.3 y 3.E.4)</w:t>
      </w:r>
      <w:r>
        <w:t xml:space="preserve">:</w:t>
      </w:r>
    </w:p>
    <w:p>
      <w:pPr>
        <w:numPr>
          <w:ilvl w:val="1"/>
          <w:numId w:val="1017"/>
        </w:numPr>
      </w:pPr>
      <w:r>
        <w:t xml:space="preserve">es</w:t>
      </w:r>
      <w:r>
        <w:t xml:space="preserve"> </w:t>
      </w:r>
      <w:r>
        <w:rPr>
          <w:i/>
          <w:iCs/>
        </w:rPr>
        <w:t xml:space="preserve">única</w:t>
      </w:r>
      <w:r>
        <w:t xml:space="preserve">, con preferencias estrictamente convexas, y</w:t>
      </w:r>
      <w:r>
        <w:t xml:space="preserve"> </w:t>
      </w:r>
      <w:r>
        <w:rPr>
          <w:i/>
          <w:iCs/>
        </w:rPr>
        <w:t xml:space="preserve">continua</w:t>
      </w:r>
      <w:r>
        <w:t xml:space="preserve">;</w:t>
      </w:r>
    </w:p>
    <w:p>
      <w:pPr>
        <w:numPr>
          <w:ilvl w:val="1"/>
          <w:numId w:val="1017"/>
        </w:numPr>
      </w:pPr>
      <w:r>
        <w:t xml:space="preserve">es</w:t>
      </w:r>
      <w:r>
        <w:t xml:space="preserve"> </w:t>
      </w:r>
      <w:r>
        <w:rPr>
          <w:i/>
          <w:iCs/>
        </w:rPr>
        <w:t xml:space="preserve">homogénea de grado cero en</w:t>
      </w:r>
      <w:r>
        <w:rPr>
          <w:i/>
          <w:iCs/>
        </w:rPr>
        <w:t xml:space="preserve"> </w:t>
      </w:r>
      <m:oMath>
        <m:r>
          <m:t>p</m:t>
        </m:r>
      </m:oMath>
      <w:r>
        <w:t xml:space="preserve">:</w:t>
      </w:r>
      <w:r>
        <w:t xml:space="preserve"> </w:t>
      </w:r>
      <m:oMath>
        <m:r>
          <m:t>h</m:t>
        </m:r>
        <m:d>
          <m:dPr>
            <m:begChr m:val="("/>
            <m:sepChr m:val=""/>
            <m:endChr m:val=")"/>
            <m:grow/>
          </m:dPr>
          <m:e>
            <m:r>
              <m:t>k</m:t>
            </m:r>
            <m:r>
              <m:t>p</m:t>
            </m:r>
            <m:r>
              <m:rPr>
                <m:sty m:val="p"/>
              </m:rPr>
              <m:t>,</m:t>
            </m:r>
            <m:bar>
              <m:barPr>
                <m:pos m:val="top"/>
              </m:barPr>
              <m:e>
                <m:r>
                  <m:t>U</m:t>
                </m:r>
              </m:e>
            </m:bar>
          </m:e>
        </m:d>
        <m:r>
          <m:rPr>
            <m:sty m:val="p"/>
          </m:rPr>
          <m:t>=</m:t>
        </m:r>
        <m:r>
          <m:t>h</m:t>
        </m:r>
        <m:d>
          <m:dPr>
            <m:begChr m:val="("/>
            <m:sepChr m:val=""/>
            <m:endChr m:val=")"/>
            <m:grow/>
          </m:dPr>
          <m:e>
            <m:r>
              <m:t>p</m:t>
            </m:r>
            <m:r>
              <m:rPr>
                <m:sty m:val="p"/>
              </m:rPr>
              <m:t>,</m:t>
            </m:r>
            <m:bar>
              <m:barPr>
                <m:pos m:val="top"/>
              </m:barPr>
              <m:e>
                <m:r>
                  <m:t>U</m:t>
                </m:r>
              </m:e>
            </m:bar>
          </m:e>
        </m:d>
      </m:oMath>
      <w:r>
        <w:t xml:space="preserve"> </w:t>
      </w:r>
      <w:r>
        <w:t xml:space="preserve">para todo</w:t>
      </w:r>
      <w:r>
        <w:t xml:space="preserve"> </w:t>
      </w:r>
      <m:oMath>
        <m:r>
          <m:t>k</m:t>
        </m:r>
        <m:r>
          <m:rPr>
            <m:sty m:val="p"/>
          </m:rPr>
          <m:t>&gt;</m:t>
        </m:r>
        <m:r>
          <m:t>0</m:t>
        </m:r>
      </m:oMath>
      <w:r>
        <w:t xml:space="preserve">; si todos los precios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no cambia;</w:t>
      </w:r>
    </w:p>
    <w:p>
      <w:pPr>
        <w:numPr>
          <w:ilvl w:val="1"/>
          <w:numId w:val="1017"/>
        </w:numPr>
      </w:pPr>
      <w:r>
        <w:rPr>
          <w:i/>
          <w:iCs/>
        </w:rPr>
        <w:t xml:space="preserve">no hay exceso de utilidad</w:t>
      </w:r>
      <w:r>
        <w:t xml:space="preserve">:</w:t>
      </w:r>
      <w:r>
        <w:t xml:space="preserve"> </w:t>
      </w:r>
      <m:oMath>
        <m:r>
          <m:t>U</m:t>
        </m:r>
        <m:d>
          <m:dPr>
            <m:begChr m:val="("/>
            <m:sepChr m:val=""/>
            <m:endChr m:val=")"/>
            <m:grow/>
          </m:dPr>
          <m:e>
            <m:r>
              <m:t>h</m:t>
            </m:r>
            <m:d>
              <m:dPr>
                <m:begChr m:val="("/>
                <m:sepChr m:val=""/>
                <m:endChr m:val=")"/>
                <m:grow/>
              </m:dPr>
              <m:e>
                <m:r>
                  <m:t>p</m:t>
                </m:r>
                <m:r>
                  <m:rPr>
                    <m:sty m:val="p"/>
                  </m:rPr>
                  <m:t>,</m:t>
                </m:r>
                <m:bar>
                  <m:barPr>
                    <m:pos m:val="top"/>
                  </m:barPr>
                  <m:e>
                    <m:r>
                      <m:t>U</m:t>
                    </m:r>
                  </m:e>
                </m:bar>
              </m:e>
            </m:d>
          </m:e>
        </m:d>
        <m:r>
          <m:rPr>
            <m:sty m:val="p"/>
          </m:rPr>
          <m:t>=</m:t>
        </m:r>
        <m:bar>
          <m:barPr>
            <m:pos m:val="top"/>
          </m:barPr>
          <m:e>
            <m:r>
              <m:t>U</m:t>
            </m:r>
          </m:e>
        </m:bar>
      </m:oMath>
      <w:r>
        <w:t xml:space="preserve">;</w:t>
      </w:r>
    </w:p>
    <w:p>
      <w:pPr>
        <w:numPr>
          <w:ilvl w:val="1"/>
          <w:numId w:val="1017"/>
        </w:numPr>
      </w:pPr>
      <w:r>
        <w:t xml:space="preserve">cumple la</w:t>
      </w:r>
      <w:r>
        <w:t xml:space="preserve"> </w:t>
      </w:r>
      <w:r>
        <w:rPr>
          <w:b/>
          <w:bCs/>
        </w:rPr>
        <w:t xml:space="preserve">ley de la demanda compensada</w:t>
      </w:r>
      <w:r>
        <w:t xml:space="preserve">:</w:t>
      </w:r>
      <w:r>
        <w:t xml:space="preserve"> </w:t>
      </w:r>
      <m:oMath>
        <m:d>
          <m:dPr>
            <m:begChr m:val="("/>
            <m:sepChr m:val=""/>
            <m:endChr m:val=")"/>
            <m:grow/>
          </m:dPr>
          <m:e>
            <m:r>
              <m:t>p</m:t>
            </m:r>
            <m:r>
              <m:rPr>
                <m:sty m:val="p"/>
              </m:rPr>
              <m:t>′</m:t>
            </m:r>
            <m:r>
              <m:rPr>
                <m:sty m:val="p"/>
              </m:rPr>
              <m:t>−</m:t>
            </m:r>
            <m:r>
              <m:t>p</m:t>
            </m:r>
          </m:e>
        </m:d>
        <m:r>
          <m:rPr>
            <m:sty m:val="p"/>
          </m:rPr>
          <m:t>⋅</m:t>
        </m:r>
        <m:d>
          <m:dPr>
            <m:begChr m:val="("/>
            <m:sepChr m:val=""/>
            <m:endChr m:val=")"/>
            <m:grow/>
          </m:dPr>
          <m:e>
            <m:r>
              <m:t>h</m:t>
            </m:r>
            <m:d>
              <m:dPr>
                <m:begChr m:val="("/>
                <m:sepChr m:val=""/>
                <m:endChr m:val=")"/>
                <m:grow/>
              </m:dPr>
              <m:e>
                <m:r>
                  <m:t>p</m:t>
                </m:r>
                <m:r>
                  <m:rPr>
                    <m:sty m:val="p"/>
                  </m:rPr>
                  <m:t>′</m:t>
                </m:r>
                <m:r>
                  <m:rPr>
                    <m:sty m:val="p"/>
                  </m:rPr>
                  <m:t>,</m:t>
                </m:r>
                <m:bar>
                  <m:barPr>
                    <m:pos m:val="top"/>
                  </m:barPr>
                  <m:e>
                    <m:r>
                      <m:t>U</m:t>
                    </m:r>
                  </m:e>
                </m:bar>
              </m:e>
            </m:d>
            <m:r>
              <m:rPr>
                <m:sty m:val="p"/>
              </m:rPr>
              <m:t>−</m:t>
            </m:r>
            <m:r>
              <m:t>h</m:t>
            </m:r>
            <m:d>
              <m:dPr>
                <m:begChr m:val="("/>
                <m:sepChr m:val=""/>
                <m:endChr m:val=")"/>
                <m:grow/>
              </m:dPr>
              <m:e>
                <m:r>
                  <m:t>p</m:t>
                </m:r>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38"/>
      </w:r>
      <w:r>
        <w:t xml:space="preserve"> </w:t>
      </w:r>
      <w:r>
        <w:t xml:space="preserve">Es la diferencia fundamental con la demanda marshalliana, y se debe a la concavidad de la función de gasto, como veremos enseguida.</w:t>
      </w:r>
    </w:p>
    <w:p>
      <w:pPr>
        <w:numPr>
          <w:ilvl w:val="0"/>
          <w:numId w:val="1016"/>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 dualidad (I.3) y la ecuación de</w:t>
      </w:r>
      <w:r>
        <w:t xml:space="preserve"> </w:t>
      </w:r>
      <w:r>
        <w:rPr>
          <w:smallCaps/>
        </w:rPr>
        <w:t xml:space="preserve">Slutsky</w:t>
      </w:r>
      <w:r>
        <w:t xml:space="preserve"> </w:t>
      </w:r>
      <w:r>
        <w:t xml:space="preserve">(III.2) permiten recuperar sus derivadas a partir de la demanda marshalliana, que sí se observa.</w:t>
      </w:r>
    </w:p>
    <w:bookmarkEnd w:id="39"/>
    <w:bookmarkStart w:id="45" w:name="función-valor-la-función-de-gasto"/>
    <w:p>
      <w:pPr>
        <w:pStyle w:val="Heading4"/>
      </w:pPr>
      <w:r>
        <w:t xml:space="preserve">Función valor: la función de gasto</w:t>
      </w:r>
    </w:p>
    <w:p>
      <w:pPr>
        <w:numPr>
          <w:ilvl w:val="0"/>
          <w:numId w:val="1018"/>
        </w:numPr>
      </w:pPr>
      <w:r>
        <w:t xml:space="preserve">Sustituyendo la demanda hicksiana en la función objetivo se obtiene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r>
          <m:t>p</m:t>
        </m:r>
      </m:oMath>
      <w:r>
        <w:t xml:space="preserve">,</w:t>
      </w:r>
    </w:p>
    <w:p>
      <w:pPr>
        <w:pStyle w:val="BodyText"/>
      </w:pPr>
      <m:oMathPara>
        <m:oMathParaPr>
          <m:jc m:val="center"/>
        </m:oMathParaPr>
        <m:oMath>
          <m:r>
            <m:t>E</m:t>
          </m:r>
          <m:d>
            <m:dPr>
              <m:begChr m:val="("/>
              <m:sepChr m:val=""/>
              <m:endChr m:val=")"/>
              <m:grow/>
            </m:dPr>
            <m:e>
              <m:r>
                <m:t>p</m:t>
              </m:r>
              <m:r>
                <m:rPr>
                  <m:sty m:val="p"/>
                </m:rPr>
                <m:t>,</m:t>
              </m:r>
              <m:bar>
                <m:barPr>
                  <m:pos m:val="top"/>
                </m:barPr>
                <m:e>
                  <m:r>
                    <m:t>U</m:t>
                  </m:r>
                </m:e>
              </m:bar>
            </m:e>
          </m:d>
          <m:r>
            <m:rPr>
              <m:sty m:val="p"/>
            </m:rPr>
            <m:t>=</m:t>
          </m:r>
          <m:r>
            <m:t>p</m:t>
          </m:r>
          <m:r>
            <m:rPr>
              <m:sty m:val="p"/>
            </m:rPr>
            <m:t>⋅</m:t>
          </m:r>
          <m:r>
            <m:t>h</m:t>
          </m:r>
          <m:d>
            <m:dPr>
              <m:begChr m:val="("/>
              <m:sepChr m:val=""/>
              <m:endChr m:val=")"/>
              <m:grow/>
            </m:dPr>
            <m:e>
              <m:r>
                <m:t>p</m:t>
              </m:r>
              <m:r>
                <m:rPr>
                  <m:sty m:val="p"/>
                </m:rPr>
                <m:t>,</m:t>
              </m:r>
              <m:bar>
                <m:barPr>
                  <m:pos m:val="top"/>
                </m:barPr>
                <m:e>
                  <m:r>
                    <m:t>U</m:t>
                  </m:r>
                </m:e>
              </m:bar>
            </m:e>
          </m:d>
          <m:r>
            <m:rPr>
              <m:sty m:val="p"/>
            </m:rPr>
            <m:t>=</m:t>
          </m:r>
          <m:limLow>
            <m:e>
              <m:r>
                <m:rPr>
                  <m:sty m:val="p"/>
                </m:rPr>
                <m:t>min</m:t>
              </m:r>
            </m:e>
            <m:lim>
              <m:r>
                <m:t>x</m:t>
              </m:r>
            </m:lim>
          </m:limLow>
          <m:d>
            <m:dPr>
              <m:begChr m:val="{"/>
              <m:sepChr m:val=""/>
              <m:endChr m:val="}"/>
              <m:grow/>
            </m:dPr>
            <m:e>
              <m:r>
                <m:t>p</m:t>
              </m:r>
              <m:r>
                <m:rPr>
                  <m:sty m:val="p"/>
                </m:rPr>
                <m:t>⋅</m:t>
              </m:r>
              <m:r>
                <m:t>x</m:t>
              </m:r>
              <m:r>
                <m:t> </m:t>
              </m:r>
              <m:r>
                <m:rPr>
                  <m:sty m:val="p"/>
                </m:rPr>
                <m:t>:</m:t>
              </m:r>
              <m:r>
                <m:t> </m:t>
              </m:r>
              <m:r>
                <m:t>U</m:t>
              </m:r>
              <m:d>
                <m:dPr>
                  <m:begChr m:val="("/>
                  <m:sepChr m:val=""/>
                  <m:endChr m:val=")"/>
                  <m:grow/>
                </m:dPr>
                <m:e>
                  <m:r>
                    <m:t>x</m:t>
                  </m:r>
                </m:e>
              </m:d>
              <m:r>
                <m:rPr>
                  <m:sty m:val="p"/>
                </m:rPr>
                <m:t>≥</m:t>
              </m:r>
              <m:bar>
                <m:barPr>
                  <m:pos m:val="top"/>
                </m:barPr>
                <m:e>
                  <m:r>
                    <m:t>U</m:t>
                  </m:r>
                </m:e>
              </m:bar>
              <m:r>
                <m:rPr>
                  <m:sty m:val="p"/>
                </m:rPr>
                <m:t>,</m:t>
              </m:r>
              <m:r>
                <m:t> </m:t>
              </m:r>
              <m:r>
                <m:t>x</m:t>
              </m:r>
              <m:r>
                <m:rPr>
                  <m:sty m:val="p"/>
                </m:rPr>
                <m:t>≥</m:t>
              </m:r>
              <m:r>
                <m:t>0</m:t>
              </m:r>
            </m:e>
          </m:d>
          <m:r>
            <m:rPr>
              <m:sty m:val="p"/>
            </m:rPr>
            <m:t>.</m:t>
          </m:r>
        </m:oMath>
      </m:oMathPara>
    </w:p>
    <w:p>
      <w:pPr>
        <w:numPr>
          <w:ilvl w:val="0"/>
          <w:numId w:val="1000"/>
        </w:numPr>
      </w:pPr>
      <w:r>
        <w:t xml:space="preserve">Es el concepto central de la exposición: mide la utilidad en</w:t>
      </w:r>
      <w:r>
        <w:t xml:space="preserve"> </w:t>
      </w:r>
      <w:r>
        <w:rPr>
          <w:i/>
          <w:iCs/>
        </w:rPr>
        <w:t xml:space="preserve">unidades monetarias</w:t>
      </w:r>
      <w:r>
        <w:t xml:space="preserve">. Sus</w:t>
      </w:r>
      <w:r>
        <w:t xml:space="preserve"> </w:t>
      </w:r>
      <w:r>
        <w:rPr>
          <w:b/>
          <w:bCs/>
        </w:rPr>
        <w:t xml:space="preserve">propiedades</w:t>
      </w:r>
      <w:r>
        <w:t xml:space="preserve"> </w:t>
      </w:r>
      <w:r>
        <w:t xml:space="preserve">(</w:t>
      </w:r>
      <w:hyperlink w:anchor="ref-MasColellWhinstonGreen1995">
        <w:r>
          <w:rPr>
            <w:rStyle w:val="Hyperlink"/>
          </w:rPr>
          <w:t xml:space="preserve">Mas-Colell, Whinston y Green 1995</w:t>
        </w:r>
      </w:hyperlink>
      <w:r>
        <w:t xml:space="preserve">, prop. 3.E.2)</w:t>
      </w:r>
      <w:r>
        <w:t xml:space="preserve">:</w:t>
      </w:r>
    </w:p>
    <w:p>
      <w:pPr>
        <w:numPr>
          <w:ilvl w:val="1"/>
          <w:numId w:val="101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U</m:t>
                </m:r>
              </m:e>
            </m:bar>
          </m:e>
        </m:d>
      </m:oMath>
      <w:r>
        <w:t xml:space="preserve">;</w:t>
      </w:r>
    </w:p>
    <w:p>
      <w:pPr>
        <w:numPr>
          <w:ilvl w:val="1"/>
          <w:numId w:val="1019"/>
        </w:numPr>
      </w:pPr>
      <w:r>
        <w:t xml:space="preserve">es</w:t>
      </w:r>
      <w:r>
        <w:t xml:space="preserve"> </w:t>
      </w:r>
      <w:r>
        <w:rPr>
          <w:i/>
          <w:iCs/>
        </w:rPr>
        <w:t xml:space="preserve">homogénea de grado uno en</w:t>
      </w:r>
      <w:r>
        <w:rPr>
          <w:i/>
          <w:iCs/>
        </w:rPr>
        <w:t xml:space="preserve"> </w:t>
      </w:r>
      <m:oMath>
        <m:r>
          <m:t>p</m:t>
        </m:r>
      </m:oMath>
      <w:r>
        <w:t xml:space="preserve">: si todos los precios se multiplican por</w:t>
      </w:r>
      <w:r>
        <w:t xml:space="preserve"> </w:t>
      </w:r>
      <m:oMath>
        <m:r>
          <m:t>k</m:t>
        </m:r>
        <m:r>
          <m:rPr>
            <m:sty m:val="p"/>
          </m:rPr>
          <m:t>&gt;</m:t>
        </m:r>
        <m:r>
          <m:t>0</m:t>
        </m:r>
      </m:oMath>
      <w:r>
        <w:t xml:space="preserve">, la cesta óptima no cambia y su coste se multiplica por</w:t>
      </w:r>
      <w:r>
        <w:t xml:space="preserve"> </w:t>
      </w:r>
      <m:oMath>
        <m:r>
          <m:t>k</m:t>
        </m:r>
      </m:oMath>
      <w:r>
        <w:t xml:space="preserve">;</w:t>
      </w:r>
    </w:p>
    <w:p>
      <w:pPr>
        <w:numPr>
          <w:ilvl w:val="1"/>
          <w:numId w:val="1019"/>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w:t>
      </w:r>
      <w:r>
        <w:t xml:space="preserve">y</w:t>
      </w:r>
      <w:r>
        <w:t xml:space="preserve"> </w:t>
      </w:r>
      <w:r>
        <w:rPr>
          <w:i/>
          <w:iCs/>
        </w:rPr>
        <w:t xml:space="preserve">no decreciente en cada</w:t>
      </w:r>
      <w:r>
        <w:rPr>
          <w:i/>
          <w:iCs/>
        </w:rPr>
        <w:t xml:space="preserve"> </w:t>
      </w:r>
      <m:oMath>
        <m:sSub>
          <m:e>
            <m:r>
              <m:t>p</m:t>
            </m:r>
          </m:e>
          <m:sub>
            <m:r>
              <m:t>i</m:t>
            </m:r>
          </m:sub>
        </m:sSub>
      </m:oMath>
      <w:r>
        <w:t xml:space="preserve"> </w:t>
      </w:r>
      <w:r>
        <w:t xml:space="preserve">(estrictamente creciente en los precios de los bienes que se consumen; en una solución de esquina, la subida del precio de un bien que no se compra no altera el gasto);</w:t>
      </w:r>
    </w:p>
    <w:p>
      <w:pPr>
        <w:numPr>
          <w:ilvl w:val="1"/>
          <w:numId w:val="1019"/>
        </w:numPr>
      </w:pPr>
      <w:r>
        <w:t xml:space="preserve">es</w:t>
      </w:r>
      <w:r>
        <w:t xml:space="preserve"> </w:t>
      </w:r>
      <w:r>
        <w:rPr>
          <w:i/>
          <w:iCs/>
        </w:rPr>
        <w:t xml:space="preserve">cóncava en</w:t>
      </w:r>
      <w:r>
        <w:rPr>
          <w:i/>
          <w:iCs/>
        </w:rPr>
        <w:t xml:space="preserve"> </w:t>
      </w:r>
      <m:oMath>
        <m:r>
          <m:t>p</m:t>
        </m:r>
      </m:oMath>
      <w:r>
        <w:t xml:space="preserve">. Si los precios pasan de</w:t>
      </w:r>
      <w:r>
        <w:t xml:space="preserve"> </w:t>
      </w:r>
      <m:oMath>
        <m:r>
          <m:t>p</m:t>
        </m:r>
      </m:oMath>
      <w:r>
        <w:t xml:space="preserve"> </w:t>
      </w:r>
      <w:r>
        <w:t xml:space="preserve">a</w:t>
      </w:r>
      <w:r>
        <w:t xml:space="preserve"> </w:t>
      </w:r>
      <m:oMath>
        <m:r>
          <m:t>p</m:t>
        </m:r>
        <m:r>
          <m:rPr>
            <m:sty m:val="p"/>
          </m:rPr>
          <m:t>′</m:t>
        </m:r>
      </m:oMath>
      <w:r>
        <w:t xml:space="preserve"> </w:t>
      </w:r>
      <w:r>
        <w:t xml:space="preserve">y el consumidor mantuviera la cesta inicial</w:t>
      </w:r>
      <w:r>
        <w:t xml:space="preserve"> </w:t>
      </w:r>
      <m:oMath>
        <m:r>
          <m:t>h</m:t>
        </m:r>
        <m:d>
          <m:dPr>
            <m:begChr m:val="("/>
            <m:sepChr m:val=""/>
            <m:endChr m:val=")"/>
            <m:grow/>
          </m:dPr>
          <m:e>
            <m:r>
              <m:t>p</m:t>
            </m:r>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r>
          <m:t>p</m:t>
        </m:r>
        <m:r>
          <m:rPr>
            <m:sty m:val="p"/>
          </m:rPr>
          <m:t>′</m:t>
        </m:r>
        <m:r>
          <m:rPr>
            <m:sty m:val="p"/>
          </m:rPr>
          <m:t>⋅</m:t>
        </m:r>
        <m:r>
          <m:t>h</m:t>
        </m:r>
        <m:d>
          <m:dPr>
            <m:begChr m:val="("/>
            <m:sepChr m:val=""/>
            <m:endChr m:val=")"/>
            <m:grow/>
          </m:dPr>
          <m:e>
            <m:r>
              <m:t>p</m:t>
            </m:r>
            <m:r>
              <m:rPr>
                <m:sty m:val="p"/>
              </m:rPr>
              <m:t>,</m:t>
            </m:r>
            <m:bar>
              <m:barPr>
                <m:pos m:val="top"/>
              </m:barPr>
              <m:e>
                <m:r>
                  <m:t>U</m:t>
                </m:r>
              </m:e>
            </m:bar>
          </m:e>
        </m:d>
      </m:oMath>
      <w:r>
        <w:t xml:space="preserve">. Como puede reoptimizar y sustituir los bienes que se encarecen por los que se abaratan, gasta como mucho eso:</w:t>
      </w:r>
    </w:p>
    <w:p>
      <w:pPr>
        <w:pStyle w:val="BodyText"/>
      </w:pPr>
      <m:oMathPara>
        <m:oMathParaPr>
          <m:jc m:val="center"/>
        </m:oMathParaPr>
        <m:oMath>
          <m:r>
            <m:t>E</m:t>
          </m:r>
          <m:d>
            <m:dPr>
              <m:begChr m:val="("/>
              <m:sepChr m:val=""/>
              <m:endChr m:val=")"/>
              <m:grow/>
            </m:dPr>
            <m:e>
              <m:r>
                <m:t>p</m:t>
              </m:r>
              <m:r>
                <m:rPr>
                  <m:sty m:val="p"/>
                </m:rPr>
                <m:t>′</m:t>
              </m:r>
              <m:r>
                <m:rPr>
                  <m:sty m:val="p"/>
                </m:rPr>
                <m:t>,</m:t>
              </m:r>
              <m:bar>
                <m:barPr>
                  <m:pos m:val="top"/>
                </m:barPr>
                <m:e>
                  <m:r>
                    <m:t>U</m:t>
                  </m:r>
                </m:e>
              </m:bar>
            </m:e>
          </m:d>
          <m:r>
            <m:rPr>
              <m:sty m:val="p"/>
            </m:rPr>
            <m:t>≤</m:t>
          </m:r>
          <m:r>
            <m:t>p</m:t>
          </m:r>
          <m:r>
            <m:rPr>
              <m:sty m:val="p"/>
            </m:rPr>
            <m:t>′</m:t>
          </m:r>
          <m:r>
            <m:rPr>
              <m:sty m:val="p"/>
            </m:rPr>
            <m:t>⋅</m:t>
          </m:r>
          <m:r>
            <m:t>h</m:t>
          </m:r>
          <m:d>
            <m:dPr>
              <m:begChr m:val="("/>
              <m:sepChr m:val=""/>
              <m:endChr m:val=")"/>
              <m:grow/>
            </m:dPr>
            <m:e>
              <m:r>
                <m:t>p</m:t>
              </m:r>
              <m:r>
                <m:rPr>
                  <m:sty m:val="p"/>
                </m:rPr>
                <m:t>,</m:t>
              </m:r>
              <m:bar>
                <m:barPr>
                  <m:pos m:val="top"/>
                </m:barPr>
                <m:e>
                  <m:r>
                    <m:t>U</m:t>
                  </m:r>
                </m:e>
              </m:bar>
            </m:e>
          </m:d>
          <m:r>
            <m:rPr>
              <m:sty m:val="p"/>
            </m:rPr>
            <m:t>=</m:t>
          </m:r>
          <m:r>
            <m:t>E</m:t>
          </m:r>
          <m:d>
            <m:dPr>
              <m:begChr m:val="("/>
              <m:sepChr m:val=""/>
              <m:endChr m:val=")"/>
              <m:grow/>
            </m:dPr>
            <m:e>
              <m:r>
                <m:t>p</m:t>
              </m:r>
              <m:r>
                <m:rPr>
                  <m:sty m:val="p"/>
                </m:rPr>
                <m:t>,</m:t>
              </m:r>
              <m:bar>
                <m:barPr>
                  <m:pos m:val="top"/>
                </m:barPr>
                <m:e>
                  <m:r>
                    <m:t>U</m:t>
                  </m:r>
                </m:e>
              </m:bar>
            </m:e>
          </m:d>
          <m:r>
            <m:rPr>
              <m:sty m:val="p"/>
            </m:rPr>
            <m:t>+</m:t>
          </m:r>
          <m:r>
            <m:t>h</m:t>
          </m:r>
          <m:d>
            <m:dPr>
              <m:begChr m:val="("/>
              <m:sepChr m:val=""/>
              <m:endChr m:val=")"/>
              <m:grow/>
            </m:dPr>
            <m:e>
              <m:r>
                <m:t>p</m:t>
              </m:r>
              <m:r>
                <m:rPr>
                  <m:sty m:val="p"/>
                </m:rPr>
                <m:t>,</m:t>
              </m:r>
              <m:bar>
                <m:barPr>
                  <m:pos m:val="top"/>
                </m:barPr>
                <m:e>
                  <m:r>
                    <m:t>U</m:t>
                  </m:r>
                </m:e>
              </m:bar>
            </m:e>
          </m:d>
          <m:r>
            <m:rPr>
              <m:sty m:val="p"/>
            </m:rPr>
            <m:t>⋅</m:t>
          </m:r>
          <m:d>
            <m:dPr>
              <m:begChr m:val="("/>
              <m:sepChr m:val=""/>
              <m:endChr m:val=")"/>
              <m:grow/>
            </m:dPr>
            <m:e>
              <m:r>
                <m:t>p</m:t>
              </m:r>
              <m:r>
                <m:rPr>
                  <m:sty m:val="p"/>
                </m:rPr>
                <m:t>′</m:t>
              </m:r>
              <m:r>
                <m:rPr>
                  <m:sty m:val="p"/>
                </m:rPr>
                <m:t>−</m:t>
              </m:r>
              <m:r>
                <m:t>p</m:t>
              </m:r>
            </m:e>
          </m:d>
          <m:r>
            <m:rPr>
              <m:sty m:val="p"/>
            </m:rPr>
            <m:t>.</m:t>
          </m:r>
        </m:oMath>
      </m:oMathPara>
    </w:p>
    <w:p>
      <w:pPr>
        <w:numPr>
          <w:ilvl w:val="1"/>
          <w:numId w:val="1000"/>
        </w:numPr>
      </w:pPr>
      <w:r>
        <w:t xml:space="preserve">La función de gasto queda siempre por debajo de su plano tangente, y eso es la concavidad (gráfico 3).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19"/>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rPr>
          <w:t xml:space="preserve">Shephard 1953</w:t>
        </w:r>
      </w:hyperlink>
      <w:r>
        <w:t xml:space="preserve">;</w:t>
      </w:r>
      <w:r>
        <w:t xml:space="preserve"> </w:t>
      </w:r>
      <w:hyperlink w:anchor="ref-McKenzie1957Demand">
        <w:r>
          <w:rPr>
            <w:rStyle w:val="Hyperlink"/>
          </w:rPr>
          <w:t xml:space="preserve">McKenzie 1957</w:t>
        </w:r>
      </w:hyperlink>
      <w:r>
        <w:t xml:space="preserve">)</w:t>
      </w:r>
      <w:r>
        <w:t xml:space="preserve">: si</w:t>
      </w:r>
      <w:r>
        <w:t xml:space="preserve"> </w:t>
      </w:r>
      <m:oMath>
        <m:r>
          <m:t>E</m:t>
        </m:r>
      </m:oMath>
      <w:r>
        <w:t xml:space="preserve"> </w:t>
      </w:r>
      <w:r>
        <w:t xml:space="preserve">es diferenciable en</w:t>
      </w:r>
      <w:r>
        <w:t xml:space="preserve"> </w:t>
      </w:r>
      <m:oMath>
        <m:r>
          <m:t>p</m:t>
        </m: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0"/>
          <w:numId w:val="1018"/>
        </w:numPr>
      </w:pPr>
      <w:r>
        <w:t xml:space="preserve">De las propiedades 4 y 5 se sigue la</w:t>
      </w:r>
      <w:r>
        <w:t xml:space="preserve"> </w:t>
      </w:r>
      <w:r>
        <w:rPr>
          <w:b/>
          <w:bCs/>
        </w:rPr>
        <w:t xml:space="preserve">matriz de</w:t>
      </w:r>
      <w:r>
        <w:rPr>
          <w:b/>
          <w:bCs/>
        </w:rPr>
        <w:t xml:space="preserve"> </w:t>
      </w:r>
      <w:r>
        <w:rPr>
          <w:b/>
          <w:bCs/>
          <w:smallCaps/>
        </w:rPr>
        <w:t xml:space="preserve">Slutsky</w:t>
      </w:r>
      <w:r>
        <w:t xml:space="preserve"> </w:t>
      </w:r>
      <w:r>
        <w:t xml:space="preserve">o de sustitución: la matriz hessiana de</w:t>
      </w:r>
      <w:r>
        <w:t xml:space="preserve"> </w:t>
      </w:r>
      <m:oMath>
        <m:r>
          <m:t>E</m:t>
        </m:r>
      </m:oMath>
      <w:r>
        <w:t xml:space="preserve"> </w:t>
      </w:r>
      <w:r>
        <w:t xml:space="preserve">respecto a los precios, es decir, de</w:t>
      </w:r>
      <w:r>
        <w:t xml:space="preserve"> </w:t>
      </w:r>
      <w:r>
        <w:rPr>
          <w:i/>
          <w:iCs/>
        </w:rPr>
        <w:t xml:space="preserve">primeras</w:t>
      </w:r>
      <w:r>
        <w:t xml:space="preserve"> </w:t>
      </w:r>
      <w:r>
        <w:t xml:space="preserve">derivadas de las demandas hicksianas y</w:t>
      </w:r>
      <w:r>
        <w:t xml:space="preserve"> </w:t>
      </w:r>
      <w:r>
        <w:rPr>
          <w:i/>
          <w:iCs/>
        </w:rPr>
        <w:t xml:space="preserve">segundas</w:t>
      </w:r>
      <w:r>
        <w:t xml:space="preserve"> </w:t>
      </w:r>
      <w:r>
        <w:t xml:space="preserve">de la función de gasto,</w:t>
      </w:r>
    </w:p>
    <w:p>
      <w:pPr>
        <w:pStyle w:val="BodyText"/>
      </w:pPr>
      <m:oMathPara>
        <m:oMathParaPr>
          <m:jc m:val="center"/>
        </m:oMathParaPr>
        <m:oMath>
          <m:r>
            <m:t>S</m:t>
          </m:r>
          <m:d>
            <m:dPr>
              <m:begChr m:val="("/>
              <m:sepChr m:val=""/>
              <m:endChr m:val=")"/>
              <m:grow/>
            </m:dPr>
            <m:e>
              <m:r>
                <m:t>p</m:t>
              </m:r>
              <m:r>
                <m:rPr>
                  <m:sty m:val="p"/>
                </m:rPr>
                <m:t>,</m:t>
              </m:r>
              <m:bar>
                <m:barPr>
                  <m:pos m:val="top"/>
                </m:barPr>
                <m:e>
                  <m:r>
                    <m:t>U</m:t>
                  </m:r>
                </m:e>
              </m:bar>
            </m:e>
          </m:d>
          <m:r>
            <m:rPr>
              <m:sty m:val="p"/>
            </m:rPr>
            <m:t>=</m:t>
          </m:r>
          <m:d>
            <m:dPr>
              <m:begChr m:val="["/>
              <m:sepChr m:val=""/>
              <m:endChr m:val="]"/>
              <m:grow/>
            </m:dPr>
            <m:e>
              <m:sSub>
                <m:e>
                  <m:r>
                    <m:t>S</m:t>
                  </m:r>
                </m:e>
                <m:sub>
                  <m:r>
                    <m:t>i</m:t>
                  </m:r>
                  <m:r>
                    <m:t>j</m:t>
                  </m:r>
                </m:sub>
              </m:sSub>
            </m:e>
          </m:d>
          <m:r>
            <m:rPr>
              <m:sty m:val="p"/>
            </m:rPr>
            <m:t>=</m:t>
          </m:r>
          <m:sSubSup>
            <m:e>
              <m:r>
                <m:t>D</m:t>
              </m:r>
            </m:e>
            <m:sub>
              <m:r>
                <m:t>p</m:t>
              </m:r>
            </m:sub>
            <m:sup>
              <m:r>
                <m:t>2</m:t>
              </m:r>
            </m:sup>
          </m:sSubSup>
          <m:r>
            <m:t>E</m:t>
          </m:r>
          <m:d>
            <m:dPr>
              <m:begChr m:val="("/>
              <m:sepChr m:val=""/>
              <m:endChr m:val=")"/>
              <m:grow/>
            </m:dPr>
            <m:e>
              <m:r>
                <m:t>p</m:t>
              </m:r>
              <m:r>
                <m:rPr>
                  <m:sty m:val="p"/>
                </m:rPr>
                <m:t>,</m:t>
              </m:r>
              <m:bar>
                <m:barPr>
                  <m:pos m:val="top"/>
                </m:barPr>
                <m:e>
                  <m:r>
                    <m:t>U</m:t>
                  </m:r>
                </m:e>
              </m:bar>
            </m:e>
          </m:d>
          <m:r>
            <m:rPr>
              <m:sty m:val="p"/>
            </m:rPr>
            <m:t>,</m:t>
          </m:r>
          <m:r>
            <m:t>  </m:t>
          </m:r>
          <m:sSub>
            <m:e>
              <m:r>
                <m:t>S</m:t>
              </m:r>
            </m:e>
            <m:sub>
              <m:r>
                <m:t>i</m:t>
              </m:r>
              <m:r>
                <m:t>j</m:t>
              </m:r>
            </m:sub>
          </m:sSub>
          <m:r>
            <m:rPr>
              <m:sty m:val="p"/>
            </m:rPr>
            <m:t>=</m:t>
          </m:r>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1"/>
          <w:numId w:val="1020"/>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1"/>
          <w:numId w:val="1020"/>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en particular, los elementos de su diagonal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que es la ley de la demanda compensada.</w:t>
      </w:r>
    </w:p>
    <w:p>
      <w:pPr>
        <w:numPr>
          <w:ilvl w:val="1"/>
          <w:numId w:val="1020"/>
        </w:numPr>
      </w:pPr>
      <w:r>
        <w:t xml:space="preserve">Cumple</w:t>
      </w:r>
      <w:r>
        <w:t xml:space="preserve"> </w:t>
      </w:r>
      <m:oMath>
        <m:r>
          <m:t>S</m:t>
        </m:r>
        <m:d>
          <m:dPr>
            <m:begChr m:val="("/>
            <m:sepChr m:val=""/>
            <m:endChr m:val=")"/>
            <m:grow/>
          </m:dPr>
          <m:e>
            <m:r>
              <m:t>p</m:t>
            </m:r>
            <m:r>
              <m:rPr>
                <m:sty m:val="p"/>
              </m:rPr>
              <m:t>,</m:t>
            </m:r>
            <m:bar>
              <m:barPr>
                <m:pos m:val="top"/>
              </m:barPr>
              <m:e>
                <m:r>
                  <m:t>U</m:t>
                </m:r>
              </m:e>
            </m:bar>
          </m:e>
        </m:d>
        <m:r>
          <m:t> </m:t>
        </m:r>
        <m:r>
          <m:t>p</m:t>
        </m:r>
        <m:r>
          <m:rPr>
            <m:sty m:val="p"/>
          </m:rPr>
          <m:t>=</m:t>
        </m:r>
        <m:r>
          <m:t>0</m:t>
        </m:r>
      </m:oMath>
      <w:r>
        <w:t xml:space="preserve">, por la homogeneidad de grado cero de</w:t>
      </w:r>
      <w:r>
        <w:t xml:space="preserve"> </w:t>
      </w:r>
      <m:oMath>
        <m:r>
          <m:t>h</m:t>
        </m:r>
      </m:oMath>
      <w:r>
        <w:t xml:space="preserve"> </w:t>
      </w:r>
      <w:r>
        <w:t xml:space="preserve">(teorema de</w:t>
      </w:r>
      <w:r>
        <w:t xml:space="preserve"> </w:t>
      </w:r>
      <w:r>
        <w:rPr>
          <w:smallCaps/>
        </w:rPr>
        <w:t xml:space="preserve">Euler</w:t>
      </w:r>
      <w:r>
        <w:t xml:space="preserve">). Sus propiedades se explotan en el apartado III.2.</w:t>
      </w:r>
    </w:p>
    <w:bookmarkStart w:id="43" w:name="fig:concavidad-fg"/>
    <w:p>
      <w:pPr>
        <w:pStyle w:val="ImageCaption"/>
      </w:pPr>
      <w:r>
        <w:t xml:space="preserve">Gráfico 3.–</w:t>
      </w:r>
      <w:r>
        <w:t xml:space="preserve"> </w:t>
      </w:r>
      <w:r>
        <w:t xml:space="preserve">Concavidad de la función de gasto y lema de Shephard</w:t>
      </w:r>
    </w:p>
    <w:p>
      <w:pPr>
        <w:pStyle w:val="CaptionedFigure"/>
      </w:pPr>
      <w:r>
        <w:drawing>
          <wp:inline>
            <wp:extent cx="3282950" cy="2990260"/>
            <wp:effectExtent b="0" l="0" r="0" t="0"/>
            <wp:docPr descr="" title="" id="41" name="Picture"/>
            <a:graphic>
              <a:graphicData uri="http://schemas.openxmlformats.org/drawingml/2006/picture">
                <pic:pic>
                  <pic:nvPicPr>
                    <pic:cNvPr descr="C:\Users\vgutierrez\Documents\src\victorgutierrezmarcos.github.io-revision\oposicion\temario\fuentes\3A09\graficos/concavidad-fg.png" id="42" name="Picture"/>
                    <pic:cNvPicPr>
                      <a:picLocks noChangeArrowheads="1" noChangeAspect="1"/>
                    </pic:cNvPicPr>
                  </pic:nvPicPr>
                  <pic:blipFill>
                    <a:blip r:embed="rId40"/>
                    <a:stretch>
                      <a:fillRect/>
                    </a:stretch>
                  </pic:blipFill>
                  <pic:spPr bwMode="auto">
                    <a:xfrm>
                      <a:off x="0" y="0"/>
                      <a:ext cx="3282950" cy="2990260"/>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fig. 3.E.3</w:t>
        </w:r>
      </w:hyperlink>
      <w:r>
        <w:t xml:space="preserve">)</w:t>
      </w:r>
      <w:r>
        <w:t xml:space="preserve">.</w:t>
      </w:r>
    </w:p>
    <w:p>
      <w:pPr>
        <w:numPr>
          <w:ilvl w:val="0"/>
          <w:numId w:val="1021"/>
        </w:numPr>
      </w:pPr>
      <w:r>
        <w:t xml:space="preserve">Las propiedades de los dos problemas forman pares duales (tabla 2): cada propiedad de la demanda marshalliana y de la FIU tiene su correspondiente en la demanda hicksiana y la función de gasto.</w:t>
      </w:r>
    </w:p>
    <w:bookmarkStart w:id="44" w:name="tab:pares-duales"/>
    <w:p>
      <w:pPr>
        <w:pStyle w:val="TableCaption"/>
      </w:pPr>
      <w:r>
        <w:t xml:space="preserve">Propiedades de las soluciones y de las funciones valor de los problemas primal y dual</w:t>
      </w:r>
    </w:p>
    <w:tbl>
      <w:tblPr>
        <w:tblStyle w:val="Table"/>
        <w:tblW w:type="auto" w:w="0"/>
        <w:tblLook w:firstRow="1" w:lastRow="0" w:firstColumn="0" w:lastColumn="0" w:noHBand="0" w:noVBand="0" w:val="0020"/>
        <w:tblCaption w:val="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r>
                <m:t>x</m:t>
              </m:r>
              <m:d>
                <m:dPr>
                  <m:begChr m:val="("/>
                  <m:sepChr m:val=""/>
                  <m:endChr m:val=")"/>
                  <m:grow/>
                </m:dPr>
                <m:e>
                  <m:r>
                    <m:t>p</m:t>
                  </m:r>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r>
                    <m:t>p</m:t>
                  </m:r>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r>
                <m:t>h</m:t>
              </m:r>
              <m:d>
                <m:dPr>
                  <m:begChr m:val="("/>
                  <m:sepChr m:val=""/>
                  <m:endChr m:val=")"/>
                  <m:grow/>
                </m:dPr>
                <m:e>
                  <m:r>
                    <m:t>p</m:t>
                  </m:r>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r>
                    <m:t>p</m:t>
                  </m:r>
                  <m:r>
                    <m:rPr>
                      <m:sty m:val="p"/>
                    </m:rPr>
                    <m:t>,</m:t>
                  </m:r>
                  <m:bar>
                    <m:barPr>
                      <m:pos m:val="top"/>
                    </m:barPr>
                    <m:e>
                      <m:r>
                        <m:t>U</m:t>
                      </m:r>
                    </m:e>
                  </m:bar>
                </m:e>
              </m:d>
            </m:oMath>
          </w:p>
        </w:tc>
      </w:tr>
      <w:tr>
        <w:tc>
          <w:tcPr/>
          <w:p>
            <w:pPr>
              <w:pStyle w:val="Compact"/>
              <w:jc w:val="left"/>
            </w:pPr>
            <m:oMath>
              <m:r>
                <m:t>x</m:t>
              </m:r>
            </m:oMath>
            <w:r>
              <w:t xml:space="preserve"> </w:t>
            </w:r>
            <w:r>
              <w:t xml:space="preserve">homogénea de grado 0 en</w:t>
            </w:r>
            <w:r>
              <w:t xml:space="preserve"> </w:t>
            </w:r>
            <m:oMath>
              <m:d>
                <m:dPr>
                  <m:begChr m:val="("/>
                  <m:sepChr m:val=""/>
                  <m:endChr m:val=")"/>
                  <m:grow/>
                </m:dPr>
                <m:e>
                  <m:r>
                    <m:t>p</m:t>
                  </m:r>
                  <m:r>
                    <m:rPr>
                      <m:sty m:val="p"/>
                    </m:rPr>
                    <m:t>,</m:t>
                  </m:r>
                  <m:bar>
                    <m:barPr>
                      <m:pos m:val="top"/>
                    </m:barPr>
                    <m:e>
                      <m:r>
                        <m:t>W</m:t>
                      </m:r>
                    </m:e>
                  </m:bar>
                </m:e>
              </m:d>
            </m:oMath>
          </w:p>
        </w:tc>
        <w:tc>
          <w:tcPr/>
          <w:p>
            <w:pPr>
              <w:pStyle w:val="Compact"/>
              <w:jc w:val="left"/>
            </w:pPr>
            <m:oMath>
              <m:r>
                <m:t>h</m:t>
              </m:r>
            </m:oMath>
            <w:r>
              <w:t xml:space="preserve"> </w:t>
            </w:r>
            <w:r>
              <w:t xml:space="preserve">homogénea de grado 0 en</w:t>
            </w:r>
            <w:r>
              <w:t xml:space="preserve"> </w:t>
            </w:r>
            <m:oMath>
              <m:r>
                <m:t>p</m:t>
              </m:r>
            </m:oMath>
          </w:p>
        </w:tc>
      </w:tr>
      <w:tr>
        <w:tc>
          <w:tcPr/>
          <w:p>
            <w:pPr>
              <w:pStyle w:val="Compact"/>
              <w:jc w:val="left"/>
            </w:pPr>
            <w:r>
              <w:t xml:space="preserve">Ley de</w:t>
            </w:r>
            <w:r>
              <w:t xml:space="preserve"> </w:t>
            </w:r>
            <w:r>
              <w:rPr>
                <w:smallCaps/>
              </w:rPr>
              <w:t xml:space="preserve">Walras</w:t>
            </w:r>
            <w:r>
              <w:t xml:space="preserve">:</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r>
                    <m:t>h</m:t>
                  </m:r>
                  <m:d>
                    <m:dPr>
                      <m:begChr m:val="("/>
                      <m:sepChr m:val=""/>
                      <m:endChr m:val=")"/>
                      <m:grow/>
                    </m:dPr>
                    <m:e>
                      <m:r>
                        <m:t>p</m:t>
                      </m:r>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r>
                    <m:t>p</m:t>
                  </m:r>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r>
                <m:t>p</m:t>
              </m:r>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r>
                <m:t>p</m:t>
              </m:r>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r>
                <m:t>p</m:t>
              </m:r>
            </m:oMath>
          </w:p>
        </w:tc>
      </w:tr>
      <w:tr>
        <w:tc>
          <w:tcPr/>
          <w:p>
            <w:pPr>
              <w:pStyle w:val="Compact"/>
              <w:jc w:val="left"/>
            </w:pPr>
            <m:oMath>
              <m:r>
                <m:t>V</m:t>
              </m:r>
            </m:oMath>
            <w:r>
              <w:t xml:space="preserve"> </w:t>
            </w:r>
            <w:r>
              <w:t xml:space="preserve">cuasiconvexa en</w:t>
            </w:r>
            <w:r>
              <w:t xml:space="preserve"> </w:t>
            </w:r>
            <m:oMath>
              <m:d>
                <m:dPr>
                  <m:begChr m:val="("/>
                  <m:sepChr m:val=""/>
                  <m:endChr m:val=")"/>
                  <m:grow/>
                </m:dPr>
                <m:e>
                  <m:r>
                    <m:t>p</m:t>
                  </m:r>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r>
                <m:t>p</m:t>
              </m:r>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r>
                <m:rPr>
                  <m:sty m:val="p"/>
                </m:rPr>
                <m:t>=</m:t>
              </m:r>
              <m:f>
                <m:fPr>
                  <m:type m:val="bar"/>
                </m:fPr>
                <m:num>
                  <m:r>
                    <m:rPr>
                      <m:sty m:val="p"/>
                    </m:rPr>
                    <m:t>∂</m:t>
                  </m:r>
                  <m:r>
                    <m:t>E</m:t>
                  </m:r>
                </m:num>
                <m:den>
                  <m:r>
                    <m:rPr>
                      <m:sty m:val="p"/>
                    </m:rPr>
                    <m:t>∂</m:t>
                  </m:r>
                  <m:sSub>
                    <m:e>
                      <m:r>
                        <m:t>p</m:t>
                      </m:r>
                    </m:e>
                    <m:sub>
                      <m:r>
                        <m:t>i</m:t>
                      </m:r>
                    </m:sub>
                  </m:sSub>
                </m:den>
              </m:f>
            </m:oMath>
          </w:p>
        </w:tc>
      </w:tr>
    </w:tbl>
    <w:bookmarkEnd w:id="44"/>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r>
              <m:rPr>
                <m:sty m:val="p"/>
              </m:rPr>
              <m:t>/</m:t>
            </m:r>
            <m:r>
              <m:rPr>
                <m:sty m:val="p"/>
              </m:rPr>
              <m:t>∂</m:t>
            </m:r>
            <m:sSub>
              <m:e>
                <m:r>
                  <m:t>p</m:t>
                </m:r>
              </m:e>
              <m:sub>
                <m:r>
                  <m:t>j</m:t>
                </m:r>
              </m:sub>
            </m:sSub>
          </m:e>
        </m:d>
        <m:r>
          <m:rPr>
            <m:sty m:val="p"/>
          </m:rPr>
          <m:t>=</m:t>
        </m:r>
        <m:sSubSup>
          <m:e>
            <m:r>
              <m:t>D</m:t>
            </m:r>
          </m:e>
          <m:sub>
            <m:r>
              <m:t>p</m:t>
            </m:r>
          </m:sub>
          <m:sup>
            <m:r>
              <m:t>2</m:t>
            </m:r>
          </m:sup>
        </m:sSubSup>
        <m:r>
          <m:t>E</m:t>
        </m:r>
        <m:d>
          <m:dPr>
            <m:begChr m:val="("/>
            <m:sepChr m:val=""/>
            <m:endChr m:val=")"/>
            <m:grow/>
          </m:dPr>
          <m:e>
            <m:r>
              <m:t>p</m:t>
            </m:r>
            <m:r>
              <m:rPr>
                <m:sty m:val="p"/>
              </m:rPr>
              <m:t>,</m:t>
            </m:r>
            <m:bar>
              <m:barPr>
                <m:pos m:val="top"/>
              </m:barPr>
              <m:e>
                <m:r>
                  <m:t>U</m:t>
                </m:r>
              </m:e>
            </m:bar>
          </m:e>
        </m:d>
      </m:oMath>
      <w:r>
        <w:t xml:space="preserve">, simétrica y semidefinida negativa, con</w:t>
      </w:r>
      <w:r>
        <w:t xml:space="preserve"> </w:t>
      </w:r>
      <m:oMath>
        <m:r>
          <m:t>S</m:t>
        </m:r>
        <m:r>
          <m:t> </m:t>
        </m:r>
        <m:r>
          <m:t>p</m:t>
        </m:r>
        <m:r>
          <m:rPr>
            <m:sty m:val="p"/>
          </m:rPr>
          <m:t>=</m:t>
        </m:r>
        <m:r>
          <m:t>0</m:t>
        </m: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w:t>
        </w:r>
      </w:hyperlink>
      <w:r>
        <w:rPr>
          <w:i/>
          <w:iCs/>
        </w:rPr>
        <w:t xml:space="preserve">, prop. 3.D.2, 3.D.3, 3.E.2, 3.E.3 y 3.G.1)</w:t>
      </w:r>
      <w:r>
        <w:rPr>
          <w:i/>
          <w:iCs/>
        </w:rPr>
        <w:t xml:space="preserve">.</w:t>
      </w:r>
    </w:p>
    <w:p>
      <w:pPr>
        <w:numPr>
          <w:ilvl w:val="0"/>
          <w:numId w:val="1022"/>
        </w:numPr>
      </w:pPr>
      <w:r>
        <w:rPr>
          <w:b/>
          <w:bCs/>
        </w:rPr>
        <w:t xml:space="preserve">Recapitulación</w:t>
      </w:r>
      <w:r>
        <w:t xml:space="preserve">: 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Falta ver cómo se relacionan con las del primal.</w:t>
      </w:r>
    </w:p>
    <w:bookmarkEnd w:id="45"/>
    <w:bookmarkEnd w:id="46"/>
    <w:bookmarkEnd w:id="47"/>
    <w:bookmarkStart w:id="56" w:name="relaciones-de-dualidad"/>
    <w:p>
      <w:pPr>
        <w:pStyle w:val="Heading2"/>
      </w:pPr>
      <w:r>
        <w:t xml:space="preserve">I.3.</w:t>
      </w:r>
      <w:r>
        <w:t xml:space="preserve"> </w:t>
      </w:r>
      <w:r>
        <w:t xml:space="preserve">Relaciones de dualidad</w:t>
      </w:r>
    </w:p>
    <w:p>
      <w:pPr>
        <w:numPr>
          <w:ilvl w:val="0"/>
          <w:numId w:val="1023"/>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w:t>
      </w:r>
    </w:p>
    <w:bookmarkStart w:id="48" w:name="X2dd2e041c89abe07466ad6ebf75cf135e134b9f"/>
    <w:p>
      <w:pPr>
        <w:pStyle w:val="Heading4"/>
      </w:pPr>
      <w:r>
        <w:t xml:space="preserve">Dualidad entre soluciones: el teorema básico de la dualidad</w:t>
      </w:r>
    </w:p>
    <w:p>
      <w:pPr>
        <w:numPr>
          <w:ilvl w:val="0"/>
          <w:numId w:val="1024"/>
        </w:numPr>
      </w:pPr>
      <w:r>
        <w:rPr>
          <w:b/>
          <w:bCs/>
        </w:rPr>
        <w:t xml:space="preserve">Teorema básico de la dualidad</w:t>
      </w:r>
      <w:r>
        <w:t xml:space="preserve"> </w:t>
      </w:r>
      <w:r>
        <w:t xml:space="preserve">(</w:t>
      </w:r>
      <w:hyperlink w:anchor="ref-MasColellWhinstonGreen1995">
        <w:r>
          <w:rPr>
            <w:rStyle w:val="Hyperlink"/>
          </w:rPr>
          <w:t xml:space="preserve">Mas-Colell, Whinston y Green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r>
          <m:t>p</m:t>
        </m:r>
        <m:r>
          <m:rPr>
            <m:sty m:val="p"/>
          </m:rPr>
          <m:t>≫</m:t>
        </m:r>
        <m:r>
          <m:t>0</m:t>
        </m:r>
      </m:oMath>
      <w:r>
        <w:t xml:space="preserve">:</w:t>
      </w:r>
    </w:p>
    <w:p>
      <w:pPr>
        <w:numPr>
          <w:ilvl w:val="1"/>
          <w:numId w:val="1025"/>
        </w:numPr>
      </w:pPr>
      <w:r>
        <w:t xml:space="preserve">si</w:t>
      </w:r>
      <w:r>
        <w:t xml:space="preserve"> </w:t>
      </w:r>
      <m:oMath>
        <m:sSup>
          <m:e>
            <m:r>
              <m:t>x</m:t>
            </m:r>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r>
                  <m:t>x</m:t>
                </m:r>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25"/>
        </w:numPr>
      </w:pPr>
      <w:r>
        <w:t xml:space="preserve">si</w:t>
      </w:r>
      <w:r>
        <w:t xml:space="preserve"> </w:t>
      </w:r>
      <m:oMath>
        <m:sSup>
          <m:e>
            <m:r>
              <m:t>h</m:t>
            </m:r>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r>
              <m:t>0</m:t>
            </m:r>
          </m:e>
        </m:d>
      </m:oMath>
      <w:r>
        <w:t xml:space="preserve">, entonces resuelve el PMU con renta</w:t>
      </w:r>
      <w:r>
        <w:t xml:space="preserve"> </w:t>
      </w:r>
      <m:oMath>
        <m:bar>
          <m:barPr>
            <m:pos m:val="top"/>
          </m:barPr>
          <m:e>
            <m:r>
              <m:t>W</m:t>
            </m:r>
          </m:e>
        </m:bar>
        <m:r>
          <m:rPr>
            <m:sty m:val="p"/>
          </m:rPr>
          <m:t>=</m:t>
        </m:r>
        <m:r>
          <m:t>p</m:t>
        </m:r>
        <m:r>
          <m:rPr>
            <m:sty m:val="p"/>
          </m:rPr>
          <m:t>⋅</m:t>
        </m:r>
        <m:sSup>
          <m:e>
            <m:r>
              <m:t>h</m:t>
            </m:r>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24"/>
        </w:numPr>
      </w:pPr>
      <w:r>
        <w:t xml:space="preserve">Es decir, con el intercambio de información adecuado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los dos problemas dan la</w:t>
      </w:r>
      <w:r>
        <w:t xml:space="preserve"> </w:t>
      </w:r>
      <w:r>
        <w:rPr>
          <w:i/>
          <w:iCs/>
        </w:rPr>
        <w:t xml:space="preserve">misma cesta</w:t>
      </w:r>
      <w:r>
        <w:t xml:space="preserve">: en el gráfico 2, la recta de balance del primal es la isogasto tangente del dual y la curva de indiferencia alcanzada en el primal es la curva exigida en el dual.</w:t>
      </w:r>
    </w:p>
    <w:p>
      <w:pPr>
        <w:numPr>
          <w:ilvl w:val="0"/>
          <w:numId w:val="1024"/>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48"/>
    <w:bookmarkStart w:id="50" w:name="X25e0dcb15fcdae720984c48b8317179e562b2ca"/>
    <w:p>
      <w:pPr>
        <w:pStyle w:val="Heading4"/>
      </w:pPr>
      <w:r>
        <w:t xml:space="preserve">Dualidad entre funciones valor y entre funciones de demanda</w:t>
      </w:r>
    </w:p>
    <w:p>
      <w:pPr>
        <w:numPr>
          <w:ilvl w:val="0"/>
          <w:numId w:val="1026"/>
        </w:numPr>
      </w:pPr>
      <w:r>
        <w:t xml:space="preserve">Para cualesquiera</w:t>
      </w:r>
      <w:r>
        <w:t xml:space="preserve"> </w:t>
      </w:r>
      <m:oMath>
        <m:r>
          <m:t>p</m:t>
        </m:r>
        <m:r>
          <m:rPr>
            <m:sty m:val="p"/>
          </m:rPr>
          <m:t>≫</m:t>
        </m:r>
        <m:r>
          <m:t>0</m:t>
        </m:r>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r>
              <m:t>0</m:t>
            </m:r>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r>
            <m:t>E</m:t>
          </m:r>
          <m:d>
            <m:dPr>
              <m:begChr m:val="("/>
              <m:sepChr m:val=""/>
              <m:endChr m:val=")"/>
              <m:grow/>
            </m:dPr>
            <m:e>
              <m:r>
                <m:t>p</m:t>
              </m:r>
              <m:r>
                <m:rPr>
                  <m:sty m:val="p"/>
                </m:rPr>
                <m:t>,</m:t>
              </m:r>
              <m:r>
                <m:t>V</m:t>
              </m:r>
              <m:d>
                <m:dPr>
                  <m:begChr m:val="("/>
                  <m:sepChr m:val=""/>
                  <m:endChr m:val=")"/>
                  <m:grow/>
                </m:dPr>
                <m:e>
                  <m:r>
                    <m:t>p</m:t>
                  </m:r>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bar>
            <m:barPr>
              <m:pos m:val="top"/>
            </m:barPr>
            <m:e>
              <m:r>
                <m:t>U</m:t>
              </m:r>
            </m:e>
          </m:bar>
          <m:r>
            <m:rPr>
              <m:sty m:val="p"/>
            </m:rPr>
            <m:t>,</m:t>
          </m:r>
        </m:oMath>
      </m:oMathPara>
    </w:p>
    <w:p>
      <w:pPr>
        <w:pStyle w:val="FirstParagraph"/>
      </w:pPr>
      <m:oMathPara>
        <m:oMathParaPr>
          <m:jc m:val="center"/>
        </m:oMathParaPr>
        <m:oMath>
          <m:r>
            <m:t>x</m:t>
          </m:r>
          <m:d>
            <m:dPr>
              <m:begChr m:val="("/>
              <m:sepChr m:val=""/>
              <m:endChr m:val=")"/>
              <m:grow/>
            </m:dPr>
            <m:e>
              <m:r>
                <m:t>p</m:t>
              </m:r>
              <m:r>
                <m:rPr>
                  <m:sty m:val="p"/>
                </m:rPr>
                <m:t>,</m:t>
              </m:r>
              <m:bar>
                <m:barPr>
                  <m:pos m:val="top"/>
                </m:barPr>
                <m:e>
                  <m:r>
                    <m:t>W</m:t>
                  </m:r>
                </m:e>
              </m:bar>
            </m:e>
          </m:d>
          <m:r>
            <m:rPr>
              <m:sty m:val="p"/>
            </m:rPr>
            <m:t>=</m:t>
          </m:r>
          <m:r>
            <m:t>h</m:t>
          </m:r>
          <m:d>
            <m:dPr>
              <m:begChr m:val="("/>
              <m:sepChr m:val=""/>
              <m:endChr m:val=")"/>
              <m:grow/>
            </m:dPr>
            <m:e>
              <m:r>
                <m:t>p</m:t>
              </m:r>
              <m:r>
                <m:rPr>
                  <m:sty m:val="p"/>
                </m:rPr>
                <m:t>,</m:t>
              </m:r>
              <m:r>
                <m:t>V</m:t>
              </m:r>
              <m:d>
                <m:dPr>
                  <m:begChr m:val="("/>
                  <m:sepChr m:val=""/>
                  <m:endChr m:val=")"/>
                  <m:grow/>
                </m:dPr>
                <m:e>
                  <m:r>
                    <m:t>p</m:t>
                  </m:r>
                  <m:r>
                    <m:rPr>
                      <m:sty m:val="p"/>
                    </m:rPr>
                    <m:t>,</m:t>
                  </m:r>
                  <m:bar>
                    <m:barPr>
                      <m:pos m:val="top"/>
                    </m:barPr>
                    <m:e>
                      <m:r>
                        <m:t>W</m:t>
                      </m:r>
                    </m:e>
                  </m:bar>
                </m:e>
              </m:d>
            </m:e>
          </m:d>
          <m:r>
            <m:rPr>
              <m:sty m:val="p"/>
            </m:rPr>
            <m:t>,</m:t>
          </m:r>
          <m:r>
            <m:t>  </m:t>
          </m:r>
          <m:r>
            <m:t>h</m:t>
          </m:r>
          <m:d>
            <m:dPr>
              <m:begChr m:val="("/>
              <m:sepChr m:val=""/>
              <m:endChr m:val=")"/>
              <m:grow/>
            </m:dPr>
            <m:e>
              <m:r>
                <m:t>p</m:t>
              </m:r>
              <m:r>
                <m:rPr>
                  <m:sty m:val="p"/>
                </m:rPr>
                <m:t>,</m:t>
              </m:r>
              <m:bar>
                <m:barPr>
                  <m:pos m:val="top"/>
                </m:barPr>
                <m:e>
                  <m:r>
                    <m:t>U</m:t>
                  </m:r>
                </m:e>
              </m:bar>
            </m:e>
          </m:d>
          <m:r>
            <m:rPr>
              <m:sty m:val="p"/>
            </m:rPr>
            <m:t>=</m:t>
          </m:r>
          <m:r>
            <m:t>x</m:t>
          </m:r>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oMath>
      </m:oMathPara>
    </w:p>
    <w:p>
      <w:pPr>
        <w:numPr>
          <w:ilvl w:val="1"/>
          <w:numId w:val="1027"/>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despejando, sin resolver su problema.</w:t>
      </w:r>
      <w:r>
        <w:rPr>
          <w:rStyle w:val="FootnoteReference"/>
        </w:rPr>
        <w:footnoteReference w:id="49"/>
      </w:r>
    </w:p>
    <w:p>
      <w:pPr>
        <w:numPr>
          <w:ilvl w:val="1"/>
          <w:numId w:val="1027"/>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0"/>
          <w:numId w:val="1026"/>
        </w:numPr>
      </w:pPr>
      <w:r>
        <w:rPr>
          <w:i/>
          <w:iCs/>
        </w:rPr>
        <w:t xml:space="preserve">Ejemplo</w:t>
      </w:r>
      <w:r>
        <w:t xml:space="preserve"> </w:t>
      </w:r>
      <w:r>
        <w:t xml:space="preserve">(Cobb-Douglas,</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cuyas demandas se derivan en</w:t>
      </w:r>
      <w:r>
        <w:t xml:space="preserve"> </w:t>
      </w:r>
      <w:r>
        <w:rPr>
          <w:rStyle w:val="Referenciaatema"/>
        </w:rPr>
        <w:t xml:space="preserve">[ver tema 3.A.8]</w:t>
      </w:r>
      <w:r>
        <w:t xml:space="preserve">):</w:t>
      </w:r>
      <w:r>
        <w:t xml:space="preserve"> </w:t>
      </w:r>
      <m:oMath>
        <m:sSub>
          <m:e>
            <m:r>
              <m:t>x</m:t>
            </m:r>
          </m:e>
          <m:sub>
            <m:r>
              <m:t>1</m:t>
            </m:r>
          </m:sub>
        </m:sSub>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r>
              <m:t>p</m:t>
            </m:r>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r>
              <m:t>p</m:t>
            </m:r>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r>
          <m:rPr>
            <m:sty m:val="p"/>
          </m:rPr>
          <m:t>=</m:t>
        </m:r>
        <m:r>
          <m:t>α</m:t>
        </m:r>
        <m:r>
          <m:t>E</m:t>
        </m:r>
        <m:r>
          <m:rPr>
            <m:sty m:val="p"/>
          </m:rPr>
          <m:t>/</m:t>
        </m:r>
        <m:sSub>
          <m:e>
            <m:r>
              <m:t>p</m:t>
            </m:r>
          </m:e>
          <m:sub>
            <m:r>
              <m:t>1</m:t>
            </m:r>
          </m:sub>
        </m:sSub>
      </m:oMath>
      <w:r>
        <w:t xml:space="preserve">: la misma forma que la marshalliana, con el gasto en lugar de la renta.</w:t>
      </w:r>
    </w:p>
    <w:bookmarkEnd w:id="50"/>
    <w:bookmarkStart w:id="55" w:name="esquema-de-dualidad"/>
    <w:p>
      <w:pPr>
        <w:pStyle w:val="Heading4"/>
      </w:pPr>
      <w:r>
        <w:t xml:space="preserve">Esquema de dualidad</w:t>
      </w:r>
    </w:p>
    <w:p>
      <w:pPr>
        <w:numPr>
          <w:ilvl w:val="0"/>
          <w:numId w:val="1028"/>
        </w:numPr>
      </w:pPr>
      <w:r>
        <w:t xml:space="preserve">Todas estas relaciones se resumen en el gráfico 4: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54" w:name="fig:esquema-dualidad"/>
    <w:p>
      <w:pPr>
        <w:pStyle w:val="ImageCaption"/>
      </w:pPr>
      <w:r>
        <w:t xml:space="preserve">Gráfico 4.–</w:t>
      </w:r>
      <w:r>
        <w:t xml:space="preserve"> </w:t>
      </w:r>
      <w:r>
        <w:t xml:space="preserve">Esquema de dualidad: problemas, soluciones, funciones valor y relaciones entre ellas</w:t>
      </w:r>
    </w:p>
    <w:p>
      <w:pPr>
        <w:pStyle w:val="CaptionedFigure"/>
      </w:pPr>
      <w:r>
        <w:drawing>
          <wp:inline>
            <wp:extent cx="5969000" cy="3049279"/>
            <wp:effectExtent b="0" l="0" r="0" t="0"/>
            <wp:docPr descr="" title="" id="52" name="Picture"/>
            <a:graphic>
              <a:graphicData uri="http://schemas.openxmlformats.org/drawingml/2006/picture">
                <pic:pic>
                  <pic:nvPicPr>
                    <pic:cNvPr descr="C:\Users\vgutierrez\Documents\src\victorgutierrezmarcos.github.io-revision\oposicion\temario\fuentes\3A09\graficos/esquema-dualidad.png" id="53" name="Picture"/>
                    <pic:cNvPicPr>
                      <a:picLocks noChangeArrowheads="1" noChangeAspect="1"/>
                    </pic:cNvPicPr>
                  </pic:nvPicPr>
                  <pic:blipFill>
                    <a:blip r:embed="rId51"/>
                    <a:stretch>
                      <a:fillRect/>
                    </a:stretch>
                  </pic:blipFill>
                  <pic:spPr bwMode="auto">
                    <a:xfrm>
                      <a:off x="0" y="0"/>
                      <a:ext cx="5969000" cy="304927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t xml:space="preserve">Maté García y Pérez Domínguez (</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(Shephard) y su concavidad da la ley de la demanda compensada.</w:t>
      </w:r>
    </w:p>
    <w:p>
      <w:pPr>
        <w:numPr>
          <w:ilvl w:val="0"/>
          <w:numId w:val="1029"/>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w:t>
      </w:r>
      <w:r>
        <w:t xml:space="preserve">(III.2); la integrabilidad recorre el esquema en sentido contrario, de</w:t>
      </w:r>
      <w:r>
        <w:t xml:space="preserve"> </w:t>
      </w:r>
      <m:oMath>
        <m:r>
          <m:t>x</m:t>
        </m:r>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r>
          <m:t>x</m:t>
        </m:r>
        <m:d>
          <m:dPr>
            <m:begChr m:val="("/>
            <m:sepChr m:val=""/>
            <m:endChr m:val=")"/>
            <m:grow/>
          </m:dPr>
          <m:e>
            <m:r>
              <m:t>p</m:t>
            </m:r>
            <m:r>
              <m:rPr>
                <m:sty m:val="p"/>
              </m:rPr>
              <m:t>,</m:t>
            </m:r>
            <m:bar>
              <m:barPr>
                <m:pos m:val="top"/>
              </m:barPr>
              <m:e>
                <m:r>
                  <m:t>W</m:t>
                </m:r>
              </m:e>
            </m:bar>
          </m:e>
        </m:d>
      </m:oMath>
      <w:r>
        <w:t xml:space="preserve">.</w:t>
      </w:r>
    </w:p>
    <w:bookmarkEnd w:id="55"/>
    <w:bookmarkEnd w:id="56"/>
    <w:bookmarkEnd w:id="57"/>
    <w:bookmarkStart w:id="68" w:name="X485faa63d6f808b78f048e0657feca12dc369ba"/>
    <w:p>
      <w:pPr>
        <w:pStyle w:val="Heading1"/>
      </w:pPr>
      <w:r>
        <w:t xml:space="preserve">II.</w:t>
      </w:r>
      <w:r>
        <w:t xml:space="preserve"> </w:t>
      </w:r>
      <w:r>
        <w:t xml:space="preserve">Desarrollos empíricos: estimación de sistemas completos de ecuaciones de demanda</w:t>
      </w:r>
    </w:p>
    <w:p>
      <w:pPr>
        <w:pStyle w:val="Notaalopositor"/>
      </w:pPr>
      <w:r>
        <w:rPr>
          <w:b/>
          <w:bCs/>
        </w:rPr>
        <w:t xml:space="preserve">Nota al opositor. </w:t>
      </w:r>
      <w:r>
        <w:t xml:space="preserve">En el cante: la idea (0,5 minutos); las formas funcionales con las ecuaciones del sistema lineal de gasto y del AIDS (con sus restricciones de homogeneidad, simetría y agregación) y el resto de los pasos (3,5), y la valoración (1). La translog, el modelo de Rotterdam, el QUAIDS (basta nombrarlo) y los detalles econométricos son de profundización.</w:t>
      </w:r>
    </w:p>
    <w:p>
      <w:pPr>
        <w:numPr>
          <w:ilvl w:val="0"/>
          <w:numId w:val="1030"/>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58" w:name="idea"/>
    <w:p>
      <w:pPr>
        <w:pStyle w:val="Heading2"/>
      </w:pPr>
      <w:r>
        <w:t xml:space="preserve">II.1.</w:t>
      </w:r>
      <w:r>
        <w:t xml:space="preserve"> </w:t>
      </w:r>
      <w:r>
        <w:t xml:space="preserve">Idea</w:t>
      </w:r>
    </w:p>
    <w:p>
      <w:pPr>
        <w:numPr>
          <w:ilvl w:val="0"/>
          <w:numId w:val="1031"/>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rPr>
          <w:t xml:space="preserve">Deaton y Muellbauer 1980b, cap. 1</w:t>
        </w:r>
      </w:hyperlink>
      <w:r>
        <w:t xml:space="preserve">)</w:t>
      </w:r>
      <w:r>
        <w:t xml:space="preserve">:</w:t>
      </w:r>
    </w:p>
    <w:p>
      <w:pPr>
        <w:numPr>
          <w:ilvl w:val="1"/>
          <w:numId w:val="1032"/>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rPr>
          <w:t xml:space="preserve">Deaton 1997</w:t>
        </w:r>
      </w:hyperlink>
      <w:r>
        <w:t xml:space="preserve">)</w:t>
      </w:r>
      <w:r>
        <w:t xml:space="preserve">;</w:t>
      </w:r>
    </w:p>
    <w:p>
      <w:pPr>
        <w:numPr>
          <w:ilvl w:val="1"/>
          <w:numId w:val="1032"/>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32"/>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31"/>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numPr>
          <w:ilvl w:val="0"/>
          <w:numId w:val="1031"/>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1"/>
          <w:numId w:val="1033"/>
        </w:numPr>
      </w:pPr>
      <w:r>
        <w:rPr>
          <w:i/>
          <w:iCs/>
        </w:rPr>
        <w:t xml:space="preserve">coherencia con la teoría</w:t>
      </w:r>
      <w:r>
        <w:t xml:space="preserve">: poder imponer o contrastar sus restricciones;</w:t>
      </w:r>
    </w:p>
    <w:p>
      <w:pPr>
        <w:numPr>
          <w:ilvl w:val="1"/>
          <w:numId w:val="1033"/>
        </w:numPr>
      </w:pPr>
      <w:r>
        <w:rPr>
          <w:i/>
          <w:iCs/>
        </w:rPr>
        <w:t xml:space="preserve">flexibilidad</w:t>
      </w:r>
      <w:r>
        <w:t xml:space="preserve">: no fijar de antemano las elasticidades (formalmente, aproximar en primer orden cualquier sistema de demanda);</w:t>
      </w:r>
    </w:p>
    <w:p>
      <w:pPr>
        <w:numPr>
          <w:ilvl w:val="1"/>
          <w:numId w:val="1033"/>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33"/>
        </w:numPr>
      </w:pPr>
      <w:r>
        <w:rPr>
          <w:i/>
          <w:iCs/>
        </w:rPr>
        <w:t xml:space="preserve">sencillez de estimación</w:t>
      </w:r>
      <w:r>
        <w:t xml:space="preserve">: a ser posible, linealidad en los parámetros.</w:t>
      </w:r>
    </w:p>
    <w:bookmarkEnd w:id="58"/>
    <w:bookmarkStart w:id="66" w:name="pasos-que-sigue-la-literatura"/>
    <w:p>
      <w:pPr>
        <w:pStyle w:val="Heading2"/>
      </w:pPr>
      <w:r>
        <w:t xml:space="preserve">II.2.</w:t>
      </w:r>
      <w:r>
        <w:t xml:space="preserve"> </w:t>
      </w:r>
      <w:r>
        <w:t xml:space="preserve">Pasos que sigue la literatura</w:t>
      </w:r>
    </w:p>
    <w:p>
      <w:pPr>
        <w:numPr>
          <w:ilvl w:val="0"/>
          <w:numId w:val="1034"/>
        </w:numPr>
      </w:pPr>
      <w:r>
        <w:t xml:space="preserve">La estimación sigue cinco pasos, que reproducen el camino de la teoría, de las preferencias a la demanda: (1) elegir una forma funcional, (2) especificar un sistema completo, (3) reunir los datos, (4) especificar el modelo econométrico y (5) estimar y contrastar.</w:t>
      </w:r>
    </w:p>
    <w:bookmarkStart w:id="61" w:name="Xe667511b6d0ed2d2bd4c17ec39391f3b2daeab7"/>
    <w:p>
      <w:pPr>
        <w:pStyle w:val="Heading3"/>
      </w:pPr>
      <w:r>
        <w:t xml:space="preserve">II.2.1.</w:t>
      </w:r>
      <w:r>
        <w:t xml:space="preserve"> </w:t>
      </w:r>
      <w:r>
        <w:t xml:space="preserve">Elección de una función de referencia apropiada</w:t>
      </w:r>
    </w:p>
    <w:p>
      <w:pPr>
        <w:numPr>
          <w:ilvl w:val="0"/>
          <w:numId w:val="1035"/>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(tabla 3).</w:t>
      </w:r>
    </w:p>
    <w:p>
      <w:pPr>
        <w:numPr>
          <w:ilvl w:val="0"/>
          <w:numId w:val="1035"/>
        </w:numPr>
      </w:pPr>
      <w:r>
        <w:rPr>
          <w:b/>
          <w:bCs/>
        </w:rPr>
        <w:t xml:space="preserve">Cobb-Douglas</w:t>
      </w:r>
      <w:r>
        <w:rPr>
          <w:rStyle w:val="FootnoteReference"/>
        </w:rPr>
        <w:footnoteReference w:id="59"/>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pPr>
      <m:oMathPara>
        <m:oMathParaPr>
          <m:jc m:val="center"/>
        </m:oMathParaPr>
        <m:oMath>
          <m:r>
            <m:rPr>
              <m:sty m:val="p"/>
            </m:rPr>
            <m:t>ln</m:t>
          </m:r>
          <m:sSub>
            <m:e>
              <m:r>
                <m:t>x</m:t>
              </m:r>
            </m:e>
            <m:sub>
              <m:r>
                <m:t>i</m:t>
              </m:r>
            </m:sub>
          </m:sSub>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(las demandas se derivan en</w:t>
      </w:r>
      <w:r>
        <w:t xml:space="preserve"> </w:t>
      </w:r>
      <w:r>
        <w:rPr>
          <w:rStyle w:val="Referenciaatema"/>
        </w:rPr>
        <w:t xml:space="preserve">[ver tema 3.A.8]</w:t>
      </w:r>
      <w:r>
        <w:t xml:space="preserve">).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p>
      <w:pPr>
        <w:numPr>
          <w:ilvl w:val="0"/>
          <w:numId w:val="1035"/>
        </w:numPr>
      </w:pPr>
      <w:r>
        <w:rPr>
          <w:b/>
          <w:bCs/>
        </w:rPr>
        <w:t xml:space="preserve">Sistema lineal de gasto</w:t>
      </w:r>
      <w:r>
        <w:t xml:space="preserve"> </w:t>
      </w:r>
      <w:r>
        <w:t xml:space="preserve">(LES),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rPr>
          <w:t xml:space="preserve">Klein y Rubin 1947</w:t>
        </w:r>
      </w:hyperlink>
      <w:r>
        <w:t xml:space="preserve">;</w:t>
      </w:r>
      <w:r>
        <w:t xml:space="preserve"> </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36"/>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p>
      <w:pPr>
        <w:numPr>
          <w:ilvl w:val="1"/>
          <w:numId w:val="1036"/>
        </w:numPr>
      </w:pPr>
      <w:r>
        <w:t xml:space="preserve">Es sencillo de manejar, en la teoría y en la econometría, y fue el primer sistema completo estimado con datos reales (</w:t>
      </w:r>
      <w:r>
        <w:rPr>
          <w:smallCaps/>
        </w:rPr>
        <w:t xml:space="preserve">Stone</w:t>
      </w:r>
      <w:r>
        <w:t xml:space="preserve">, para el Reino Unido).</w:t>
      </w:r>
    </w:p>
    <w:p>
      <w:pPr>
        <w:numPr>
          <w:ilvl w:val="1"/>
          <w:numId w:val="1036"/>
        </w:numPr>
      </w:pPr>
      <w:r>
        <w:t xml:space="preserve">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0"/>
          <w:numId w:val="1035"/>
        </w:numPr>
      </w:pPr>
      <w:r>
        <w:rPr>
          <w:b/>
          <w:bCs/>
        </w:rPr>
        <w:t xml:space="preserve">Modelo de Rotterdam</w:t>
      </w:r>
      <w:r>
        <w:t xml:space="preserve"> </w:t>
      </w:r>
      <w:r>
        <w:t xml:space="preserve">(</w:t>
      </w:r>
      <w:hyperlink w:anchor="ref-Barten1964Consumer">
        <w:r>
          <w:rPr>
            <w:rStyle w:val="Hyperlink"/>
          </w:rPr>
          <w:t xml:space="preserve">Barten 1964</w:t>
        </w:r>
      </w:hyperlink>
      <w:r>
        <w:t xml:space="preserve">;</w:t>
      </w:r>
      <w:r>
        <w:t xml:space="preserve"> </w:t>
      </w:r>
      <w:hyperlink w:anchor="ref-Theil1965Information">
        <w:r>
          <w:rPr>
            <w:rStyle w:val="Hyperlink"/>
          </w:rPr>
          <w:t xml:space="preserve">Theil 1965</w:t>
        </w:r>
      </w:hyperlink>
      <w:r>
        <w:t xml:space="preserve">)</w:t>
      </w:r>
      <w:r>
        <w:t xml:space="preserve">: no parte de una utilidad concreta, sino de la ecuación de</w:t>
      </w:r>
      <w:r>
        <w:t xml:space="preserve"> </w:t>
      </w:r>
      <w:r>
        <w:rPr>
          <w:smallCaps/>
        </w:rPr>
        <w:t xml:space="preserve">Slutsky</w:t>
      </w:r>
      <w:r>
        <w:t xml:space="preserve"> </w:t>
      </w:r>
      <w:r>
        <w:t xml:space="preserve">en diferencias logarítmicas,</w:t>
      </w:r>
    </w:p>
    <w:p>
      <w:pPr>
        <w:pStyle w:val="BodyT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 Su límite es que, 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w:t>
      </w:r>
    </w:p>
    <w:p>
      <w:pPr>
        <w:numPr>
          <w:ilvl w:val="0"/>
          <w:numId w:val="1035"/>
        </w:numPr>
      </w:pPr>
      <w:r>
        <w:rPr>
          <w:b/>
          <w:bCs/>
        </w:rPr>
        <w:t xml:space="preserve">Translog</w:t>
      </w:r>
      <w:r>
        <w:t xml:space="preserve"> </w:t>
      </w:r>
      <w:r>
        <w:t xml:space="preserve">(</w:t>
      </w:r>
      <w:r>
        <w:rPr>
          <w:i/>
          <w:iCs/>
        </w:rPr>
        <w:t xml:space="preserve">transcendental logarithmic</w:t>
      </w:r>
      <w:r>
        <w:t xml:space="preserve">) de</w:t>
      </w:r>
      <w:r>
        <w:t xml:space="preserve"> </w:t>
      </w:r>
      <w:r>
        <w:t xml:space="preserve">Christensen, Jorgenson y Lau (</w:t>
      </w:r>
      <w:hyperlink w:anchor="ref-ChristensenJorgensonLau1975Utility">
        <w:r>
          <w:rPr>
            <w:rStyle w:val="Hyperlink"/>
          </w:rPr>
          <w:t xml:space="preserve">1975</w:t>
        </w:r>
      </w:hyperlink>
      <w:r>
        <w:t xml:space="preserve">)</w:t>
      </w:r>
      <w:r>
        <w:t xml:space="preserve">: una aproximación de segundo orden, en logaritmos, a una función cualquiera. Se estima en su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r>
                <m:t>p</m:t>
              </m:r>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00"/>
        </w:numPr>
      </w:pPr>
      <w:r>
        <w:t xml:space="preserve">de la que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00"/>
        </w:numPr>
      </w:pPr>
      <w:r>
        <w:t xml:space="preserve">Es muy flexible y condiciona poco los resultados, pero 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y la concavidad no está garantizada lejos del punto de aproximación.</w:t>
      </w:r>
    </w:p>
    <w:p>
      <w:pPr>
        <w:numPr>
          <w:ilvl w:val="0"/>
          <w:numId w:val="1035"/>
        </w:numPr>
      </w:pPr>
      <w:r>
        <w:rPr>
          <w:b/>
          <w:bCs/>
        </w:rPr>
        <w:t xml:space="preserve">Sistema casi ideal de demanda</w:t>
      </w:r>
      <w:r>
        <w:t xml:space="preserve"> </w:t>
      </w:r>
      <w:r>
        <w:t xml:space="preserve">(AIDS,</w:t>
      </w:r>
      <w:r>
        <w:t xml:space="preserve"> </w:t>
      </w:r>
      <w:r>
        <w:rPr>
          <w:i/>
          <w:iCs/>
        </w:rPr>
        <w:t xml:space="preserve">Almost Ideal Demand System</w:t>
      </w:r>
      <w:r>
        <w:t xml:space="preserve">) de</w:t>
      </w:r>
      <w:r>
        <w:t xml:space="preserve"> </w:t>
      </w:r>
      <w:r>
        <w:t xml:space="preserve">Deaton y Muellbauer (</w:t>
      </w:r>
      <w:hyperlink w:anchor="ref-DeatonMuellbauer1980AIDS">
        <w:r>
          <w:rPr>
            <w:rStyle w:val="Hyperlink"/>
          </w:rPr>
          <w:t xml:space="preserve">1980a</w:t>
        </w:r>
      </w:hyperlink>
      <w:r>
        <w:t xml:space="preserve">)</w:t>
      </w:r>
      <w:r>
        <w:t xml:space="preserve">. Parte de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pPr>
      <m:oMathPara>
        <m:oMathParaPr>
          <m:jc m:val="center"/>
        </m:oMathParaPr>
        <m:oMath>
          <m:r>
            <m:rPr>
              <m:sty m:val="p"/>
            </m:rPr>
            <m:t>ln</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r>
                <m:t>p</m:t>
              </m:r>
            </m:e>
          </m:d>
          <m:r>
            <m:rPr>
              <m:sty m:val="p"/>
            </m:rPr>
            <m:t>+</m:t>
          </m:r>
          <m:bar>
            <m:barPr>
              <m:pos m:val="top"/>
            </m:barPr>
            <m:e>
              <m:r>
                <m:t>U</m:t>
              </m:r>
            </m:e>
          </m:bar>
          <m:r>
            <m:rPr>
              <m:sty m:val="p"/>
            </m:rPr>
            <m:t>ln</m:t>
          </m:r>
          <m:r>
            <m:t>b</m:t>
          </m:r>
          <m:d>
            <m:dPr>
              <m:begChr m:val="("/>
              <m:sepChr m:val=""/>
              <m:endChr m:val=")"/>
              <m:grow/>
            </m:dPr>
            <m:e>
              <m:r>
                <m:t>p</m:t>
              </m:r>
            </m:e>
          </m:d>
          <m:r>
            <m:rPr>
              <m:sty m:val="p"/>
            </m:rPr>
            <m:t>,</m:t>
          </m:r>
        </m:oMath>
      </m:oMathPara>
    </w:p>
    <w:p>
      <w:pPr>
        <w:numPr>
          <w:ilvl w:val="0"/>
          <w:numId w:val="1000"/>
        </w:numPr>
      </w:pPr>
      <w:r>
        <w:t xml:space="preserve">con</w:t>
      </w:r>
    </w:p>
    <w:p>
      <w:pPr>
        <w:pStyle w:val="BodyText"/>
      </w:pPr>
      <m:oMathPara>
        <m:oMathParaPr>
          <m:jc m:val="center"/>
        </m:oMathParaPr>
        <m:oMath>
          <m:r>
            <m:rPr>
              <m:sty m:val="p"/>
            </m:rPr>
            <m:t>ln</m:t>
          </m:r>
          <m:r>
            <m:t>a</m:t>
          </m:r>
          <m:d>
            <m:dPr>
              <m:begChr m:val="("/>
              <m:sepChr m:val=""/>
              <m:endChr m:val=")"/>
              <m:grow/>
            </m:dPr>
            <m:e>
              <m:r>
                <m:t>p</m:t>
              </m:r>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r>
                <m:t>p</m:t>
              </m:r>
            </m:e>
          </m:d>
          <m:r>
            <m:rPr>
              <m:sty m:val="p"/>
            </m:rPr>
            <m:t>=</m:t>
          </m:r>
          <m:r>
            <m:rPr>
              <m:sty m:val="p"/>
            </m:rPr>
            <m:t>ln</m:t>
          </m:r>
          <m:r>
            <m:t>a</m:t>
          </m:r>
          <m:d>
            <m:dPr>
              <m:begChr m:val="("/>
              <m:sepChr m:val=""/>
              <m:endChr m:val=")"/>
              <m:grow/>
            </m:dPr>
            <m:e>
              <m:r>
                <m:t>p</m:t>
              </m:r>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r>
              <m:t>p</m:t>
            </m:r>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r>
              <m:t>p</m:t>
            </m:r>
          </m:e>
        </m:d>
      </m:oMath>
      <w:r>
        <w:t xml:space="preserve">, el de la saciedad (</w:t>
      </w:r>
      <m:oMath>
        <m:bar>
          <m:barPr>
            <m:pos m:val="top"/>
          </m:barPr>
          <m:e>
            <m:r>
              <m:t>U</m:t>
            </m:r>
          </m:e>
        </m:bar>
        <m:r>
          <m:rPr>
            <m:sty m:val="p"/>
          </m:rPr>
          <m:t>=</m:t>
        </m:r>
        <m:r>
          <m:t>1</m:t>
        </m:r>
      </m:oMath>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r>
              <m:t>p</m:t>
            </m:r>
          </m:e>
        </m:d>
      </m:oMath>
      <w:r>
        <w:t xml:space="preserve">, un índice de precios translog.</w:t>
      </w:r>
    </w:p>
    <w:p>
      <w:pPr>
        <w:numPr>
          <w:ilvl w:val="1"/>
          <w:numId w:val="1037"/>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37"/>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t xml:space="preserve">Working (</w:t>
      </w:r>
      <w:hyperlink w:anchor="ref-Working1943Statistical">
        <w:r>
          <w:rPr>
            <w:rStyle w:val="Hyperlink"/>
          </w:rPr>
          <w:t xml:space="preserve">1943</w:t>
        </w:r>
      </w:hyperlink>
      <w:r>
        <w:t xml:space="preserve">)</w:t>
      </w:r>
      <w:r>
        <w:t xml:space="preserve"> </w:t>
      </w:r>
      <w:r>
        <w:t xml:space="preserve">y</w:t>
      </w:r>
      <w:r>
        <w:t xml:space="preserve"> </w:t>
      </w:r>
      <w:r>
        <w:t xml:space="preserve">Leser (</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37"/>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37"/>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p>
      <w:pPr>
        <w:numPr>
          <w:ilvl w:val="1"/>
          <w:numId w:val="1037"/>
        </w:numPr>
      </w:pPr>
      <w:r>
        <w:rPr>
          <w:i/>
          <w:iCs/>
        </w:rPr>
        <w:t xml:space="preserve">Estimación</w:t>
      </w:r>
      <w:r>
        <w:t xml:space="preserve">: 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w:t>
      </w:r>
    </w:p>
    <w:p>
      <w:pPr>
        <w:numPr>
          <w:ilvl w:val="1"/>
          <w:numId w:val="1037"/>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p>
      <w:pPr>
        <w:numPr>
          <w:ilvl w:val="0"/>
          <w:numId w:val="1035"/>
        </w:numPr>
      </w:pPr>
      <w:r>
        <w:rPr>
          <w:b/>
          <w:bCs/>
        </w:rPr>
        <w:t xml:space="preserve">QUAIDS</w:t>
      </w:r>
      <w:r>
        <w:t xml:space="preserve"> </w:t>
      </w:r>
      <w:r>
        <w:t xml:space="preserve">(AIDS cuadrático) de</w:t>
      </w:r>
      <w:r>
        <w:t xml:space="preserve"> </w:t>
      </w:r>
      <w:r>
        <w:t xml:space="preserve">Banks, Blundell y Lewbel (</w:t>
      </w:r>
      <w:hyperlink w:anchor="ref-BanksBlundellLewbel1997Quadratic">
        <w:r>
          <w:rPr>
            <w:rStyle w:val="Hyperlink"/>
          </w:rPr>
          <w:t xml:space="preserve">1997</w:t>
        </w:r>
      </w:hyperlink>
      <w:r>
        <w:t xml:space="preserve">)</w:t>
      </w:r>
      <w:r>
        <w:t xml:space="preserve">: 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 Se añade un término cuadrático en el logaritmo del gasto:</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r>
                    <m:t>p</m:t>
                  </m:r>
                </m:e>
              </m:d>
            </m:den>
          </m:f>
          <m:r>
            <m:rPr>
              <m:sty m:val="p"/>
            </m:rPr>
            <m:t>+</m:t>
          </m:r>
          <m:f>
            <m:fPr>
              <m:type m:val="bar"/>
            </m:fPr>
            <m:num>
              <m:sSub>
                <m:e>
                  <m:r>
                    <m:t>ϑ</m:t>
                  </m:r>
                </m:e>
                <m:sub>
                  <m:r>
                    <m:t>i</m:t>
                  </m:r>
                </m:sub>
              </m:sSub>
            </m:num>
            <m:den>
              <m:r>
                <m:t>b</m:t>
              </m:r>
              <m:d>
                <m:dPr>
                  <m:begChr m:val="("/>
                  <m:sepChr m:val=""/>
                  <m:endChr m:val=")"/>
                  <m:grow/>
                </m:dPr>
                <m:e>
                  <m:r>
                    <m:t>p</m:t>
                  </m:r>
                </m:e>
              </m:d>
            </m:den>
          </m:f>
          <m:r>
            <m:rPr>
              <m:sty m:val="p"/>
            </m:rPr>
            <m:t>[</m:t>
          </m:r>
          <m:r>
            <m:rPr>
              <m:sty m:val="p"/>
            </m:rPr>
            <m:t>ln</m:t>
          </m:r>
          <m:f>
            <m:fPr>
              <m:type m:val="bar"/>
            </m:fPr>
            <m:num>
              <m:bar>
                <m:barPr>
                  <m:pos m:val="top"/>
                </m:barPr>
                <m:e>
                  <m:r>
                    <m:t>W</m:t>
                  </m:r>
                </m:e>
              </m:bar>
            </m:num>
            <m:den>
              <m:r>
                <m:t>a</m:t>
              </m:r>
              <m:d>
                <m:dPr>
                  <m:begChr m:val="("/>
                  <m:sepChr m:val=""/>
                  <m:endChr m:val=")"/>
                  <m:grow/>
                </m:dPr>
                <m:e>
                  <m:r>
                    <m:t>p</m:t>
                  </m:r>
                </m:e>
              </m:d>
            </m:den>
          </m:f>
          <m:sSup>
            <m:e>
              <m:r>
                <m:rPr>
                  <m:sty m:val="p"/>
                </m:rPr>
                <m:t>]</m:t>
              </m:r>
            </m:e>
            <m:sup>
              <m:r>
                <m:t>2</m:t>
              </m:r>
            </m:sup>
          </m:sSup>
          <m:r>
            <m:rPr>
              <m:sty m:val="p"/>
            </m:rPr>
            <m:t>,</m:t>
          </m:r>
          <m:r>
            <m:t>  </m:t>
          </m:r>
          <m:r>
            <m:t>b</m:t>
          </m:r>
          <m:d>
            <m:dPr>
              <m:begChr m:val="("/>
              <m:sepChr m:val=""/>
              <m:endChr m:val=")"/>
              <m:grow/>
            </m:dPr>
            <m:e>
              <m:r>
                <m:t>p</m:t>
              </m:r>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rPr>
          <w:t xml:space="preserve">Gorman 1981</w:t>
        </w:r>
      </w:hyperlink>
      <w:r>
        <w:t xml:space="preserve">)</w:t>
      </w:r>
      <w:r>
        <w:t xml:space="preserve">.</w:t>
      </w:r>
    </w:p>
    <w:bookmarkStart w:id="60" w:name="tab:sistemas"/>
    <w:p>
      <w:pPr>
        <w:pStyle w:val="TableCaption"/>
      </w:pPr>
      <w:r>
        <w:t xml:space="preserve">Sistemas de demanda más utilizados</w:t>
      </w:r>
    </w:p>
    <w:tbl>
      <w:tblPr>
        <w:tblStyle w:val="Table"/>
        <w:tblW w:type="auto" w:w="0"/>
        <w:tblLook w:firstRow="1" w:lastRow="0" w:firstColumn="0" w:lastColumn="0" w:noHBand="0" w:noVBand="0" w:val="0020"/>
        <w:tblCaption w:val="Sistemas de demanda más utilizados"/>
      </w:tblPr>
      <w:tblGrid>
        <w:gridCol w:w="1320"/>
        <w:gridCol w:w="1320"/>
        <w:gridCol w:w="1320"/>
        <w:gridCol w:w="1320"/>
        <w:gridCol w:w="1320"/>
        <w:gridCol w:w="1320"/>
      </w:tblGrid>
      <w:tr>
        <w:trPr>
          <w:tblHeader w:val="on"/>
        </w:trPr>
        <w:tc>
          <w:tcPr/>
          <w:p>
            <w:pPr>
              <w:pStyle w:val="Celdatceeazulpalido"/>
              <w:jc w:val="left"/>
            </w:pPr>
            <w:r>
              <w:rPr>
                <w:i/>
                <w:iCs/>
              </w:rPr>
              <w:t xml:space="preserve">Sistema</w:t>
            </w:r>
          </w:p>
        </w:tc>
        <w:tc>
          <w:tcPr/>
          <w:p>
            <w:pPr>
              <w:pStyle w:val="Celdatceeazulpalido"/>
              <w:jc w:val="left"/>
            </w:pPr>
            <w:r>
              <w:rPr>
                <w:i/>
                <w:iCs/>
              </w:rPr>
              <w:t xml:space="preserve">Punto de partida</w:t>
            </w:r>
          </w:p>
        </w:tc>
        <w:tc>
          <w:tcPr/>
          <w:p>
            <w:pPr>
              <w:pStyle w:val="Celdatceeazulpalido"/>
              <w:jc w:val="left"/>
            </w:pPr>
            <w:r>
              <w:rPr>
                <w:i/>
                <w:iCs/>
              </w:rPr>
              <w:t xml:space="preserve">Flexible</w:t>
            </w:r>
          </w:p>
        </w:tc>
        <w:tc>
          <w:tcPr/>
          <w:p>
            <w:pPr>
              <w:pStyle w:val="Celdatceeazulpalido"/>
              <w:jc w:val="left"/>
            </w:pPr>
            <w:r>
              <w:rPr>
                <w:i/>
                <w:iCs/>
              </w:rPr>
              <w:t xml:space="preserve">Agregación</w:t>
            </w:r>
          </w:p>
        </w:tc>
        <w:tc>
          <w:tcPr/>
          <w:p>
            <w:pPr>
              <w:pStyle w:val="Celdatceeazulpalido"/>
              <w:jc w:val="left"/>
            </w:pPr>
            <w:r>
              <w:rPr>
                <w:i/>
                <w:iCs/>
              </w:rPr>
              <w:t xml:space="preserve">Lineal en los parámetros</w:t>
            </w:r>
          </w:p>
        </w:tc>
        <w:tc>
          <w:tcPr/>
          <w:p>
            <w:pPr>
              <w:pStyle w:val="Celdatceeazulpalido"/>
              <w:jc w:val="left"/>
            </w:pPr>
            <w:r>
              <w:rPr>
                <w:i/>
                <w:iCs/>
              </w:rPr>
              <w:t xml:space="preserve">Límite principal</w:t>
            </w:r>
          </w:p>
        </w:tc>
      </w:tr>
      <w:tr>
        <w:tc>
          <w:tcPr/>
          <w:p>
            <w:pPr>
              <w:pStyle w:val="Compact"/>
              <w:jc w:val="left"/>
            </w:pPr>
            <w:r>
              <w:t xml:space="preserve">Cobb-Douglas</w:t>
            </w:r>
          </w:p>
        </w:tc>
        <w:tc>
          <w:tcPr/>
          <w:p>
            <w:pPr>
              <w:pStyle w:val="Compact"/>
              <w:jc w:val="left"/>
            </w:pPr>
            <w:r>
              <w:t xml:space="preserve">utilidad directa</w:t>
            </w:r>
          </w:p>
        </w:tc>
        <w:tc>
          <w:tcPr/>
          <w:p>
            <w:pPr>
              <w:pStyle w:val="Compact"/>
              <w:jc w:val="left"/>
            </w:pPr>
            <w:r>
              <w:t xml:space="preserve">no</w:t>
            </w:r>
          </w:p>
        </w:tc>
        <w:tc>
          <w:tcPr/>
          <w:p>
            <w:pPr>
              <w:pStyle w:val="Compact"/>
              <w:jc w:val="left"/>
            </w:pPr>
            <w:r>
              <w:t xml:space="preserve">sí (homotética)</w:t>
            </w:r>
          </w:p>
        </w:tc>
        <w:tc>
          <w:tcPr/>
          <w:p>
            <w:pPr>
              <w:pStyle w:val="Compact"/>
              <w:jc w:val="left"/>
            </w:pPr>
            <w:r>
              <w:t xml:space="preserve">sí (en logaritmos)</w:t>
            </w:r>
          </w:p>
        </w:tc>
        <w:tc>
          <w:tcPr/>
          <w:p>
            <w:pPr>
              <w:pStyle w:val="Compact"/>
              <w:jc w:val="left"/>
            </w:pPr>
            <w:r>
              <w:t xml:space="preserve">participaciones constantes</w:t>
            </w:r>
          </w:p>
        </w:tc>
      </w:tr>
      <w:tr>
        <w:tc>
          <w:tcPr/>
          <w:p>
            <w:pPr>
              <w:pStyle w:val="Compact"/>
              <w:jc w:val="left"/>
            </w:pPr>
            <w:r>
              <w:t xml:space="preserve">LES</w:t>
            </w:r>
            <w:r>
              <w:t xml:space="preserve"> </w:t>
            </w:r>
            <w:r>
              <w:t xml:space="preserve">(</w:t>
            </w:r>
            <w:hyperlink w:anchor="ref-Stone1954Linear">
              <w:r>
                <w:rPr>
                  <w:rStyle w:val="Hyperlink"/>
                </w:rPr>
                <w:t xml:space="preserve">Stone 1954</w:t>
              </w:r>
            </w:hyperlink>
            <w:r>
              <w:t xml:space="preserve">)</w:t>
            </w:r>
          </w:p>
        </w:tc>
        <w:tc>
          <w:tcPr/>
          <w:p>
            <w:pPr>
              <w:pStyle w:val="Compact"/>
              <w:jc w:val="left"/>
            </w:pPr>
            <w:r>
              <w:t xml:space="preserve">utilidad directa</w:t>
            </w:r>
          </w:p>
        </w:tc>
        <w:tc>
          <w:tcPr/>
          <w:p>
            <w:pPr>
              <w:pStyle w:val="Compact"/>
              <w:jc w:val="left"/>
            </w:pPr>
            <w:r>
              <w:t xml:space="preserve">no</w:t>
            </w:r>
          </w:p>
        </w:tc>
        <w:tc>
          <w:tcPr/>
          <w:p>
            <w:pPr>
              <w:pStyle w:val="Compact"/>
              <w:jc w:val="left"/>
            </w:pPr>
            <w:r>
              <w:t xml:space="preserve">sí (forma polar de</w:t>
            </w:r>
            <w:r>
              <w:t xml:space="preserve"> </w:t>
            </w:r>
            <w:r>
              <w:rPr>
                <w:smallCaps/>
              </w:rPr>
              <w:t xml:space="preserve">Gorman</w:t>
            </w:r>
            <w:r>
              <w:t xml:space="preserve">)</w:t>
            </w:r>
          </w:p>
        </w:tc>
        <w:tc>
          <w:tcPr/>
          <w:p>
            <w:pPr>
              <w:pStyle w:val="Compact"/>
              <w:jc w:val="left"/>
            </w:pPr>
            <w:r>
              <w:t xml:space="preserve">no</w:t>
            </w:r>
          </w:p>
        </w:tc>
        <w:tc>
          <w:tcPr/>
          <w:p>
            <w:pPr>
              <w:pStyle w:val="Compact"/>
              <w:jc w:val="left"/>
            </w:pPr>
            <w:r>
              <w:t xml:space="preserve">aditiva: sin inferiores ni complementarios netos</w:t>
            </w:r>
          </w:p>
        </w:tc>
      </w:tr>
      <w:tr>
        <w:tc>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p>
            <w:pPr>
              <w:pStyle w:val="Compact"/>
              <w:jc w:val="left"/>
            </w:pPr>
            <w:r>
              <w:t xml:space="preserve">ecuación de</w:t>
            </w:r>
            <w:r>
              <w:t xml:space="preserve"> </w:t>
            </w:r>
            <w:r>
              <w:rPr>
                <w:smallCaps/>
              </w:rPr>
              <w:t xml:space="preserve">Slutsky</w:t>
            </w:r>
            <w:r>
              <w:t xml:space="preserve"> </w:t>
            </w:r>
            <w:r>
              <w:t xml:space="preserve">en diferencias</w:t>
            </w:r>
          </w:p>
        </w:tc>
        <w:tc>
          <w:tcPr/>
          <w:p>
            <w:pPr>
              <w:pStyle w:val="Compact"/>
              <w:jc w:val="left"/>
            </w:pPr>
            <w:r>
              <w:t xml:space="preserve">sí (local)</w:t>
            </w:r>
          </w:p>
        </w:tc>
        <w:tc>
          <w:tcPr/>
          <w:p>
            <w:pPr>
              <w:pStyle w:val="Compact"/>
              <w:jc w:val="left"/>
            </w:pPr>
            <w:r>
              <w:t xml:space="preserve">no</w:t>
            </w:r>
          </w:p>
        </w:tc>
        <w:tc>
          <w:tcPr/>
          <w:p>
            <w:pPr>
              <w:pStyle w:val="Compact"/>
              <w:jc w:val="left"/>
            </w:pPr>
            <w:r>
              <w:t xml:space="preserve">sí</w:t>
            </w:r>
          </w:p>
        </w:tc>
        <w:tc>
          <w:tcPr/>
          <w:p>
            <w:pPr>
              <w:pStyle w:val="Compact"/>
              <w:jc w:val="left"/>
            </w:pPr>
            <w:r>
              <w:t xml:space="preserve">sin función de gasto explícita</w:t>
            </w:r>
          </w:p>
        </w:tc>
      </w:tr>
      <w:tr>
        <w:tc>
          <w:tcPr/>
          <w:p>
            <w:pPr>
              <w:pStyle w:val="Compact"/>
              <w:jc w:val="left"/>
            </w:pPr>
            <w: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p>
        </w:tc>
        <w:tc>
          <w:tcPr/>
          <w:p>
            <w:pPr>
              <w:pStyle w:val="Compact"/>
              <w:jc w:val="left"/>
            </w:pPr>
            <w:r>
              <w:t xml:space="preserve">FIU</w:t>
            </w:r>
          </w:p>
        </w:tc>
        <w:tc>
          <w:tcPr/>
          <w:p>
            <w:pPr>
              <w:pStyle w:val="Compact"/>
              <w:jc w:val="left"/>
            </w:pPr>
            <w:r>
              <w:t xml:space="preserve">sí</w:t>
            </w:r>
          </w:p>
        </w:tc>
        <w:tc>
          <w:tcPr/>
          <w:p>
            <w:pPr>
              <w:pStyle w:val="Compact"/>
              <w:jc w:val="left"/>
            </w:pPr>
            <w:r>
              <w:t xml:space="preserve">no en general</w:t>
            </w:r>
          </w:p>
        </w:tc>
        <w:tc>
          <w:tcPr/>
          <w:p>
            <w:pPr>
              <w:pStyle w:val="Compact"/>
              <w:jc w:val="left"/>
            </w:pPr>
            <w:r>
              <w:t xml:space="preserve">no</w:t>
            </w:r>
          </w:p>
        </w:tc>
        <w:tc>
          <w:tcPr/>
          <w:p>
            <w:pPr>
              <w:pStyle w:val="Compact"/>
              <w:jc w:val="left"/>
            </w:pPr>
            <w:r>
              <w:t xml:space="preserve">estimación no lineal</w:t>
            </w:r>
          </w:p>
        </w:tc>
      </w:tr>
      <w:tr>
        <w:tc>
          <w:tcPr/>
          <w:p>
            <w:pPr>
              <w:pStyle w:val="Celdatceesalvia"/>
              <w:jc w:val="left"/>
            </w:pPr>
            <w:r>
              <w:t xml:space="preserve">AIDS</w:t>
            </w:r>
            <w:r>
              <w:t xml:space="preserve"> </w:t>
            </w:r>
            <w:r>
              <w:t xml:space="preserve">(</w:t>
            </w:r>
            <w:hyperlink w:anchor="ref-DeatonMuellbauer1980AIDS">
              <w:r>
                <w:rPr>
                  <w:rStyle w:val="Hyperlink"/>
                </w:rPr>
                <w:t xml:space="preserve">Deaton y Muellbauer 1980a</w:t>
              </w:r>
            </w:hyperlink>
            <w:r>
              <w:t xml:space="preserve">)</w:t>
            </w:r>
          </w:p>
        </w:tc>
        <w:tc>
          <w:tcPr/>
          <w:p>
            <w:pPr>
              <w:pStyle w:val="Celdatceesalvia"/>
              <w:jc w:val="left"/>
            </w:pPr>
            <w:r>
              <w:t xml:space="preserve">función de gasto PIGLOG</w:t>
            </w:r>
          </w:p>
        </w:tc>
        <w:tc>
          <w:tcPr/>
          <w:p>
            <w:pPr>
              <w:pStyle w:val="Celdatceesalvia"/>
              <w:jc w:val="left"/>
            </w:pPr>
            <w:r>
              <w:t xml:space="preserve">sí</w:t>
            </w:r>
          </w:p>
        </w:tc>
        <w:tc>
          <w:tcPr/>
          <w:p>
            <w:pPr>
              <w:pStyle w:val="Celdatceesalvia"/>
              <w:jc w:val="left"/>
            </w:pPr>
            <w:r>
              <w:t xml:space="preserve">sí (exacta)</w:t>
            </w:r>
          </w:p>
        </w:tc>
        <w:tc>
          <w:tcPr/>
          <w:p>
            <w:pPr>
              <w:pStyle w:val="Celdatceesalvia"/>
              <w:jc w:val="left"/>
            </w:pPr>
            <w:r>
              <w:t xml:space="preserve">sí (LA-AIDS)</w:t>
            </w:r>
          </w:p>
        </w:tc>
        <w:tc>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p>
            <w:pPr>
              <w:pStyle w:val="Compact"/>
              <w:jc w:val="left"/>
            </w:pPr>
            <w:r>
              <w:t xml:space="preserve">QUAIDS</w:t>
            </w:r>
            <w:r>
              <w:t xml:space="preserve"> </w:t>
            </w:r>
            <w:r>
              <w:t xml:space="preserve">(</w:t>
            </w:r>
            <w:hyperlink w:anchor="ref-BanksBlundellLewbel1997Quadratic">
              <w:r>
                <w:rPr>
                  <w:rStyle w:val="Hyperlink"/>
                </w:rPr>
                <w:t xml:space="preserve">Banks, Blundell y Lewbel 1997</w:t>
              </w:r>
            </w:hyperlink>
            <w:r>
              <w:t xml:space="preserve">)</w:t>
            </w:r>
          </w:p>
        </w:tc>
        <w:tc>
          <w:tcPr/>
          <w:p>
            <w:pPr>
              <w:pStyle w:val="Compact"/>
              <w:jc w:val="left"/>
            </w:pPr>
            <w:r>
              <w:t xml:space="preserve">función de gasto</w:t>
            </w:r>
          </w:p>
        </w:tc>
        <w:tc>
          <w:tcPr/>
          <w:p>
            <w:pPr>
              <w:pStyle w:val="Compact"/>
              <w:jc w:val="left"/>
            </w:pPr>
            <w:r>
              <w:t xml:space="preserve">sí</w:t>
            </w:r>
          </w:p>
        </w:tc>
        <w:tc>
          <w:tcPr/>
          <w:p>
            <w:pPr>
              <w:pStyle w:val="Compact"/>
              <w:jc w:val="left"/>
            </w:pPr>
            <w:r>
              <w:t xml:space="preserve">sí</w:t>
            </w:r>
          </w:p>
        </w:tc>
        <w:tc>
          <w:tcPr/>
          <w:p>
            <w:pPr>
              <w:pStyle w:val="Compact"/>
              <w:jc w:val="left"/>
            </w:pPr>
            <w:r>
              <w:t xml:space="preserve">no</w:t>
            </w:r>
          </w:p>
        </w:tc>
        <w:tc>
          <w:tcPr/>
          <w:p>
            <w:pPr>
              <w:pStyle w:val="Compact"/>
              <w:jc w:val="left"/>
            </w:pPr>
            <w:r>
              <w:t xml:space="preserve">más parámetros</w:t>
            </w:r>
          </w:p>
        </w:tc>
      </w:tr>
    </w:tbl>
    <w:bookmarkEnd w:id="60"/>
    <w:p>
      <w:pPr>
        <w:pStyle w:val="BodyText"/>
      </w:pPr>
      <w:r>
        <w:rPr>
          <w:i/>
          <w:iCs/>
        </w:rPr>
        <w:t xml:space="preserve">Fuente: elaboración propia a partir de</w:t>
      </w:r>
      <w:r>
        <w:rPr>
          <w:i/>
          <w:iCs/>
        </w:rPr>
        <w:t xml:space="preserve"> </w:t>
      </w:r>
      <w:r>
        <w:rPr>
          <w:i/>
          <w:iCs/>
        </w:rPr>
        <w:t xml:space="preserve">Deaton y Muellbauer (</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rPr>
        <w:t xml:space="preserve">Deaton y Muellbauer (</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rPr>
        <w:t xml:space="preserve">Banks, Blundell y Lewbel (</w:t>
      </w:r>
      <w:hyperlink w:anchor="ref-BanksBlundellLewbel1997Quadratic">
        <w:r>
          <w:rPr>
            <w:rStyle w:val="Hyperlink"/>
            <w:i/>
            <w:iCs/>
          </w:rPr>
          <w:t xml:space="preserve">1997</w:t>
        </w:r>
      </w:hyperlink>
      <w:r>
        <w:rPr>
          <w:i/>
          <w:iCs/>
        </w:rPr>
        <w:t xml:space="preserve">)</w:t>
      </w:r>
      <w:r>
        <w:rPr>
          <w:i/>
          <w:iCs/>
        </w:rPr>
        <w:t xml:space="preserve">.</w:t>
      </w:r>
    </w:p>
    <w:bookmarkEnd w:id="61"/>
    <w:bookmarkStart w:id="62" w:name="Xc15a10e5baf44120a54f7c8ffd6de9c6f6aca53"/>
    <w:p>
      <w:pPr>
        <w:pStyle w:val="Heading3"/>
      </w:pPr>
      <w:r>
        <w:t xml:space="preserve">II.2.2.</w:t>
      </w:r>
      <w:r>
        <w:t xml:space="preserve"> </w:t>
      </w:r>
      <w:r>
        <w:t xml:space="preserve">Elaboración de un sistema de ecuaciones completo o exhaustivo</w:t>
      </w:r>
    </w:p>
    <w:p>
      <w:pPr>
        <w:numPr>
          <w:ilvl w:val="0"/>
          <w:numId w:val="1038"/>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pPr>
      <m:oMathPara>
        <m:oMathParaPr>
          <m:jc m:val="center"/>
        </m:oMathParaPr>
        <m:oMath>
          <m:sSub>
            <m:e>
              <m:r>
                <m:t>x</m:t>
              </m:r>
            </m:e>
            <m:sub>
              <m:r>
                <m:t>i</m:t>
              </m:r>
            </m:sub>
          </m:sSub>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r>
              <m:t>p</m:t>
            </m:r>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numPr>
          <w:ilvl w:val="0"/>
          <w:numId w:val="1038"/>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rPr>
          <w:t xml:space="preserve">Strotz 1957</w:t>
        </w:r>
      </w:hyperlink>
      <w:r>
        <w:t xml:space="preserve">;</w:t>
      </w:r>
      <w:r>
        <w:t xml:space="preserve"> </w:t>
      </w:r>
      <w:hyperlink w:anchor="ref-Gorman1959Separable">
        <w:r>
          <w:rPr>
            <w:rStyle w:val="Hyperlink"/>
          </w:rPr>
          <w:t xml:space="preserve">Gorman 1959</w:t>
        </w:r>
      </w:hyperlink>
      <w:r>
        <w:t xml:space="preserve">)</w:t>
      </w:r>
      <w:r>
        <w:t xml:space="preserve">: si la RMS entre dos bienes de un grupo no depende de las cantidades de los bienes de otros grupos, el consumidor puede repartir primero su gasto entre grupos (alimentación, vivienda, transporte…) y después, dentro de cada grupo, en función solo del gasto del grupo y de sus precios. 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38"/>
        </w:numPr>
      </w:pPr>
      <w:r>
        <w:t xml:space="preserve">El nivel de agregación es otro compromiso: con muchas partidas se captan mejor las relaciones de sustitución, pero la estimación se complica; con pocas, al revés.</w:t>
      </w:r>
    </w:p>
    <w:bookmarkEnd w:id="62"/>
    <w:bookmarkStart w:id="63" w:name="muestra-de-datos"/>
    <w:p>
      <w:pPr>
        <w:pStyle w:val="Heading3"/>
      </w:pPr>
      <w:r>
        <w:t xml:space="preserve">II.2.3.</w:t>
      </w:r>
      <w:r>
        <w:t xml:space="preserve"> </w:t>
      </w:r>
      <w:r>
        <w:t xml:space="preserve">Muestra de datos</w:t>
      </w:r>
    </w:p>
    <w:p>
      <w:pPr>
        <w:numPr>
          <w:ilvl w:val="0"/>
          <w:numId w:val="1039"/>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rPr>
          <w:t xml:space="preserve">Instituto Nacional de Estadística 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39"/>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rPr>
          <w:t xml:space="preserve">Instituto Nacional de Estadística 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39"/>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t xml:space="preserve">Deaton (</w:t>
      </w:r>
      <w:hyperlink w:anchor="ref-Deaton1997Analysis">
        <w:r>
          <w:rPr>
            <w:rStyle w:val="Hyperlink"/>
          </w:rPr>
          <w:t xml:space="preserve">1997</w:t>
        </w:r>
      </w:hyperlink>
      <w:r>
        <w:t xml:space="preserve">)</w:t>
      </w:r>
      <w:r>
        <w:t xml:space="preserve"> </w:t>
      </w:r>
      <w:r>
        <w:t xml:space="preserve">para las encuestas de los países en desarrollo.</w:t>
      </w:r>
    </w:p>
    <w:bookmarkEnd w:id="63"/>
    <w:bookmarkStart w:id="64" w:name="X11e43f01e28c2a8cc16a0dac0d333b258c2b647"/>
    <w:p>
      <w:pPr>
        <w:pStyle w:val="Heading3"/>
      </w:pPr>
      <w:r>
        <w:t xml:space="preserve">II.2.4.</w:t>
      </w:r>
      <w:r>
        <w:t xml:space="preserve"> </w:t>
      </w:r>
      <w:r>
        <w:t xml:space="preserve">Especificación econométrica del sistema de demanda</w:t>
      </w:r>
    </w:p>
    <w:p>
      <w:pPr>
        <w:numPr>
          <w:ilvl w:val="0"/>
          <w:numId w:val="1040"/>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rPr>
          <w:t xml:space="preserve">Barten 1969</w:t>
        </w:r>
      </w:hyperlink>
      <w:r>
        <w:t xml:space="preserve">)</w:t>
      </w:r>
      <w:r>
        <w:t xml:space="preserve">.</w:t>
      </w:r>
    </w:p>
    <w:p>
      <w:pPr>
        <w:numPr>
          <w:ilvl w:val="0"/>
          <w:numId w:val="1040"/>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rPr>
          <w:t xml:space="preserve">Pollak y Wales 1981</w:t>
        </w:r>
      </w:hyperlink>
      <w:r>
        <w:t xml:space="preserve">)</w:t>
      </w:r>
      <w:r>
        <w:t xml:space="preserve">.</w:t>
      </w:r>
    </w:p>
    <w:bookmarkEnd w:id="64"/>
    <w:bookmarkStart w:id="65" w:name="resultados-de-las-estimaciones"/>
    <w:p>
      <w:pPr>
        <w:pStyle w:val="Heading3"/>
      </w:pPr>
      <w:r>
        <w:t xml:space="preserve">II.2.5.</w:t>
      </w:r>
      <w:r>
        <w:t xml:space="preserve"> </w:t>
      </w:r>
      <w:r>
        <w:t xml:space="preserve">Resultados de las estimaciones</w:t>
      </w:r>
    </w:p>
    <w:p>
      <w:pPr>
        <w:numPr>
          <w:ilvl w:val="0"/>
          <w:numId w:val="1041"/>
        </w:numPr>
      </w:pPr>
      <w:r>
        <w:t xml:space="preserve">Se obtienen los parámetros y, con ellos, las</w:t>
      </w:r>
      <w:r>
        <w:t xml:space="preserve"> </w:t>
      </w:r>
      <w:r>
        <w:rPr>
          <w:b/>
          <w:bCs/>
        </w:rPr>
        <w:t xml:space="preserve">elasticidades</w:t>
      </w:r>
      <w:r>
        <w:t xml:space="preserve"> </w:t>
      </w:r>
      <w:r>
        <w:t xml:space="preserve">(ecuación (22)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numPr>
          <w:ilvl w:val="0"/>
          <w:numId w:val="1041"/>
        </w:numPr>
      </w:pPr>
      <w:r>
        <w:t xml:space="preserve">La historia de estos contrastes resume la evolución del campo</w:t>
      </w:r>
      <w:r>
        <w:t xml:space="preserve"> </w:t>
      </w:r>
      <w:r>
        <w:t xml:space="preserve">(</w:t>
      </w:r>
      <w:hyperlink w:anchor="ref-AguilarMateos2015Deaton">
        <w:r>
          <w:rPr>
            <w:rStyle w:val="Hyperlink"/>
          </w:rPr>
          <w:t xml:space="preserve">Aguilar García y Mateos Bustamante 2015, 21-22</w:t>
        </w:r>
      </w:hyperlink>
      <w:r>
        <w:t xml:space="preserve">)</w:t>
      </w:r>
      <w:r>
        <w:t xml:space="preserve">:</w:t>
      </w:r>
    </w:p>
    <w:p>
      <w:pPr>
        <w:numPr>
          <w:ilvl w:val="1"/>
          <w:numId w:val="1042"/>
        </w:numPr>
      </w:pPr>
      <w:r>
        <w:t xml:space="preserve">con datos agregados de series temporales, las restricciones se rechazaron con frecuencia, sobre todo la homogeneidad:</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t xml:space="preserve">Deaton (</w:t>
      </w:r>
      <w:hyperlink w:anchor="ref-Deaton1974Analysis">
        <w:r>
          <w:rPr>
            <w:rStyle w:val="Hyperlink"/>
          </w:rPr>
          <w:t xml:space="preserve">1974</w:t>
        </w:r>
      </w:hyperlink>
      <w:r>
        <w:t xml:space="preserve">)</w:t>
      </w:r>
      <w:r>
        <w:t xml:space="preserve">, con datos agregados del Reino Unido, y</w:t>
      </w:r>
      <w:r>
        <w:t xml:space="preserve"> </w:t>
      </w:r>
      <w:r>
        <w:t xml:space="preserve">Deaton y Muellbauer (</w:t>
      </w:r>
      <w:hyperlink w:anchor="ref-DeatonMuellbauer1980AIDS">
        <w:r>
          <w:rPr>
            <w:rStyle w:val="Hyperlink"/>
          </w:rPr>
          <w:t xml:space="preserve">1980a</w:t>
        </w:r>
      </w:hyperlink>
      <w:r>
        <w:t xml:space="preserve">)</w:t>
      </w:r>
      <w:r>
        <w:t xml:space="preserve">, con su propio AIDS;</w:t>
      </w:r>
    </w:p>
    <w:p>
      <w:pPr>
        <w:numPr>
          <w:ilvl w:val="1"/>
          <w:numId w:val="1042"/>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rPr>
          <w:t xml:space="preserve">Deaton y Muellbauer 1980b</w:t>
        </w:r>
      </w:hyperlink>
      <w:r>
        <w:t xml:space="preserve">)</w:t>
      </w:r>
      <w:r>
        <w:t xml:space="preserve">;</w:t>
      </w:r>
    </w:p>
    <w:p>
      <w:pPr>
        <w:numPr>
          <w:ilvl w:val="1"/>
          <w:numId w:val="1042"/>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rPr>
          <w:t xml:space="preserve">Blundell, Browning y Crawford 2003</w:t>
        </w:r>
      </w:hyperlink>
      <w:r>
        <w:t xml:space="preserve">)</w:t>
      </w:r>
      <w:r>
        <w:t xml:space="preserve"> </w:t>
      </w:r>
      <w:r>
        <w:rPr>
          <w:rStyle w:val="Referenciaatema"/>
        </w:rPr>
        <w:t xml:space="preserve">[ver tema 3.A.8]</w:t>
      </w:r>
      <w:r>
        <w:t xml:space="preserve">.</w:t>
      </w:r>
    </w:p>
    <w:p>
      <w:pPr>
        <w:numPr>
          <w:ilvl w:val="0"/>
          <w:numId w:val="1041"/>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rPr>
          <w:t xml:space="preserve">Sanz-Sanz y Romero-Jordán 2012</w:t>
        </w:r>
      </w:hyperlink>
      <w:r>
        <w:t xml:space="preserve">)</w:t>
      </w:r>
      <w:r>
        <w:t xml:space="preserve">.</w:t>
      </w:r>
    </w:p>
    <w:p>
      <w:pPr>
        <w:numPr>
          <w:ilvl w:val="0"/>
          <w:numId w:val="1041"/>
        </w:numPr>
      </w:pPr>
      <w:r>
        <w:t xml:space="preserve">Las empresas, en cambio, cuando necesitan conocer la demanda de sus productos, recurren a encuestas o a experimentos de precios (por ejemplo, rebajar el precio y observar cómo responde la demanda).</w:t>
      </w:r>
    </w:p>
    <w:bookmarkEnd w:id="65"/>
    <w:bookmarkEnd w:id="66"/>
    <w:bookmarkStart w:id="67" w:name="valoración"/>
    <w:p>
      <w:pPr>
        <w:pStyle w:val="Heading2"/>
      </w:pPr>
      <w:r>
        <w:t xml:space="preserve">II.3.</w:t>
      </w:r>
      <w:r>
        <w:t xml:space="preserve"> </w:t>
      </w:r>
      <w:r>
        <w:t xml:space="preserve">Valoración</w:t>
      </w:r>
    </w:p>
    <w:p>
      <w:pPr>
        <w:numPr>
          <w:ilvl w:val="0"/>
          <w:numId w:val="1043"/>
        </w:numPr>
      </w:pPr>
      <w:r>
        <w:rPr>
          <w:b/>
          <w:bCs/>
        </w:rPr>
        <w:t xml:space="preserve">Aportaciones</w:t>
      </w:r>
      <w:r>
        <w:t xml:space="preserve">:</w:t>
      </w:r>
    </w:p>
    <w:p>
      <w:pPr>
        <w:numPr>
          <w:ilvl w:val="1"/>
          <w:numId w:val="1044"/>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44"/>
        </w:numPr>
      </w:pPr>
      <w:r>
        <w:t xml:space="preserve">las restricciones de la teoría pasan a ser hipótesis contrastables;</w:t>
      </w:r>
    </w:p>
    <w:p>
      <w:pPr>
        <w:numPr>
          <w:ilvl w:val="1"/>
          <w:numId w:val="1044"/>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rPr>
          <w:t xml:space="preserve">Deaton 1997</w:t>
        </w:r>
      </w:hyperlink>
      <w:r>
        <w:t xml:space="preserve">)</w:t>
      </w:r>
      <w:r>
        <w:t xml:space="preserve">.</w:t>
      </w:r>
    </w:p>
    <w:p>
      <w:pPr>
        <w:numPr>
          <w:ilvl w:val="0"/>
          <w:numId w:val="1043"/>
        </w:numPr>
      </w:pPr>
      <w:r>
        <w:rPr>
          <w:b/>
          <w:bCs/>
        </w:rPr>
        <w:t xml:space="preserve">Limitaciones</w:t>
      </w:r>
      <w:r>
        <w:t xml:space="preserve">:</w:t>
      </w:r>
    </w:p>
    <w:p>
      <w:pPr>
        <w:numPr>
          <w:ilvl w:val="1"/>
          <w:numId w:val="1045"/>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45"/>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45"/>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43"/>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43"/>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67"/>
    <w:bookmarkEnd w:id="68"/>
    <w:bookmarkStart w:id="94" w:name="aplicaciones-de-la-dualidad"/>
    <w:p>
      <w:pPr>
        <w:pStyle w:val="Heading1"/>
      </w:pPr>
      <w:r>
        <w:t xml:space="preserve">III.</w:t>
      </w:r>
      <w:r>
        <w:t xml:space="preserve"> </w:t>
      </w:r>
      <w:r>
        <w:t xml:space="preserve">Aplicaciones de la dualidad</w:t>
      </w:r>
    </w:p>
    <w:p>
      <w:pPr>
        <w:pStyle w:val="Notaalopositor"/>
      </w:pPr>
      <w:r>
        <w:rPr>
          <w:b/>
          <w:bCs/>
        </w:rPr>
        <w:t xml:space="preserve">Nota al opositor. </w:t>
      </w:r>
      <w:r>
        <w:t xml:space="preserve">En el cante: integrabilidad (3 minutos), ecuación de</w:t>
      </w:r>
      <w:r>
        <w:t xml:space="preserve"> </w:t>
      </w:r>
      <w:r>
        <w:rPr>
          <w:smallCaps/>
        </w:rPr>
        <w:t xml:space="preserve">Slutsky</w:t>
      </w:r>
      <w:r>
        <w:t xml:space="preserve"> </w:t>
      </w:r>
      <w:r>
        <w:t xml:space="preserve">y relaciones netas y brutas (2,5) y medidas de bienestar (6,5). Se dibujan el gráfico de la VC, el</w:t>
      </w:r>
      <w:r>
        <w:t xml:space="preserve"> </w:t>
      </w:r>
      <m:oMath>
        <m:r>
          <m:t>Δ</m:t>
        </m:r>
        <m:r>
          <m:rPr>
            <m:sty m:val="p"/>
          </m:rPr>
          <m:t>E</m:t>
        </m:r>
        <m:r>
          <m:rPr>
            <m:sty m:val="p"/>
          </m:rPr>
          <m:t>C</m:t>
        </m:r>
      </m:oMath>
      <w:r>
        <w:t xml:space="preserve"> </w:t>
      </w:r>
      <w:r>
        <w:t xml:space="preserve">y la VE (gráfico 6)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7). La recuperación de la utilidad a partir de la FIU (gráfico 5),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46"/>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75" w:name="X588f5c22433f4d1e4de6b22a1afee4f3ce1cc2d"/>
    <w:p>
      <w:pPr>
        <w:pStyle w:val="Heading2"/>
      </w:pPr>
      <w:r>
        <w:t xml:space="preserve">III.1.</w:t>
      </w:r>
      <w:r>
        <w:t xml:space="preserve"> </w:t>
      </w:r>
      <w:r>
        <w:t xml:space="preserve">El problema de la integrabilidad de las preferencias</w:t>
      </w:r>
    </w:p>
    <w:p>
      <w:pPr>
        <w:numPr>
          <w:ilvl w:val="0"/>
          <w:numId w:val="1047"/>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t xml:space="preserve">Antonelli (</w:t>
      </w:r>
      <w:hyperlink w:anchor="ref-Antonelli1886Teoria">
        <w:r>
          <w:rPr>
            <w:rStyle w:val="Hyperlink"/>
          </w:rPr>
          <w:t xml:space="preserve">1886</w:t>
        </w:r>
      </w:hyperlink>
      <w:r>
        <w:t xml:space="preserve">)</w:t>
      </w:r>
      <w:r>
        <w:t xml:space="preserve"> </w:t>
      </w:r>
      <w:r>
        <w:t xml:space="preserve">y la respuesta general es de</w:t>
      </w:r>
      <w:r>
        <w:t xml:space="preserve"> </w:t>
      </w:r>
      <w:r>
        <w:t xml:space="preserve">Hurwicz y Uzawa (</w:t>
      </w:r>
      <w:hyperlink w:anchor="ref-HurwiczUzawa1971Integrability">
        <w:r>
          <w:rPr>
            <w:rStyle w:val="Hyperlink"/>
          </w:rPr>
          <w:t xml:space="preserve">1971</w:t>
        </w:r>
      </w:hyperlink>
      <w:r>
        <w:t xml:space="preserve">)</w:t>
      </w:r>
      <w:r>
        <w:t xml:space="preserve">.</w:t>
      </w:r>
    </w:p>
    <w:p>
      <w:pPr>
        <w:numPr>
          <w:ilvl w:val="0"/>
          <w:numId w:val="1047"/>
        </w:numPr>
      </w:pPr>
      <w:r>
        <w:rPr>
          <w:b/>
          <w:bCs/>
        </w:rPr>
        <w:t xml:space="preserve">Teorema de integrabilidad</w:t>
      </w:r>
      <w:r>
        <w:t xml:space="preserve"> </w:t>
      </w:r>
      <w:r>
        <w:t xml:space="preserve">(</w:t>
      </w:r>
      <w:hyperlink w:anchor="ref-MasColellWhinstonGreen1995">
        <w:r>
          <w:rPr>
            <w:rStyle w:val="Hyperlink"/>
          </w:rPr>
          <w:t xml:space="preserve">Mas-Colell, Whinston y Green 1995, párr. 3.H</w:t>
        </w:r>
      </w:hyperlink>
      <w:r>
        <w:t xml:space="preserve">;</w:t>
      </w:r>
      <w:r>
        <w:t xml:space="preserve"> </w:t>
      </w:r>
      <w:hyperlink w:anchor="ref-JehleReny2011Advanced">
        <w:r>
          <w:rPr>
            <w:rStyle w:val="Hyperlink"/>
          </w:rPr>
          <w:t xml:space="preserve">Jehle y Reny 2011</w:t>
        </w:r>
      </w:hyperlink>
      <w:r>
        <w:t xml:space="preserve">, teorema 2.6)</w:t>
      </w:r>
      <w:r>
        <w:t xml:space="preserve">. Una función de demanda</w:t>
      </w:r>
      <w:r>
        <w:t xml:space="preserve"> </w:t>
      </w:r>
      <m:oMath>
        <m:r>
          <m:t>x</m:t>
        </m:r>
        <m:d>
          <m:dPr>
            <m:begChr m:val="("/>
            <m:sepChr m:val=""/>
            <m:endChr m:val=")"/>
            <m:grow/>
          </m:dPr>
          <m:e>
            <m:r>
              <m:t>p</m:t>
            </m:r>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48"/>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w:t>
      </w:r>
    </w:p>
    <w:p>
      <w:pPr>
        <w:numPr>
          <w:ilvl w:val="1"/>
          <w:numId w:val="1048"/>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pPr>
      <m:oMathPara>
        <m:oMathParaPr>
          <m:jc m:val="center"/>
        </m:oMathParaPr>
        <m:oMath>
          <m:sSub>
            <m:e>
              <m:r>
                <m:t>S</m:t>
              </m:r>
            </m:e>
            <m:sub>
              <m:r>
                <m:t>i</m:t>
              </m:r>
              <m:r>
                <m:t>j</m:t>
              </m:r>
            </m:sub>
          </m:sSub>
          <m:d>
            <m:dPr>
              <m:begChr m:val="("/>
              <m:sepChr m:val=""/>
              <m:endChr m:val=")"/>
              <m:grow/>
            </m:dPr>
            <m:e>
              <m:r>
                <m:t>p</m:t>
              </m:r>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r>
                <m:t>p</m:t>
              </m:r>
              <m:r>
                <m:rPr>
                  <m:sty m:val="p"/>
                </m:rPr>
                <m:t>,</m:t>
              </m:r>
              <m:bar>
                <m:barPr>
                  <m:pos m:val="top"/>
                </m:barPr>
                <m:e>
                  <m:r>
                    <m:t>W</m:t>
                  </m:r>
                </m:e>
              </m:bar>
            </m:e>
          </m:d>
          <m:r>
            <m:rPr>
              <m:sty m:val="p"/>
            </m:rPr>
            <m:t>;</m:t>
          </m:r>
        </m:oMath>
      </m:oMathPara>
    </w:p>
    <w:p>
      <w:pPr>
        <w:numPr>
          <w:ilvl w:val="1"/>
          <w:numId w:val="1048"/>
        </w:numPr>
      </w:pPr>
      <w:r>
        <w:t xml:space="preserve">la</w:t>
      </w:r>
      <w:r>
        <w:t xml:space="preserve"> </w:t>
      </w:r>
      <w:r>
        <w:rPr>
          <w:i/>
          <w:iCs/>
        </w:rPr>
        <w:t xml:space="preserve">negatividad</w:t>
      </w:r>
      <w:r>
        <w:t xml:space="preserve">:</w:t>
      </w:r>
      <w:r>
        <w:t xml:space="preserve"> </w:t>
      </w:r>
      <m:oMath>
        <m:r>
          <m:t>S</m:t>
        </m:r>
        <m:d>
          <m:dPr>
            <m:begChr m:val="("/>
            <m:sepChr m:val=""/>
            <m:endChr m:val=")"/>
            <m:grow/>
          </m:dPr>
          <m:e>
            <m:r>
              <m:t>p</m:t>
            </m:r>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rPr>
          <w:t xml:space="preserve">Mas-Colell, Whinston y Green 1995</w:t>
        </w:r>
      </w:hyperlink>
      <w:r>
        <w:t xml:space="preserve">, prop. 3.H.1)</w:t>
      </w:r>
      <w:r>
        <w:t xml:space="preserve">.</w:t>
      </w:r>
      <w:r>
        <w:rPr>
          <w:rStyle w:val="FootnoteReference"/>
        </w:rPr>
        <w:footnoteReference w:id="69"/>
      </w:r>
    </w:p>
    <w:p>
      <w:pPr>
        <w:numPr>
          <w:ilvl w:val="0"/>
          <w:numId w:val="1047"/>
        </w:numPr>
      </w:pPr>
      <w:r>
        <w:rPr>
          <w:b/>
          <w:bCs/>
        </w:rPr>
        <w:t xml:space="preserve">Intuición de la demostración</w:t>
      </w:r>
      <w:r>
        <w:t xml:space="preserve"> </w:t>
      </w:r>
      <w:r>
        <w:t xml:space="preserve">(por dualidad), siguiendo a</w:t>
      </w:r>
      <w:r>
        <w:t xml:space="preserve"> </w:t>
      </w:r>
      <w:r>
        <w:t xml:space="preserve">Hurwicz y Uzawa (</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49"/>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70"/>
      </w:r>
    </w:p>
    <w:p>
      <w:pPr>
        <w:pStyle w:val="BodyText"/>
      </w:pPr>
      <m:oMathPara>
        <m:oMathParaPr>
          <m:jc m:val="center"/>
        </m:oMathParaPr>
        <m:oMath>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r>
                <m:t>p</m:t>
              </m:r>
            </m:sub>
          </m:sSub>
          <m:r>
            <m:t>E</m:t>
          </m:r>
          <m:d>
            <m:dPr>
              <m:begChr m:val="("/>
              <m:sepChr m:val=""/>
              <m:endChr m:val=")"/>
              <m:grow/>
            </m:dPr>
            <m:e>
              <m:r>
                <m:t>p</m:t>
              </m:r>
              <m:r>
                <m:rPr>
                  <m:sty m:val="p"/>
                </m:rPr>
                <m:t>,</m:t>
              </m:r>
              <m:bar>
                <m:barPr>
                  <m:pos m:val="top"/>
                </m:barPr>
                <m:e>
                  <m:r>
                    <m:t>U</m:t>
                  </m:r>
                </m:e>
              </m:bar>
            </m:e>
          </m:d>
          <m:r>
            <m:rPr>
              <m:sty m:val="p"/>
            </m:rPr>
            <m:t>=</m:t>
          </m:r>
          <m:r>
            <m:t>x</m:t>
          </m:r>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r>
                  <m:t>p</m:t>
                </m:r>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(25)</w:t>
      </w:r>
      <w:r>
        <w:t xml:space="preserve"> </w:t>
      </w:r>
      <w:r>
        <w:t xml:space="preserve">(</w:t>
      </w:r>
      <w:hyperlink w:anchor="ref-MasColellWhinstonGreen1995">
        <w:r>
          <w:rPr>
            <w:rStyle w:val="Hyperlink"/>
          </w:rPr>
          <w:t xml:space="preserve">Mas-Colell, Whinston y Green 1995, párr. 3.H</w:t>
        </w:r>
      </w:hyperlink>
      <w:r>
        <w:t xml:space="preserve">)</w:t>
      </w:r>
      <w:r>
        <w:t xml:space="preserve">.</w:t>
      </w:r>
    </w:p>
    <w:p>
      <w:pPr>
        <w:numPr>
          <w:ilvl w:val="1"/>
          <w:numId w:val="1049"/>
        </w:numPr>
      </w:pPr>
      <w:r>
        <w:rPr>
          <w:i/>
          <w:iCs/>
        </w:rPr>
        <w:t xml:space="preserve">Que sea una verdadera función de gasto</w:t>
      </w:r>
      <w:r>
        <w:t xml:space="preserve">. La solución es homogénea de grado uno y creciente en</w:t>
      </w:r>
      <w:r>
        <w:t xml:space="preserve"> </w:t>
      </w:r>
      <m:oMath>
        <m:r>
          <m:t>p</m:t>
        </m:r>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49"/>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r>
              <m:t>p</m:t>
            </m:r>
            <m:r>
              <m:rPr>
                <m:sty m:val="p"/>
              </m:rPr>
              <m:t>,</m:t>
            </m:r>
            <m:r>
              <m:t>V</m:t>
            </m:r>
          </m:e>
        </m:d>
        <m:r>
          <m:rPr>
            <m:sty m:val="p"/>
          </m:rPr>
          <m:t>=</m:t>
        </m:r>
        <m:bar>
          <m:barPr>
            <m:pos m:val="top"/>
          </m:barPr>
          <m:e>
            <m:r>
              <m:t>W</m:t>
            </m:r>
          </m:e>
        </m:bar>
      </m:oMath>
      <w:r>
        <w:t xml:space="preserve"> </w:t>
      </w:r>
      <w:r>
        <w:t xml:space="preserve">(ecuación (13)), y de ahí la utilidad directa: el nivel de utilidad de una cesta</w:t>
      </w:r>
      <w:r>
        <w:t xml:space="preserve"> </w:t>
      </w:r>
      <m:oMath>
        <m:sSup>
          <m:e>
            <m:r>
              <m:t>x</m:t>
            </m:r>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r>
              <m:t>x</m:t>
            </m:r>
          </m:e>
          <m:sup>
            <m:r>
              <m:t>0</m:t>
            </m:r>
          </m:sup>
        </m:sSup>
      </m:oMath>
      <w:r>
        <w:t xml:space="preserve"> </w:t>
      </w:r>
      <w:r>
        <w:t xml:space="preserve">es asequible,</w:t>
      </w:r>
    </w:p>
    <w:p>
      <w:pPr>
        <w:pStyle w:val="BodyText"/>
      </w:pPr>
      <m:oMathPara>
        <m:oMathParaPr>
          <m:jc m:val="center"/>
        </m:oMathParaPr>
        <m:oMath>
          <m:r>
            <m:t>U</m:t>
          </m:r>
          <m:d>
            <m:dPr>
              <m:begChr m:val="("/>
              <m:sepChr m:val=""/>
              <m:endChr m:val=")"/>
              <m:grow/>
            </m:dPr>
            <m:e>
              <m:sSup>
                <m:e>
                  <m:r>
                    <m:t>x</m:t>
                  </m:r>
                </m:e>
                <m:sup>
                  <m:r>
                    <m:t>0</m:t>
                  </m:r>
                </m:sup>
              </m:sSup>
            </m:e>
          </m:d>
          <m:r>
            <m:rPr>
              <m:sty m:val="p"/>
            </m:rPr>
            <m:t>=</m:t>
          </m:r>
          <m:limLow>
            <m:e>
              <m:r>
                <m:rPr>
                  <m:sty m:val="p"/>
                </m:rPr>
                <m:t>min</m:t>
              </m:r>
            </m:e>
            <m:lim>
              <m:d>
                <m:dPr>
                  <m:begChr m:val="("/>
                  <m:sepChr m:val=""/>
                  <m:endChr m:val=")"/>
                  <m:grow/>
                </m:dPr>
                <m:e>
                  <m:r>
                    <m:t>p</m:t>
                  </m:r>
                  <m:r>
                    <m:rPr>
                      <m:sty m:val="p"/>
                    </m:rPr>
                    <m:t>,</m:t>
                  </m:r>
                  <m:bar>
                    <m:barPr>
                      <m:pos m:val="top"/>
                    </m:barPr>
                    <m:e>
                      <m:r>
                        <m:t>W</m:t>
                      </m:r>
                    </m:e>
                  </m:bar>
                </m:e>
              </m:d>
            </m:lim>
          </m:limLow>
          <m:r>
            <m:t> </m:t>
          </m:r>
          <m:r>
            <m:t>V</m:t>
          </m:r>
          <m:d>
            <m:dPr>
              <m:begChr m:val="("/>
              <m:sepChr m:val=""/>
              <m:endChr m:val=")"/>
              <m:grow/>
            </m:dPr>
            <m:e>
              <m:r>
                <m:t>p</m:t>
              </m:r>
              <m:r>
                <m:rPr>
                  <m:sty m:val="p"/>
                </m:rPr>
                <m:t>,</m:t>
              </m:r>
              <m:bar>
                <m:barPr>
                  <m:pos m:val="top"/>
                </m:barPr>
                <m:e>
                  <m:r>
                    <m:t>W</m:t>
                  </m:r>
                </m:e>
              </m:bar>
            </m:e>
          </m:d>
          <m:r>
            <m:t> </m:t>
          </m:r>
          <m:r>
            <m:rPr>
              <m:nor/>
              <m:sty m:val="p"/>
            </m:rPr>
            <m:t>s.a.</m:t>
          </m:r>
          <m:r>
            <m:t> </m:t>
          </m:r>
          <m:r>
            <m:t>p</m:t>
          </m:r>
          <m:r>
            <m:rPr>
              <m:sty m:val="p"/>
            </m:rPr>
            <m:t>⋅</m:t>
          </m:r>
          <m:sSup>
            <m:e>
              <m:r>
                <m:t>x</m:t>
              </m:r>
            </m:e>
            <m:sup>
              <m:r>
                <m:t>0</m:t>
              </m:r>
            </m:sup>
          </m:sSup>
          <m:r>
            <m:rPr>
              <m:sty m:val="p"/>
            </m:rPr>
            <m:t>≤</m:t>
          </m:r>
          <m:bar>
            <m:barPr>
              <m:pos m:val="top"/>
            </m:barPr>
            <m:e>
              <m:r>
                <m:t>W</m:t>
              </m:r>
            </m:e>
          </m:bar>
          <m:r>
            <m:rPr>
              <m:sty m:val="p"/>
            </m:rPr>
            <m:t>,</m:t>
          </m:r>
        </m:oMath>
      </m:oMathPara>
    </w:p>
    <w:p>
      <w:pPr>
        <w:numPr>
          <w:ilvl w:val="1"/>
          <w:numId w:val="1000"/>
        </w:numPr>
      </w:pPr>
      <w:r>
        <w:t xml:space="preserve">porque con cualquiera de esos presupuestos puede comprarse</w:t>
      </w:r>
      <w:r>
        <w:t xml:space="preserve"> </w:t>
      </w:r>
      <m:oMath>
        <m:sSup>
          <m:e>
            <m:r>
              <m:t>x</m:t>
            </m:r>
          </m:e>
          <m:sup>
            <m:r>
              <m:t>0</m:t>
            </m:r>
          </m:sup>
        </m:sSup>
      </m:oMath>
      <w:r>
        <w:t xml:space="preserve">, de modo que se alcanza al menos</w:t>
      </w:r>
      <w:r>
        <w:t xml:space="preserve"> </w:t>
      </w:r>
      <m:oMath>
        <m:r>
          <m:t>U</m:t>
        </m:r>
        <m:d>
          <m:dPr>
            <m:begChr m:val="("/>
            <m:sepChr m:val=""/>
            <m:endChr m:val=")"/>
            <m:grow/>
          </m:dPr>
          <m:e>
            <m:sSup>
              <m:e>
                <m:r>
                  <m:t>x</m:t>
                </m:r>
              </m:e>
              <m:sup>
                <m:r>
                  <m:t>0</m:t>
                </m:r>
              </m:sup>
            </m:sSup>
          </m:e>
        </m:d>
      </m:oMath>
      <w:r>
        <w:t xml:space="preserve">, y con el presupuesto en el que</w:t>
      </w:r>
      <w:r>
        <w:t xml:space="preserve"> </w:t>
      </w:r>
      <m:oMath>
        <m:sSup>
          <m:e>
            <m:r>
              <m:t>x</m:t>
            </m:r>
          </m:e>
          <m:sup>
            <m:r>
              <m:t>0</m:t>
            </m:r>
          </m:sup>
        </m:sSup>
      </m:oMath>
      <w:r>
        <w:t xml:space="preserve"> </w:t>
      </w:r>
      <w:r>
        <w:t xml:space="preserve">es la cesta elegida se alcanza exactamente</w:t>
      </w:r>
      <w:r>
        <w:t xml:space="preserve"> </w:t>
      </w:r>
      <m:oMath>
        <m:r>
          <m:t>U</m:t>
        </m:r>
        <m:d>
          <m:dPr>
            <m:begChr m:val="("/>
            <m:sepChr m:val=""/>
            <m:endChr m:val=")"/>
            <m:grow/>
          </m:dPr>
          <m:e>
            <m:sSup>
              <m:e>
                <m:r>
                  <m:t>x</m:t>
                </m:r>
              </m:e>
              <m:sup>
                <m:r>
                  <m:t>0</m:t>
                </m:r>
              </m:sup>
            </m:sSup>
          </m:e>
        </m:d>
      </m:oMath>
      <w:r>
        <w:t xml:space="preserve"> </w:t>
      </w:r>
      <w:r>
        <w:t xml:space="preserve">(gráfico 5).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r>
          <m:t>x</m:t>
        </m:r>
        <m:r>
          <m:rPr>
            <m:sty m:val="p"/>
          </m:rPr>
          <m:t>:</m:t>
        </m:r>
        <m:r>
          <m:t>p</m:t>
        </m:r>
        <m:r>
          <m:rPr>
            <m:sty m:val="p"/>
          </m:rPr>
          <m:t>⋅</m:t>
        </m:r>
        <m:r>
          <m:t>x</m:t>
        </m:r>
        <m:r>
          <m:rPr>
            <m:sty m:val="p"/>
          </m:rPr>
          <m:t>≥</m:t>
        </m:r>
        <m:r>
          <m:t>E</m:t>
        </m:r>
        <m:d>
          <m:dPr>
            <m:begChr m:val="("/>
            <m:sepChr m:val=""/>
            <m:endChr m:val=")"/>
            <m:grow/>
          </m:dPr>
          <m:e>
            <m:r>
              <m:t>p</m:t>
            </m:r>
            <m:r>
              <m:rPr>
                <m:sty m:val="p"/>
              </m:rPr>
              <m:t>,</m:t>
            </m:r>
            <m:bar>
              <m:barPr>
                <m:pos m:val="top"/>
              </m:barPr>
              <m:e>
                <m:r>
                  <m:t>U</m:t>
                </m:r>
              </m:e>
            </m:bar>
          </m:e>
        </m:d>
        <m:r>
          <m:t> </m:t>
        </m:r>
        <m:r>
          <m:rPr>
            <m:nor/>
            <m:sty m:val="p"/>
          </m:rPr>
          <m:t>para todo</m:t>
        </m:r>
        <m:r>
          <m:t> </m:t>
        </m:r>
        <m:r>
          <m:t>p</m:t>
        </m:r>
        <m:r>
          <m:rPr>
            <m:sty m:val="p"/>
          </m:rPr>
          <m:t>≫</m:t>
        </m:r>
        <m:r>
          <m:t>0</m:t>
        </m:r>
        <m:r>
          <m:rPr>
            <m:sty m:val="p"/>
          </m:rPr>
          <m:t>}</m:t>
        </m:r>
      </m:oMath>
      <w:r>
        <w:t xml:space="preserve"> </w:t>
      </w:r>
      <w:r>
        <w:t xml:space="preserve">(</w:t>
      </w:r>
      <w:hyperlink w:anchor="ref-MasColellWhinstonGreen1995">
        <w:r>
          <w:rPr>
            <w:rStyle w:val="Hyperlink"/>
          </w:rPr>
          <w:t xml:space="preserve">Mas-Colell, Whinston y Green 1995, párr. 3.H</w:t>
        </w:r>
      </w:hyperlink>
      <w:r>
        <w:t xml:space="preserve">)</w:t>
      </w:r>
      <w:r>
        <w:t xml:space="preserve">.</w:t>
      </w:r>
    </w:p>
    <w:bookmarkStart w:id="74" w:name="fig:integrabilidad"/>
    <w:p>
      <w:pPr>
        <w:pStyle w:val="ImageCaption"/>
      </w:pPr>
      <w:r>
        <w:t xml:space="preserve">Gráfico 5.–</w:t>
      </w:r>
      <w:r>
        <w:t xml:space="preserve"> </w:t>
      </w:r>
      <w:r>
        <w:t xml:space="preserve">Recuperación de la utilidad a partir de la función indirecta de utilidad</w:t>
      </w:r>
    </w:p>
    <w:p>
      <w:pPr>
        <w:pStyle w:val="CaptionedFigure"/>
      </w:pPr>
      <w:r>
        <w:drawing>
          <wp:inline>
            <wp:extent cx="3171347" cy="2538301"/>
            <wp:effectExtent b="0" l="0" r="0" t="0"/>
            <wp:docPr descr="" title="" id="72" name="Picture"/>
            <a:graphic>
              <a:graphicData uri="http://schemas.openxmlformats.org/drawingml/2006/picture">
                <pic:pic>
                  <pic:nvPicPr>
                    <pic:cNvPr descr="C:\Users\vgutierrez\Documents\src\victorgutierrezmarcos.github.io-revision\oposicion\temario\fuentes\3A09\graficos/recuperar-utilidad.png" id="73" name="Picture"/>
                    <pic:cNvPicPr>
                      <a:picLocks noChangeArrowheads="1" noChangeAspect="1"/>
                    </pic:cNvPicPr>
                  </pic:nvPicPr>
                  <pic:blipFill>
                    <a:blip r:embed="rId71"/>
                    <a:stretch>
                      <a:fillRect/>
                    </a:stretch>
                  </pic:blipFill>
                  <pic:spPr bwMode="auto">
                    <a:xfrm>
                      <a:off x="0" y="0"/>
                      <a:ext cx="3171347" cy="2538301"/>
                    </a:xfrm>
                    <a:prstGeom prst="rect">
                      <a:avLst/>
                    </a:prstGeom>
                    <a:noFill/>
                    <a:ln w="9525">
                      <a:noFill/>
                      <a:headEnd/>
                      <a:tailEnd/>
                    </a:ln>
                  </pic:spPr>
                </pic:pic>
              </a:graphicData>
            </a:graphic>
          </wp:inline>
        </w:drawing>
      </w:r>
    </w:p>
    <w:bookmarkEnd w:id="74"/>
    <w:p>
      <w:pPr>
        <w:pStyle w:val="Piedeimagen"/>
      </w:pPr>
      <w:r>
        <w:t xml:space="preserve">Fuente: elaboración propia basada en</w:t>
      </w:r>
      <w:r>
        <w:t xml:space="preserve"> </w:t>
      </w:r>
      <w:r>
        <w:t xml:space="preserve">Maté García y Pérez Domínguez (</w:t>
      </w:r>
      <w:hyperlink w:anchor="ref-MatePerez2007Microeconomia">
        <w:r>
          <w:rPr>
            <w:rStyle w:val="Hyperlink"/>
          </w:rPr>
          <w:t xml:space="preserve">2007</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3.H</w:t>
        </w:r>
      </w:hyperlink>
      <w:r>
        <w:t xml:space="preserve">)</w:t>
      </w:r>
      <w:r>
        <w:t xml:space="preserve">.</w:t>
      </w:r>
    </w:p>
    <w:p>
      <w:pPr>
        <w:numPr>
          <w:ilvl w:val="0"/>
          <w:numId w:val="1050"/>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t xml:space="preserve">Houthakker (</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el contraste.</w:t>
      </w:r>
    </w:p>
    <w:p>
      <w:pPr>
        <w:numPr>
          <w:ilvl w:val="0"/>
          <w:numId w:val="1050"/>
        </w:numPr>
      </w:pPr>
      <w:r>
        <w:rPr>
          <w:b/>
          <w:bCs/>
        </w:rPr>
        <w:t xml:space="preserve">Relevancia</w:t>
      </w:r>
      <w:r>
        <w:t xml:space="preserve">:</w:t>
      </w:r>
    </w:p>
    <w:p>
      <w:pPr>
        <w:numPr>
          <w:ilvl w:val="1"/>
          <w:numId w:val="1051"/>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51"/>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51"/>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rPr>
          <w:t xml:space="preserve">Hausman 1981</w:t>
        </w:r>
      </w:hyperlink>
      <w:r>
        <w:t xml:space="preserve">)</w:t>
      </w:r>
      <w:r>
        <w:t xml:space="preserve"> </w:t>
      </w:r>
      <w:r>
        <w:t xml:space="preserve">(III.3).</w:t>
      </w:r>
    </w:p>
    <w:p>
      <w:pPr>
        <w:numPr>
          <w:ilvl w:val="0"/>
          <w:numId w:val="1050"/>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75"/>
    <w:bookmarkStart w:id="77" w:name="X51732a2724dbde895c7958178f8f73475ab9c69"/>
    <w:p>
      <w:pPr>
        <w:pStyle w:val="Heading2"/>
      </w:pPr>
      <w:r>
        <w:t xml:space="preserve">III.2.</w:t>
      </w:r>
      <w:r>
        <w:t xml:space="preserve"> </w:t>
      </w:r>
      <w:r>
        <w:t xml:space="preserve">La ecuación de Slutsky y la clasificación de los bienes</w:t>
      </w:r>
    </w:p>
    <w:p>
      <w:pPr>
        <w:numPr>
          <w:ilvl w:val="0"/>
          <w:numId w:val="1052"/>
        </w:numPr>
      </w:pPr>
      <w:r>
        <w:t xml:space="preserve">La dualidad entre demandas da la</w:t>
      </w:r>
      <w:r>
        <w:t xml:space="preserve"> </w:t>
      </w:r>
      <w:r>
        <w:rPr>
          <w:i/>
          <w:iCs/>
        </w:rPr>
        <w:t xml:space="preserve">demostración</w:t>
      </w:r>
      <w:r>
        <w:t xml:space="preserve"> </w:t>
      </w:r>
      <w:r>
        <w:t xml:space="preserve">de la ecuación de</w:t>
      </w:r>
      <w:r>
        <w:t xml:space="preserve"> </w:t>
      </w:r>
      <w:r>
        <w:t xml:space="preserve">Slutsky (</w:t>
      </w:r>
      <w:hyperlink w:anchor="ref-Slutsky1915Bilancio">
        <w:r>
          <w:rPr>
            <w:rStyle w:val="Hyperlink"/>
          </w:rPr>
          <w:t xml:space="preserve">1915</w:t>
        </w:r>
      </w:hyperlink>
      <w:r>
        <w:t xml:space="preserve">)</w:t>
      </w:r>
      <w:r>
        <w:t xml:space="preserve">. Partimos de 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w:t>
      </w:r>
      <w:r>
        <w:t xml:space="preserve">(ecuación (14)), que se cumple para todo</w:t>
      </w:r>
      <w:r>
        <w:t xml:space="preserve"> </w:t>
      </w:r>
      <m:oMath>
        <m:r>
          <m:t>p</m:t>
        </m:r>
      </m:oMath>
      <w:r>
        <w:t xml:space="preserve">, y derivamos respecto a</w:t>
      </w:r>
      <w:r>
        <w:t xml:space="preserve"> </w:t>
      </w:r>
      <m:oMath>
        <m:sSub>
          <m:e>
            <m:r>
              <m:t>p</m:t>
            </m:r>
          </m:e>
          <m:sub>
            <m:r>
              <m:t>j</m:t>
            </m:r>
          </m:sub>
        </m:sSub>
      </m:oMath>
      <w:r>
        <w:t xml:space="preserve">. Por el lema de</w:t>
      </w:r>
      <w:r>
        <w:t xml:space="preserve"> </w:t>
      </w:r>
      <w:r>
        <w:rPr>
          <w:smallCaps/>
        </w:rPr>
        <w:t xml:space="preserve">Shephard</w:t>
      </w:r>
      <w:r>
        <w:t xml:space="preserve">,</w:t>
      </w:r>
      <w:r>
        <w:t xml:space="preserve"> </w:t>
      </w:r>
      <m:oMath>
        <m:r>
          <m:rPr>
            <m:sty m:val="p"/>
          </m:rPr>
          <m:t>∂</m:t>
        </m:r>
        <m:r>
          <m:t>E</m:t>
        </m:r>
        <m:r>
          <m:rPr>
            <m:sty m:val="p"/>
          </m:rPr>
          <m:t>/</m:t>
        </m:r>
        <m:r>
          <m:rPr>
            <m:sty m:val="p"/>
          </m:rPr>
          <m:t>∂</m:t>
        </m:r>
        <m:sSub>
          <m:e>
            <m:r>
              <m:t>p</m:t>
            </m:r>
          </m:e>
          <m:sub>
            <m:r>
              <m:t>j</m:t>
            </m:r>
          </m:sub>
        </m:sSub>
        <m:r>
          <m:rPr>
            <m:sty m:val="p"/>
          </m:rPr>
          <m:t>=</m:t>
        </m:r>
        <m:sSub>
          <m:e>
            <m:r>
              <m:t>h</m:t>
            </m:r>
          </m:e>
          <m:sub>
            <m:r>
              <m:t>j</m:t>
            </m:r>
          </m:sub>
        </m:sSub>
        <m:r>
          <m:rPr>
            <m:sty m:val="p"/>
          </m:rPr>
          <m:t>=</m:t>
        </m:r>
        <m:sSub>
          <m:e>
            <m:r>
              <m:t>x</m:t>
            </m:r>
          </m:e>
          <m:sub>
            <m:r>
              <m:t>j</m:t>
            </m:r>
          </m:sub>
        </m:sSub>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t> </m:t>
          </m:r>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Vale para el precio propio (</w:t>
      </w:r>
      <m:oMath>
        <m:r>
          <m:t>i</m:t>
        </m:r>
        <m:r>
          <m:rPr>
            <m:sty m:val="p"/>
          </m:rPr>
          <m:t>=</m:t>
        </m:r>
        <m:r>
          <m:t>j</m:t>
        </m:r>
      </m:oMath>
      <w:r>
        <w:t xml:space="preserve">) y para los cruzados (</w:t>
      </w:r>
      <m:oMath>
        <m:r>
          <m:t>i</m:t>
        </m:r>
        <m:r>
          <m:rPr>
            <m:sty m:val="p"/>
          </m:rPr>
          <m:t>≠</m:t>
        </m:r>
        <m:r>
          <m:t>j</m:t>
        </m:r>
      </m:oMath>
      <w:r>
        <w:t xml:space="preserve">). Es la misma derivación del anexo de</w:t>
      </w:r>
      <w:r>
        <w:t xml:space="preserve"> </w:t>
      </w:r>
      <w:r>
        <w:rPr>
          <w:rStyle w:val="Referenciaatema"/>
        </w:rPr>
        <w:t xml:space="preserve">[ver tema 3.A.8]</w:t>
      </w:r>
      <w:r>
        <w:t xml:space="preserve">.</w:t>
      </w:r>
    </w:p>
    <w:p>
      <w:pPr>
        <w:numPr>
          <w:ilvl w:val="1"/>
          <w:numId w:val="1053"/>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5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53"/>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52"/>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(25), y contrastar sus propiedades.</w:t>
      </w:r>
    </w:p>
    <w:p>
      <w:pPr>
        <w:numPr>
          <w:ilvl w:val="0"/>
          <w:numId w:val="1052"/>
        </w:numPr>
      </w:pPr>
      <w:r>
        <w:rPr>
          <w:b/>
          <w:bCs/>
        </w:rPr>
        <w:t xml:space="preserve">Propiedades de la 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r>
          <m:rPr>
            <m:sty m:val="p"/>
          </m:rPr>
          <m:t>=</m:t>
        </m:r>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oMath>
      <w:r>
        <w:t xml:space="preserve">:</w:t>
      </w:r>
    </w:p>
    <w:p>
      <w:pPr>
        <w:numPr>
          <w:ilvl w:val="1"/>
          <w:numId w:val="1054"/>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54"/>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54"/>
        </w:numPr>
      </w:pPr>
      <m:oMath>
        <m:r>
          <m:t>S</m:t>
        </m:r>
        <m:r>
          <m:t> </m:t>
        </m:r>
        <m:r>
          <m:t>p</m:t>
        </m:r>
        <m:r>
          <m:rPr>
            <m:sty m:val="p"/>
          </m:rPr>
          <m:t>=</m:t>
        </m:r>
        <m:r>
          <m:t>0</m:t>
        </m:r>
      </m:oMath>
      <w:r>
        <w:t xml:space="preserve">, por la homogeneidad de grado cero de</w:t>
      </w:r>
      <w:r>
        <w:t xml:space="preserve"> </w:t>
      </w:r>
      <m:oMath>
        <m:r>
          <m:t>h</m:t>
        </m:r>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p>
      <w:pPr>
        <w:numPr>
          <w:ilvl w:val="0"/>
          <w:numId w:val="1052"/>
        </w:numPr>
      </w:pPr>
      <w:r>
        <w:rPr>
          <w:b/>
          <w:bCs/>
        </w:rPr>
        <w:t xml:space="preserve">Clasificación de los bienes</w:t>
      </w:r>
      <w:r>
        <w:t xml:space="preserve">. Las tablas completas, con sus colores, están en</w:t>
      </w:r>
      <w:r>
        <w:t xml:space="preserve"> </w:t>
      </w:r>
      <w:r>
        <w:rPr>
          <w:rStyle w:val="Referenciaatema"/>
        </w:rPr>
        <w:t xml:space="preserve">[ver tema 3.A.8]</w:t>
      </w:r>
      <w:r>
        <w:t xml:space="preserve">; lo esencial que aporta la dualidad es:</w:t>
      </w:r>
    </w:p>
    <w:p>
      <w:pPr>
        <w:numPr>
          <w:ilvl w:val="1"/>
          <w:numId w:val="1055"/>
        </w:numPr>
      </w:pPr>
      <w:r>
        <w:rPr>
          <w:i/>
          <w:iCs/>
        </w:rPr>
        <w:t xml:space="preserve">Precio propio</w:t>
      </w:r>
      <w:r>
        <w:t xml:space="preserve">: como</w:t>
      </w:r>
      <w:r>
        <w:t xml:space="preserve"> </w:t>
      </w:r>
      <m:oMath>
        <m:sSub>
          <m:e>
            <m:r>
              <m:t>S</m:t>
            </m:r>
          </m:e>
          <m:sub>
            <m:r>
              <m:t>i</m:t>
            </m:r>
            <m:r>
              <m:t>i</m:t>
            </m:r>
          </m:sub>
        </m:sSub>
        <m:r>
          <m:rPr>
            <m:sty m:val="p"/>
          </m:rPr>
          <m:t>≤</m:t>
        </m:r>
        <m:r>
          <m:t>0</m:t>
        </m:r>
      </m:oMath>
      <w:r>
        <w:t xml:space="preserve">, un bien</w:t>
      </w:r>
      <w:r>
        <w:t xml:space="preserve"> </w:t>
      </w:r>
      <w:r>
        <w:rPr>
          <w:i/>
          <w:iCs/>
        </w:rPr>
        <w:t xml:space="preserve">normal</w:t>
      </w:r>
      <w:r>
        <w:t xml:space="preserve"> </w:t>
      </w:r>
      <w:r>
        <w:t xml:space="preserve">es siempre</w:t>
      </w:r>
      <w:r>
        <w:t xml:space="preserve"> </w:t>
      </w:r>
      <w:r>
        <w:rPr>
          <w:i/>
          <w:iCs/>
        </w:rPr>
        <w:t xml:space="preserve">ordinario</w:t>
      </w:r>
      <w:r>
        <w:t xml:space="preserve">; 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 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rPr>
          <w:t xml:space="preserve">Veblen 1899</w:t>
        </w:r>
      </w:hyperlink>
      <w:r>
        <w:t xml:space="preserve">)</w:t>
      </w:r>
      <w:r>
        <w:t xml:space="preserve"> </w:t>
      </w:r>
      <w:r>
        <w:rPr>
          <w:rStyle w:val="Referenciaatema"/>
        </w:rPr>
        <w:t xml:space="preserve">[ver tema 3.A.8]</w:t>
      </w:r>
      <w:r>
        <w:t xml:space="preserve">.</w:t>
      </w:r>
    </w:p>
    <w:p>
      <w:pPr>
        <w:numPr>
          <w:ilvl w:val="1"/>
          <w:numId w:val="1055"/>
        </w:numPr>
      </w:pPr>
      <w:r>
        <w:rPr>
          <w:i/>
          <w:iCs/>
        </w:rPr>
        <w:t xml:space="preserve">Precios cruzados</w:t>
      </w:r>
      <w:r>
        <w:t xml:space="preserve">: 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t xml:space="preserve">Hicks y Allen (</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52"/>
        </w:numPr>
      </w:pPr>
      <w:r>
        <w:rPr>
          <w:b/>
          <w:bCs/>
        </w:rPr>
        <w:t xml:space="preserve">Pendientes de las demandas</w:t>
      </w:r>
      <w:r>
        <w:t xml:space="preserve">. 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76"/>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El gráfico de la descomposición en los dos planos es el de</w:t>
      </w:r>
      <w:r>
        <w:t xml:space="preserve"> </w:t>
      </w:r>
      <w:r>
        <w:rPr>
          <w:rStyle w:val="Referenciaatema"/>
        </w:rPr>
        <w:t xml:space="preserve">[ver tema 3.A.8]</w:t>
      </w:r>
      <w:r>
        <w:t xml:space="preserve">.</w:t>
      </w:r>
    </w:p>
    <w:p>
      <w:pPr>
        <w:numPr>
          <w:ilvl w:val="0"/>
          <w:numId w:val="1052"/>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77"/>
    <w:bookmarkStart w:id="93" w:name="X16fbe024173e2295b4adbcb7a3554a81b5ae0e8"/>
    <w:p>
      <w:pPr>
        <w:pStyle w:val="Heading2"/>
      </w:pPr>
      <w:r>
        <w:t xml:space="preserve">III.3.</w:t>
      </w:r>
      <w:r>
        <w:t xml:space="preserve"> </w:t>
      </w:r>
      <w:r>
        <w:t xml:space="preserve">Análisis de bienestar del consumidor individual</w:t>
      </w:r>
    </w:p>
    <w:bookmarkStart w:id="78" w:name="idea-1"/>
    <w:p>
      <w:pPr>
        <w:pStyle w:val="Heading3"/>
      </w:pPr>
      <w:r>
        <w:t xml:space="preserve">III.3.1.</w:t>
      </w:r>
      <w:r>
        <w:t xml:space="preserve"> </w:t>
      </w:r>
      <w:r>
        <w:t xml:space="preserve">Idea</w:t>
      </w:r>
    </w:p>
    <w:p>
      <w:pPr>
        <w:numPr>
          <w:ilvl w:val="0"/>
          <w:numId w:val="1056"/>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56"/>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rPr>
          <w:t xml:space="preserve">Marco Tulio Cicerón s. f.</w:t>
        </w:r>
      </w:hyperlink>
      <w:r>
        <w:t xml:space="preserve">, III, 8)</w:t>
      </w:r>
      <w:r>
        <w:t xml:space="preserve">.</w:t>
      </w:r>
    </w:p>
    <w:p>
      <w:pPr>
        <w:numPr>
          <w:ilvl w:val="0"/>
          <w:numId w:val="1056"/>
        </w:numPr>
      </w:pPr>
      <w:r>
        <w:t xml:space="preserve">El</w:t>
      </w:r>
      <w:r>
        <w:t xml:space="preserve"> </w:t>
      </w:r>
      <w:r>
        <w:rPr>
          <w:i/>
          <w:iCs/>
        </w:rPr>
        <w:t xml:space="preserve">problema</w:t>
      </w:r>
      <w:r>
        <w:t xml:space="preserve">: si baja</w:t>
      </w:r>
      <w:r>
        <w:t xml:space="preserve"> </w:t>
      </w:r>
      <m:oMath>
        <m:sSub>
          <m:e>
            <m:r>
              <m:t>p</m:t>
            </m:r>
          </m:e>
          <m:sub>
            <m:r>
              <m:t>1</m:t>
            </m:r>
          </m:sub>
        </m:sSub>
      </m:oMath>
      <w:r>
        <w:t xml:space="preserve">, el consumidor pasa de</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pero,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¿Cuánto ha mejorado? Hace falta una medida en</w:t>
      </w:r>
      <w:r>
        <w:t xml:space="preserve"> </w:t>
      </w:r>
      <w:r>
        <w:rPr>
          <w:i/>
          <w:iCs/>
        </w:rPr>
        <w:t xml:space="preserve">unidades monetarias</w:t>
      </w:r>
      <w:r>
        <w:t xml:space="preserve">, y la función de gasto la proporciona.</w:t>
      </w:r>
    </w:p>
    <w:p>
      <w:pPr>
        <w:numPr>
          <w:ilvl w:val="0"/>
          <w:numId w:val="1056"/>
        </w:numPr>
      </w:pPr>
      <w:r>
        <w:t xml:space="preserve">Notación: los precios pasan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r>
                  <m:t>p</m:t>
                </m:r>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r>
                  <m:t>p</m:t>
                </m:r>
              </m:e>
              <m:sup>
                <m:r>
                  <m:t>1</m:t>
                </m:r>
              </m:sup>
            </m:sSup>
            <m:r>
              <m:rPr>
                <m:sty m:val="p"/>
              </m:rPr>
              <m:t>,</m:t>
            </m:r>
            <m:bar>
              <m:barPr>
                <m:pos m:val="top"/>
              </m:barPr>
              <m:e>
                <m:r>
                  <m:t>W</m:t>
                </m:r>
              </m:e>
            </m:bar>
          </m:e>
        </m:d>
      </m:oMath>
      <w:r>
        <w:t xml:space="preserve">, y</w:t>
      </w:r>
      <w:r>
        <w:t xml:space="preserve"> </w:t>
      </w:r>
      <m:oMath>
        <m:sSup>
          <m:e>
            <m:r>
              <m:t>x</m:t>
            </m:r>
          </m:e>
          <m:sup>
            <m:r>
              <m:t>0</m:t>
            </m:r>
          </m:sup>
        </m:sSup>
      </m:oMath>
      <w:r>
        <w:t xml:space="preserve"> </w:t>
      </w:r>
      <w:r>
        <w:t xml:space="preserve">y</w:t>
      </w:r>
      <w:r>
        <w:t xml:space="preserve"> </w:t>
      </w:r>
      <m:oMath>
        <m:sSup>
          <m:e>
            <m:r>
              <m:t>x</m:t>
            </m:r>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acc>
              <m:accPr>
                <m:chr m:val="‾"/>
              </m:accPr>
              <m:e>
                <m:r>
                  <m:t>p</m:t>
                </m:r>
              </m:e>
            </m:acc>
          </m:e>
          <m:sub>
            <m:r>
              <m:rPr>
                <m:sty m:val="p"/>
              </m:rPr>
              <m:t>−</m:t>
            </m:r>
            <m:r>
              <m:t>1</m:t>
            </m:r>
          </m:sub>
        </m:sSub>
      </m:oMath>
      <w:r>
        <w:t xml:space="preserve">.</w:t>
      </w:r>
    </w:p>
    <w:bookmarkEnd w:id="78"/>
    <w:bookmarkStart w:id="92" w:name="Xcfd008ef96d67a8320853afc75a4ad7c3b225d9"/>
    <w:p>
      <w:pPr>
        <w:pStyle w:val="Heading3"/>
      </w:pPr>
      <w:r>
        <w:t xml:space="preserve">III.3.2.</w:t>
      </w:r>
      <w:r>
        <w:t xml:space="preserve"> </w:t>
      </w:r>
      <w:r>
        <w:t xml:space="preserve">Medición de la variación del bienestar del consumidor individual</w:t>
      </w:r>
    </w:p>
    <w:bookmarkStart w:id="79" w:name="X1fc56320b6168869029d8c3fa807cc2401d7198"/>
    <w:p>
      <w:pPr>
        <w:pStyle w:val="Heading4"/>
      </w:pPr>
      <w:r>
        <w:t xml:space="preserve">La variación del excedente del consumidor</w:t>
      </w:r>
    </w:p>
    <w:p>
      <w:pPr>
        <w:numPr>
          <w:ilvl w:val="0"/>
          <w:numId w:val="1057"/>
        </w:numPr>
      </w:pPr>
      <w:r>
        <w:t xml:space="preserve">La medida clásica es la</w:t>
      </w:r>
      <w:r>
        <w:t xml:space="preserve"> </w:t>
      </w:r>
      <w:r>
        <w:rPr>
          <w:b/>
          <w:bCs/>
        </w:rPr>
        <w:t xml:space="preserve">variación del excedente del consumidor</w:t>
      </w:r>
      <w:r>
        <w:t xml:space="preserve">. La propone</w:t>
      </w:r>
      <w:r>
        <w:t xml:space="preserve"> </w:t>
      </w:r>
      <w:r>
        <w:t xml:space="preserve">Dupuit (</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t xml:space="preserve">Marshall (</w:t>
      </w:r>
      <w:hyperlink w:anchor="ref-Marshall1890Principles">
        <w:r>
          <w:rPr>
            <w:rStyle w:val="Hyperlink"/>
          </w:rPr>
          <w:t xml:space="preserve">1890</w:t>
        </w:r>
      </w:hyperlink>
      <w:r>
        <w:t xml:space="preserve">)</w:t>
      </w:r>
      <w:r>
        <w:t xml:space="preserve">. El</w:t>
      </w:r>
      <w:r>
        <w:t xml:space="preserve"> </w:t>
      </w:r>
      <w:r>
        <w:rPr>
          <w:i/>
          <w:iCs/>
        </w:rPr>
        <w:t xml:space="preserve">excedente</w:t>
      </w:r>
      <w:r>
        <w:t xml:space="preserve"> </w:t>
      </w:r>
      <w:r>
        <w:t xml:space="preserve">es la diferencia entre lo que el consumidor está dispuesto a pagar y lo que paga: el área bajo la demanda marshalliana y sobre el precio. Su variación es el área a la izquierda de la demanda marshalliana entre los dos precios:</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acc>
                    <m:accPr>
                      <m:chr m:val="‾"/>
                    </m:accPr>
                    <m:e>
                      <m:r>
                        <m:t>p</m:t>
                      </m:r>
                    </m:e>
                  </m:acc>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p>
      <w:pPr>
        <w:numPr>
          <w:ilvl w:val="0"/>
          <w:numId w:val="1057"/>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w:t>
      </w:r>
    </w:p>
    <w:p>
      <w:pPr>
        <w:numPr>
          <w:ilvl w:val="1"/>
          <w:numId w:val="1058"/>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58"/>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57"/>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79"/>
    <w:bookmarkStart w:id="85" w:name="Xaf96a4649bd8cbbc83c9509d373be26c7129868"/>
    <w:p>
      <w:pPr>
        <w:pStyle w:val="Heading4"/>
      </w:pPr>
      <w:r>
        <w:t xml:space="preserve">Análisis mediante variaciones: información completa</w:t>
      </w:r>
    </w:p>
    <w:p>
      <w:pPr>
        <w:numPr>
          <w:ilvl w:val="0"/>
          <w:numId w:val="1059"/>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rPr>
          <w:t xml:space="preserve">McKenzie 1957</w:t>
        </w:r>
      </w:hyperlink>
      <w:r>
        <w:t xml:space="preserve">;</w:t>
      </w:r>
      <w:r>
        <w:t xml:space="preserve"> </w:t>
      </w:r>
      <w:hyperlink w:anchor="ref-Samuelson1974Complementarity">
        <w:r>
          <w:rPr>
            <w:rStyle w:val="Hyperlink"/>
          </w:rPr>
          <w:t xml:space="preserve">Samuelson 1974</w:t>
        </w:r>
      </w:hyperlink>
      <w:r>
        <w:t xml:space="preserve">;</w:t>
      </w:r>
      <w:r>
        <w:t xml:space="preserve"> </w:t>
      </w:r>
      <w:hyperlink w:anchor="ref-MasColellWhinstonGreen1995">
        <w:r>
          <w:rPr>
            <w:rStyle w:val="Hyperlink"/>
          </w:rPr>
          <w:t xml:space="preserve">Mas-Colell, Whinston y Green 1995, párr. 3.I</w:t>
        </w:r>
      </w:hyperlink>
      <w:r>
        <w:t xml:space="preserve">)</w:t>
      </w:r>
      <w:r>
        <w:t xml:space="preserve">: fijado un vector de precios de referencia</w:t>
      </w:r>
      <w:r>
        <w:t xml:space="preserve"> </w:t>
      </w:r>
      <m:oMath>
        <m:acc>
          <m:accPr>
            <m:chr m:val="‾"/>
          </m:accPr>
          <m:e>
            <m:r>
              <m:t>p</m:t>
            </m:r>
          </m:e>
        </m:acc>
      </m:oMath>
      <w:r>
        <w:t xml:space="preserve">,</w:t>
      </w:r>
    </w:p>
    <w:p>
      <w:pPr>
        <w:pStyle w:val="BodyText"/>
      </w:pPr>
      <m:oMathPara>
        <m:oMathParaPr>
          <m:jc m:val="center"/>
        </m:oMathParaPr>
        <m:oMath>
          <m:r>
            <m:t>m</m:t>
          </m:r>
          <m:d>
            <m:dPr>
              <m:begChr m:val="("/>
              <m:sepChr m:val=""/>
              <m:endChr m:val=")"/>
              <m:grow/>
            </m:dPr>
            <m:e>
              <m:acc>
                <m:accPr>
                  <m:chr m:val="‾"/>
                </m:accPr>
                <m:e>
                  <m:r>
                    <m:t>p</m:t>
                  </m:r>
                </m:e>
              </m:acc>
              <m:r>
                <m:rPr>
                  <m:sty m:val="p"/>
                </m:rPr>
                <m:t>;</m:t>
              </m:r>
              <m:r>
                <m:t>p</m:t>
              </m:r>
              <m:r>
                <m:rPr>
                  <m:sty m:val="p"/>
                </m:rPr>
                <m:t>,</m:t>
              </m:r>
              <m:bar>
                <m:barPr>
                  <m:pos m:val="top"/>
                </m:barPr>
                <m:e>
                  <m:r>
                    <m:t>W</m:t>
                  </m:r>
                </m:e>
              </m:bar>
            </m:e>
          </m:d>
          <m:r>
            <m:rPr>
              <m:sty m:val="p"/>
            </m:rPr>
            <m:t>≡</m:t>
          </m:r>
          <m:r>
            <m:t>E</m:t>
          </m:r>
          <m:d>
            <m:dPr>
              <m:begChr m:val="("/>
              <m:sepChr m:val=""/>
              <m:endChr m:val=")"/>
              <m:grow/>
            </m:dPr>
            <m:e>
              <m:acc>
                <m:accPr>
                  <m:chr m:val="‾"/>
                </m:accPr>
                <m:e>
                  <m:r>
                    <m:t>p</m:t>
                  </m:r>
                </m:e>
              </m:acc>
              <m:r>
                <m:rPr>
                  <m:sty m:val="p"/>
                </m:rPr>
                <m:t>,</m:t>
              </m:r>
              <m:r>
                <m:t>V</m:t>
              </m:r>
              <m:d>
                <m:dPr>
                  <m:begChr m:val="("/>
                  <m:sepChr m:val=""/>
                  <m:endChr m:val=")"/>
                  <m:grow/>
                </m:dPr>
                <m:e>
                  <m:r>
                    <m:t>p</m:t>
                  </m:r>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r>
              <m:t>p</m:t>
            </m:r>
          </m:e>
        </m:acc>
      </m:oMath>
      <w:r>
        <w:t xml:space="preserve">, alcanzar la utilidad que se obtiene con el presupuesto</w:t>
      </w:r>
      <w:r>
        <w:t xml:space="preserve"> </w:t>
      </w:r>
      <m:oMath>
        <m:d>
          <m:dPr>
            <m:begChr m:val="("/>
            <m:sepChr m:val=""/>
            <m:endChr m:val=")"/>
            <m:grow/>
          </m:dPr>
          <m:e>
            <m:r>
              <m:t>p</m:t>
            </m:r>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59"/>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80"/>
      </w:r>
    </w:p>
    <w:p>
      <w:pPr>
        <w:pStyle w:val="BodyText"/>
      </w:pPr>
      <m:oMathPara>
        <m:oMathParaPr>
          <m:jc m:val="center"/>
        </m:oMathParaPr>
        <m:oMath>
          <m:r>
            <m:rPr>
              <m:sty m:val="p"/>
            </m:rPr>
            <m:t>V</m:t>
          </m:r>
          <m:r>
            <m:rPr>
              <m:sty m:val="p"/>
            </m:rPr>
            <m:t>E</m:t>
          </m:r>
          <m:r>
            <m:rPr>
              <m:sty m:val="p"/>
            </m:rPr>
            <m:t>=</m:t>
          </m:r>
          <m:r>
            <m:t>m</m:t>
          </m:r>
          <m:d>
            <m:dPr>
              <m:begChr m:val="("/>
              <m:sepChr m:val=""/>
              <m:endChr m:val=")"/>
              <m:grow/>
            </m:dPr>
            <m:e>
              <m:sSup>
                <m:e>
                  <m:r>
                    <m:t>p</m:t>
                  </m:r>
                </m:e>
                <m:sup>
                  <m:r>
                    <m:t>0</m:t>
                  </m:r>
                </m:sup>
              </m:sSup>
              <m:r>
                <m:rPr>
                  <m:sty m:val="p"/>
                </m:rPr>
                <m:t>;</m:t>
              </m:r>
              <m:sSup>
                <m:e>
                  <m:r>
                    <m:t>p</m:t>
                  </m:r>
                </m:e>
                <m:sup>
                  <m:r>
                    <m:t>1</m:t>
                  </m:r>
                </m:sup>
              </m:sSup>
              <m:r>
                <m:rPr>
                  <m:sty m:val="p"/>
                </m:rPr>
                <m:t>,</m:t>
              </m:r>
              <m:bar>
                <m:barPr>
                  <m:pos m:val="top"/>
                </m:barPr>
                <m:e>
                  <m:r>
                    <m:t>W</m:t>
                  </m:r>
                </m:e>
              </m:bar>
            </m:e>
          </m:d>
          <m:r>
            <m:rPr>
              <m:sty m:val="p"/>
            </m:rPr>
            <m:t>−</m:t>
          </m:r>
          <m:r>
            <m:t>m</m:t>
          </m:r>
          <m:d>
            <m:dPr>
              <m:begChr m:val="("/>
              <m:sepChr m:val=""/>
              <m:endChr m:val=")"/>
              <m:grow/>
            </m:dPr>
            <m:e>
              <m:sSup>
                <m:e>
                  <m:r>
                    <m:t>p</m:t>
                  </m:r>
                </m:e>
                <m:sup>
                  <m:r>
                    <m:t>0</m:t>
                  </m:r>
                </m:sup>
              </m:sSup>
              <m:r>
                <m:rPr>
                  <m:sty m:val="p"/>
                </m:rPr>
                <m:t>;</m:t>
              </m:r>
              <m:sSup>
                <m:e>
                  <m:r>
                    <m:t>p</m:t>
                  </m:r>
                </m:e>
                <m:sup>
                  <m:r>
                    <m:t>0</m:t>
                  </m:r>
                </m:sup>
              </m:sSup>
              <m:r>
                <m:rPr>
                  <m:sty m:val="p"/>
                </m:rPr>
                <m:t>,</m:t>
              </m:r>
              <m:bar>
                <m:barPr>
                  <m:pos m:val="top"/>
                </m:barPr>
                <m:e>
                  <m:r>
                    <m:t>W</m:t>
                  </m:r>
                </m:e>
              </m:bar>
            </m:e>
          </m:d>
          <m:r>
            <m:rPr>
              <m:sty m:val="p"/>
            </m:rPr>
            <m:t>=</m:t>
          </m:r>
          <m:r>
            <m:t>E</m:t>
          </m:r>
          <m:d>
            <m:dPr>
              <m:begChr m:val="("/>
              <m:sepChr m:val=""/>
              <m:endChr m:val=")"/>
              <m:grow/>
            </m:dPr>
            <m:e>
              <m:sSup>
                <m:e>
                  <m:r>
                    <m:t>p</m:t>
                  </m:r>
                </m:e>
                <m:sup>
                  <m:r>
                    <m:t>0</m:t>
                  </m:r>
                </m:sup>
              </m:sSup>
              <m:r>
                <m:rPr>
                  <m:sty m:val="p"/>
                </m:rPr>
                <m:t>,</m:t>
              </m:r>
              <m:sSup>
                <m:e>
                  <m:bar>
                    <m:barPr>
                      <m:pos m:val="top"/>
                    </m:barPr>
                    <m:e>
                      <m:r>
                        <m:t>U</m:t>
                      </m:r>
                    </m:e>
                  </m:bar>
                </m:e>
                <m:sup>
                  <m:r>
                    <m:t>1</m:t>
                  </m:r>
                </m:sup>
              </m:sSup>
            </m:e>
          </m:d>
          <m:r>
            <m:rPr>
              <m:sty m:val="p"/>
            </m:rPr>
            <m:t>−</m:t>
          </m:r>
          <m:bar>
            <m:barPr>
              <m:pos m:val="top"/>
            </m:barPr>
            <m:e>
              <m:r>
                <m:t>W</m:t>
              </m:r>
            </m:e>
          </m:bar>
          <m:r>
            <m:rPr>
              <m:sty m:val="p"/>
            </m:rPr>
            <m:t>,</m:t>
          </m:r>
        </m:oMath>
      </m:oMathPara>
    </w:p>
    <w:p>
      <w:pPr>
        <w:pStyle w:val="FirstParagraph"/>
      </w:pPr>
      <m:oMathPara>
        <m:oMathParaPr>
          <m:jc m:val="center"/>
        </m:oMathParaPr>
        <m:oMath>
          <m:r>
            <m:rPr>
              <m:sty m:val="p"/>
            </m:rPr>
            <m:t>V</m:t>
          </m:r>
          <m:r>
            <m:rPr>
              <m:sty m:val="p"/>
            </m:rPr>
            <m:t>C</m:t>
          </m:r>
          <m:r>
            <m:rPr>
              <m:sty m:val="p"/>
            </m:rPr>
            <m:t>=</m:t>
          </m:r>
          <m:r>
            <m:t>m</m:t>
          </m:r>
          <m:d>
            <m:dPr>
              <m:begChr m:val="("/>
              <m:sepChr m:val=""/>
              <m:endChr m:val=")"/>
              <m:grow/>
            </m:dPr>
            <m:e>
              <m:sSup>
                <m:e>
                  <m:r>
                    <m:t>p</m:t>
                  </m:r>
                </m:e>
                <m:sup>
                  <m:r>
                    <m:t>1</m:t>
                  </m:r>
                </m:sup>
              </m:sSup>
              <m:r>
                <m:rPr>
                  <m:sty m:val="p"/>
                </m:rPr>
                <m:t>;</m:t>
              </m:r>
              <m:sSup>
                <m:e>
                  <m:r>
                    <m:t>p</m:t>
                  </m:r>
                </m:e>
                <m:sup>
                  <m:r>
                    <m:t>1</m:t>
                  </m:r>
                </m:sup>
              </m:sSup>
              <m:r>
                <m:rPr>
                  <m:sty m:val="p"/>
                </m:rPr>
                <m:t>,</m:t>
              </m:r>
              <m:bar>
                <m:barPr>
                  <m:pos m:val="top"/>
                </m:barPr>
                <m:e>
                  <m:r>
                    <m:t>W</m:t>
                  </m:r>
                </m:e>
              </m:bar>
            </m:e>
          </m:d>
          <m:r>
            <m:rPr>
              <m:sty m:val="p"/>
            </m:rPr>
            <m:t>−</m:t>
          </m:r>
          <m:r>
            <m:t>m</m:t>
          </m:r>
          <m:d>
            <m:dPr>
              <m:begChr m:val="("/>
              <m:sepChr m:val=""/>
              <m:endChr m:val=")"/>
              <m:grow/>
            </m:dPr>
            <m:e>
              <m:sSup>
                <m:e>
                  <m:r>
                    <m:t>p</m:t>
                  </m:r>
                </m:e>
                <m:sup>
                  <m:r>
                    <m:t>1</m:t>
                  </m:r>
                </m:sup>
              </m:sSup>
              <m:r>
                <m:rPr>
                  <m:sty m:val="p"/>
                </m:rPr>
                <m:t>;</m:t>
              </m:r>
              <m:sSup>
                <m:e>
                  <m:r>
                    <m:t>p</m:t>
                  </m:r>
                </m:e>
                <m:sup>
                  <m:r>
                    <m:t>0</m:t>
                  </m:r>
                </m:sup>
              </m:sSup>
              <m:r>
                <m:rPr>
                  <m:sty m:val="p"/>
                </m:rPr>
                <m:t>,</m:t>
              </m:r>
              <m:bar>
                <m:barPr>
                  <m:pos m:val="top"/>
                </m:barPr>
                <m:e>
                  <m:r>
                    <m:t>W</m:t>
                  </m:r>
                </m:e>
              </m:bar>
            </m:e>
          </m:d>
          <m:r>
            <m:rPr>
              <m:sty m:val="p"/>
            </m:rPr>
            <m:t>=</m:t>
          </m:r>
          <m:bar>
            <m:barPr>
              <m:pos m:val="top"/>
            </m:barPr>
            <m:e>
              <m:r>
                <m:t>W</m:t>
              </m:r>
            </m:e>
          </m:bar>
          <m:r>
            <m:rPr>
              <m:sty m:val="p"/>
            </m:rPr>
            <m:t>−</m:t>
          </m:r>
          <m:r>
            <m:t>E</m:t>
          </m:r>
          <m:d>
            <m:dPr>
              <m:begChr m:val="("/>
              <m:sepChr m:val=""/>
              <m:endChr m:val=")"/>
              <m:grow/>
            </m:dPr>
            <m:e>
              <m:sSup>
                <m:e>
                  <m:r>
                    <m:t>p</m:t>
                  </m:r>
                </m:e>
                <m:sup>
                  <m:r>
                    <m:t>1</m:t>
                  </m:r>
                </m:sup>
              </m:sSup>
              <m:r>
                <m:rPr>
                  <m:sty m:val="p"/>
                </m:rPr>
                <m:t>,</m:t>
              </m:r>
              <m:sSup>
                <m:e>
                  <m:bar>
                    <m:barPr>
                      <m:pos m:val="top"/>
                    </m:barPr>
                    <m:e>
                      <m:r>
                        <m:t>U</m:t>
                      </m:r>
                    </m:e>
                  </m:bar>
                </m:e>
                <m:sup>
                  <m:r>
                    <m:t>0</m:t>
                  </m:r>
                </m:sup>
              </m:sSup>
            </m:e>
          </m:d>
          <m:r>
            <m:rPr>
              <m:sty m:val="p"/>
            </m:rPr>
            <m:t>,</m:t>
          </m:r>
        </m:oMath>
      </m:oMathPara>
    </w:p>
    <w:p>
      <w:pPr>
        <w:numPr>
          <w:ilvl w:val="0"/>
          <w:numId w:val="1000"/>
        </w:numPr>
      </w:pPr>
      <w:r>
        <w:t xml:space="preserve">porque</w:t>
      </w:r>
      <w:r>
        <w:t xml:space="preserve"> </w:t>
      </w:r>
      <m:oMath>
        <m:r>
          <m:t>m</m:t>
        </m:r>
        <m:d>
          <m:dPr>
            <m:begChr m:val="("/>
            <m:sepChr m:val=""/>
            <m:endChr m:val=")"/>
            <m:grow/>
          </m:dPr>
          <m:e>
            <m:r>
              <m:t>p</m:t>
            </m:r>
            <m:r>
              <m:rPr>
                <m:sty m:val="p"/>
              </m:rPr>
              <m:t>;</m:t>
            </m:r>
            <m:r>
              <m:t>p</m:t>
            </m:r>
            <m:r>
              <m:rPr>
                <m:sty m:val="p"/>
              </m:rPr>
              <m:t>,</m:t>
            </m:r>
            <m:bar>
              <m:barPr>
                <m:pos m:val="top"/>
              </m:barPr>
              <m:e>
                <m:r>
                  <m:t>W</m:t>
                </m:r>
              </m:e>
            </m:bar>
          </m:e>
        </m:d>
        <m:r>
          <m:rPr>
            <m:sty m:val="p"/>
          </m:rPr>
          <m:t>=</m:t>
        </m:r>
        <m:r>
          <m:t>E</m:t>
        </m:r>
        <m:d>
          <m:dPr>
            <m:begChr m:val="("/>
            <m:sepChr m:val=""/>
            <m:endChr m:val=")"/>
            <m:grow/>
          </m:dPr>
          <m:e>
            <m:r>
              <m:t>p</m:t>
            </m:r>
            <m:r>
              <m:rPr>
                <m:sty m:val="p"/>
              </m:rPr>
              <m:t>,</m:t>
            </m:r>
            <m:r>
              <m:t>V</m:t>
            </m:r>
            <m:d>
              <m:dPr>
                <m:begChr m:val="("/>
                <m:sepChr m:val=""/>
                <m:endChr m:val=")"/>
                <m:grow/>
              </m:dPr>
              <m:e>
                <m:r>
                  <m:t>p</m:t>
                </m:r>
                <m:r>
                  <m:rPr>
                    <m:sty m:val="p"/>
                  </m:rPr>
                  <m:t>,</m:t>
                </m:r>
                <m:bar>
                  <m:barPr>
                    <m:pos m:val="top"/>
                  </m:barPr>
                  <m:e>
                    <m:r>
                      <m:t>W</m:t>
                    </m:r>
                  </m:e>
                </m:bar>
              </m:e>
            </m:d>
          </m:e>
        </m:d>
        <m:r>
          <m:rPr>
            <m:sty m:val="p"/>
          </m:rPr>
          <m:t>=</m:t>
        </m:r>
        <m:bar>
          <m:barPr>
            <m:pos m:val="top"/>
          </m:barPr>
          <m:e>
            <m:r>
              <m:t>W</m:t>
            </m:r>
          </m:e>
        </m:bar>
      </m:oMath>
      <w:r>
        <w:t xml:space="preserve">.</w:t>
      </w:r>
    </w:p>
    <w:p>
      <w:pPr>
        <w:numPr>
          <w:ilvl w:val="1"/>
          <w:numId w:val="106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w:t>
      </w:r>
    </w:p>
    <w:p>
      <w:pPr>
        <w:numPr>
          <w:ilvl w:val="1"/>
          <w:numId w:val="1060"/>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lo devolvería a la utilidad</w:t>
      </w:r>
      <w:r>
        <w:t xml:space="preserve"> </w:t>
      </w:r>
      <w:r>
        <w:rPr>
          <w:i/>
          <w:iCs/>
        </w:rPr>
        <w:t xml:space="preserve">inicial</w:t>
      </w:r>
      <w:r>
        <w:t xml:space="preserve">: lo que habría que quitarle (si mejora) o darle (si empeora) para compensar el cambio.</w:t>
      </w:r>
    </w:p>
    <w:p>
      <w:pPr>
        <w:numPr>
          <w:ilvl w:val="1"/>
          <w:numId w:val="1060"/>
        </w:numPr>
      </w:pPr>
      <w:r>
        <w:t xml:space="preserve">Con esta convención, las dos son positivas si el bienestar mejora. Si baja un precio, la VC es lo</w:t>
      </w:r>
      <w:r>
        <w:t xml:space="preserve"> </w:t>
      </w:r>
      <w:r>
        <w:rPr>
          <w:i/>
          <w:iCs/>
        </w:rPr>
        <w:t xml:space="preserve">máximo que pagaría</w:t>
      </w:r>
      <w:r>
        <w:t xml:space="preserve"> </w:t>
      </w:r>
      <w:r>
        <w:t xml:space="preserve">por la bajada y la VE, lo</w:t>
      </w:r>
      <w:r>
        <w:t xml:space="preserve"> </w:t>
      </w:r>
      <w:r>
        <w:rPr>
          <w:i/>
          <w:iCs/>
        </w:rPr>
        <w:t xml:space="preserve">mínimo que aceptaría</w:t>
      </w:r>
      <w:r>
        <w:t xml:space="preserve"> </w:t>
      </w:r>
      <w:r>
        <w:t xml:space="preserve">por renunciar a ella; si sube,</w:t>
      </w:r>
      <w:r>
        <w:t xml:space="preserve"> </w:t>
      </w:r>
      <m:oMath>
        <m:r>
          <m:rPr>
            <m:sty m:val="p"/>
          </m:rPr>
          <m:t>−</m:t>
        </m:r>
        <m:r>
          <m:rPr>
            <m:sty m:val="p"/>
          </m:rPr>
          <m:t>V</m:t>
        </m:r>
        <m:r>
          <m:rPr>
            <m:sty m:val="p"/>
          </m:rPr>
          <m:t>C</m:t>
        </m:r>
      </m:oMath>
      <w:r>
        <w:t xml:space="preserve"> </w:t>
      </w:r>
      <w:r>
        <w:t xml:space="preserve">es la compensación mínima que aceptaría y</w:t>
      </w:r>
      <w:r>
        <w:t xml:space="preserve"> </w:t>
      </w:r>
      <m:oMath>
        <m:r>
          <m:rPr>
            <m:sty m:val="p"/>
          </m:rPr>
          <m:t>−</m:t>
        </m:r>
        <m:r>
          <m:rPr>
            <m:sty m:val="p"/>
          </m:rPr>
          <m:t>V</m:t>
        </m:r>
        <m:r>
          <m:rPr>
            <m:sty m:val="p"/>
          </m:rPr>
          <m:t>E</m:t>
        </m:r>
      </m:oMath>
      <w:r>
        <w:t xml:space="preserve">, lo máximo que pagaría por evitar la subida</w:t>
      </w:r>
      <w:r>
        <w:t xml:space="preserve"> </w:t>
      </w:r>
      <w:r>
        <w:rPr>
          <w:rStyle w:val="Referenciaatema"/>
        </w:rPr>
        <w:t xml:space="preserve">[ver tema 4.B.6]</w:t>
      </w:r>
      <w:r>
        <w:t xml:space="preserve">.</w:t>
      </w:r>
    </w:p>
    <w:p>
      <w:pPr>
        <w:numPr>
          <w:ilvl w:val="0"/>
          <w:numId w:val="1059"/>
        </w:numPr>
      </w:pPr>
      <w:r>
        <w:rPr>
          <w:b/>
          <w:bCs/>
        </w:rPr>
        <w:t xml:space="preserve">Como áreas</w:t>
      </w:r>
      <w:r>
        <w:t xml:space="preserve">. Por el lema de</w:t>
      </w:r>
      <w:r>
        <w:t xml:space="preserve"> </w:t>
      </w:r>
      <w:r>
        <w:rPr>
          <w:smallCaps/>
        </w:rPr>
        <w:t xml:space="preserve">Shephard</w:t>
      </w:r>
      <w:r>
        <w:t xml:space="preserve">,</w:t>
      </w:r>
      <w:r>
        <w:t xml:space="preserve"> </w:t>
      </w:r>
      <m:oMath>
        <m:r>
          <m:t>E</m:t>
        </m:r>
      </m:oMath>
      <w:r>
        <w:t xml:space="preserve"> </w:t>
      </w:r>
      <w:r>
        <w:t xml:space="preserve">es la integral de la demanda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r>
                  <m:t>p</m:t>
                </m:r>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r>
                  <m:t>p</m:t>
                </m:r>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pStyle w:val="BodyText"/>
      </w:pPr>
      <m:oMathPara>
        <m:oMathParaPr>
          <m:jc m:val="center"/>
        </m:oMathParaPr>
        <m:oMath>
          <m:r>
            <m:rPr>
              <m:sty m:val="p"/>
            </m:rPr>
            <m:t>V</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acc>
                    <m:accPr>
                      <m:chr m:val="‾"/>
                    </m:accPr>
                    <m:e>
                      <m:r>
                        <m:t>p</m:t>
                      </m:r>
                    </m:e>
                  </m:acc>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r>
            <m:t>  </m:t>
          </m:r>
          <m:r>
            <m:rPr>
              <m:sty m:val="p"/>
            </m:rPr>
            <m:t>V</m:t>
          </m:r>
          <m:r>
            <m:rPr>
              <m:sty m:val="p"/>
            </m:rPr>
            <m:t>E</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acc>
                    <m:accPr>
                      <m:chr m:val="‾"/>
                    </m:accPr>
                    <m:e>
                      <m:r>
                        <m:t>p</m:t>
                      </m:r>
                    </m:e>
                  </m:acc>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el área a la izquierda de la hicksiana</w:t>
      </w:r>
      <w:r>
        <w:t xml:space="preserve"> </w:t>
      </w:r>
      <w:r>
        <w:rPr>
          <w:i/>
          <w:iCs/>
        </w:rPr>
        <w:t xml:space="preserve">inicial</w:t>
      </w:r>
      <w:r>
        <w:t xml:space="preserve"> </w:t>
      </w:r>
      <w:r>
        <w:t xml:space="preserve">(VC) o</w:t>
      </w:r>
      <w:r>
        <w:t xml:space="preserve"> </w:t>
      </w:r>
      <w:r>
        <w:rPr>
          <w:i/>
          <w:iCs/>
        </w:rPr>
        <w:t xml:space="preserve">final</w:t>
      </w:r>
      <w:r>
        <w:t xml:space="preserve"> </w:t>
      </w:r>
      <w:r>
        <w:t xml:space="preserve">(VE) entre los dos precios. Con varios precios son integrales de línea de las hicksianas, que no dependen del camino porque</w:t>
      </w:r>
      <w:r>
        <w:t xml:space="preserve"> </w:t>
      </w:r>
      <m:oMath>
        <m:r>
          <m:t>h</m:t>
        </m:r>
      </m:oMath>
      <w:r>
        <w:t xml:space="preserve"> </w:t>
      </w:r>
      <w:r>
        <w:t xml:space="preserve">es el gradiente de</w:t>
      </w:r>
      <w:r>
        <w:t xml:space="preserve"> </w:t>
      </w:r>
      <m:oMath>
        <m:r>
          <m:t>E</m:t>
        </m:r>
      </m:oMath>
      <w:r>
        <w:t xml:space="preserve">.</w:t>
      </w:r>
    </w:p>
    <w:p>
      <w:pPr>
        <w:numPr>
          <w:ilvl w:val="0"/>
          <w:numId w:val="1059"/>
        </w:numPr>
      </w:pPr>
      <w:r>
        <w:rPr>
          <w:b/>
          <w:bCs/>
        </w:rPr>
        <w:t xml:space="preserve">Gráficamente</w:t>
      </w:r>
      <w:r>
        <w:t xml:space="preserve"> </w:t>
      </w:r>
      <w:r>
        <w:t xml:space="preserve">(gráfico 6), para una bajada del precio de un bien normal: en el panel superior, con</w:t>
      </w:r>
      <w:r>
        <w:t xml:space="preserve"> </w:t>
      </w:r>
      <m:oMath>
        <m:sSub>
          <m:e>
            <m:r>
              <m:t>p</m:t>
            </m:r>
          </m:e>
          <m:sub>
            <m:r>
              <m:t>2</m:t>
            </m:r>
          </m:sub>
        </m:sSub>
        <m:r>
          <m:rPr>
            <m:sty m:val="p"/>
          </m:rPr>
          <m:t>=</m:t>
        </m:r>
        <m:r>
          <m:t>1</m:t>
        </m:r>
      </m:oMath>
      <w:r>
        <w:t xml:space="preserve">, la VC es la distancia vertical entre la nueva recta de balance y su paralela tangente a</w:t>
      </w:r>
      <w:r>
        <w:t xml:space="preserve"> </w:t>
      </w:r>
      <m:oMath>
        <m:sSup>
          <m:e>
            <m:bar>
              <m:barPr>
                <m:pos m:val="top"/>
              </m:barPr>
              <m:e>
                <m:r>
                  <m:t>U</m:t>
                </m:r>
              </m:e>
            </m:bar>
          </m:e>
          <m:sup>
            <m:r>
              <m:t>0</m:t>
            </m:r>
          </m:sup>
        </m:sSup>
      </m:oMath>
      <w:r>
        <w:t xml:space="preserve">, y la VE, la distancia entre la recta inicial y su paralela tangente a</w:t>
      </w:r>
      <w:r>
        <w:t xml:space="preserve"> </w:t>
      </w:r>
      <m:oMath>
        <m:sSup>
          <m:e>
            <m:bar>
              <m:barPr>
                <m:pos m:val="top"/>
              </m:barPr>
              <m:e>
                <m:r>
                  <m:t>U</m:t>
                </m:r>
              </m:e>
            </m:bar>
          </m:e>
          <m:sup>
            <m:r>
              <m:t>1</m:t>
            </m:r>
          </m:sup>
        </m:sSup>
      </m:oMath>
      <w:r>
        <w:t xml:space="preserve">; en el panel inferior, la hicksiana inicial es más inclinada que la marshalliana y la final queda a su derecha, de modo que</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La ordenación completa para cada tipo de bien está en el anexo D.</w:t>
      </w:r>
    </w:p>
    <w:p>
      <w:pPr>
        <w:numPr>
          <w:ilvl w:val="0"/>
          <w:numId w:val="1061"/>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rPr>
          <w:t xml:space="preserve">Willig 1976</w:t>
        </w:r>
      </w:hyperlink>
      <w:r>
        <w:t xml:space="preserve">)</w:t>
      </w:r>
      <w:r>
        <w:t xml:space="preserve">. Aproximando el efecto renta a lo largo del cambio,</w:t>
      </w:r>
    </w:p>
    <w:p>
      <w:pPr>
        <w:pStyle w:val="BodyT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061"/>
        </w:numPr>
      </w:pPr>
      <w:r>
        <w:t xml:space="preserve">Hausman (</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(26), y calcular la VC y la VE sin aproximaciones: una aplicación directa de la integrabilidad.</w:t>
      </w:r>
    </w:p>
    <w:p>
      <w:pPr>
        <w:numPr>
          <w:ilvl w:val="0"/>
          <w:numId w:val="1061"/>
        </w:numPr>
      </w:pPr>
      <w:r>
        <w:t xml:space="preserve">¿</w:t>
      </w:r>
      <w:r>
        <w:rPr>
          <w:b/>
          <w:bCs/>
        </w:rPr>
        <w:t xml:space="preserve">Cuál usar</w:t>
      </w:r>
      <w:r>
        <w:t xml:space="preserve">? Depende de la pregunta:</w:t>
      </w:r>
    </w:p>
    <w:p>
      <w:pPr>
        <w:numPr>
          <w:ilvl w:val="1"/>
          <w:numId w:val="1062"/>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r>
              <m:t>p</m:t>
            </m:r>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rPr>
          <w:t xml:space="preserve">Mas-Colell, Whinston y Green 1995, párr. 3.I</w:t>
        </w:r>
      </w:hyperlink>
      <w:r>
        <w:t xml:space="preserve">)</w:t>
      </w:r>
      <w:r>
        <w:t xml:space="preserve">;</w:t>
      </w:r>
    </w:p>
    <w:p>
      <w:pPr>
        <w:numPr>
          <w:ilvl w:val="1"/>
          <w:numId w:val="1062"/>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bookmarkStart w:id="84" w:name="fig:bienestar-vc-ve"/>
    <w:p>
      <w:pPr>
        <w:pStyle w:val="ImageCaption"/>
      </w:pPr>
      <w:r>
        <w:t xml:space="preserve">Gráfico 6.–</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41971"/>
            <wp:effectExtent b="0" l="0" r="0" t="0"/>
            <wp:docPr descr="" title="" id="82" name="Picture"/>
            <a:graphic>
              <a:graphicData uri="http://schemas.openxmlformats.org/drawingml/2006/picture">
                <pic:pic>
                  <pic:nvPicPr>
                    <pic:cNvPr descr="C:\Users\vgutierrez\Documents\src\victorgutierrezmarcos.github.io-revision\oposicion\temario\fuentes\3A09\graficos/bienestar-vc-ve.png" id="83" name="Picture"/>
                    <pic:cNvPicPr>
                      <a:picLocks noChangeArrowheads="1" noChangeAspect="1"/>
                    </pic:cNvPicPr>
                  </pic:nvPicPr>
                  <pic:blipFill>
                    <a:blip r:embed="rId81"/>
                    <a:stretch>
                      <a:fillRect/>
                    </a:stretch>
                  </pic:blipFill>
                  <pic:spPr bwMode="auto">
                    <a:xfrm>
                      <a:off x="0" y="0"/>
                      <a:ext cx="3700780" cy="4141971"/>
                    </a:xfrm>
                    <a:prstGeom prst="rect">
                      <a:avLst/>
                    </a:prstGeom>
                    <a:noFill/>
                    <a:ln w="9525">
                      <a:noFill/>
                      <a:headEnd/>
                      <a:tailEnd/>
                    </a:ln>
                  </pic:spPr>
                </pic:pic>
              </a:graphicData>
            </a:graphic>
          </wp:inline>
        </w:drawing>
      </w:r>
    </w:p>
    <w:bookmarkEnd w:id="84"/>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3.I</w:t>
        </w:r>
      </w:hyperlink>
      <w:r>
        <w:t xml:space="preserve">)</w:t>
      </w:r>
      <w:r>
        <w:t xml:space="preserve">.</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rPr>
          <w:t xml:space="preserve">Mas-Colell, Whinston y Green 1995, párr. 3.I</w:t>
        </w:r>
      </w:hyperlink>
      <w:r>
        <w:t xml:space="preserve">)</w:t>
      </w:r>
      <w:r>
        <w:t xml:space="preserve">. Con la VC se llega a la misma conclusión cualitativa con otra cifra. Se estudia en</w:t>
      </w:r>
      <w:r>
        <w:t xml:space="preserve"> </w:t>
      </w:r>
      <w:r>
        <w:rPr>
          <w:rStyle w:val="Referenciaatema"/>
        </w:rPr>
        <w:t xml:space="preserve">[ver tema 4.B.9]</w:t>
      </w:r>
      <w:r>
        <w:t xml:space="preserve">; aquí basta saber que es una aplicación directa de la función de gasto.</w:t>
      </w:r>
    </w:p>
    <w:bookmarkEnd w:id="85"/>
    <w:bookmarkStart w:id="86" w:name="Xc06de061893a483a0907c38a7edce71dc3931c0"/>
    <w:p>
      <w:pPr>
        <w:pStyle w:val="Heading4"/>
      </w:pPr>
      <w:r>
        <w:t xml:space="preserve">Análisis mediante variaciones: información incompleta</w:t>
      </w:r>
    </w:p>
    <w:p>
      <w:pPr>
        <w:numPr>
          <w:ilvl w:val="0"/>
          <w:numId w:val="1063"/>
        </w:numPr>
      </w:pPr>
      <w:r>
        <w:t xml:space="preserve">Si no se conoce la función de gasto ni la demanda, sino solo las cestas observadas</w:t>
      </w:r>
      <w:r>
        <w:t xml:space="preserve"> </w:t>
      </w:r>
      <m:oMath>
        <m:sSup>
          <m:e>
            <m:r>
              <m:t>x</m:t>
            </m:r>
          </m:e>
          <m:sup>
            <m:r>
              <m:t>0</m:t>
            </m:r>
          </m:sup>
        </m:sSup>
      </m:oMath>
      <w:r>
        <w:t xml:space="preserve"> </w:t>
      </w:r>
      <w:r>
        <w:t xml:space="preserve">y</w:t>
      </w:r>
      <w:r>
        <w:t xml:space="preserve"> </w:t>
      </w:r>
      <m:oMath>
        <m:sSup>
          <m:e>
            <m:r>
              <m:t>x</m:t>
            </m:r>
          </m:e>
          <m:sup>
            <m:r>
              <m:t>1</m:t>
            </m:r>
          </m:sup>
        </m:sSup>
      </m:oMath>
      <w:r>
        <w:t xml:space="preserve">, pueden calcularse dos compensaciones «de cesta fija»:</w:t>
      </w:r>
    </w:p>
    <w:p>
      <w:pPr>
        <w:pStyle w:val="BodyText"/>
      </w:pPr>
      <m:oMathPara>
        <m:oMathParaPr>
          <m:jc m:val="center"/>
        </m:oMathParaPr>
        <m:oMath>
          <m:r>
            <m:t>L</m:t>
          </m:r>
          <m:r>
            <m:rPr>
              <m:sty m:val="p"/>
            </m:rPr>
            <m:t>≡</m:t>
          </m:r>
          <m:bar>
            <m:barPr>
              <m:pos m:val="top"/>
            </m:barPr>
            <m:e>
              <m:r>
                <m:t>W</m:t>
              </m:r>
            </m:e>
          </m:bar>
          <m:r>
            <m:rPr>
              <m:sty m:val="p"/>
            </m:rPr>
            <m:t>−</m:t>
          </m:r>
          <m:sSup>
            <m:e>
              <m:r>
                <m:t>p</m:t>
              </m:r>
            </m:e>
            <m:sup>
              <m:r>
                <m:t>1</m:t>
              </m:r>
            </m:sup>
          </m:sSup>
          <m:r>
            <m:rPr>
              <m:sty m:val="p"/>
            </m:rPr>
            <m:t>⋅</m:t>
          </m:r>
          <m:sSup>
            <m:e>
              <m:r>
                <m:t>x</m:t>
              </m:r>
            </m:e>
            <m:sup>
              <m:r>
                <m:t>0</m:t>
              </m:r>
            </m:sup>
          </m:sSup>
          <m:r>
            <m:rPr>
              <m:sty m:val="p"/>
            </m:rPr>
            <m:t>=</m:t>
          </m:r>
          <m:d>
            <m:dPr>
              <m:begChr m:val="("/>
              <m:sepChr m:val=""/>
              <m:endChr m:val=")"/>
              <m:grow/>
            </m:dPr>
            <m:e>
              <m:sSup>
                <m:e>
                  <m:r>
                    <m:t>p</m:t>
                  </m:r>
                </m:e>
                <m:sup>
                  <m:r>
                    <m:t>0</m:t>
                  </m:r>
                </m:sup>
              </m:sSup>
              <m:r>
                <m:rPr>
                  <m:sty m:val="p"/>
                </m:rPr>
                <m:t>−</m:t>
              </m:r>
              <m:sSup>
                <m:e>
                  <m:r>
                    <m:t>p</m:t>
                  </m:r>
                </m:e>
                <m:sup>
                  <m:r>
                    <m:t>1</m:t>
                  </m:r>
                </m:sup>
              </m:sSup>
            </m:e>
          </m:d>
          <m:r>
            <m:rPr>
              <m:sty m:val="p"/>
            </m:rPr>
            <m:t>⋅</m:t>
          </m:r>
          <m:sSup>
            <m:e>
              <m:r>
                <m:t>x</m:t>
              </m:r>
            </m:e>
            <m:sup>
              <m:r>
                <m:t>0</m:t>
              </m:r>
            </m:sup>
          </m:sSup>
          <m:r>
            <m:rPr>
              <m:sty m:val="p"/>
            </m:rPr>
            <m:t>,</m:t>
          </m:r>
          <m:r>
            <m:t>  </m:t>
          </m:r>
          <m:r>
            <m:t>P</m:t>
          </m:r>
          <m:r>
            <m:rPr>
              <m:sty m:val="p"/>
            </m:rPr>
            <m:t>≡</m:t>
          </m:r>
          <m:sSup>
            <m:e>
              <m:r>
                <m:t>p</m:t>
              </m:r>
            </m:e>
            <m:sup>
              <m:r>
                <m:t>0</m:t>
              </m:r>
            </m:sup>
          </m:sSup>
          <m:r>
            <m:rPr>
              <m:sty m:val="p"/>
            </m:rPr>
            <m:t>⋅</m:t>
          </m:r>
          <m:sSup>
            <m:e>
              <m:r>
                <m:t>x</m:t>
              </m:r>
            </m:e>
            <m:sup>
              <m:r>
                <m:t>1</m:t>
              </m:r>
            </m:sup>
          </m:sSup>
          <m:r>
            <m:rPr>
              <m:sty m:val="p"/>
            </m:rPr>
            <m:t>−</m:t>
          </m:r>
          <m:bar>
            <m:barPr>
              <m:pos m:val="top"/>
            </m:barPr>
            <m:e>
              <m:r>
                <m:t>W</m:t>
              </m:r>
            </m:e>
          </m:bar>
          <m:r>
            <m:rPr>
              <m:sty m:val="p"/>
            </m:rPr>
            <m:t>=</m:t>
          </m:r>
          <m:d>
            <m:dPr>
              <m:begChr m:val="("/>
              <m:sepChr m:val=""/>
              <m:endChr m:val=")"/>
              <m:grow/>
            </m:dPr>
            <m:e>
              <m:sSup>
                <m:e>
                  <m:r>
                    <m:t>p</m:t>
                  </m:r>
                </m:e>
                <m:sup>
                  <m:r>
                    <m:t>0</m:t>
                  </m:r>
                </m:sup>
              </m:sSup>
              <m:r>
                <m:rPr>
                  <m:sty m:val="p"/>
                </m:rPr>
                <m:t>−</m:t>
              </m:r>
              <m:sSup>
                <m:e>
                  <m:r>
                    <m:t>p</m:t>
                  </m:r>
                </m:e>
                <m:sup>
                  <m:r>
                    <m:t>1</m:t>
                  </m:r>
                </m:sup>
              </m:sSup>
            </m:e>
          </m:d>
          <m:r>
            <m:rPr>
              <m:sty m:val="p"/>
            </m:rPr>
            <m:t>⋅</m:t>
          </m:r>
          <m:sSup>
            <m:e>
              <m:r>
                <m:t>x</m:t>
              </m:r>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6, últimas capas).</w:t>
      </w:r>
    </w:p>
    <w:p>
      <w:pPr>
        <w:numPr>
          <w:ilvl w:val="0"/>
          <w:numId w:val="1063"/>
        </w:numPr>
      </w:pPr>
      <w:r>
        <w:t xml:space="preserve">Acotan las medidas exactas, para cualquier número de precios y tipo de bien:</w:t>
      </w:r>
    </w:p>
    <w:p>
      <w:pPr>
        <w:pStyle w:val="BodyT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r>
              <m:t>p</m:t>
            </m:r>
          </m:e>
          <m:sup>
            <m:r>
              <m:t>1</m:t>
            </m:r>
          </m:sup>
        </m:sSup>
        <m:r>
          <m:rPr>
            <m:sty m:val="p"/>
          </m:rPr>
          <m:t>⋅</m:t>
        </m:r>
        <m:sSup>
          <m:e>
            <m:r>
              <m:t>x</m:t>
            </m:r>
          </m:e>
          <m:sup>
            <m:r>
              <m:t>0</m:t>
            </m:r>
          </m:sup>
        </m:sSup>
        <m:r>
          <m:rPr>
            <m:sty m:val="p"/>
          </m:rPr>
          <m:t>≥</m:t>
        </m:r>
        <m:r>
          <m:t>E</m:t>
        </m:r>
        <m:d>
          <m:dPr>
            <m:begChr m:val="("/>
            <m:sepChr m:val=""/>
            <m:endChr m:val=")"/>
            <m:grow/>
          </m:dPr>
          <m:e>
            <m:sSup>
              <m:e>
                <m:r>
                  <m:t>p</m:t>
                </m:r>
              </m:e>
              <m:sup>
                <m:r>
                  <m:t>1</m:t>
                </m:r>
              </m:sup>
            </m:sSup>
            <m:r>
              <m:rPr>
                <m:sty m:val="p"/>
              </m:rPr>
              <m:t>,</m:t>
            </m:r>
            <m:sSup>
              <m:e>
                <m:bar>
                  <m:barPr>
                    <m:pos m:val="top"/>
                  </m:barPr>
                  <m:e>
                    <m:r>
                      <m:t>U</m:t>
                    </m:r>
                  </m:e>
                </m:bar>
              </m:e>
              <m:sup>
                <m:r>
                  <m:t>0</m:t>
                </m:r>
              </m:sup>
            </m:sSup>
          </m:e>
        </m:d>
      </m:oMath>
      <w:r>
        <w:t xml:space="preserve">, y lo mismo con la final,</w:t>
      </w:r>
      <w:r>
        <w:t xml:space="preserve"> </w:t>
      </w:r>
      <m:oMath>
        <m:sSup>
          <m:e>
            <m:r>
              <m:t>p</m:t>
            </m:r>
          </m:e>
          <m:sup>
            <m:r>
              <m:t>0</m:t>
            </m:r>
          </m:sup>
        </m:sSup>
        <m:r>
          <m:rPr>
            <m:sty m:val="p"/>
          </m:rPr>
          <m:t>⋅</m:t>
        </m:r>
        <m:sSup>
          <m:e>
            <m:r>
              <m:t>x</m:t>
            </m:r>
          </m:e>
          <m:sup>
            <m:r>
              <m:t>1</m:t>
            </m:r>
          </m:sup>
        </m:sSup>
        <m:r>
          <m:rPr>
            <m:sty m:val="p"/>
          </m:rPr>
          <m:t>≥</m:t>
        </m:r>
        <m:r>
          <m:t>E</m:t>
        </m:r>
        <m:d>
          <m:dPr>
            <m:begChr m:val="("/>
            <m:sepChr m:val=""/>
            <m:endChr m:val=")"/>
            <m:grow/>
          </m:dPr>
          <m:e>
            <m:sSup>
              <m:e>
                <m:r>
                  <m:t>p</m:t>
                </m:r>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5 del anexo D, con los demás casos).</w:t>
      </w:r>
    </w:p>
    <w:bookmarkEnd w:id="86"/>
    <w:bookmarkStart w:id="91" w:name="X10fc17a453d4026ed618adb8fb9b668b866e628"/>
    <w:p>
      <w:pPr>
        <w:pStyle w:val="Heading4"/>
      </w:pPr>
      <w:r>
        <w:t xml:space="preserve">El uso de índices de coste de la vida y su comparación con los índices de precios</w:t>
      </w:r>
    </w:p>
    <w:p>
      <w:pPr>
        <w:numPr>
          <w:ilvl w:val="0"/>
          <w:numId w:val="1064"/>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rPr>
          <w:t xml:space="preserve">Ministerio de Empleo y Seguridad Social 2015</w:t>
        </w:r>
      </w:hyperlink>
      <w:r>
        <w:t xml:space="preserve">)</w:t>
      </w:r>
      <w:r>
        <w:t xml:space="preserve">. Si el índice sobrestima el coste de la vida, la indexación sobrecompensa.</w:t>
      </w:r>
    </w:p>
    <w:p>
      <w:pPr>
        <w:numPr>
          <w:ilvl w:val="0"/>
          <w:numId w:val="1064"/>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rPr>
          <w:t xml:space="preserve">Konüs 1939</w:t>
        </w:r>
      </w:hyperlink>
      <w:r>
        <w:t xml:space="preserve">)</w:t>
      </w:r>
      <w:r>
        <w:t xml:space="preserve">:</w:t>
      </w:r>
    </w:p>
    <w:p>
      <w:pPr>
        <w:pStyle w:val="BodyText"/>
      </w:pPr>
      <m:oMathPara>
        <m:oMathParaPr>
          <m:jc m:val="center"/>
        </m:oMathParaPr>
        <m:oMath>
          <m:sSub>
            <m:e>
              <m:r>
                <m:t>I</m:t>
              </m:r>
            </m:e>
            <m:sub>
              <m:r>
                <m:t>K</m:t>
              </m:r>
            </m:sub>
          </m:sSub>
          <m:d>
            <m:dPr>
              <m:begChr m:val="("/>
              <m:sepChr m:val=""/>
              <m:endChr m:val=")"/>
              <m:grow/>
            </m:dPr>
            <m:e>
              <m:sSup>
                <m:e>
                  <m:r>
                    <m:t>p</m:t>
                  </m:r>
                </m:e>
                <m:sup>
                  <m:r>
                    <m:t>0</m:t>
                  </m:r>
                </m:sup>
              </m:sSup>
              <m:r>
                <m:rPr>
                  <m:sty m:val="p"/>
                </m:rPr>
                <m:t>,</m:t>
              </m:r>
              <m:sSup>
                <m:e>
                  <m:r>
                    <m:t>p</m:t>
                  </m:r>
                </m:e>
                <m:sup>
                  <m:r>
                    <m:t>1</m:t>
                  </m:r>
                </m:sup>
              </m:sSup>
              <m:r>
                <m:rPr>
                  <m:sty m:val="p"/>
                </m:rPr>
                <m:t>;</m:t>
              </m:r>
              <m:bar>
                <m:barPr>
                  <m:pos m:val="top"/>
                </m:barPr>
                <m:e>
                  <m:r>
                    <m:t>U</m:t>
                  </m:r>
                </m:e>
              </m:bar>
            </m:e>
          </m:d>
          <m:r>
            <m:rPr>
              <m:sty m:val="p"/>
            </m:rPr>
            <m:t>=</m:t>
          </m:r>
          <m:f>
            <m:fPr>
              <m:type m:val="bar"/>
            </m:fPr>
            <m:num>
              <m:r>
                <m:t>E</m:t>
              </m:r>
              <m:d>
                <m:dPr>
                  <m:begChr m:val="("/>
                  <m:sepChr m:val=""/>
                  <m:endChr m:val=")"/>
                  <m:grow/>
                </m:dPr>
                <m:e>
                  <m:sSup>
                    <m:e>
                      <m:r>
                        <m:t>p</m:t>
                      </m:r>
                    </m:e>
                    <m:sup>
                      <m:r>
                        <m:t>1</m:t>
                      </m:r>
                    </m:sup>
                  </m:sSup>
                  <m:r>
                    <m:rPr>
                      <m:sty m:val="p"/>
                    </m:rPr>
                    <m:t>,</m:t>
                  </m:r>
                  <m:bar>
                    <m:barPr>
                      <m:pos m:val="top"/>
                    </m:barPr>
                    <m:e>
                      <m:r>
                        <m:t>U</m:t>
                      </m:r>
                    </m:e>
                  </m:bar>
                </m:e>
              </m:d>
            </m:num>
            <m:den>
              <m:r>
                <m:t>E</m:t>
              </m:r>
              <m:d>
                <m:dPr>
                  <m:begChr m:val="("/>
                  <m:sepChr m:val=""/>
                  <m:endChr m:val=")"/>
                  <m:grow/>
                </m:dPr>
                <m:e>
                  <m:sSup>
                    <m:e>
                      <m:r>
                        <m:t>p</m:t>
                      </m:r>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r>
                  <m:t>p</m:t>
                </m:r>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r>
                  <m:t>p</m:t>
                </m:r>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064"/>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rPr>
          <w:t xml:space="preserve">Laspeyres 1871</w:t>
        </w:r>
      </w:hyperlink>
      <w:r>
        <w:t xml:space="preserve">;</w:t>
      </w:r>
      <w:r>
        <w:t xml:space="preserve"> </w:t>
      </w:r>
      <w:hyperlink w:anchor="ref-Paasche1874Preisentwicklung">
        <w:r>
          <w:rPr>
            <w:rStyle w:val="Hyperlink"/>
          </w:rPr>
          <w:t xml:space="preserve">Paasche 1874</w:t>
        </w:r>
      </w:hyperlink>
      <w:r>
        <w:t xml:space="preserve">)</w:t>
      </w:r>
      <w:r>
        <w:t xml:space="preserve">:</w:t>
      </w:r>
    </w:p>
    <w:p>
      <w:pPr>
        <w:pStyle w:val="BodyText"/>
      </w:pPr>
      <m:oMathPara>
        <m:oMathParaPr>
          <m:jc m:val="center"/>
        </m:oMathParaPr>
        <m:oMath>
          <m:sSub>
            <m:e>
              <m:r>
                <m:t>I</m:t>
              </m:r>
            </m:e>
            <m:sub>
              <m:r>
                <m:t>L</m:t>
              </m:r>
            </m:sub>
          </m:sSub>
          <m:r>
            <m:rPr>
              <m:sty m:val="p"/>
            </m:rPr>
            <m:t>=</m:t>
          </m:r>
          <m:f>
            <m:fPr>
              <m:type m:val="bar"/>
            </m:fPr>
            <m:num>
              <m:sSup>
                <m:e>
                  <m:r>
                    <m:t>p</m:t>
                  </m:r>
                </m:e>
                <m:sup>
                  <m:r>
                    <m:t>1</m:t>
                  </m:r>
                </m:sup>
              </m:sSup>
              <m:r>
                <m:rPr>
                  <m:sty m:val="p"/>
                </m:rPr>
                <m:t>⋅</m:t>
              </m:r>
              <m:sSup>
                <m:e>
                  <m:r>
                    <m:t>x</m:t>
                  </m:r>
                </m:e>
                <m:sup>
                  <m:r>
                    <m:t>0</m:t>
                  </m:r>
                </m:sup>
              </m:sSup>
            </m:num>
            <m:den>
              <m:sSup>
                <m:e>
                  <m:r>
                    <m:t>p</m:t>
                  </m:r>
                </m:e>
                <m:sup>
                  <m:r>
                    <m:t>0</m:t>
                  </m:r>
                </m:sup>
              </m:sSup>
              <m:r>
                <m:rPr>
                  <m:sty m:val="p"/>
                </m:rPr>
                <m:t>⋅</m:t>
              </m:r>
              <m:sSup>
                <m:e>
                  <m:r>
                    <m:t>x</m:t>
                  </m:r>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r>
                    <m:t>p</m:t>
                  </m:r>
                </m:e>
                <m:sup>
                  <m:r>
                    <m:t>1</m:t>
                  </m:r>
                </m:sup>
              </m:sSup>
              <m:r>
                <m:rPr>
                  <m:sty m:val="p"/>
                </m:rPr>
                <m:t>⋅</m:t>
              </m:r>
              <m:sSup>
                <m:e>
                  <m:r>
                    <m:t>x</m:t>
                  </m:r>
                </m:e>
                <m:sup>
                  <m:r>
                    <m:t>1</m:t>
                  </m:r>
                </m:sup>
              </m:sSup>
            </m:num>
            <m:den>
              <m:sSup>
                <m:e>
                  <m:r>
                    <m:t>p</m:t>
                  </m:r>
                </m:e>
                <m:sup>
                  <m:r>
                    <m:t>0</m:t>
                  </m:r>
                </m:sup>
              </m:sSup>
              <m:r>
                <m:rPr>
                  <m:sty m:val="p"/>
                </m:rPr>
                <m:t>⋅</m:t>
              </m:r>
              <m:sSup>
                <m:e>
                  <m:r>
                    <m:t>x</m:t>
                  </m:r>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065"/>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r>
                  <m:t>p</m:t>
                </m:r>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r>
              <m:t>p</m:t>
            </m:r>
          </m:e>
          <m:sup>
            <m:r>
              <m:t>0</m:t>
            </m:r>
          </m:sup>
        </m:sSup>
      </m:oMath>
      <w:r>
        <w:t xml:space="preserve"> </w:t>
      </w:r>
      <w:r>
        <w:t xml:space="preserve">(por</w:t>
      </w:r>
      <w:r>
        <w:t xml:space="preserve"> </w:t>
      </w:r>
      <w:r>
        <w:rPr>
          <w:smallCaps/>
        </w:rPr>
        <w:t xml:space="preserve">Shephard</w:t>
      </w:r>
      <w:r>
        <w:t xml:space="preserve">,</w:t>
      </w:r>
      <w:r>
        <w:t xml:space="preserve"> </w:t>
      </w:r>
      <m:oMath>
        <m:r>
          <m:t>E</m:t>
        </m:r>
        <m:d>
          <m:dPr>
            <m:begChr m:val="("/>
            <m:sepChr m:val=""/>
            <m:endChr m:val=")"/>
            <m:grow/>
          </m:dPr>
          <m:e>
            <m:sSup>
              <m:e>
                <m:r>
                  <m:t>p</m:t>
                </m:r>
              </m:e>
              <m:sup>
                <m:r>
                  <m:t>0</m:t>
                </m:r>
              </m:sup>
            </m:sSup>
            <m:r>
              <m:rPr>
                <m:sty m:val="p"/>
              </m:rPr>
              <m:t>,</m:t>
            </m:r>
            <m:sSup>
              <m:e>
                <m:bar>
                  <m:barPr>
                    <m:pos m:val="top"/>
                  </m:barPr>
                  <m:e>
                    <m:r>
                      <m:t>U</m:t>
                    </m:r>
                  </m:e>
                </m:bar>
              </m:e>
              <m:sup>
                <m:r>
                  <m:t>0</m:t>
                </m:r>
              </m:sup>
            </m:sSup>
          </m:e>
        </m:d>
        <m:r>
          <m:rPr>
            <m:sty m:val="p"/>
          </m:rPr>
          <m:t>+</m:t>
        </m:r>
        <m:r>
          <m:t>h</m:t>
        </m:r>
        <m:d>
          <m:dPr>
            <m:begChr m:val="("/>
            <m:sepChr m:val=""/>
            <m:endChr m:val=")"/>
            <m:grow/>
          </m:dPr>
          <m:e>
            <m:sSup>
              <m:e>
                <m:r>
                  <m:t>p</m:t>
                </m:r>
              </m:e>
              <m:sup>
                <m:r>
                  <m:t>0</m:t>
                </m:r>
              </m:sup>
            </m:sSup>
            <m:r>
              <m:rPr>
                <m:sty m:val="p"/>
              </m:rPr>
              <m:t>,</m:t>
            </m:r>
            <m:sSup>
              <m:e>
                <m:bar>
                  <m:barPr>
                    <m:pos m:val="top"/>
                  </m:barPr>
                  <m:e>
                    <m:r>
                      <m:t>U</m:t>
                    </m:r>
                  </m:e>
                </m:bar>
              </m:e>
              <m:sup>
                <m:r>
                  <m:t>0</m:t>
                </m:r>
              </m:sup>
            </m:sSup>
          </m:e>
        </m:d>
        <m:r>
          <m:rPr>
            <m:sty m:val="p"/>
          </m:rPr>
          <m:t>⋅</m:t>
        </m:r>
        <m:d>
          <m:dPr>
            <m:begChr m:val="("/>
            <m:sepChr m:val=""/>
            <m:endChr m:val=")"/>
            <m:grow/>
          </m:dPr>
          <m:e>
            <m:sSup>
              <m:e>
                <m:r>
                  <m:t>p</m:t>
                </m:r>
              </m:e>
              <m:sup>
                <m:r>
                  <m:t>1</m:t>
                </m:r>
              </m:sup>
            </m:sSup>
            <m:r>
              <m:rPr>
                <m:sty m:val="p"/>
              </m:rPr>
              <m:t>−</m:t>
            </m:r>
            <m:sSup>
              <m:e>
                <m:r>
                  <m:t>p</m:t>
                </m:r>
              </m:e>
              <m:sup>
                <m:r>
                  <m:t>0</m:t>
                </m:r>
              </m:sup>
            </m:sSup>
          </m:e>
        </m:d>
        <m:r>
          <m:rPr>
            <m:sty m:val="p"/>
          </m:rPr>
          <m:t>=</m:t>
        </m:r>
        <m:sSup>
          <m:e>
            <m:r>
              <m:t>p</m:t>
            </m:r>
          </m:e>
          <m:sup>
            <m:r>
              <m:t>1</m:t>
            </m:r>
          </m:sup>
        </m:sSup>
        <m:r>
          <m:rPr>
            <m:sty m:val="p"/>
          </m:rPr>
          <m:t>⋅</m:t>
        </m:r>
        <m:sSup>
          <m:e>
            <m:r>
              <m:t>x</m:t>
            </m:r>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 En el gráfico 7, la distancia entre la recta de precios</w:t>
      </w:r>
      <w:r>
        <w:t xml:space="preserve"> </w:t>
      </w:r>
      <m:oMath>
        <m:sSup>
          <m:e>
            <m:r>
              <m:t>p</m:t>
            </m:r>
          </m:e>
          <m:sup>
            <m:r>
              <m:t>1</m:t>
            </m:r>
          </m:sup>
        </m:sSup>
      </m:oMath>
      <w:r>
        <w:t xml:space="preserve"> </w:t>
      </w:r>
      <w:r>
        <w:t xml:space="preserve">que pasa por</w:t>
      </w:r>
      <w:r>
        <w:t xml:space="preserve"> </w:t>
      </w:r>
      <m:oMath>
        <m:sSup>
          <m:e>
            <m:r>
              <m:t>x</m:t>
            </m:r>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065"/>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065"/>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p>
    <w:bookmarkStart w:id="90" w:name="fig:indice-konus-laspeyres"/>
    <w:p>
      <w:pPr>
        <w:pStyle w:val="ImageCaption"/>
      </w:pPr>
      <w:r>
        <w:t xml:space="preserve">Gráfico 7.–</w:t>
      </w:r>
      <w:r>
        <w:t xml:space="preserve"> </w:t>
      </w:r>
      <w:r>
        <w:t xml:space="preserve">Índice verdadero de coste de la vida (Konüs) frente al índice de Laspeyres: el sesgo de sustitución</w:t>
      </w:r>
    </w:p>
    <w:p>
      <w:pPr>
        <w:pStyle w:val="CaptionedFigure"/>
      </w:pPr>
      <w:r>
        <w:drawing>
          <wp:inline>
            <wp:extent cx="3581400" cy="1982175"/>
            <wp:effectExtent b="0" l="0" r="0" t="0"/>
            <wp:docPr descr="" title="" id="88" name="Picture"/>
            <a:graphic>
              <a:graphicData uri="http://schemas.openxmlformats.org/drawingml/2006/picture">
                <pic:pic>
                  <pic:nvPicPr>
                    <pic:cNvPr descr="C:\Users\vgutierrez\Documents\src\victorgutierrezmarcos.github.io-revision\oposicion\temario\fuentes\3A09\graficos/indice-konus-laspeyres.png" id="89" name="Picture"/>
                    <pic:cNvPicPr>
                      <a:picLocks noChangeArrowheads="1" noChangeAspect="1"/>
                    </pic:cNvPicPr>
                  </pic:nvPicPr>
                  <pic:blipFill>
                    <a:blip r:embed="rId87"/>
                    <a:stretch>
                      <a:fillRect/>
                    </a:stretch>
                  </pic:blipFill>
                  <pic:spPr bwMode="auto">
                    <a:xfrm>
                      <a:off x="0" y="0"/>
                      <a:ext cx="3581400" cy="1982175"/>
                    </a:xfrm>
                    <a:prstGeom prst="rect">
                      <a:avLst/>
                    </a:prstGeom>
                    <a:noFill/>
                    <a:ln w="9525">
                      <a:noFill/>
                      <a:headEnd/>
                      <a:tailEnd/>
                    </a:ln>
                  </pic:spPr>
                </pic:pic>
              </a:graphicData>
            </a:graphic>
          </wp:inline>
        </w:drawing>
      </w:r>
    </w:p>
    <w:bookmarkEnd w:id="90"/>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3.I</w:t>
        </w:r>
      </w:hyperlink>
      <w:r>
        <w:t xml:space="preserve">)</w:t>
      </w:r>
      <w:r>
        <w:t xml:space="preserve">.</w:t>
      </w:r>
    </w:p>
    <w:p>
      <w:pPr>
        <w:numPr>
          <w:ilvl w:val="0"/>
          <w:numId w:val="1066"/>
        </w:numPr>
      </w:pPr>
      <w:r>
        <w:rPr>
          <w:b/>
          <w:bCs/>
        </w:rPr>
        <w:t xml:space="preserve">Índices superlativos</w:t>
      </w:r>
      <w:r>
        <w:t xml:space="preserve">.</w:t>
      </w:r>
      <w:r>
        <w:t xml:space="preserve"> </w:t>
      </w:r>
      <w:r>
        <w:t xml:space="preserve">Diewert (</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numPr>
          <w:ilvl w:val="0"/>
          <w:numId w:val="1066"/>
        </w:numPr>
      </w:pPr>
      <w:r>
        <w:rPr>
          <w:b/>
          <w:bCs/>
        </w:rPr>
        <w:t xml:space="preserve">Magnitud del sesgo de sustitución</w:t>
      </w:r>
      <w:r>
        <w:t xml:space="preserve">:</w:t>
      </w:r>
    </w:p>
    <w:p>
      <w:pPr>
        <w:numPr>
          <w:ilvl w:val="1"/>
          <w:numId w:val="1067"/>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rPr>
          <w:t xml:space="preserve">Boskin et al. 1996</w:t>
        </w:r>
      </w:hyperlink>
      <w:r>
        <w:t xml:space="preserve">;</w:t>
      </w:r>
      <w:r>
        <w:t xml:space="preserve"> </w:t>
      </w:r>
      <w:hyperlink w:anchor="ref-Gordon2006Boskin">
        <w:r>
          <w:rPr>
            <w:rStyle w:val="Hyperlink"/>
          </w:rPr>
          <w:t xml:space="preserve">Gordon 2006</w:t>
        </w:r>
      </w:hyperlink>
      <w:r>
        <w:t xml:space="preserve">)</w:t>
      </w:r>
      <w:r>
        <w:t xml:space="preserve">;</w:t>
      </w:r>
    </w:p>
    <w:p>
      <w:pPr>
        <w:numPr>
          <w:ilvl w:val="1"/>
          <w:numId w:val="1067"/>
        </w:numPr>
      </w:pPr>
      <w:r>
        <w:t xml:space="preserve">con índices superlativos,</w:t>
      </w:r>
      <w:r>
        <w:t xml:space="preserve"> </w:t>
      </w:r>
      <w:r>
        <w:t xml:space="preserve">Manser y McDonald (</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067"/>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rPr>
          <w:t xml:space="preserve">U.S. Bureau of Labor Statistics 2026</w:t>
        </w:r>
      </w:hyperlink>
      <w:r>
        <w:t xml:space="preserve">;</w:t>
      </w:r>
      <w:r>
        <w:t xml:space="preserve"> </w:t>
      </w:r>
      <w:hyperlink w:anchor="ref-Klick2021Weight">
        <w:r>
          <w:rPr>
            <w:rStyle w:val="Hyperlink"/>
          </w:rPr>
          <w:t xml:space="preserve">Klick 2021</w:t>
        </w:r>
      </w:hyperlink>
      <w:r>
        <w:t xml:space="preserve">)</w:t>
      </w:r>
      <w:r>
        <w:t xml:space="preserve">.</w:t>
      </w:r>
    </w:p>
    <w:p>
      <w:pPr>
        <w:pStyle w:val="Cajadeanotaciones"/>
      </w:pPr>
      <w:r>
        <w:rPr>
          <w:b/>
          <w:bCs/>
        </w:rPr>
        <w:t xml:space="preserve">El IPC es un índice de tipo Laspeyres encadenado</w:t>
      </w:r>
      <w:r>
        <w:br/>
      </w:r>
      <w:r>
        <w:t xml:space="preserve">El IPC del INE es un</w:t>
      </w:r>
      <w:r>
        <w:t xml:space="preserve"> </w:t>
      </w:r>
      <w:r>
        <w:rPr>
          <w:i/>
          <w:iCs/>
        </w:rPr>
        <w:t xml:space="preserve">índice de Laspeyres encadenado</w:t>
      </w:r>
      <w:r>
        <w:t xml:space="preserve">: cada año se compara con los precios de diciembre del año anterior y se encadenan los eslabones. Las ponderaciones se actualizan cada año con la Contabilidad Nacional y la Encuesta de Presupuestos Familiares (las de 2026, con datos de 2024) y por completo en cada cambio de base. La base vigente es la 2025, desde el índice de enero de 2026, y adopta la clasificación ECOICOP versión 2</w:t>
      </w:r>
      <w:r>
        <w:t xml:space="preserve"> </w:t>
      </w:r>
      <w:r>
        <w:t xml:space="preserve">(</w:t>
      </w:r>
      <w:hyperlink w:anchor="ref-INE2026IPCMetodologia">
        <w:r>
          <w:rPr>
            <w:rStyle w:val="Hyperlink"/>
          </w:rPr>
          <w:t xml:space="preserve">Instituto Nacional de Estadística 2026b, 5, 8</w:t>
        </w:r>
      </w:hyperlink>
      <w:r>
        <w:t xml:space="preserve"> </w:t>
      </w:r>
      <w:r>
        <w:t xml:space="preserve">y 16)</w:t>
      </w:r>
      <w:r>
        <w:t xml:space="preserve">. Su cesta tiene 487 artículos repartidos en 196 subclases y 13 grupos; los que más pesan en 2026 son los alimentos y bebidas no alcohólicas (17,4 %), la restauración y el alojamiento (17,0 %) y el transporte (15,5 %)</w:t>
      </w:r>
      <w:r>
        <w:t xml:space="preserve"> </w:t>
      </w:r>
      <w:r>
        <w:t xml:space="preserve">(</w:t>
      </w:r>
      <w:hyperlink w:anchor="ref-INE2026IPCPonderaciones">
        <w:r>
          <w:rPr>
            <w:rStyle w:val="Hyperlink"/>
          </w:rPr>
          <w:t xml:space="preserve">Instituto Nacional de Estadística 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w:t>
      </w:r>
      <w:r>
        <w:t xml:space="preserve"> </w:t>
      </w:r>
      <w:r>
        <w:rPr>
          <w:i/>
          <w:iCs/>
        </w:rPr>
        <w:t xml:space="preserve">sesgo de sustitución</w:t>
      </w:r>
      <w:r>
        <w:t xml:space="preserve">: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 Su metodología se estudia en</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implícito del PIB es el cociente entre el PIB a precios corrientes y el PIB en volumen,</w:t>
      </w:r>
      <w:r>
        <w:t xml:space="preserve"> </w:t>
      </w:r>
      <m:oMath>
        <m:f>
          <m:fPr>
            <m:type m:val="bar"/>
          </m:fPr>
          <m:num>
            <m:nary>
              <m:naryPr>
                <m:chr m:val="∑"/>
                <m:limLoc m:val="undOvr"/>
                <m:subHide m:val="off"/>
                <m:supHide m:val="on"/>
              </m:naryPr>
              <m:sub>
                <m:r>
                  <m:t>i</m:t>
                </m:r>
              </m:sub>
              <m:sup>
                <m:r>
                  <m:t>​</m:t>
                </m:r>
              </m:sup>
              <m:e>
                <m:sSubSup>
                  <m:e>
                    <m:r>
                      <m:t>p</m:t>
                    </m:r>
                  </m:e>
                  <m:sub>
                    <m:r>
                      <m:t>i</m:t>
                    </m:r>
                  </m:sub>
                  <m:sup>
                    <m:r>
                      <m:t>1</m:t>
                    </m:r>
                  </m:sup>
                </m:sSubSup>
              </m:e>
            </m:nary>
            <m:sSubSup>
              <m:e>
                <m:r>
                  <m:t>x</m:t>
                </m:r>
              </m:e>
              <m:sub>
                <m:r>
                  <m:t>i</m:t>
                </m:r>
              </m:sub>
              <m:sup>
                <m:r>
                  <m:t>1</m:t>
                </m:r>
              </m:sup>
            </m:sSubSup>
          </m:num>
          <m:den>
            <m:nary>
              <m:naryPr>
                <m:chr m:val="∑"/>
                <m:limLoc m:val="undOvr"/>
                <m:subHide m:val="off"/>
                <m:supHide m:val="on"/>
              </m:naryPr>
              <m:sub>
                <m:r>
                  <m:t>i</m:t>
                </m:r>
              </m:sub>
              <m:sup>
                <m:r>
                  <m:t>​</m:t>
                </m:r>
              </m:sup>
              <m:e>
                <m:sSubSup>
                  <m:e>
                    <m:r>
                      <m:t>p</m:t>
                    </m:r>
                  </m:e>
                  <m:sub>
                    <m:r>
                      <m:t>i</m:t>
                    </m:r>
                  </m:sub>
                  <m:sup>
                    <m:r>
                      <m:t>0</m:t>
                    </m:r>
                  </m:sup>
                </m:sSubSup>
              </m:e>
            </m:nary>
            <m:sSubSup>
              <m:e>
                <m:r>
                  <m:t>x</m:t>
                </m:r>
              </m:e>
              <m:sub>
                <m:r>
                  <m:t>i</m:t>
                </m:r>
              </m:sub>
              <m:sup>
                <m:r>
                  <m:t>1</m:t>
                </m:r>
              </m:sup>
            </m:sSubSup>
          </m:den>
        </m:f>
      </m:oMath>
      <w:r>
        <w:t xml:space="preserve">: pondera los precios con las cantidades del periodo corriente, como un índice de</w:t>
      </w:r>
      <w:r>
        <w:t xml:space="preserve"> </w:t>
      </w:r>
      <w:r>
        <w:rPr>
          <w:smallCaps/>
        </w:rPr>
        <w:t xml:space="preserve">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 Paasche encadenado</w:t>
      </w:r>
      <w:r>
        <w:t xml:space="preserve">, no uno de base fija</w:t>
      </w:r>
      <w:r>
        <w:t xml:space="preserve"> </w:t>
      </w:r>
      <w:r>
        <w:t xml:space="preserve">(</w:t>
      </w:r>
      <w:hyperlink w:anchor="ref-UE2013SEC2010">
        <w:r>
          <w:rPr>
            <w:rStyle w:val="Hyperlink"/>
          </w:rPr>
          <w:t xml:space="preserve">Unión Europea 2013</w:t>
        </w:r>
      </w:hyperlink>
      <w:r>
        <w:t xml:space="preserve">)</w:t>
      </w:r>
      <w:r>
        <w:t xml:space="preserve">. En 2025 creció un 3,0 %</w:t>
      </w:r>
      <w:r>
        <w:t xml:space="preserve"> </w:t>
      </w:r>
      <w:r>
        <w:t xml:space="preserve">(</w:t>
      </w:r>
      <w:hyperlink w:anchor="ref-INE2026CNA2025">
        <w:r>
          <w:rPr>
            <w:rStyle w:val="Hyperlink"/>
          </w:rPr>
          <w:t xml:space="preserve">Instituto Nacional de Estadística 2026e</w:t>
        </w:r>
      </w:hyperlink>
      <w:r>
        <w:t xml:space="preserve">)</w:t>
      </w:r>
      <w:r>
        <w:t xml:space="preserve">. Al ser de tipo</w:t>
      </w:r>
      <w:r>
        <w:t xml:space="preserve"> </w:t>
      </w:r>
      <w:r>
        <w:rPr>
          <w:smallCaps/>
        </w:rPr>
        <w:t xml:space="preserve">Paasche</w:t>
      </w:r>
      <w:r>
        <w:t xml:space="preserve">, tiende a infravalorar las subidas de precios</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(Willig), y las cestas fijas de Laspeyres y Paasche las acotan, con un sesgo de sustitución que sigue presente en los índices de precios oficiales.</w:t>
      </w:r>
    </w:p>
    <w:p>
      <w:pPr>
        <w:numPr>
          <w:ilvl w:val="0"/>
          <w:numId w:val="1068"/>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91"/>
    <w:bookmarkEnd w:id="92"/>
    <w:bookmarkEnd w:id="93"/>
    <w:bookmarkEnd w:id="94"/>
    <w:bookmarkStart w:id="95" w:name="conclusión"/>
    <w:p>
      <w:pPr>
        <w:pStyle w:val="Heading1"/>
      </w:pPr>
      <w:r>
        <w:t xml:space="preserve">Conclusión</w:t>
      </w:r>
    </w:p>
    <w:p>
      <w:pPr>
        <w:numPr>
          <w:ilvl w:val="0"/>
          <w:numId w:val="1069"/>
        </w:numPr>
      </w:pPr>
      <w:r>
        <w:rPr>
          <w:b/>
          <w:bCs/>
          <w:i/>
          <w:iCs/>
        </w:rPr>
        <w:t xml:space="preserve">Recapitulación</w:t>
      </w:r>
      <w:r>
        <w:t xml:space="preserve">:</w:t>
      </w:r>
    </w:p>
    <w:p>
      <w:pPr>
        <w:numPr>
          <w:ilvl w:val="1"/>
          <w:numId w:val="1070"/>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070"/>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070"/>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069"/>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numPr>
          <w:ilvl w:val="0"/>
          <w:numId w:val="1069"/>
        </w:numPr>
      </w:pPr>
      <w:r>
        <w:rPr>
          <w:b/>
          <w:bCs/>
          <w:i/>
          <w:iCs/>
        </w:rPr>
        <w:t xml:space="preserve">Extensiones y relación con otras partes del temario</w:t>
      </w:r>
      <w:r>
        <w:t xml:space="preserve">:</w:t>
      </w:r>
    </w:p>
    <w:p>
      <w:pPr>
        <w:numPr>
          <w:ilvl w:val="1"/>
          <w:numId w:val="1071"/>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071"/>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071"/>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071"/>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069"/>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069"/>
        </w:numPr>
      </w:pPr>
      <w:r>
        <w:rPr>
          <w:b/>
          <w:bCs/>
          <w:i/>
          <w:iCs/>
        </w:rPr>
        <w:t xml:space="preserve">Idea final</w:t>
      </w:r>
      <w:r>
        <w:t xml:space="preserve">: volviendo a la pregunta del principio, ¿basta que la pensión suba con el IPC para que el pensionista quede igual? No hace falta medir su utilidad para responder: basta su función de gasto, que la dualidad permite recuperar de su demanda. Y la respuesta es que,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su cesta es distinta, puede quedarse corta. La compensación exacta es la variación compensatoria, y calcularla es precisamente lo que enseña la dualidad.</w:t>
      </w:r>
    </w:p>
    <w:p>
      <w:pPr>
        <w:pStyle w:val="Cajadeanotaciones"/>
      </w:pPr>
      <w:r>
        <w:rPr>
          <w:b/>
          <w:bCs/>
        </w:rPr>
        <w:t xml:space="preserve">Lecturas complementarias</w:t>
      </w:r>
    </w:p>
    <w:p>
      <w:pPr>
        <w:pStyle w:val="Cajadeanotaciones"/>
        <w:numPr>
          <w:ilvl w:val="0"/>
          <w:numId w:val="1072"/>
        </w:numPr>
      </w:pPr>
      <w:r>
        <w:t xml:space="preserve">Mas-Colell, Whinston y Green (</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072"/>
        </w:numPr>
      </w:pPr>
      <w:r>
        <w:t xml:space="preserve">Deaton y Muellbauer (</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072"/>
        </w:numPr>
      </w:pPr>
      <w:r>
        <w:t xml:space="preserve">Aguilar García y Mateos Bustamante (</w:t>
      </w:r>
      <w:hyperlink w:anchor="ref-AguilarMateos2015Deaton">
        <w:r>
          <w:rPr>
            <w:rStyle w:val="Hyperlink"/>
          </w:rPr>
          <w:t xml:space="preserve">2015</w:t>
        </w:r>
      </w:hyperlink>
      <w:r>
        <w:t xml:space="preserve">)</w:t>
      </w:r>
      <w:r>
        <w:t xml:space="preserve">: resumen en castellano de la obra de</w:t>
      </w:r>
      <w:r>
        <w:t xml:space="preserve"> </w:t>
      </w:r>
      <w:r>
        <w:rPr>
          <w:smallCaps/>
        </w:rPr>
        <w:t xml:space="preserve">Angus Deaton</w:t>
      </w:r>
      <w:r>
        <w:t xml:space="preserve">, con la historia del AIDS.</w:t>
      </w:r>
    </w:p>
    <w:p>
      <w:pPr>
        <w:pStyle w:val="Cajadeanotaciones"/>
        <w:numPr>
          <w:ilvl w:val="0"/>
          <w:numId w:val="1072"/>
        </w:numPr>
      </w:pPr>
      <w:r>
        <w:t xml:space="preserve">J. L. Rodríguez López (2018): tema sobre la dualidad en la teoría de la demanda del consumidor y sus aplicaciones, material del curso de preparación del ICEX-CECO (no publicado).</w:t>
      </w:r>
    </w:p>
    <w:p>
      <w:r>
        <w:br w:type="page"/>
      </w:r>
    </w:p>
    <w:bookmarkEnd w:id="95"/>
    <w:bookmarkStart w:id="98" w:name="anexo:kt"/>
    <w:p>
      <w:pPr>
        <w:pStyle w:val="Heading1"/>
      </w:pPr>
      <w:r>
        <w:t xml:space="preserve">A. Anexo: condiciones de Kuhn-Tucker de los problemas primal y dual</w:t>
      </w:r>
    </w:p>
    <w:p>
      <w:pPr>
        <w:numPr>
          <w:ilvl w:val="0"/>
          <w:numId w:val="1073"/>
        </w:numPr>
      </w:pPr>
      <w:r>
        <w:t xml:space="preserve">Las condiciones de primer orden de los dos problemas, con las lagrangianas</w:t>
      </w:r>
      <w:r>
        <w:t xml:space="preserve"> </w:t>
      </w:r>
      <m:oMath>
        <m:sSup>
          <m:e>
            <m:r>
              <m:rPr>
                <m:sty m:val="p"/>
                <m:scr m:val="script"/>
              </m:rPr>
              <m:t>L</m:t>
            </m:r>
          </m:e>
          <m:sup>
            <m:r>
              <m:t>P</m:t>
            </m:r>
          </m:sup>
        </m:sSup>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w:t>
      </w:r>
      <w:r>
        <w:t xml:space="preserve">y</w:t>
      </w:r>
      <w:r>
        <w:t xml:space="preserve"> </w:t>
      </w:r>
      <m:oMath>
        <m:sSup>
          <m:e>
            <m:r>
              <m:rPr>
                <m:sty m:val="p"/>
                <m:scr m:val="script"/>
              </m:rPr>
              <m:t>L</m:t>
            </m:r>
          </m:e>
          <m:sup>
            <m:r>
              <m:t>D</m:t>
            </m:r>
          </m:sup>
        </m:sSup>
        <m:r>
          <m:rPr>
            <m:sty m:val="p"/>
          </m:rPr>
          <m:t>=</m:t>
        </m:r>
        <m:r>
          <m:t>p</m:t>
        </m:r>
        <m:r>
          <m:rPr>
            <m:sty m:val="p"/>
          </m:rPr>
          <m:t>⋅</m:t>
        </m:r>
        <m:r>
          <m:t>x</m:t>
        </m:r>
        <m:r>
          <m:rPr>
            <m:sty m:val="p"/>
          </m:rPr>
          <m:t>+</m:t>
        </m:r>
        <m:sSup>
          <m:e>
            <m:r>
              <m:t>λ</m:t>
            </m:r>
          </m:e>
          <m:sup>
            <m:r>
              <m:t>E</m:t>
            </m:r>
          </m:sup>
        </m:sSup>
        <m:d>
          <m:dPr>
            <m:begChr m:val="("/>
            <m:sepChr m:val=""/>
            <m:endChr m:val=")"/>
            <m:grow/>
          </m:dPr>
          <m:e>
            <m:bar>
              <m:barPr>
                <m:pos m:val="top"/>
              </m:barPr>
              <m:e>
                <m:r>
                  <m:t>U</m:t>
                </m:r>
              </m:e>
            </m:bar>
            <m:r>
              <m:rPr>
                <m:sty m:val="p"/>
              </m:rPr>
              <m:t>−</m:t>
            </m:r>
            <m:r>
              <m:t>U</m:t>
            </m:r>
            <m:d>
              <m:dPr>
                <m:begChr m:val="("/>
                <m:sepChr m:val=""/>
                <m:endChr m:val=")"/>
                <m:grow/>
              </m:dPr>
              <m:e>
                <m:r>
                  <m:t>x</m:t>
                </m:r>
              </m:e>
            </m:d>
          </m:e>
        </m:d>
      </m:oMath>
      <w:r>
        <w:t xml:space="preserve">, son simétricas:</w:t>
      </w:r>
    </w:p>
    <w:bookmarkStart w:id="96" w:name="tab:kt"/>
    <w:p>
      <w:pPr>
        <w:pStyle w:val="TableCaption"/>
      </w:pPr>
      <w:r>
        <w:t xml:space="preserve">Condiciones de primer orden de los problemas primal y dual</w:t>
      </w:r>
    </w:p>
    <w:tbl>
      <w:tblPr>
        <w:tblStyle w:val="Table"/>
        <w:tblW w:type="auto" w:w="0"/>
        <w:tblLook w:firstRow="1" w:lastRow="0" w:firstColumn="0" w:lastColumn="0" w:noHBand="0" w:noVBand="0" w:val="0020"/>
        <w:tblCaption w:val="Condiciones de primer orden de los problemas primal y dual"/>
      </w:tblPr>
      <w:tblGrid>
        <w:gridCol w:w="2640"/>
        <w:gridCol w:w="2640"/>
        <w:gridCol w:w="2640"/>
      </w:tblGrid>
      <w:tr>
        <w:trPr>
          <w:tblHeader w:val="on"/>
        </w:trPr>
        <w:tc>
          <w:tcPr/>
          <w:p/>
        </w:tc>
        <w:tc>
          <w:tcPr/>
          <w:p>
            <w:pPr>
              <w:pStyle w:val="Celdatceeazulpalido"/>
              <w:jc w:val="left"/>
            </w:pPr>
            <w:r>
              <w:rPr>
                <w:b/>
                <w:bCs/>
              </w:rPr>
              <w:t xml:space="preserve">Primal:</w:t>
            </w:r>
            <w:r>
              <w:rPr>
                <w:b/>
                <w:bCs/>
              </w:rPr>
              <w:t xml:space="preserve"> </w:t>
            </w:r>
            <m:oMath>
              <m:r>
                <m:rPr>
                  <m:sty m:val="p"/>
                </m:rPr>
                <m:t>max</m:t>
              </m:r>
              <m:r>
                <m:t>U</m:t>
              </m:r>
              <m:d>
                <m:dPr>
                  <m:begChr m:val="("/>
                  <m:sepChr m:val=""/>
                  <m:endChr m:val=")"/>
                  <m:grow/>
                </m:dPr>
                <m:e>
                  <m:r>
                    <m:t>x</m:t>
                  </m:r>
                </m:e>
              </m:d>
            </m:oMath>
            <w:r>
              <w:rPr>
                <w:b/>
                <w:bCs/>
              </w:rPr>
              <w:t xml:space="preserve"> </w:t>
            </w:r>
            <w:r>
              <w:rPr>
                <w:b/>
                <w:bCs/>
              </w:rPr>
              <w:t xml:space="preserve">s.a.</w:t>
            </w:r>
            <w:r>
              <w:rPr>
                <w:b/>
                <w:bCs/>
              </w:rPr>
              <w:t xml:space="preserve"> </w:t>
            </w:r>
            <m:oMath>
              <m:r>
                <m:t>p</m:t>
              </m:r>
              <m:r>
                <m:rPr>
                  <m:sty m:val="p"/>
                </m:rPr>
                <m:t>⋅</m:t>
              </m:r>
              <m:r>
                <m:t>x</m:t>
              </m:r>
              <m:r>
                <m:rPr>
                  <m:sty m:val="p"/>
                </m:rPr>
                <m:t>≤</m:t>
              </m:r>
              <m:bar>
                <m:barPr>
                  <m:pos m:val="top"/>
                </m:barPr>
                <m:e>
                  <m:r>
                    <m:t>W</m:t>
                  </m:r>
                </m:e>
              </m:bar>
            </m:oMath>
          </w:p>
        </w:tc>
        <w:tc>
          <w:tcPr/>
          <w:p>
            <w:pPr>
              <w:pStyle w:val="Celdatceeazulpalido"/>
              <w:jc w:val="left"/>
            </w:pPr>
            <w:r>
              <w:rPr>
                <w:b/>
                <w:bCs/>
              </w:rPr>
              <w:t xml:space="preserve">Dual:</w:t>
            </w:r>
            <w:r>
              <w:rPr>
                <w:b/>
                <w:bCs/>
              </w:rPr>
              <w:t xml:space="preserve"> </w:t>
            </w:r>
            <m:oMath>
              <m:r>
                <m:rPr>
                  <m:sty m:val="p"/>
                </m:rPr>
                <m:t>min</m:t>
              </m:r>
              <m:r>
                <m:t>p</m:t>
              </m:r>
              <m:r>
                <m:rPr>
                  <m:sty m:val="p"/>
                </m:rPr>
                <m:t>⋅</m:t>
              </m:r>
              <m:r>
                <m:t>x</m:t>
              </m:r>
            </m:oMath>
            <w:r>
              <w:rPr>
                <w:b/>
                <w:bCs/>
              </w:rPr>
              <w:t xml:space="preserve"> </w:t>
            </w:r>
            <w:r>
              <w:rPr>
                <w:b/>
                <w:bCs/>
              </w:rPr>
              <w:t xml:space="preserve">s.a.</w:t>
            </w:r>
            <w:r>
              <w:rPr>
                <w:b/>
                <w:bCs/>
              </w:rPr>
              <w:t xml:space="preserve"> </w:t>
            </w:r>
            <m:oMath>
              <m:r>
                <m:t>U</m:t>
              </m:r>
              <m:d>
                <m:dPr>
                  <m:begChr m:val="("/>
                  <m:sepChr m:val=""/>
                  <m:endChr m:val=")"/>
                  <m:grow/>
                </m:dPr>
                <m:e>
                  <m:r>
                    <m:t>x</m:t>
                  </m:r>
                </m:e>
              </m:d>
              <m:r>
                <m:rPr>
                  <m:sty m:val="p"/>
                </m:rPr>
                <m:t>≥</m:t>
              </m:r>
              <m:bar>
                <m:barPr>
                  <m:pos m:val="top"/>
                </m:barPr>
                <m:e>
                  <m:r>
                    <m:t>U</m:t>
                  </m:r>
                </m:e>
              </m:bar>
            </m:oMath>
          </w:p>
        </w:tc>
      </w:tr>
      <w:tr>
        <w:tc>
          <w:tcPr/>
          <w:p>
            <w:pPr>
              <w:pStyle w:val="Compact"/>
              <w:jc w:val="left"/>
            </w:pPr>
            <w:r>
              <w:t xml:space="preserve">Estacionariedad</w:t>
            </w:r>
          </w:p>
        </w:tc>
        <w:tc>
          <w:tcPr/>
          <w:p>
            <w:pPr>
              <w:pStyle w:val="Compact"/>
              <w:jc w:val="left"/>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p>
            <w:pPr>
              <w:pStyle w:val="Compact"/>
              <w:jc w:val="left"/>
            </w:pPr>
            <m:oMath>
              <m:sSub>
                <m:e>
                  <m:r>
                    <m:t>p</m:t>
                  </m:r>
                </m:e>
                <m:sub>
                  <m:r>
                    <m:t>i</m:t>
                  </m:r>
                </m:sub>
              </m:sSub>
              <m:r>
                <m:rPr>
                  <m:sty m:val="p"/>
                </m:rPr>
                <m:t>−</m:t>
              </m:r>
              <m:sSup>
                <m:e>
                  <m:r>
                    <m:t>λ</m:t>
                  </m:r>
                </m:e>
                <m:sup>
                  <m:r>
                    <m:t>E</m:t>
                  </m:r>
                </m:sup>
              </m:sSup>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sSup>
                <m:e>
                  <m:r>
                    <m:t>λ</m:t>
                  </m:r>
                </m:e>
                <m:sup>
                  <m:r>
                    <m:t>E</m:t>
                  </m:r>
                </m:sup>
              </m:sSup>
            </m:oMath>
          </w:p>
        </w:tc>
      </w:tr>
      <w:tr>
        <w:tc>
          <w:tcPr/>
          <w:p>
            <w:pPr>
              <w:pStyle w:val="Compact"/>
              <w:jc w:val="left"/>
            </w:pPr>
            <w:r>
              <w:t xml:space="preserve">Restricción</w:t>
            </w:r>
          </w:p>
        </w:tc>
        <w:tc>
          <w:tcPr/>
          <w:p>
            <w:pPr>
              <w:pStyle w:val="Compact"/>
              <w:jc w:val="left"/>
            </w:pPr>
            <m:oMath>
              <m:bar>
                <m:barPr>
                  <m:pos m:val="top"/>
                </m:barPr>
                <m:e>
                  <m:r>
                    <m:t>W</m:t>
                  </m:r>
                </m:e>
              </m:bar>
              <m:r>
                <m:rPr>
                  <m:sty m:val="p"/>
                </m:rPr>
                <m:t>−</m:t>
              </m:r>
              <m:r>
                <m:t>p</m:t>
              </m:r>
              <m:r>
                <m:rPr>
                  <m:sty m:val="p"/>
                </m:rPr>
                <m:t>⋅</m:t>
              </m:r>
              <m:r>
                <m:t>x</m:t>
              </m:r>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r>
                    <m:t>p</m:t>
                  </m:r>
                  <m:r>
                    <m:rPr>
                      <m:sty m:val="p"/>
                    </m:rPr>
                    <m:t>⋅</m:t>
                  </m:r>
                  <m:r>
                    <m:t>x</m:t>
                  </m:r>
                </m:e>
              </m:d>
              <m:r>
                <m:rPr>
                  <m:sty m:val="p"/>
                </m:rPr>
                <m:t>=</m:t>
              </m:r>
              <m:r>
                <m:t>0</m:t>
              </m:r>
            </m:oMath>
          </w:p>
        </w:tc>
        <w:tc>
          <w:tcPr/>
          <w:p>
            <w:pPr>
              <w:pStyle w:val="Compact"/>
              <w:jc w:val="left"/>
            </w:pPr>
            <m:oMath>
              <m:r>
                <m:t>U</m:t>
              </m:r>
              <m:d>
                <m:dPr>
                  <m:begChr m:val="("/>
                  <m:sepChr m:val=""/>
                  <m:endChr m:val=")"/>
                  <m:grow/>
                </m:dPr>
                <m:e>
                  <m:r>
                    <m:t>x</m:t>
                  </m:r>
                </m:e>
              </m:d>
              <m:r>
                <m:rPr>
                  <m:sty m:val="p"/>
                </m:rPr>
                <m:t>−</m:t>
              </m:r>
              <m:bar>
                <m:barPr>
                  <m:pos m:val="top"/>
                </m:barPr>
                <m:e>
                  <m:r>
                    <m:t>U</m:t>
                  </m:r>
                </m:e>
              </m:bar>
              <m:r>
                <m:rPr>
                  <m:sty m:val="p"/>
                </m:rPr>
                <m:t>≥</m:t>
              </m:r>
              <m:r>
                <m:t>0</m:t>
              </m:r>
            </m:oMath>
            <w:r>
              <w:t xml:space="preserve">,</w:t>
            </w:r>
            <w:r>
              <w:t xml:space="preserve"> </w:t>
            </w:r>
            <m:oMath>
              <m:sSup>
                <m:e>
                  <m:r>
                    <m:t>λ</m:t>
                  </m:r>
                </m:e>
                <m:sup>
                  <m:r>
                    <m:t>E</m:t>
                  </m:r>
                </m:sup>
              </m:sSup>
              <m:r>
                <m:rPr>
                  <m:sty m:val="p"/>
                </m:rPr>
                <m:t>≥</m:t>
              </m:r>
              <m:r>
                <m:t>0</m:t>
              </m:r>
            </m:oMath>
            <w:r>
              <w:t xml:space="preserve">,</w:t>
            </w:r>
            <w:r>
              <w:t xml:space="preserve"> </w:t>
            </w:r>
            <m:oMath>
              <m:sSup>
                <m:e>
                  <m:r>
                    <m:t>λ</m:t>
                  </m:r>
                </m:e>
                <m:sup>
                  <m:r>
                    <m:t>E</m:t>
                  </m:r>
                </m:sup>
              </m:sSup>
              <m:d>
                <m:dPr>
                  <m:begChr m:val="("/>
                  <m:sepChr m:val=""/>
                  <m:endChr m:val=")"/>
                  <m:grow/>
                </m:dPr>
                <m:e>
                  <m:r>
                    <m:t>U</m:t>
                  </m:r>
                  <m:d>
                    <m:dPr>
                      <m:begChr m:val="("/>
                      <m:sepChr m:val=""/>
                      <m:endChr m:val=")"/>
                      <m:grow/>
                    </m:dPr>
                    <m:e>
                      <m:r>
                        <m:t>x</m:t>
                      </m:r>
                    </m:e>
                  </m:d>
                  <m:r>
                    <m:rPr>
                      <m:sty m:val="p"/>
                    </m:rPr>
                    <m:t>−</m:t>
                  </m:r>
                  <m:bar>
                    <m:barPr>
                      <m:pos m:val="top"/>
                    </m:barPr>
                    <m:e>
                      <m:r>
                        <m:t>U</m:t>
                      </m:r>
                    </m:e>
                  </m:bar>
                </m:e>
              </m:d>
              <m:r>
                <m:rPr>
                  <m:sty m:val="p"/>
                </m:rPr>
                <m:t>=</m:t>
              </m:r>
              <m:r>
                <m:t>0</m:t>
              </m:r>
            </m:oMath>
          </w:p>
        </w:tc>
      </w:tr>
      <w:tr>
        <w:tc>
          <w:tcPr/>
          <w:p>
            <w:pPr>
              <w:pStyle w:val="Compact"/>
              <w:jc w:val="left"/>
            </w:pPr>
            <w:r>
              <w:t xml:space="preserve">No negatividad</w:t>
            </w:r>
          </w:p>
        </w:tc>
        <w:tc>
          <w:tcPr/>
          <w:p>
            <w:pPr>
              <w:pStyle w:val="Compact"/>
              <w:jc w:val="left"/>
            </w:pPr>
            <m:oMath>
              <m:sSub>
                <m:e>
                  <m:r>
                    <m:t>x</m:t>
                  </m:r>
                </m:e>
                <m:sub>
                  <m:r>
                    <m:t>i</m:t>
                  </m:r>
                </m:sub>
              </m:sSub>
              <m:r>
                <m:rPr>
                  <m:sty m:val="p"/>
                </m:rPr>
                <m:t>≥</m:t>
              </m:r>
              <m:r>
                <m:t>0</m:t>
              </m:r>
            </m:oMath>
          </w:p>
        </w:tc>
        <w:tc>
          <w:tcPr/>
          <w:p>
            <w:pPr>
              <w:pStyle w:val="Compact"/>
              <w:jc w:val="left"/>
            </w:pPr>
            <m:oMath>
              <m:sSub>
                <m:e>
                  <m:r>
                    <m:t>x</m:t>
                  </m:r>
                </m:e>
                <m:sub>
                  <m:r>
                    <m:t>i</m:t>
                  </m:r>
                </m:sub>
              </m:sSub>
              <m:r>
                <m:rPr>
                  <m:sty m:val="p"/>
                </m:rPr>
                <m:t>≥</m:t>
              </m:r>
              <m:r>
                <m:t>0</m:t>
              </m:r>
            </m:oMath>
          </w:p>
        </w:tc>
      </w:tr>
      <w:tr>
        <w:tc>
          <w:tcPr/>
          <w:p>
            <w:pPr>
              <w:pStyle w:val="Compact"/>
              <w:jc w:val="left"/>
            </w:pPr>
            <w:r>
              <w:t xml:space="preserve">Holgura complementaria</w:t>
            </w:r>
          </w:p>
        </w:tc>
        <w:tc>
          <w:tcPr/>
          <w:p>
            <w:pPr>
              <w:pStyle w:val="Compact"/>
              <w:jc w:val="left"/>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p>
            <w:pPr>
              <w:pStyle w:val="Compact"/>
              <w:jc w:val="left"/>
            </w:pPr>
            <m:oMath>
              <m:sSub>
                <m:e>
                  <m:r>
                    <m:t>x</m:t>
                  </m:r>
                </m:e>
                <m:sub>
                  <m:r>
                    <m:t>i</m:t>
                  </m:r>
                </m:sub>
              </m:sSub>
              <m:r>
                <m:t> </m:t>
              </m:r>
              <m:d>
                <m:dPr>
                  <m:begChr m:val="("/>
                  <m:sepChr m:val=""/>
                  <m:endChr m:val=")"/>
                  <m:grow/>
                </m:dPr>
                <m:e>
                  <m:sSub>
                    <m:e>
                      <m:r>
                        <m:t>p</m:t>
                      </m:r>
                    </m:e>
                    <m:sub>
                      <m:r>
                        <m:t>i</m:t>
                      </m:r>
                    </m:sub>
                  </m:sSub>
                  <m:r>
                    <m:rPr>
                      <m:sty m:val="p"/>
                    </m:rPr>
                    <m:t>−</m:t>
                  </m:r>
                  <m:sSup>
                    <m:e>
                      <m:r>
                        <m:t>λ</m:t>
                      </m:r>
                    </m:e>
                    <m:sup>
                      <m:r>
                        <m:t>E</m:t>
                      </m:r>
                    </m:sup>
                  </m:sSup>
                  <m:sSub>
                    <m:e>
                      <m:r>
                        <m:t>U</m:t>
                      </m:r>
                    </m:e>
                    <m:sub>
                      <m:r>
                        <m:t>i</m:t>
                      </m:r>
                    </m:sub>
                  </m:sSub>
                </m:e>
              </m:d>
              <m:r>
                <m:rPr>
                  <m:sty m:val="p"/>
                </m:rPr>
                <m:t>=</m:t>
              </m:r>
              <m:r>
                <m:t>0</m:t>
              </m:r>
            </m:oMath>
          </w:p>
        </w:tc>
      </w:tr>
      <w:tr>
        <w:tc>
          <w:tcPr/>
          <w:p>
            <w:pPr>
              <w:pStyle w:val="Compact"/>
              <w:jc w:val="left"/>
            </w:pPr>
            <w:r>
              <w:t xml:space="preserve">Solución interior</w:t>
            </w:r>
          </w:p>
        </w:tc>
        <w:tc>
          <w:tcPr/>
          <w:p>
            <w:pPr>
              <w:pStyle w:val="Compact"/>
              <w:jc w:val="left"/>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p>
            <w:pPr>
              <w:pStyle w:val="Compact"/>
              <w:jc w:val="left"/>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sSup>
                <m:e>
                  <m:r>
                    <m:t>λ</m:t>
                  </m:r>
                </m:e>
                <m:sup>
                  <m:r>
                    <m:t>E</m:t>
                  </m:r>
                </m:sup>
              </m:sSup>
            </m:oMath>
          </w:p>
        </w:tc>
      </w:tr>
    </w:tbl>
    <w:bookmarkEnd w:id="96"/>
    <w:p>
      <w:pPr>
        <w:pStyle w:val="BodyText"/>
      </w:pPr>
      <w:r>
        <w:t xml:space="preserve">En ambos:</w:t>
      </w:r>
      <w:r>
        <w:t xml:space="preserve"> </w:t>
      </w:r>
      <m:oMath>
        <m:r>
          <m:t>R</m:t>
        </m:r>
        <m:r>
          <m:t>M</m:t>
        </m:r>
        <m:sSub>
          <m:e>
            <m: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λ</m:t>
            </m:r>
          </m:e>
          <m:sup>
            <m:r>
              <m:t>E</m:t>
            </m:r>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074"/>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sSup>
          <m:e>
            <m:r>
              <m:t>λ</m:t>
            </m:r>
          </m:e>
          <m:sup>
            <m:r>
              <m:t>E</m:t>
            </m:r>
          </m:sup>
        </m:sSup>
        <m:sSub>
          <m:e>
            <m:r>
              <m:t>U</m:t>
            </m:r>
          </m:e>
          <m:sub>
            <m:r>
              <m:t>i</m:t>
            </m:r>
          </m:sub>
        </m:sSub>
      </m:oMath>
      <w:r>
        <w:t xml:space="preserve">.</w:t>
      </w:r>
    </w:p>
    <w:p>
      <w:pPr>
        <w:numPr>
          <w:ilvl w:val="0"/>
          <w:numId w:val="1074"/>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sSup>
          <m:e>
            <m:r>
              <m:t>λ</m:t>
            </m:r>
          </m:e>
          <m:sup>
            <m:r>
              <m:t>E</m:t>
            </m:r>
          </m:sup>
        </m:sSup>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074"/>
        </w:numPr>
      </w:pPr>
      <w:r>
        <w:rPr>
          <w:i/>
          <w:iCs/>
        </w:rPr>
        <w:t xml:space="preserve">Holgura complementaria</w:t>
      </w:r>
      <w:r>
        <w:t xml:space="preserve">: para cada bien, o se consume (</w:t>
      </w:r>
      <m:oMath>
        <m:sSub>
          <m:e>
            <m:r>
              <m:t>x</m:t>
            </m:r>
          </m:e>
          <m:sub>
            <m:r>
              <m:t>i</m:t>
            </m:r>
          </m:sub>
        </m:sSub>
        <m:r>
          <m:rPr>
            <m:sty m:val="p"/>
          </m:rPr>
          <m:t>&gt;</m:t>
        </m:r>
        <m:r>
          <m:t>0</m:t>
        </m:r>
      </m:oMath>
      <w:r>
        <w:t xml:space="preserve">) y la estacionariedad se cumple con igualdad, o no se consume (</w:t>
      </w:r>
      <m:oMath>
        <m:sSub>
          <m:e>
            <m:r>
              <m:t>x</m:t>
            </m:r>
          </m:e>
          <m:sub>
            <m:r>
              <m:t>i</m:t>
            </m:r>
          </m:sub>
        </m:sSub>
        <m:r>
          <m:rPr>
            <m:sty m:val="p"/>
          </m:rPr>
          <m:t>=</m:t>
        </m:r>
        <m:r>
          <m:t>0</m:t>
        </m:r>
      </m:oMath>
      <w:r>
        <w:t xml:space="preserve">, solución de esquina) y la desigualdad puede ser estricta; si se cumplen ambas igualdades, la esquina es degenerada.</w:t>
      </w:r>
    </w:p>
    <w:bookmarkStart w:id="97" w:name="Xa5019a610cd07b2f58bbc26dd64df8866018f02"/>
    <w:p>
      <w:pPr>
        <w:pStyle w:val="Heading2"/>
      </w:pPr>
      <w:r>
        <w:t xml:space="preserve">A.1. Condiciones de segundo orden: hessiano orlado y regla de Sarrus</w:t>
      </w:r>
    </w:p>
    <w:p>
      <w:pPr>
        <w:numPr>
          <w:ilvl w:val="0"/>
          <w:numId w:val="1075"/>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075"/>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075"/>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075"/>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sSup>
          <m:e>
            <m:r>
              <m:t>λ</m:t>
            </m:r>
          </m:e>
          <m:sup>
            <m:r>
              <m:t>E</m:t>
            </m:r>
          </m:sup>
        </m:sSup>
        <m:sSub>
          <m:e>
            <m:r>
              <m:t>U</m:t>
            </m:r>
          </m:e>
          <m:sub>
            <m:r>
              <m:t>i</m:t>
            </m:r>
            <m:r>
              <m:t>j</m:t>
            </m:r>
          </m:sub>
        </m:sSub>
      </m:oMath>
      <w:r>
        <w:t xml:space="preserve">, el determinante es</w:t>
      </w:r>
      <w:r>
        <w:t xml:space="preserve"> </w:t>
      </w:r>
      <m:oMath>
        <m:r>
          <m:rPr>
            <m:sty m:val="p"/>
          </m:rPr>
          <m:t>−</m:t>
        </m:r>
        <m:sSup>
          <m:e>
            <m:r>
              <m:t>λ</m:t>
            </m:r>
          </m:e>
          <m:sup>
            <m:r>
              <m:t>E</m:t>
            </m:r>
          </m:sup>
        </m:sSup>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075"/>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rPr>
          <w:t xml:space="preserve">Sydsæter et al. 2008, cap. 3</w:t>
        </w:r>
      </w:hyperlink>
      <w:r>
        <w:t xml:space="preserve">)</w:t>
      </w:r>
      <w:r>
        <w:t xml:space="preserve">.</w:t>
      </w:r>
    </w:p>
    <w:bookmarkEnd w:id="97"/>
    <w:bookmarkEnd w:id="98"/>
    <w:bookmarkStart w:id="101" w:name="anexo:envolvente"/>
    <w:p>
      <w:pPr>
        <w:pStyle w:val="Heading1"/>
      </w:pPr>
      <w:r>
        <w:t xml:space="preserve">B. Anexo: teorema de la envolvente, identidad de Roy y lema de Shephard</w:t>
      </w:r>
    </w:p>
    <w:p>
      <w:pPr>
        <w:numPr>
          <w:ilvl w:val="0"/>
          <w:numId w:val="1076"/>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99" w:name="der:roy"/>
    <w:p>
      <w:pPr>
        <w:pStyle w:val="Heading2"/>
      </w:pPr>
      <w:r>
        <w:t xml:space="preserve">B.1. Identidad de Roy</w:t>
      </w:r>
    </w:p>
    <w:p>
      <w:pPr>
        <w:numPr>
          <w:ilvl w:val="0"/>
          <w:numId w:val="1077"/>
        </w:numPr>
      </w:pPr>
      <w:r>
        <w:rPr>
          <w:i/>
          <w:iCs/>
        </w:rPr>
        <w:t xml:space="preserve">Por la envolvente</w:t>
      </w:r>
      <w:r>
        <w:t xml:space="preserve"> </w:t>
      </w:r>
      <w:r>
        <w:t xml:space="preserve">(la misma demostración que en</w:t>
      </w:r>
      <w:r>
        <w:t xml:space="preserve"> </w:t>
      </w:r>
      <w:r>
        <w:rPr>
          <w:rStyle w:val="Referenciaatema"/>
        </w:rPr>
        <w:t xml:space="preserve">[ver tema 3.A.8]</w:t>
      </w:r>
      <w:r>
        <w:t xml:space="preserve">). Con</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(4).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077"/>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r>
                <m:t>p</m:t>
              </m:r>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donde</w:t>
      </w:r>
      <w:r>
        <w:t xml:space="preserve"> </w:t>
      </w:r>
      <m:oMath>
        <m:sSub>
          <m:e>
            <m:r>
              <m:t>h</m:t>
            </m:r>
          </m:e>
          <m:sub>
            <m:r>
              <m:t>i</m:t>
            </m:r>
          </m:sub>
        </m:sSub>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rPr>
          <w:t xml:space="preserve">Mas-Colell, Whinston y Green 1995</w:t>
        </w:r>
      </w:hyperlink>
      <w:r>
        <w:t xml:space="preserve">, prop. 3.G.4)</w:t>
      </w:r>
      <w:r>
        <w:t xml:space="preserve">.</w:t>
      </w:r>
    </w:p>
    <w:bookmarkEnd w:id="99"/>
    <w:bookmarkStart w:id="100" w:name="der:shephard"/>
    <w:p>
      <w:pPr>
        <w:pStyle w:val="Heading2"/>
      </w:pPr>
      <w:r>
        <w:t xml:space="preserve">B.2. Lema de Shephard</w:t>
      </w:r>
    </w:p>
    <w:p>
      <w:pPr>
        <w:numPr>
          <w:ilvl w:val="0"/>
          <w:numId w:val="1078"/>
        </w:numPr>
      </w:pPr>
      <w:r>
        <w:rPr>
          <w:i/>
          <w:iCs/>
        </w:rPr>
        <w:t xml:space="preserve">Por la envolvente</w:t>
      </w:r>
      <w:r>
        <w:t xml:space="preserve">. Con</w:t>
      </w:r>
      <w:r>
        <w:t xml:space="preserve"> </w:t>
      </w:r>
      <m:oMath>
        <m:r>
          <m:rPr>
            <m:sty m:val="p"/>
            <m:scr m:val="script"/>
          </m:rPr>
          <m:t>L</m:t>
        </m:r>
        <m:r>
          <m:rPr>
            <m:sty m:val="p"/>
          </m:rPr>
          <m:t>=</m:t>
        </m:r>
        <m:r>
          <m:t>p</m:t>
        </m:r>
        <m:r>
          <m:rPr>
            <m:sty m:val="p"/>
          </m:rPr>
          <m:t>⋅</m:t>
        </m:r>
        <m:r>
          <m:t>x</m:t>
        </m:r>
        <m:r>
          <m:rPr>
            <m:sty m:val="p"/>
          </m:rPr>
          <m:t>+</m:t>
        </m:r>
        <m:sSup>
          <m:e>
            <m:r>
              <m:t>λ</m:t>
            </m:r>
          </m:e>
          <m:sup>
            <m:r>
              <m:t>E</m:t>
            </m:r>
          </m:sup>
        </m:sSup>
        <m:d>
          <m:dPr>
            <m:begChr m:val="("/>
            <m:sepChr m:val=""/>
            <m:endChr m:val=")"/>
            <m:grow/>
          </m:dPr>
          <m:e>
            <m:bar>
              <m:barPr>
                <m:pos m:val="top"/>
              </m:barPr>
              <m:e>
                <m:r>
                  <m:t>U</m:t>
                </m:r>
              </m:e>
            </m:bar>
            <m:r>
              <m:rPr>
                <m:sty m:val="p"/>
              </m:rPr>
              <m:t>−</m:t>
            </m:r>
            <m:r>
              <m:t>U</m:t>
            </m:r>
            <m:d>
              <m:dPr>
                <m:begChr m:val="("/>
                <m:sepChr m:val=""/>
                <m:endChr m:val=")"/>
                <m:grow/>
              </m:dPr>
              <m:e>
                <m:r>
                  <m:t>x</m:t>
                </m:r>
              </m:e>
            </m:d>
          </m:e>
        </m:d>
      </m:oMath>
      <w:r>
        <w:t xml:space="preserve">:</w:t>
      </w:r>
    </w:p>
    <w:p>
      <w:pPr>
        <w:pStyle w:val="BodyText"/>
      </w:pPr>
      <m:oMathPara>
        <m:oMathParaPr>
          <m:jc m:val="center"/>
        </m:oMathParaPr>
        <m:oMath>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r>
                <m:t>x</m:t>
              </m:r>
              <m:r>
                <m:rPr>
                  <m:sty m:val="p"/>
                </m:rPr>
                <m:t>=</m:t>
              </m:r>
              <m:r>
                <m:t>h</m:t>
              </m:r>
              <m:d>
                <m:dPr>
                  <m:begChr m:val="("/>
                  <m:sepChr m:val=""/>
                  <m:endChr m:val=")"/>
                  <m:grow/>
                </m:dPr>
                <m:e>
                  <m:r>
                    <m:t>p</m:t>
                  </m:r>
                  <m:r>
                    <m:rPr>
                      <m:sty m:val="p"/>
                    </m:rPr>
                    <m:t>,</m:t>
                  </m:r>
                  <m:bar>
                    <m:barPr>
                      <m:pos m:val="top"/>
                    </m:barPr>
                    <m:e>
                      <m:r>
                        <m:t>U</m:t>
                      </m:r>
                    </m:e>
                  </m:bar>
                </m:e>
              </m:d>
            </m:sub>
          </m:sSub>
          <m:r>
            <m:rPr>
              <m:sty m:val="p"/>
            </m:rPr>
            <m:t>=</m:t>
          </m:r>
          <m:sSub>
            <m:e>
              <m:r>
                <m:t>h</m:t>
              </m:r>
            </m:e>
            <m:sub>
              <m:r>
                <m:t>i</m:t>
              </m:r>
            </m:sub>
          </m:sSub>
          <m:d>
            <m:dPr>
              <m:begChr m:val="("/>
              <m:sepChr m:val=""/>
              <m:endChr m:val=")"/>
              <m:grow/>
            </m:dPr>
            <m:e>
              <m:r>
                <m:t>p</m:t>
              </m:r>
              <m:r>
                <m:rPr>
                  <m:sty m:val="p"/>
                </m:rPr>
                <m:t>,</m:t>
              </m:r>
              <m:bar>
                <m:barPr>
                  <m:pos m:val="top"/>
                </m:barPr>
                <m:e>
                  <m:r>
                    <m:t>U</m:t>
                  </m:r>
                </m:e>
              </m:bar>
            </m:e>
          </m:d>
          <m:r>
            <m:rPr>
              <m:sty m:val="p"/>
            </m:rPr>
            <m:t>,</m:t>
          </m:r>
          <m:r>
            <m:t>  </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bar>
                <m:barPr>
                  <m:pos m:val="top"/>
                </m:barPr>
                <m:e>
                  <m:r>
                    <m:t>U</m:t>
                  </m:r>
                </m:e>
              </m:bar>
            </m:den>
          </m:f>
          <m:r>
            <m:rPr>
              <m:sty m:val="p"/>
            </m:rPr>
            <m:t>=</m:t>
          </m:r>
          <m:sSup>
            <m:e>
              <m:r>
                <m:t>λ</m:t>
              </m:r>
            </m:e>
            <m:sup>
              <m:r>
                <m:t>E</m:t>
              </m:r>
              <m:r>
                <m:rPr>
                  <m:sty m:val="p"/>
                </m:rPr>
                <m:t>*</m:t>
              </m:r>
            </m:sup>
          </m:sSup>
          <m:r>
            <m:rPr>
              <m:sty m:val="p"/>
            </m:rPr>
            <m:t>.</m:t>
          </m:r>
        </m:oMath>
      </m:oMathPara>
    </w:p>
    <w:p>
      <w:pPr>
        <w:numPr>
          <w:ilvl w:val="0"/>
          <w:numId w:val="1078"/>
        </w:numPr>
      </w:pPr>
      <w:r>
        <w:rPr>
          <w:i/>
          <w:iCs/>
        </w:rPr>
        <w:t xml:space="preserve">Sin cálculo diferencial</w:t>
      </w:r>
      <w:r>
        <w:t xml:space="preserve">, por la concavidad. Para cualquier</w:t>
      </w:r>
      <w:r>
        <w:t xml:space="preserve"> </w:t>
      </w:r>
      <m:oMath>
        <m:r>
          <m:t>p</m:t>
        </m:r>
        <m:r>
          <m:rPr>
            <m:sty m:val="p"/>
          </m:rPr>
          <m:t>′</m:t>
        </m:r>
      </m:oMath>
      <w:r>
        <w:t xml:space="preserve">, la cesta</w:t>
      </w:r>
      <w:r>
        <w:t xml:space="preserve"> </w:t>
      </w:r>
      <m:oMath>
        <m:r>
          <m:t>h</m:t>
        </m:r>
        <m:d>
          <m:dPr>
            <m:begChr m:val="("/>
            <m:sepChr m:val=""/>
            <m:endChr m:val=")"/>
            <m:grow/>
          </m:dPr>
          <m:e>
            <m:r>
              <m:t>p</m:t>
            </m:r>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r>
              <m:t>p</m:t>
            </m:r>
            <m:r>
              <m:rPr>
                <m:sty m:val="p"/>
              </m:rPr>
              <m:t>′</m:t>
            </m:r>
          </m:e>
        </m:d>
        <m:r>
          <m:rPr>
            <m:sty m:val="p"/>
          </m:rPr>
          <m:t>≡</m:t>
        </m:r>
        <m:r>
          <m:t>p</m:t>
        </m:r>
        <m:r>
          <m:rPr>
            <m:sty m:val="p"/>
          </m:rPr>
          <m:t>′</m:t>
        </m:r>
        <m:r>
          <m:rPr>
            <m:sty m:val="p"/>
          </m:rPr>
          <m:t>⋅</m:t>
        </m:r>
        <m:r>
          <m:t>h</m:t>
        </m:r>
        <m:d>
          <m:dPr>
            <m:begChr m:val="("/>
            <m:sepChr m:val=""/>
            <m:endChr m:val=")"/>
            <m:grow/>
          </m:dPr>
          <m:e>
            <m:r>
              <m:t>p</m:t>
            </m:r>
            <m:r>
              <m:rPr>
                <m:sty m:val="p"/>
              </m:rPr>
              <m:t>,</m:t>
            </m:r>
            <m:bar>
              <m:barPr>
                <m:pos m:val="top"/>
              </m:barPr>
              <m:e>
                <m:r>
                  <m:t>U</m:t>
                </m:r>
              </m:e>
            </m:bar>
          </m:e>
        </m:d>
        <m:r>
          <m:rPr>
            <m:sty m:val="p"/>
          </m:rPr>
          <m:t>−</m:t>
        </m:r>
        <m:r>
          <m:t>E</m:t>
        </m:r>
        <m:d>
          <m:dPr>
            <m:begChr m:val="("/>
            <m:sepChr m:val=""/>
            <m:endChr m:val=")"/>
            <m:grow/>
          </m:dPr>
          <m:e>
            <m:r>
              <m:t>p</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r>
              <m:t>p</m:t>
            </m:r>
          </m:e>
        </m:d>
        <m:r>
          <m:rPr>
            <m:sty m:val="p"/>
          </m:rPr>
          <m:t>=</m:t>
        </m:r>
        <m:r>
          <m:t>0</m:t>
        </m:r>
      </m:oMath>
      <w:r>
        <w:t xml:space="preserve">. La función</w:t>
      </w:r>
      <w:r>
        <w:t xml:space="preserve"> </w:t>
      </w:r>
      <m:oMath>
        <m:r>
          <m:t>g</m:t>
        </m:r>
      </m:oMath>
      <w:r>
        <w:t xml:space="preserve"> </w:t>
      </w:r>
      <w:r>
        <w:t xml:space="preserve">tiene un mínimo en</w:t>
      </w:r>
      <w:r>
        <w:t xml:space="preserve"> </w:t>
      </w:r>
      <m:oMath>
        <m:r>
          <m:t>p</m:t>
        </m:r>
        <m:r>
          <m:rPr>
            <m:sty m:val="p"/>
          </m:rPr>
          <m:t>′</m:t>
        </m:r>
        <m:r>
          <m:rPr>
            <m:sty m:val="p"/>
          </m:rPr>
          <m:t>=</m:t>
        </m:r>
        <m:r>
          <m:t>p</m:t>
        </m:r>
      </m:oMath>
      <w:r>
        <w:t xml:space="preserve"> </w:t>
      </w:r>
      <w:r>
        <w:t xml:space="preserve">y su gradiente se anula allí:</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rPr>
          <w:t xml:space="preserve">Mas-Colell, Whinston y Green 1995</w:t>
        </w:r>
      </w:hyperlink>
      <w:r>
        <w:t xml:space="preserve">, prop. 3.G.1)</w:t>
      </w:r>
      <w:r>
        <w:t xml:space="preserve">.</w:t>
      </w:r>
    </w:p>
    <w:p>
      <w:pPr>
        <w:numPr>
          <w:ilvl w:val="0"/>
          <w:numId w:val="1078"/>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00"/>
    <w:bookmarkEnd w:id="101"/>
    <w:bookmarkStart w:id="102" w:name="anexo:hessiana"/>
    <w:p>
      <w:pPr>
        <w:pStyle w:val="Heading1"/>
      </w:pPr>
      <w:r>
        <w:t xml:space="preserve">C. Anexo: matriz hessiana, concavidad y cuasiconcavidad</w:t>
      </w:r>
    </w:p>
    <w:p>
      <w:pPr>
        <w:numPr>
          <w:ilvl w:val="0"/>
          <w:numId w:val="1079"/>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r>
              <m:t>a</m:t>
            </m:r>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r>
              <m:t>a</m:t>
            </m:r>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numPr>
          <w:ilvl w:val="0"/>
          <w:numId w:val="1079"/>
        </w:numPr>
      </w:pPr>
      <w:r>
        <w:rPr>
          <w:b/>
          <w:bCs/>
        </w:rPr>
        <w:t xml:space="preserve">Concavidad y convexidad</w:t>
      </w:r>
      <w:r>
        <w:t xml:space="preserve">:</w:t>
      </w:r>
    </w:p>
    <w:p>
      <w:pPr>
        <w:numPr>
          <w:ilvl w:val="1"/>
          <w:numId w:val="1080"/>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r>
              <m:t>a</m:t>
            </m:r>
          </m:e>
        </m:d>
      </m:oMath>
      <w:r>
        <w:t xml:space="preserve"> </w:t>
      </w:r>
      <w:r>
        <w:t xml:space="preserve">es semidefinida positiva para todo</w:t>
      </w:r>
      <w:r>
        <w:t xml:space="preserve"> </w:t>
      </w:r>
      <m:oMath>
        <m:r>
          <m:t>a</m:t>
        </m:r>
        <m:r>
          <m:rPr>
            <m:sty m:val="p"/>
          </m:rPr>
          <m:t>∈</m:t>
        </m:r>
        <m:r>
          <m:t>A</m:t>
        </m:r>
      </m:oMath>
      <w:r>
        <w:t xml:space="preserve">; si es definida positiva para todo</w:t>
      </w:r>
      <w:r>
        <w:t xml:space="preserve"> </w:t>
      </w:r>
      <m:oMath>
        <m:r>
          <m:t>a</m:t>
        </m:r>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080"/>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r>
              <m:t>a</m:t>
            </m:r>
          </m:e>
        </m:d>
      </m:oMath>
      <w:r>
        <w:t xml:space="preserve"> </w:t>
      </w:r>
      <w:r>
        <w:t xml:space="preserve">es semidefinida negativa para todo</w:t>
      </w:r>
      <w:r>
        <w:t xml:space="preserve"> </w:t>
      </w:r>
      <m:oMath>
        <m:r>
          <m:t>a</m:t>
        </m:r>
        <m:r>
          <m:rPr>
            <m:sty m:val="p"/>
          </m:rPr>
          <m:t>∈</m:t>
        </m:r>
        <m:r>
          <m:t>A</m:t>
        </m:r>
      </m:oMath>
      <w:r>
        <w:t xml:space="preserve">; si es definida negativa para todo</w:t>
      </w:r>
      <w:r>
        <w:t xml:space="preserve"> </w:t>
      </w:r>
      <m:oMath>
        <m:r>
          <m:t>a</m:t>
        </m:r>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079"/>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rPr>
          <w:t xml:space="preserve">Sydsæter et al. 2008, cap. 1</w:t>
        </w:r>
      </w:hyperlink>
      <w:r>
        <w:t xml:space="preserve">)</w:t>
      </w:r>
      <w:r>
        <w:t xml:space="preserve">.</w:t>
      </w:r>
    </w:p>
    <w:p>
      <w:pPr>
        <w:numPr>
          <w:ilvl w:val="0"/>
          <w:numId w:val="1079"/>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r>
          <m:t>x</m:t>
        </m:r>
        <m:r>
          <m:rPr>
            <m:sty m:val="p"/>
          </m:rPr>
          <m:t>:</m:t>
        </m:r>
        <m:r>
          <m:t>f</m:t>
        </m:r>
        <m:d>
          <m:dPr>
            <m:begChr m:val="("/>
            <m:sepChr m:val=""/>
            <m:endChr m:val=")"/>
            <m:grow/>
          </m:dPr>
          <m:e>
            <m:r>
              <m:t>x</m:t>
            </m:r>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rPr>
          <w:t xml:space="preserve">Arrow y Enthoven 1961</w:t>
        </w:r>
      </w:hyperlink>
      <w:r>
        <w:t xml:space="preserve">)</w:t>
      </w:r>
      <w:r>
        <w:t xml:space="preserve">.</w:t>
      </w:r>
    </w:p>
    <w:p>
      <w:pPr>
        <w:numPr>
          <w:ilvl w:val="0"/>
          <w:numId w:val="1079"/>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02"/>
    <w:bookmarkStart w:id="104" w:name="anexo:ordenacion"/>
    <w:p>
      <w:pPr>
        <w:pStyle w:val="Heading1"/>
      </w:pPr>
      <w:r>
        <w:t xml:space="preserve">D. Anexo: ordenación de las medidas de bienestar</w:t>
      </w:r>
    </w:p>
    <w:p>
      <w:pPr>
        <w:numPr>
          <w:ilvl w:val="0"/>
          <w:numId w:val="1081"/>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081"/>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081"/>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081"/>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081"/>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081"/>
        </w:numPr>
      </w:pPr>
      <w:r>
        <w:t xml:space="preserve">Combinando estas desigualdades se obtiene la tabla 5.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03" w:name="tab:ordenacion"/>
    <w:p>
      <w:pPr>
        <w:pStyle w:val="TableCaption"/>
      </w:pP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Ordenación de las medidas de cambio en el bienestar ante una variación del precio de un bien"/>
      </w:tblPr>
      <w:tblGrid>
        <w:gridCol w:w="2640"/>
        <w:gridCol w:w="2640"/>
        <w:gridCol w:w="2640"/>
      </w:tblGrid>
      <w:tr>
        <w:trPr>
          <w:tblHeader w:val="on"/>
        </w:trPr>
        <w:tc>
          <w:tcPr/>
          <w:p>
            <w:pPr>
              <w:pStyle w:val="Celdatceeazulpalido"/>
              <w:jc w:val="left"/>
            </w:pPr>
            <w:r>
              <w:rPr>
                <w:i/>
                <w:iCs/>
              </w:rPr>
              <w:t xml:space="preserve">Tipo de bien</w:t>
            </w:r>
          </w:p>
        </w:tc>
        <w:tc>
          <w:tcPr/>
          <w:p>
            <w:pPr>
              <w:pStyle w:val="Celdatceeazulpalido"/>
              <w:jc w:val="left"/>
            </w:pPr>
            <w:r>
              <w:rPr>
                <w:i/>
                <w:iCs/>
              </w:rPr>
              <w:t xml:space="preserve">Ordenación (con signo)</w:t>
            </w:r>
          </w:p>
        </w:tc>
        <w:tc>
          <w:tcPr/>
          <w:p>
            <w:pPr>
              <w:pStyle w:val="Celdatceeazulpalido"/>
              <w:jc w:val="left"/>
            </w:pPr>
            <w:r>
              <w:rPr>
                <w:i/>
                <w:iCs/>
              </w:rPr>
              <w:t xml:space="preserve">Por qué</w:t>
            </w:r>
          </w:p>
        </w:tc>
      </w:tr>
      <w:tr>
        <w:tc>
          <w:tcPr/>
          <w:p>
            <w:pPr>
              <w:pStyle w:val="Compact"/>
              <w:jc w:val="left"/>
            </w:pPr>
            <w:r>
              <w:rPr>
                <w:rStyle w:val="Textoverde"/>
              </w:rPr>
              <w:t xml:space="preserve">Normal</w:t>
            </w:r>
          </w:p>
        </w:tc>
        <w:tc>
          <w:tcPr/>
          <w:p>
            <w:pPr>
              <w:pStyle w:val="Celdatceesalvia"/>
              <w:jc w:val="left"/>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p>
            <w:pPr>
              <w:pStyle w:val="Compact"/>
              <w:jc w:val="left"/>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p>
            <w:pPr>
              <w:pStyle w:val="Compact"/>
              <w:jc w:val="left"/>
            </w:pPr>
            <w:r>
              <w:t xml:space="preserve">Frontera (efecto renta nulo)</w:t>
            </w:r>
          </w:p>
        </w:tc>
        <w:tc>
          <w:tcPr/>
          <w:p>
            <w:pPr>
              <w:pStyle w:val="Compact"/>
              <w:jc w:val="left"/>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p>
            <w:pPr>
              <w:pStyle w:val="Compact"/>
              <w:jc w:val="left"/>
            </w:pPr>
            <w:r>
              <w:t xml:space="preserve">marshalliana = hicksianas</w:t>
            </w:r>
          </w:p>
        </w:tc>
      </w:tr>
      <w:tr>
        <w:tc>
          <w:tcPr/>
          <w:p>
            <w:pPr>
              <w:pStyle w:val="Compact"/>
              <w:jc w:val="left"/>
            </w:pPr>
            <w:r>
              <w:rPr>
                <w:rStyle w:val="Textonaranja"/>
              </w:rPr>
              <w:t xml:space="preserve">Inferior ordinario</w:t>
            </w:r>
          </w:p>
        </w:tc>
        <w:tc>
          <w:tcPr/>
          <w:p>
            <w:pPr>
              <w:pStyle w:val="Compact"/>
              <w:jc w:val="left"/>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p>
            <w:pPr>
              <w:pStyle w:val="Compact"/>
              <w:jc w:val="left"/>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p>
            <w:pPr>
              <w:pStyle w:val="Compact"/>
              <w:jc w:val="left"/>
            </w:pPr>
            <w:r>
              <w:rPr>
                <w:rStyle w:val="Textorojo"/>
                <w:smallCaps/>
              </w:rPr>
              <w:t xml:space="preserve">Giffen</w:t>
            </w:r>
          </w:p>
        </w:tc>
        <w:tc>
          <w:tcPr/>
          <w:p>
            <w:pPr>
              <w:pStyle w:val="Compact"/>
              <w:jc w:val="left"/>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p>
            <w:pPr>
              <w:pStyle w:val="Compact"/>
              <w:jc w:val="left"/>
            </w:pPr>
            <m:oMath>
              <m:sSub>
                <m:e>
                  <m:r>
                    <m:t>x</m:t>
                  </m:r>
                </m:e>
                <m:sub>
                  <m:r>
                    <m:t>1</m:t>
                  </m:r>
                </m:sub>
              </m:sSub>
            </m:oMath>
            <w:r>
              <w:t xml:space="preserve"> </w:t>
            </w:r>
            <w:r>
              <w:t xml:space="preserve">creciente en</w:t>
            </w:r>
            <w:r>
              <w:t xml:space="preserve"> </w:t>
            </w:r>
            <m:oMath>
              <m:sSub>
                <m:e>
                  <m:r>
                    <m:t>p</m:t>
                  </m:r>
                </m:e>
                <m:sub>
                  <m:r>
                    <m:t>1</m:t>
                  </m:r>
                </m:sub>
              </m:sSub>
            </m:oMath>
          </w:p>
        </w:tc>
      </w:tr>
    </w:tbl>
    <w:bookmarkEnd w:id="103"/>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3.I</w:t>
        </w:r>
      </w:hyperlink>
      <w:r>
        <w:rPr>
          <w:i/>
          <w:iCs/>
        </w:rPr>
        <w:t xml:space="preserve">)</w:t>
      </w:r>
      <w:r>
        <w:rPr>
          <w:i/>
          <w:iCs/>
        </w:rPr>
        <w:t xml:space="preserve">.</w:t>
      </w:r>
    </w:p>
    <w:bookmarkEnd w:id="104"/>
    <w:bookmarkStart w:id="105" w:name="anexo:willig"/>
    <w:p>
      <w:pPr>
        <w:pStyle w:val="Heading1"/>
      </w:pPr>
      <w:r>
        <w:t xml:space="preserve">E. Anexo: la aproximación de Willig</w:t>
      </w:r>
    </w:p>
    <w:p>
      <w:pPr>
        <w:numPr>
          <w:ilvl w:val="0"/>
          <w:numId w:val="1082"/>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082"/>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082"/>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082"/>
        </w:numPr>
      </w:pPr>
      <w:r>
        <w:t xml:space="preserve">El resultado formal, con las cotas del error, está en</w:t>
      </w:r>
      <w:r>
        <w:t xml:space="preserve"> </w:t>
      </w:r>
      <w:r>
        <w:t xml:space="preserve">Willig (</w:t>
      </w:r>
      <w:hyperlink w:anchor="ref-Willig1976Surplus">
        <w:r>
          <w:rPr>
            <w:rStyle w:val="Hyperlink"/>
          </w:rPr>
          <w:t xml:space="preserve">1976</w:t>
        </w:r>
      </w:hyperlink>
      <w:r>
        <w:t xml:space="preserve">)</w:t>
      </w:r>
      <w:r>
        <w:t xml:space="preserve">; la discusión de su precisión para la pérdida irrecuperable, en</w:t>
      </w:r>
      <w:r>
        <w:t xml:space="preserve"> </w:t>
      </w:r>
      <w:r>
        <w:t xml:space="preserve">Hausman (</w:t>
      </w:r>
      <w:hyperlink w:anchor="ref-Hausman1981Exact">
        <w:r>
          <w:rPr>
            <w:rStyle w:val="Hyperlink"/>
          </w:rPr>
          <w:t xml:space="preserve">1981</w:t>
        </w:r>
      </w:hyperlink>
      <w:r>
        <w:t xml:space="preserve">)</w:t>
      </w:r>
      <w:r>
        <w:t xml:space="preserve">.</w:t>
      </w:r>
    </w:p>
    <w:bookmarkEnd w:id="105"/>
    <w:bookmarkStart w:id="107" w:name="anexo:test"/>
    <w:p>
      <w:pPr>
        <w:pStyle w:val="Heading1"/>
      </w:pPr>
      <w:r>
        <w:t xml:space="preserve">F. Anexo: aspectos relevantes para el test</w:t>
      </w:r>
    </w:p>
    <w:p>
      <w:pPr>
        <w:pStyle w:val="Cajadeanotaciones"/>
      </w:pPr>
      <w:r>
        <w:t xml:space="preserve">Preguntas tipo test:</w:t>
      </w:r>
      <w:r>
        <w:t xml:space="preserve"> </w:t>
      </w:r>
      <w:hyperlink r:id="rId106">
        <w:r>
          <w:rPr>
            <w:rStyle w:val="Hyperlink"/>
          </w:rPr>
          <w:t xml:space="preserve">simulador de test</w:t>
        </w:r>
      </w:hyperlink>
      <w:r>
        <w:t xml:space="preserve">.</w:t>
      </w:r>
    </w:p>
    <w:p>
      <w:pPr>
        <w:numPr>
          <w:ilvl w:val="0"/>
          <w:numId w:val="1083"/>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r>
          <m:t>p</m:t>
        </m:r>
      </m:oMath>
      <w:r>
        <w:t xml:space="preserve">;</w:t>
      </w:r>
      <w:r>
        <w:t xml:space="preserve"> </w:t>
      </w:r>
      <m:oMath>
        <m:r>
          <m:t>h</m:t>
        </m:r>
      </m:oMath>
      <w:r>
        <w:t xml:space="preserve">, de grado</w:t>
      </w:r>
      <w:r>
        <w:t xml:space="preserve"> </w:t>
      </w:r>
      <w:r>
        <w:rPr>
          <w:i/>
          <w:iCs/>
        </w:rPr>
        <w:t xml:space="preserve">cero</w:t>
      </w:r>
      <w:r>
        <w:t xml:space="preserve"> </w:t>
      </w:r>
      <w:r>
        <w:t xml:space="preserve">en</w:t>
      </w:r>
      <w:r>
        <w:t xml:space="preserve"> </w:t>
      </w:r>
      <m:oMath>
        <m:r>
          <m:t>p</m:t>
        </m:r>
      </m:oMath>
      <w:r>
        <w:t xml:space="preserve">;</w:t>
      </w:r>
      <w:r>
        <w:t xml:space="preserve"> </w:t>
      </w:r>
      <m:oMath>
        <m:r>
          <m:t>V</m:t>
        </m:r>
      </m:oMath>
      <w:r>
        <w:t xml:space="preserve"> </w:t>
      </w:r>
      <w:r>
        <w:t xml:space="preserve">y</w:t>
      </w:r>
      <w:r>
        <w:t xml:space="preserve"> </w:t>
      </w:r>
      <m:oMath>
        <m:r>
          <m:t>x</m:t>
        </m:r>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0"/>
          <w:numId w:val="1083"/>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083"/>
        </w:numPr>
      </w:pPr>
      <w:r>
        <w:t xml:space="preserve">Multiplicadores:</w:t>
      </w:r>
      <w:r>
        <w:t xml:space="preserve"> </w:t>
      </w:r>
      <m:oMath>
        <m:sSup>
          <m:e>
            <m:r>
              <m:t>λ</m:t>
            </m:r>
          </m:e>
          <m:sup>
            <m:r>
              <m:t>E</m:t>
            </m:r>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λ</m:t>
            </m:r>
          </m:e>
          <m:sup>
            <m:r>
              <m:t>E</m:t>
            </m:r>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083"/>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r>
          <m:t>h</m:t>
        </m:r>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r>
          <m:t>p</m:t>
        </m:r>
        <m:r>
          <m:rPr>
            <m:sty m:val="p"/>
          </m:rPr>
          <m:t>=</m:t>
        </m:r>
        <m:r>
          <m:t>0</m:t>
        </m:r>
      </m:oMath>
      <w:r>
        <w:t xml:space="preserve">. Todo bien tiene al menos un sustitutivo neto.</w:t>
      </w:r>
    </w:p>
    <w:p>
      <w:pPr>
        <w:numPr>
          <w:ilvl w:val="0"/>
          <w:numId w:val="1083"/>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083"/>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083"/>
        </w:numPr>
      </w:pPr>
      <w:r>
        <w:t xml:space="preserve">AIDS: participaciones lineales en</w:t>
      </w:r>
      <w:r>
        <w:t xml:space="preserve"> </w:t>
      </w:r>
      <m:oMath>
        <m:r>
          <m:rPr>
            <m:sty m:val="p"/>
          </m:rPr>
          <m:t>ln</m:t>
        </m:r>
        <m:r>
          <m:t>p</m:t>
        </m:r>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083"/>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 Rouché-Frobenius.</w:t>
      </w:r>
    </w:p>
    <w:p>
      <w:r>
        <w:br w:type="page"/>
      </w:r>
    </w:p>
    <w:bookmarkEnd w:id="107"/>
    <w:bookmarkStart w:id="239" w:name="bibliography"/>
    <w:p>
      <w:pPr>
        <w:pStyle w:val="Heading1"/>
      </w:pPr>
      <w:r>
        <w:t xml:space="preserve">Bibliografía</w:t>
      </w:r>
    </w:p>
    <w:bookmarkStart w:id="238" w:name="refs"/>
    <w:bookmarkStart w:id="109"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08">
        <w:r>
          <w:rPr>
            <w:rStyle w:val="Hyperlink"/>
          </w:rPr>
          <w:t xml:space="preserve">https://doi.org/10.2307/2525382</w:t>
        </w:r>
      </w:hyperlink>
      <w:r>
        <w:t xml:space="preserve">.</w:t>
      </w:r>
    </w:p>
    <w:bookmarkEnd w:id="109"/>
    <w:bookmarkStart w:id="111"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10">
        <w:r>
          <w:rPr>
            <w:rStyle w:val="Hyperlink"/>
          </w:rPr>
          <w:t xml:space="preserve">https://argos.gva.es/documents/166658342/166714754/Ejemplar+3070/2957e02b-f135-4235-98a6-bfc909292066</w:t>
        </w:r>
      </w:hyperlink>
      <w:r>
        <w:t xml:space="preserve">.</w:t>
      </w:r>
    </w:p>
    <w:bookmarkEnd w:id="111"/>
    <w:bookmarkStart w:id="112"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12"/>
    <w:bookmarkStart w:id="113"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13"/>
    <w:bookmarkStart w:id="115"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14">
        <w:r>
          <w:rPr>
            <w:rStyle w:val="Hyperlink"/>
          </w:rPr>
          <w:t xml:space="preserve">https://doi.org/10.1162/003465397557015</w:t>
        </w:r>
      </w:hyperlink>
      <w:r>
        <w:t xml:space="preserve">.</w:t>
      </w:r>
    </w:p>
    <w:bookmarkEnd w:id="115"/>
    <w:bookmarkStart w:id="117"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16">
        <w:r>
          <w:rPr>
            <w:rStyle w:val="Hyperlink"/>
          </w:rPr>
          <w:t xml:space="preserve">https://doi.org/10.2307/1913731</w:t>
        </w:r>
      </w:hyperlink>
      <w:r>
        <w:t xml:space="preserve">.</w:t>
      </w:r>
    </w:p>
    <w:bookmarkEnd w:id="117"/>
    <w:bookmarkStart w:id="119"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18">
        <w:r>
          <w:rPr>
            <w:rStyle w:val="Hyperlink"/>
          </w:rPr>
          <w:t xml:space="preserve">https://doi.org/10.2307/1937885</w:t>
        </w:r>
      </w:hyperlink>
      <w:r>
        <w:t xml:space="preserve">.</w:t>
      </w:r>
    </w:p>
    <w:bookmarkEnd w:id="119"/>
    <w:bookmarkStart w:id="121"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20">
        <w:r>
          <w:rPr>
            <w:rStyle w:val="Hyperlink"/>
          </w:rPr>
          <w:t xml:space="preserve">https://doi.org/10.1016/0014-2921(69)90017-8</w:t>
        </w:r>
      </w:hyperlink>
      <w:r>
        <w:t xml:space="preserve">.</w:t>
      </w:r>
    </w:p>
    <w:bookmarkEnd w:id="121"/>
    <w:bookmarkStart w:id="123"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22">
        <w:r>
          <w:rPr>
            <w:rStyle w:val="Hyperlink"/>
          </w:rPr>
          <w:t xml:space="preserve">https://doi.org/10.1057/9780230226203.0411</w:t>
        </w:r>
      </w:hyperlink>
      <w:r>
        <w:t xml:space="preserve">.</w:t>
      </w:r>
    </w:p>
    <w:bookmarkEnd w:id="123"/>
    <w:bookmarkStart w:id="125"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24">
        <w:r>
          <w:rPr>
            <w:rStyle w:val="Hyperlink"/>
          </w:rPr>
          <w:t xml:space="preserve">https://doi.org/10.1111/1468-0262.00394</w:t>
        </w:r>
      </w:hyperlink>
      <w:r>
        <w:t xml:space="preserve">.</w:t>
      </w:r>
    </w:p>
    <w:bookmarkEnd w:id="125"/>
    <w:bookmarkStart w:id="126"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26"/>
    <w:bookmarkStart w:id="127"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27"/>
    <w:bookmarkStart w:id="128"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128"/>
    <w:bookmarkStart w:id="130"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129">
        <w:r>
          <w:rPr>
            <w:rStyle w:val="Hyperlink"/>
          </w:rPr>
          <w:t xml:space="preserve">https://doi.org/10.2307/1911983</w:t>
        </w:r>
      </w:hyperlink>
      <w:r>
        <w:t xml:space="preserve">.</w:t>
      </w:r>
    </w:p>
    <w:bookmarkEnd w:id="130"/>
    <w:bookmarkStart w:id="132"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131">
        <w:r>
          <w:rPr>
            <w:rStyle w:val="Hyperlink"/>
          </w:rPr>
          <w:t xml:space="preserve">https://doi.org/10.1596/0-8018-5254-4</w:t>
        </w:r>
      </w:hyperlink>
      <w:r>
        <w:t xml:space="preserve">.</w:t>
      </w:r>
    </w:p>
    <w:bookmarkEnd w:id="132"/>
    <w:bookmarkStart w:id="133"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133"/>
    <w:bookmarkStart w:id="134"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134"/>
    <w:bookmarkStart w:id="135"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135"/>
    <w:bookmarkStart w:id="137"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136">
        <w:r>
          <w:rPr>
            <w:rStyle w:val="Hyperlink"/>
          </w:rPr>
          <w:t xml:space="preserve">https://doi.org/10.1016/0304-4076(76)90009-9</w:t>
        </w:r>
      </w:hyperlink>
      <w:r>
        <w:t xml:space="preserve">.</w:t>
      </w:r>
    </w:p>
    <w:bookmarkEnd w:id="137"/>
    <w:bookmarkStart w:id="138"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138"/>
    <w:bookmarkStart w:id="140"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139">
        <w:r>
          <w:rPr>
            <w:rStyle w:val="Hyperlink"/>
          </w:rPr>
          <w:t xml:space="preserve">https://doi.org/10.2307/2296107</w:t>
        </w:r>
      </w:hyperlink>
      <w:r>
        <w:t xml:space="preserve">.</w:t>
      </w:r>
    </w:p>
    <w:bookmarkEnd w:id="140"/>
    <w:bookmarkStart w:id="142"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141">
        <w:r>
          <w:rPr>
            <w:rStyle w:val="Hyperlink"/>
          </w:rPr>
          <w:t xml:space="preserve">https://doi.org/10.3386/w12311</w:t>
        </w:r>
      </w:hyperlink>
      <w:r>
        <w:t xml:space="preserve">.</w:t>
      </w:r>
    </w:p>
    <w:bookmarkEnd w:id="142"/>
    <w:bookmarkStart w:id="144"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143">
        <w:r>
          <w:rPr>
            <w:rStyle w:val="Hyperlink"/>
          </w:rPr>
          <w:t xml:space="preserve">https://doi.org/10.2307/1909472</w:t>
        </w:r>
      </w:hyperlink>
      <w:r>
        <w:t xml:space="preserve">.</w:t>
      </w:r>
    </w:p>
    <w:bookmarkEnd w:id="144"/>
    <w:bookmarkStart w:id="146"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145">
        <w:r>
          <w:rPr>
            <w:rStyle w:val="Hyperlink"/>
          </w:rPr>
          <w:t xml:space="preserve">https://doi.org/10.1017/CBO9780511984082.003</w:t>
        </w:r>
      </w:hyperlink>
      <w:r>
        <w:t xml:space="preserve">.</w:t>
      </w:r>
    </w:p>
    <w:bookmarkEnd w:id="146"/>
    <w:bookmarkStart w:id="147"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147"/>
    <w:bookmarkStart w:id="148"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148"/>
    <w:bookmarkStart w:id="150"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149">
        <w:r>
          <w:rPr>
            <w:rStyle w:val="Hyperlink"/>
          </w:rPr>
          <w:t xml:space="preserve">https://doi.org/10.2307/2967467</w:t>
        </w:r>
      </w:hyperlink>
      <w:r>
        <w:t xml:space="preserve">.</w:t>
      </w:r>
    </w:p>
    <w:bookmarkEnd w:id="150"/>
    <w:bookmarkStart w:id="152"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151">
        <w:r>
          <w:rPr>
            <w:rStyle w:val="Hyperlink"/>
          </w:rPr>
          <w:t xml:space="preserve">https://doi.org/10.2307/2967517</w:t>
        </w:r>
      </w:hyperlink>
      <w:r>
        <w:t xml:space="preserve">.</w:t>
      </w:r>
    </w:p>
    <w:bookmarkEnd w:id="152"/>
    <w:bookmarkStart w:id="153" w:name="ref-Hicks1956Revision"/>
    <w:p>
      <w:pPr>
        <w:pStyle w:val="Bibliography"/>
      </w:pPr>
      <w:r>
        <w:t xml:space="preserve">———. 1956.</w:t>
      </w:r>
      <w:r>
        <w:t xml:space="preserve"> </w:t>
      </w:r>
      <w:r>
        <w:rPr>
          <w:i/>
          <w:iCs/>
        </w:rPr>
        <w:t xml:space="preserve">A Revision of Demand Theory</w:t>
      </w:r>
      <w:r>
        <w:t xml:space="preserve">. Oxford: Clarendon Press.</w:t>
      </w:r>
    </w:p>
    <w:bookmarkEnd w:id="153"/>
    <w:bookmarkStart w:id="155"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154">
        <w:r>
          <w:rPr>
            <w:rStyle w:val="Hyperlink"/>
          </w:rPr>
          <w:t xml:space="preserve">https://doi.org/10.2307/2548574</w:t>
        </w:r>
      </w:hyperlink>
      <w:r>
        <w:t xml:space="preserve">.</w:t>
      </w:r>
    </w:p>
    <w:bookmarkEnd w:id="155"/>
    <w:bookmarkStart w:id="157"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156">
        <w:r>
          <w:rPr>
            <w:rStyle w:val="Hyperlink"/>
          </w:rPr>
          <w:t xml:space="preserve">https://doi.org/10.1086/254387</w:t>
        </w:r>
      </w:hyperlink>
      <w:r>
        <w:t xml:space="preserve">.</w:t>
      </w:r>
    </w:p>
    <w:bookmarkEnd w:id="157"/>
    <w:bookmarkStart w:id="1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158">
        <w:r>
          <w:rPr>
            <w:rStyle w:val="Hyperlink"/>
          </w:rPr>
          <w:t xml:space="preserve">https://doi.org/10.2307/2549382</w:t>
        </w:r>
      </w:hyperlink>
      <w:r>
        <w:t xml:space="preserve">.</w:t>
      </w:r>
    </w:p>
    <w:bookmarkEnd w:id="159"/>
    <w:bookmarkStart w:id="1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160"/>
    <w:bookmarkStart w:id="1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161">
        <w:r>
          <w:rPr>
            <w:rStyle w:val="Hyperlink"/>
          </w:rPr>
          <w:t xml:space="preserve">https://www.ine.es/daco/daco42/daco4213/resmeto06.pdf</w:t>
        </w:r>
      </w:hyperlink>
      <w:r>
        <w:t xml:space="preserve">.</w:t>
      </w:r>
    </w:p>
    <w:bookmarkEnd w:id="162"/>
    <w:bookmarkStart w:id="164"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163">
        <w:r>
          <w:rPr>
            <w:rStyle w:val="Hyperlink"/>
          </w:rPr>
          <w:t xml:space="preserve">https://www.ine.es/jaxiT3/Tabla.htm?t=76156</w:t>
        </w:r>
      </w:hyperlink>
      <w:r>
        <w:t xml:space="preserve">.</w:t>
      </w:r>
    </w:p>
    <w:bookmarkEnd w:id="164"/>
    <w:bookmarkStart w:id="166"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165">
        <w:r>
          <w:rPr>
            <w:rStyle w:val="Hyperlink"/>
          </w:rPr>
          <w:t xml:space="preserve">https://www.ine.es/metodologia/t25/metodologia_IPC_base_2025.pdf</w:t>
        </w:r>
      </w:hyperlink>
      <w:r>
        <w:t xml:space="preserve">.</w:t>
      </w:r>
    </w:p>
    <w:bookmarkEnd w:id="166"/>
    <w:bookmarkStart w:id="168"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167">
        <w:r>
          <w:rPr>
            <w:rStyle w:val="Hyperlink"/>
          </w:rPr>
          <w:t xml:space="preserve">https://www.ine.es/metodologia/t25/principales_caracteristicas_base_2025.pdf</w:t>
        </w:r>
      </w:hyperlink>
      <w:r>
        <w:t xml:space="preserve">.</w:t>
      </w:r>
    </w:p>
    <w:bookmarkEnd w:id="168"/>
    <w:bookmarkStart w:id="170"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169">
        <w:r>
          <w:rPr>
            <w:rStyle w:val="Hyperlink"/>
          </w:rPr>
          <w:t xml:space="preserve">https://www.ine.es/dyngs/Prensa/EPF2025.htm</w:t>
        </w:r>
      </w:hyperlink>
      <w:r>
        <w:t xml:space="preserve">.</w:t>
      </w:r>
    </w:p>
    <w:bookmarkEnd w:id="170"/>
    <w:bookmarkStart w:id="172"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171">
        <w:r>
          <w:rPr>
            <w:rStyle w:val="Hyperlink"/>
          </w:rPr>
          <w:t xml:space="preserve">https://www.ine.es/dyngs/Prensa/CNA2025.htm</w:t>
        </w:r>
      </w:hyperlink>
      <w:r>
        <w:t xml:space="preserve">.</w:t>
      </w:r>
    </w:p>
    <w:bookmarkEnd w:id="172"/>
    <w:bookmarkStart w:id="1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173">
        <w:r>
          <w:rPr>
            <w:rStyle w:val="Hyperlink"/>
          </w:rPr>
          <w:t xml:space="preserve">https://www.ine.es/metodologia/t25/t2530p458.pdf</w:t>
        </w:r>
      </w:hyperlink>
      <w:r>
        <w:t xml:space="preserve">.</w:t>
      </w:r>
    </w:p>
    <w:bookmarkEnd w:id="174"/>
    <w:bookmarkStart w:id="17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175"/>
    <w:bookmarkStart w:id="17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176">
        <w:r>
          <w:rPr>
            <w:rStyle w:val="Hyperlink"/>
          </w:rPr>
          <w:t xml:space="preserve">https://doi.org/10.2307/1911539</w:t>
        </w:r>
      </w:hyperlink>
      <w:r>
        <w:t xml:space="preserve">.</w:t>
      </w:r>
    </w:p>
    <w:bookmarkEnd w:id="177"/>
    <w:bookmarkStart w:id="179"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178">
        <w:r>
          <w:rPr>
            <w:rStyle w:val="Hyperlink"/>
          </w:rPr>
          <w:t xml:space="preserve">https://doi.org/10.2307/2295996</w:t>
        </w:r>
      </w:hyperlink>
      <w:r>
        <w:t xml:space="preserve">.</w:t>
      </w:r>
    </w:p>
    <w:bookmarkEnd w:id="179"/>
    <w:bookmarkStart w:id="181"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180">
        <w:r>
          <w:rPr>
            <w:rStyle w:val="Hyperlink"/>
          </w:rPr>
          <w:t xml:space="preserve">https://ww2.amstat.org/meetings/proceedings/2021/data/assets/pdf/1913738.pdf</w:t>
        </w:r>
      </w:hyperlink>
      <w:r>
        <w:t xml:space="preserve">.</w:t>
      </w:r>
    </w:p>
    <w:bookmarkEnd w:id="181"/>
    <w:bookmarkStart w:id="183"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182">
        <w:r>
          <w:rPr>
            <w:rStyle w:val="Hyperlink"/>
          </w:rPr>
          <w:t xml:space="preserve">https://doi.org/10.2307/1906997</w:t>
        </w:r>
      </w:hyperlink>
      <w:r>
        <w:t xml:space="preserve">.</w:t>
      </w:r>
    </w:p>
    <w:bookmarkEnd w:id="183"/>
    <w:bookmarkStart w:id="184"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184"/>
    <w:bookmarkStart w:id="186"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185">
        <w:r>
          <w:rPr>
            <w:rStyle w:val="Hyperlink"/>
          </w:rPr>
          <w:t xml:space="preserve">https://doi.org/10.2307/1909167</w:t>
        </w:r>
      </w:hyperlink>
      <w:r>
        <w:t xml:space="preserve">.</w:t>
      </w:r>
    </w:p>
    <w:bookmarkEnd w:id="186"/>
    <w:bookmarkStart w:id="188"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187">
        <w:r>
          <w:rPr>
            <w:rStyle w:val="Hyperlink"/>
          </w:rPr>
          <w:t xml:space="preserve">https://doi.org/10.2307/1912704</w:t>
        </w:r>
      </w:hyperlink>
      <w:r>
        <w:t xml:space="preserve">.</w:t>
      </w:r>
    </w:p>
    <w:bookmarkEnd w:id="188"/>
    <w:bookmarkStart w:id="190"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189">
        <w:r>
          <w:rPr>
            <w:rStyle w:val="Hyperlink"/>
          </w:rPr>
          <w:t xml:space="preserve">https://www.thelatinlibrary.com/cicero/leg3.shtml</w:t>
        </w:r>
      </w:hyperlink>
      <w:r>
        <w:t xml:space="preserve">.</w:t>
      </w:r>
    </w:p>
    <w:bookmarkEnd w:id="190"/>
    <w:bookmarkStart w:id="19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191">
        <w:r>
          <w:rPr>
            <w:rStyle w:val="Hyperlink"/>
          </w:rPr>
          <w:t xml:space="preserve">https://www.marxists.org/reference/subject/economics/marshall/bk1ch01.htm</w:t>
        </w:r>
      </w:hyperlink>
      <w:r>
        <w:t xml:space="preserve">.</w:t>
      </w:r>
    </w:p>
    <w:bookmarkEnd w:id="192"/>
    <w:bookmarkStart w:id="19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193"/>
    <w:bookmarkStart w:id="194"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194"/>
    <w:bookmarkStart w:id="196"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195">
        <w:r>
          <w:rPr>
            <w:rStyle w:val="Hyperlink"/>
          </w:rPr>
          <w:t xml:space="preserve">https://doi.org/10.2307/2296067</w:t>
        </w:r>
      </w:hyperlink>
      <w:r>
        <w:t xml:space="preserve">.</w:t>
      </w:r>
    </w:p>
    <w:bookmarkEnd w:id="196"/>
    <w:bookmarkStart w:id="198"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197">
        <w:r>
          <w:rPr>
            <w:rStyle w:val="Hyperlink"/>
          </w:rPr>
          <w:t xml:space="preserve">https://www.boe.es/buscar/act.php?id=BOE-A-2015-11724</w:t>
        </w:r>
      </w:hyperlink>
      <w:r>
        <w:t xml:space="preserve">.</w:t>
      </w:r>
    </w:p>
    <w:bookmarkEnd w:id="198"/>
    <w:bookmarkStart w:id="200"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199">
        <w:r>
          <w:rPr>
            <w:rStyle w:val="Hyperlink"/>
          </w:rPr>
          <w:t xml:space="preserve">https://www.lamoncloa.gob.es/serviciosdeprensa/notasprensa/inclusion/Paginas/2025/121225-revalorizacion-pensiones.aspx</w:t>
        </w:r>
      </w:hyperlink>
      <w:r>
        <w:t xml:space="preserve">.</w:t>
      </w:r>
    </w:p>
    <w:bookmarkEnd w:id="200"/>
    <w:bookmarkStart w:id="202"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01">
        <w:r>
          <w:rPr>
            <w:rStyle w:val="Hyperlink"/>
          </w:rPr>
          <w:t xml:space="preserve">https://doi.org/10.2307/2296792</w:t>
        </w:r>
      </w:hyperlink>
      <w:r>
        <w:t xml:space="preserve">.</w:t>
      </w:r>
    </w:p>
    <w:bookmarkEnd w:id="202"/>
    <w:bookmarkStart w:id="204"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03">
        <w:r>
          <w:rPr>
            <w:rStyle w:val="Hyperlink"/>
          </w:rPr>
          <w:t xml:space="preserve">https://doi.org/10.2307/1911540</w:t>
        </w:r>
      </w:hyperlink>
      <w:r>
        <w:t xml:space="preserve">.</w:t>
      </w:r>
    </w:p>
    <w:bookmarkEnd w:id="204"/>
    <w:bookmarkStart w:id="205"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05"/>
    <w:bookmarkStart w:id="207"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06">
        <w:r>
          <w:rPr>
            <w:rStyle w:val="Hyperlink"/>
          </w:rPr>
          <w:t xml:space="preserve">https://doi.org/10.2307/1911416</w:t>
        </w:r>
      </w:hyperlink>
      <w:r>
        <w:t xml:space="preserve">.</w:t>
      </w:r>
    </w:p>
    <w:bookmarkEnd w:id="207"/>
    <w:bookmarkStart w:id="209"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08">
        <w:r>
          <w:rPr>
            <w:rStyle w:val="Hyperlink"/>
          </w:rPr>
          <w:t xml:space="preserve">https://doi.org/10.2307/1905479</w:t>
        </w:r>
      </w:hyperlink>
      <w:r>
        <w:t xml:space="preserve">.</w:t>
      </w:r>
    </w:p>
    <w:bookmarkEnd w:id="209"/>
    <w:bookmarkStart w:id="211"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10">
        <w:r>
          <w:rPr>
            <w:rStyle w:val="Hyperlink"/>
          </w:rPr>
          <w:t xml:space="preserve">https://doi.org/10.2307/2548836</w:t>
        </w:r>
      </w:hyperlink>
      <w:r>
        <w:t xml:space="preserve">.</w:t>
      </w:r>
    </w:p>
    <w:bookmarkEnd w:id="211"/>
    <w:bookmarkStart w:id="213"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12">
        <w:r>
          <w:rPr>
            <w:rStyle w:val="Hyperlink"/>
          </w:rPr>
          <w:t xml:space="preserve">https://doi.org/10.2307/2549561</w:t>
        </w:r>
      </w:hyperlink>
      <w:r>
        <w:t xml:space="preserve">.</w:t>
      </w:r>
    </w:p>
    <w:bookmarkEnd w:id="213"/>
    <w:bookmarkStart w:id="214"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14"/>
    <w:bookmarkStart w:id="216"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15">
        <w:r>
          <w:rPr>
            <w:rStyle w:val="Hyperlink"/>
          </w:rPr>
          <w:t xml:space="preserve">https://www.funcas.es/wp-content/uploads/Migracion/Articulos/FUNCAS_CIE/228art02.pdf</w:t>
        </w:r>
      </w:hyperlink>
      <w:r>
        <w:t xml:space="preserve">.</w:t>
      </w:r>
    </w:p>
    <w:bookmarkEnd w:id="216"/>
    <w:bookmarkStart w:id="217"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17"/>
    <w:bookmarkStart w:id="21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18"/>
    <w:bookmarkStart w:id="220"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19">
        <w:r>
          <w:rPr>
            <w:rStyle w:val="Hyperlink"/>
          </w:rPr>
          <w:t xml:space="preserve">https://doi.org/10.2307/2227743</w:t>
        </w:r>
      </w:hyperlink>
      <w:r>
        <w:t xml:space="preserve">.</w:t>
      </w:r>
    </w:p>
    <w:bookmarkEnd w:id="220"/>
    <w:bookmarkStart w:id="222"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21">
        <w:r>
          <w:rPr>
            <w:rStyle w:val="Hyperlink"/>
          </w:rPr>
          <w:t xml:space="preserve">https://doi.org/10.2307/1910254</w:t>
        </w:r>
      </w:hyperlink>
      <w:r>
        <w:t xml:space="preserve">.</w:t>
      </w:r>
    </w:p>
    <w:bookmarkEnd w:id="222"/>
    <w:bookmarkStart w:id="223"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23"/>
    <w:bookmarkStart w:id="225"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24">
        <w:r>
          <w:rPr>
            <w:rStyle w:val="Hyperlink"/>
          </w:rPr>
          <w:t xml:space="preserve">https://www.nobelprize.org/prizes/economic-sciences/2015/summary/</w:t>
        </w:r>
      </w:hyperlink>
      <w:r>
        <w:t xml:space="preserve">.</w:t>
      </w:r>
    </w:p>
    <w:bookmarkEnd w:id="225"/>
    <w:bookmarkStart w:id="227"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226">
        <w:r>
          <w:rPr>
            <w:rStyle w:val="Hyperlink"/>
          </w:rPr>
          <w:t xml:space="preserve">https://doi.org/10.2307/1911889</w:t>
        </w:r>
      </w:hyperlink>
      <w:r>
        <w:t xml:space="preserve">.</w:t>
      </w:r>
    </w:p>
    <w:bookmarkEnd w:id="227"/>
    <w:bookmarkStart w:id="229"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228">
        <w:r>
          <w:rPr>
            <w:rStyle w:val="Hyperlink"/>
          </w:rPr>
          <w:t xml:space="preserve">https://eur-lex.europa.eu/legal-content/ES/TXT/?uri=CELEX:32013R0549</w:t>
        </w:r>
      </w:hyperlink>
      <w:r>
        <w:t xml:space="preserve">.</w:t>
      </w:r>
    </w:p>
    <w:bookmarkEnd w:id="229"/>
    <w:bookmarkStart w:id="231"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230">
        <w:r>
          <w:rPr>
            <w:rStyle w:val="Hyperlink"/>
          </w:rPr>
          <w:t xml:space="preserve">https://api.bls.gov/publicAPI/v1/timeseries/data/SUUR0000SA0</w:t>
        </w:r>
      </w:hyperlink>
      <w:r>
        <w:t xml:space="preserve">.</w:t>
      </w:r>
    </w:p>
    <w:bookmarkEnd w:id="231"/>
    <w:bookmarkStart w:id="233"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232">
        <w:r>
          <w:rPr>
            <w:rStyle w:val="Hyperlink"/>
          </w:rPr>
          <w:t xml:space="preserve">https://doi.org/10.2307/2525564</w:t>
        </w:r>
      </w:hyperlink>
      <w:r>
        <w:t xml:space="preserve">.</w:t>
      </w:r>
    </w:p>
    <w:bookmarkEnd w:id="233"/>
    <w:bookmarkStart w:id="234"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234"/>
    <w:bookmarkStart w:id="235"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235"/>
    <w:bookmarkStart w:id="237"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236">
        <w:r>
          <w:rPr>
            <w:rStyle w:val="Hyperlink"/>
          </w:rPr>
          <w:t xml:space="preserve">https://doi.org/10.1080/01621459.1943.10501775</w:t>
        </w:r>
      </w:hyperlink>
      <w:r>
        <w:t xml:space="preserve">.</w:t>
      </w:r>
    </w:p>
    <w:bookmarkEnd w:id="237"/>
    <w:bookmarkEnd w:id="238"/>
    <w:bookmarkEnd w:id="23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24">
    <w:p>
      <w:pPr>
        <w:pStyle w:val="FootnoteText"/>
      </w:pPr>
      <w:r>
        <w:rPr>
          <w:rStyle w:val="FootnoteReference"/>
        </w:rPr>
        <w:footnoteRef/>
      </w:r>
      <w:r>
        <w:t xml:space="preserve"> </w:t>
      </w:r>
      <w:r>
        <w:t xml:space="preserve">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(gráfico 1).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de modo que la utilidad alcanzable con el promedio no supera la mayor de las dos. No depende de la convexidad de las preferencias</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footnote>
  <w:footnote w:id="31">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r>
              <m:t>p</m:t>
            </m:r>
            <m:r>
              <m:rPr>
                <m:sty m:val="p"/>
              </m:rPr>
              <m:t>,</m:t>
            </m:r>
            <m:r>
              <m:t>V</m:t>
            </m:r>
            <m:d>
              <m:dPr>
                <m:begChr m:val="("/>
                <m:sepChr m:val=""/>
                <m:endChr m:val=")"/>
                <m:grow/>
              </m:dPr>
              <m:e>
                <m:r>
                  <m:t>p</m:t>
                </m:r>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λ</m:t>
            </m:r>
          </m:e>
          <m:sup>
            <m:r>
              <m:t>E</m:t>
            </m:r>
            <m:r>
              <m:rPr>
                <m:sty m:val="p"/>
              </m:rPr>
              <m:t>*</m:t>
            </m:r>
          </m:sup>
        </m:sSup>
        <m:sSup>
          <m:e>
            <m:r>
              <m:t>λ</m:t>
            </m:r>
          </m:e>
          <m:sup>
            <m:r>
              <m:rPr>
                <m:sty m:val="p"/>
              </m:rPr>
              <m:t>*</m:t>
            </m:r>
          </m:sup>
        </m:sSup>
        <m:r>
          <m:rPr>
            <m:sty m:val="p"/>
          </m:rPr>
          <m:t>=</m:t>
        </m:r>
        <m:r>
          <m:t>1</m:t>
        </m:r>
      </m:oMath>
      <w:r>
        <w:t xml:space="preserve">.</w:t>
      </w:r>
    </w:p>
  </w:footnote>
  <w:footnote w:id="38">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49">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r>
              <m:t>p</m:t>
            </m:r>
            <m:r>
              <m:rPr>
                <m:sty m:val="p"/>
              </m:rPr>
              <m:t>,</m:t>
            </m:r>
            <m:r>
              <m:t>V</m:t>
            </m:r>
            <m:d>
              <m:dPr>
                <m:begChr m:val="("/>
                <m:sepChr m:val=""/>
                <m:endChr m:val=")"/>
                <m:grow/>
              </m:dPr>
              <m:e>
                <m:r>
                  <m:t>p</m:t>
                </m:r>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r>
              <m:t>p</m:t>
            </m:r>
            <m:r>
              <m:rPr>
                <m:sty m:val="p"/>
              </m:rPr>
              <m:t>,</m:t>
            </m:r>
            <m:bar>
              <m:barPr>
                <m:pos m:val="top"/>
              </m:barPr>
              <m:e>
                <m:r>
                  <m:t>W</m:t>
                </m:r>
              </m:e>
            </m:bar>
          </m:e>
        </m:d>
        <m:r>
          <m:rPr>
            <m:sty m:val="p"/>
          </m:rPr>
          <m:t>=</m:t>
        </m:r>
        <m:sSup>
          <m:e>
            <m:r>
              <m:t>E</m:t>
            </m:r>
          </m:e>
          <m:sup>
            <m:r>
              <m:rPr>
                <m:sty m:val="p"/>
              </m:rPr>
              <m:t>−</m:t>
            </m:r>
            <m:r>
              <m:t>1</m:t>
            </m:r>
          </m:sup>
        </m:sSup>
        <m:d>
          <m:dPr>
            <m:begChr m:val="("/>
            <m:sepChr m:val=""/>
            <m:endChr m:val=")"/>
            <m:grow/>
          </m:dPr>
          <m:e>
            <m:r>
              <m:t>p</m:t>
            </m:r>
            <m:r>
              <m:rPr>
                <m:sty m:val="p"/>
              </m:rPr>
              <m:t>,</m:t>
            </m:r>
            <m:bar>
              <m:barPr>
                <m:pos m:val="top"/>
              </m:barPr>
              <m:e>
                <m:r>
                  <m:t>W</m:t>
                </m:r>
              </m:e>
            </m:bar>
          </m:e>
        </m:d>
      </m:oMath>
      <w:r>
        <w:t xml:space="preserve">, y de</w:t>
      </w:r>
      <w:r>
        <w:t xml:space="preserve"> </w:t>
      </w:r>
      <m:oMath>
        <m:r>
          <m:t>V</m:t>
        </m:r>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r>
              <m:t>p</m:t>
            </m:r>
            <m:r>
              <m:rPr>
                <m:sty m:val="p"/>
              </m:rPr>
              <m:t>,</m:t>
            </m:r>
            <m:bar>
              <m:barPr>
                <m:pos m:val="top"/>
              </m:barPr>
              <m:e>
                <m:r>
                  <m:t>U</m:t>
                </m:r>
              </m:e>
            </m:bar>
          </m:e>
        </m:d>
        <m:r>
          <m:rPr>
            <m:sty m:val="p"/>
          </m:rPr>
          <m:t>=</m:t>
        </m:r>
        <m:sSup>
          <m:e>
            <m:r>
              <m:t>V</m:t>
            </m:r>
          </m:e>
          <m:sup>
            <m:r>
              <m:rPr>
                <m:sty m:val="p"/>
              </m:rPr>
              <m:t>−</m:t>
            </m:r>
            <m:r>
              <m:t>1</m:t>
            </m:r>
          </m:sup>
        </m:sSup>
        <m:d>
          <m:dPr>
            <m:begChr m:val="("/>
            <m:sepChr m:val=""/>
            <m:endChr m:val=")"/>
            <m:grow/>
          </m:dPr>
          <m:e>
            <m:r>
              <m:t>p</m:t>
            </m:r>
            <m:r>
              <m:rPr>
                <m:sty m:val="p"/>
              </m:rPr>
              <m:t>,</m:t>
            </m:r>
            <m:bar>
              <m:barPr>
                <m:pos m:val="top"/>
              </m:barPr>
              <m:e>
                <m:r>
                  <m:t>U</m:t>
                </m:r>
              </m:e>
            </m:bar>
          </m:e>
        </m:d>
      </m:oMath>
      <w:r>
        <w:t xml:space="preserve">.</w:t>
      </w:r>
    </w:p>
  </w:footnote>
  <w:footnote w:id="59">
    <w:p>
      <w:pPr>
        <w:pStyle w:val="FootnoteText"/>
      </w:pPr>
      <w:r>
        <w:rPr>
          <w:rStyle w:val="FootnoteReference"/>
        </w:rPr>
        <w:footnoteRef/>
      </w:r>
      <w:r>
        <w:t xml:space="preserve"> </w:t>
      </w:r>
      <w:r>
        <w:t xml:space="preserve">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estimaron como función de producción y obtuvieron un exponente de 3/4 para el trabajo y de 1/4 para el capital;</w:t>
      </w:r>
      <w:r>
        <w:t xml:space="preserve"> </w:t>
      </w:r>
      <w:r>
        <w:rPr>
          <w:smallCaps/>
        </w:rPr>
        <w:t xml:space="preserve">Paul Douglas</w:t>
      </w:r>
      <w:r>
        <w:t xml:space="preserve"> </w:t>
      </w:r>
      <w:r>
        <w:t xml:space="preserve">fue después senador por Illinois de 1949 a 1967</w:t>
      </w:r>
      <w:r>
        <w:t xml:space="preserve"> </w:t>
      </w:r>
      <w:r>
        <w:rPr>
          <w:rStyle w:val="Referenciaatema"/>
        </w:rPr>
        <w:t xml:space="preserve">[ver tema 3.A.11]</w:t>
      </w:r>
      <w:r>
        <w:t xml:space="preserve">.</w:t>
      </w:r>
    </w:p>
  </w:footnote>
  <w:footnote w:id="69">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r>
              <m:t>p</m:t>
            </m:r>
          </m:e>
          <m:sup>
            <m:r>
              <m:rPr>
                <m:sty m:val="p"/>
              </m:rPr>
              <m:t>⊤</m:t>
            </m:r>
          </m:sup>
        </m:sSup>
        <m:r>
          <m:t>S</m:t>
        </m:r>
        <m:r>
          <m:rPr>
            <m:sty m:val="p"/>
          </m:rPr>
          <m:t>=</m:t>
        </m:r>
        <m:r>
          <m:t>0</m:t>
        </m:r>
      </m:oMath>
      <w:r>
        <w:t xml:space="preserve"> </w:t>
      </w:r>
      <w:r>
        <w:t xml:space="preserve">y la homogeneidad,</w:t>
      </w:r>
      <w:r>
        <w:t xml:space="preserve"> </w:t>
      </w:r>
      <m:oMath>
        <m:r>
          <m:t>S</m:t>
        </m:r>
        <m:r>
          <m:t>p</m:t>
        </m:r>
        <m:r>
          <m:rPr>
            <m:sty m:val="p"/>
          </m:rPr>
          <m:t>=</m:t>
        </m:r>
        <m:r>
          <m:t>0</m:t>
        </m:r>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70">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76">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80">
    <w:p>
      <w:pPr>
        <w:pStyle w:val="FootnoteText"/>
      </w:pPr>
      <w:r>
        <w:rPr>
          <w:rStyle w:val="FootnoteReference"/>
        </w:rPr>
        <w:footnoteRef/>
      </w:r>
      <w:r>
        <w:t xml:space="preserve"> </w:t>
      </w:r>
      <w:r>
        <w:t xml:space="preserve">Hicks (</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t xml:space="preserve">Hicks (</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t xml:space="preserve">Hicks (</w:t>
      </w:r>
      <w:hyperlink w:anchor="ref-Hicks1956Revision">
        <w:r>
          <w:rPr>
            <w:rStyle w:val="Hyperlink"/>
          </w:rPr>
          <w:t xml:space="preserve">1956</w:t>
        </w:r>
      </w:hyperlink>
      <w:r>
        <w:t xml:space="preserve">)</w:t>
      </w:r>
      <w:r>
        <w:t xml:space="preserve">.</w:t>
      </w:r>
      <w:r>
        <w:t xml:space="preserve"> </w:t>
      </w:r>
      <w:r>
        <w:t xml:space="preserve">Willig (</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1" Target="media/rId81.png"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87" Target="media/rId87.png" /><Relationship Type="http://schemas.openxmlformats.org/officeDocument/2006/relationships/image" Id="rId33" Target="media/rId33.png" /><Relationship Type="http://schemas.openxmlformats.org/officeDocument/2006/relationships/image" Id="rId71" Target="media/rId71.png" /><Relationship Type="http://schemas.openxmlformats.org/officeDocument/2006/relationships/hyperlink" Id="rId230" Target="https://api.bls.gov/publicAPI/v1/timeseries/data/SUUR0000SA0" TargetMode="External" /><Relationship Type="http://schemas.openxmlformats.org/officeDocument/2006/relationships/hyperlink" Id="rId110" Target="https://argos.gva.es/documents/166658342/166714754/Ejemplar+3070/2957e02b-f135-4235-98a6-bfc909292066" TargetMode="External" /><Relationship Type="http://schemas.openxmlformats.org/officeDocument/2006/relationships/hyperlink" Id="rId120" Target="https://doi.org/10.1016/0014-2921(69)90017-8" TargetMode="External" /><Relationship Type="http://schemas.openxmlformats.org/officeDocument/2006/relationships/hyperlink" Id="rId136" Target="https://doi.org/10.1016/0304-4076(76)90009-9" TargetMode="External" /><Relationship Type="http://schemas.openxmlformats.org/officeDocument/2006/relationships/hyperlink" Id="rId145" Target="https://doi.org/10.1017/CBO9780511984082.003" TargetMode="External" /><Relationship Type="http://schemas.openxmlformats.org/officeDocument/2006/relationships/hyperlink" Id="rId122" Target="https://doi.org/10.1057/9780230226203.0411" TargetMode="External" /><Relationship Type="http://schemas.openxmlformats.org/officeDocument/2006/relationships/hyperlink" Id="rId236" Target="https://doi.org/10.1080/01621459.1943.10501775" TargetMode="External" /><Relationship Type="http://schemas.openxmlformats.org/officeDocument/2006/relationships/hyperlink" Id="rId156" Target="https://doi.org/10.1086/254387" TargetMode="External" /><Relationship Type="http://schemas.openxmlformats.org/officeDocument/2006/relationships/hyperlink" Id="rId124" Target="https://doi.org/10.1111/1468-0262.00394" TargetMode="External" /><Relationship Type="http://schemas.openxmlformats.org/officeDocument/2006/relationships/hyperlink" Id="rId114" Target="https://doi.org/10.1162/003465397557015" TargetMode="External" /><Relationship Type="http://schemas.openxmlformats.org/officeDocument/2006/relationships/hyperlink" Id="rId131" Target="https://doi.org/10.1596/0-8018-5254-4" TargetMode="External" /><Relationship Type="http://schemas.openxmlformats.org/officeDocument/2006/relationships/hyperlink" Id="rId208" Target="https://doi.org/10.2307/1905479" TargetMode="External" /><Relationship Type="http://schemas.openxmlformats.org/officeDocument/2006/relationships/hyperlink" Id="rId182" Target="https://doi.org/10.2307/1906997" TargetMode="External" /><Relationship Type="http://schemas.openxmlformats.org/officeDocument/2006/relationships/hyperlink" Id="rId185" Target="https://doi.org/10.2307/1909167" TargetMode="External" /><Relationship Type="http://schemas.openxmlformats.org/officeDocument/2006/relationships/hyperlink" Id="rId143" Target="https://doi.org/10.2307/1909472" TargetMode="External" /><Relationship Type="http://schemas.openxmlformats.org/officeDocument/2006/relationships/hyperlink" Id="rId221" Target="https://doi.org/10.2307/1910254" TargetMode="External" /><Relationship Type="http://schemas.openxmlformats.org/officeDocument/2006/relationships/hyperlink" Id="rId206" Target="https://doi.org/10.2307/1911416" TargetMode="External" /><Relationship Type="http://schemas.openxmlformats.org/officeDocument/2006/relationships/hyperlink" Id="rId176" Target="https://doi.org/10.2307/1911539" TargetMode="External" /><Relationship Type="http://schemas.openxmlformats.org/officeDocument/2006/relationships/hyperlink" Id="rId203" Target="https://doi.org/10.2307/1911540" TargetMode="External" /><Relationship Type="http://schemas.openxmlformats.org/officeDocument/2006/relationships/hyperlink" Id="rId226" Target="https://doi.org/10.2307/1911889" TargetMode="External" /><Relationship Type="http://schemas.openxmlformats.org/officeDocument/2006/relationships/hyperlink" Id="rId129" Target="https://doi.org/10.2307/1911983" TargetMode="External" /><Relationship Type="http://schemas.openxmlformats.org/officeDocument/2006/relationships/hyperlink" Id="rId187" Target="https://doi.org/10.2307/1912704" TargetMode="External" /><Relationship Type="http://schemas.openxmlformats.org/officeDocument/2006/relationships/hyperlink" Id="rId116" Target="https://doi.org/10.2307/1913731" TargetMode="External" /><Relationship Type="http://schemas.openxmlformats.org/officeDocument/2006/relationships/hyperlink" Id="rId118" Target="https://doi.org/10.2307/1937885" TargetMode="External" /><Relationship Type="http://schemas.openxmlformats.org/officeDocument/2006/relationships/hyperlink" Id="rId219" Target="https://doi.org/10.2307/2227743" TargetMode="External" /><Relationship Type="http://schemas.openxmlformats.org/officeDocument/2006/relationships/hyperlink" Id="rId178" Target="https://doi.org/10.2307/2295996" TargetMode="External" /><Relationship Type="http://schemas.openxmlformats.org/officeDocument/2006/relationships/hyperlink" Id="rId195" Target="https://doi.org/10.2307/2296067" TargetMode="External" /><Relationship Type="http://schemas.openxmlformats.org/officeDocument/2006/relationships/hyperlink" Id="rId139" Target="https://doi.org/10.2307/2296107" TargetMode="External" /><Relationship Type="http://schemas.openxmlformats.org/officeDocument/2006/relationships/hyperlink" Id="rId201" Target="https://doi.org/10.2307/2296792" TargetMode="External" /><Relationship Type="http://schemas.openxmlformats.org/officeDocument/2006/relationships/hyperlink" Id="rId108" Target="https://doi.org/10.2307/2525382" TargetMode="External" /><Relationship Type="http://schemas.openxmlformats.org/officeDocument/2006/relationships/hyperlink" Id="rId232" Target="https://doi.org/10.2307/2525564" TargetMode="External" /><Relationship Type="http://schemas.openxmlformats.org/officeDocument/2006/relationships/hyperlink" Id="rId154" Target="https://doi.org/10.2307/2548574" TargetMode="External" /><Relationship Type="http://schemas.openxmlformats.org/officeDocument/2006/relationships/hyperlink" Id="rId210" Target="https://doi.org/10.2307/2548836" TargetMode="External" /><Relationship Type="http://schemas.openxmlformats.org/officeDocument/2006/relationships/hyperlink" Id="rId158" Target="https://doi.org/10.2307/2549382" TargetMode="External" /><Relationship Type="http://schemas.openxmlformats.org/officeDocument/2006/relationships/hyperlink" Id="rId212" Target="https://doi.org/10.2307/2549561" TargetMode="External" /><Relationship Type="http://schemas.openxmlformats.org/officeDocument/2006/relationships/hyperlink" Id="rId149" Target="https://doi.org/10.2307/2967467" TargetMode="External" /><Relationship Type="http://schemas.openxmlformats.org/officeDocument/2006/relationships/hyperlink" Id="rId151" Target="https://doi.org/10.2307/2967517" TargetMode="External" /><Relationship Type="http://schemas.openxmlformats.org/officeDocument/2006/relationships/hyperlink" Id="rId141" Target="https://doi.org/10.3386/w12311" TargetMode="External" /><Relationship Type="http://schemas.openxmlformats.org/officeDocument/2006/relationships/hyperlink" Id="rId228" Target="https://eur-lex.europa.eu/legal-content/ES/TXT/?uri=CELEX:32013R0549" TargetMode="External" /><Relationship Type="http://schemas.openxmlformats.org/officeDocument/2006/relationships/hyperlink" Id="rId180" Target="https://ww2.amstat.org/meetings/proceedings/2021/data/assets/pdf/1913738.pdf" TargetMode="External" /><Relationship Type="http://schemas.openxmlformats.org/officeDocument/2006/relationships/hyperlink" Id="rId197" Target="https://www.boe.es/buscar/act.php?id=BOE-A-2015-11724" TargetMode="External" /><Relationship Type="http://schemas.openxmlformats.org/officeDocument/2006/relationships/hyperlink" Id="rId215" Target="https://www.funcas.es/wp-content/uploads/Migracion/Articulos/FUNCAS_CIE/228art02.pdf" TargetMode="External" /><Relationship Type="http://schemas.openxmlformats.org/officeDocument/2006/relationships/hyperlink" Id="rId161" Target="https://www.ine.es/daco/daco42/daco4213/resmeto06.pdf" TargetMode="External" /><Relationship Type="http://schemas.openxmlformats.org/officeDocument/2006/relationships/hyperlink" Id="rId171" Target="https://www.ine.es/dyngs/Prensa/CNA2025.htm" TargetMode="External" /><Relationship Type="http://schemas.openxmlformats.org/officeDocument/2006/relationships/hyperlink" Id="rId169" Target="https://www.ine.es/dyngs/Prensa/EPF2025.htm" TargetMode="External" /><Relationship Type="http://schemas.openxmlformats.org/officeDocument/2006/relationships/hyperlink" Id="rId163" Target="https://www.ine.es/jaxiT3/Tabla.htm?t=76156" TargetMode="External" /><Relationship Type="http://schemas.openxmlformats.org/officeDocument/2006/relationships/hyperlink" Id="rId165" Target="https://www.ine.es/metodologia/t25/metodologia_IPC_base_2025.pdf" TargetMode="External" /><Relationship Type="http://schemas.openxmlformats.org/officeDocument/2006/relationships/hyperlink" Id="rId167" Target="https://www.ine.es/metodologia/t25/principales_caracteristicas_base_2025.pdf" TargetMode="External" /><Relationship Type="http://schemas.openxmlformats.org/officeDocument/2006/relationships/hyperlink" Id="rId173" Target="https://www.ine.es/metodologia/t25/t2530p458.pdf" TargetMode="External" /><Relationship Type="http://schemas.openxmlformats.org/officeDocument/2006/relationships/hyperlink" Id="rId199" Target="https://www.lamoncloa.gob.es/serviciosdeprensa/notasprensa/inclusion/Paginas/2025/121225-revalorizacion-pensiones.aspx" TargetMode="External" /><Relationship Type="http://schemas.openxmlformats.org/officeDocument/2006/relationships/hyperlink" Id="rId191" Target="https://www.marxists.org/reference/subject/economics/marshall/bk1ch01.htm" TargetMode="External" /><Relationship Type="http://schemas.openxmlformats.org/officeDocument/2006/relationships/hyperlink" Id="rId224" Target="https://www.nobelprize.org/prizes/economic-sciences/2015/summary/" TargetMode="External" /><Relationship Type="http://schemas.openxmlformats.org/officeDocument/2006/relationships/hyperlink" Id="rId189" Target="https://www.thelatinlibrary.com/cicero/leg3.shtml" TargetMode="External" /><Relationship Type="http://schemas.openxmlformats.org/officeDocument/2006/relationships/hyperlink" Id="rId106" Target="https://www.victorgutierrezmarcos.es/oposicion/temario/primer-ejercicio/test/simulador.html" TargetMode="External" /></Relationships>
</file>

<file path=word/_rels/footnotes.xml.rels><?xml version="1.0" encoding="UTF-8"?><Relationships xmlns="http://schemas.openxmlformats.org/package/2006/relationships"><Relationship Type="http://schemas.openxmlformats.org/officeDocument/2006/relationships/hyperlink" Id="rId230" Target="https://api.bls.gov/publicAPI/v1/timeseries/data/SUUR0000SA0" TargetMode="External" /><Relationship Type="http://schemas.openxmlformats.org/officeDocument/2006/relationships/hyperlink" Id="rId110" Target="https://argos.gva.es/documents/166658342/166714754/Ejemplar+3070/2957e02b-f135-4235-98a6-bfc909292066" TargetMode="External" /><Relationship Type="http://schemas.openxmlformats.org/officeDocument/2006/relationships/hyperlink" Id="rId120" Target="https://doi.org/10.1016/0014-2921(69)90017-8" TargetMode="External" /><Relationship Type="http://schemas.openxmlformats.org/officeDocument/2006/relationships/hyperlink" Id="rId136" Target="https://doi.org/10.1016/0304-4076(76)90009-9" TargetMode="External" /><Relationship Type="http://schemas.openxmlformats.org/officeDocument/2006/relationships/hyperlink" Id="rId145" Target="https://doi.org/10.1017/CBO9780511984082.003" TargetMode="External" /><Relationship Type="http://schemas.openxmlformats.org/officeDocument/2006/relationships/hyperlink" Id="rId122" Target="https://doi.org/10.1057/9780230226203.0411" TargetMode="External" /><Relationship Type="http://schemas.openxmlformats.org/officeDocument/2006/relationships/hyperlink" Id="rId236" Target="https://doi.org/10.1080/01621459.1943.10501775" TargetMode="External" /><Relationship Type="http://schemas.openxmlformats.org/officeDocument/2006/relationships/hyperlink" Id="rId156" Target="https://doi.org/10.1086/254387" TargetMode="External" /><Relationship Type="http://schemas.openxmlformats.org/officeDocument/2006/relationships/hyperlink" Id="rId124" Target="https://doi.org/10.1111/1468-0262.00394" TargetMode="External" /><Relationship Type="http://schemas.openxmlformats.org/officeDocument/2006/relationships/hyperlink" Id="rId114" Target="https://doi.org/10.1162/003465397557015" TargetMode="External" /><Relationship Type="http://schemas.openxmlformats.org/officeDocument/2006/relationships/hyperlink" Id="rId131" Target="https://doi.org/10.1596/0-8018-5254-4" TargetMode="External" /><Relationship Type="http://schemas.openxmlformats.org/officeDocument/2006/relationships/hyperlink" Id="rId208" Target="https://doi.org/10.2307/1905479" TargetMode="External" /><Relationship Type="http://schemas.openxmlformats.org/officeDocument/2006/relationships/hyperlink" Id="rId182" Target="https://doi.org/10.2307/1906997" TargetMode="External" /><Relationship Type="http://schemas.openxmlformats.org/officeDocument/2006/relationships/hyperlink" Id="rId185" Target="https://doi.org/10.2307/1909167" TargetMode="External" /><Relationship Type="http://schemas.openxmlformats.org/officeDocument/2006/relationships/hyperlink" Id="rId143" Target="https://doi.org/10.2307/1909472" TargetMode="External" /><Relationship Type="http://schemas.openxmlformats.org/officeDocument/2006/relationships/hyperlink" Id="rId221" Target="https://doi.org/10.2307/1910254" TargetMode="External" /><Relationship Type="http://schemas.openxmlformats.org/officeDocument/2006/relationships/hyperlink" Id="rId206" Target="https://doi.org/10.2307/1911416" TargetMode="External" /><Relationship Type="http://schemas.openxmlformats.org/officeDocument/2006/relationships/hyperlink" Id="rId176" Target="https://doi.org/10.2307/1911539" TargetMode="External" /><Relationship Type="http://schemas.openxmlformats.org/officeDocument/2006/relationships/hyperlink" Id="rId203" Target="https://doi.org/10.2307/1911540" TargetMode="External" /><Relationship Type="http://schemas.openxmlformats.org/officeDocument/2006/relationships/hyperlink" Id="rId226" Target="https://doi.org/10.2307/1911889" TargetMode="External" /><Relationship Type="http://schemas.openxmlformats.org/officeDocument/2006/relationships/hyperlink" Id="rId129" Target="https://doi.org/10.2307/1911983" TargetMode="External" /><Relationship Type="http://schemas.openxmlformats.org/officeDocument/2006/relationships/hyperlink" Id="rId187" Target="https://doi.org/10.2307/1912704" TargetMode="External" /><Relationship Type="http://schemas.openxmlformats.org/officeDocument/2006/relationships/hyperlink" Id="rId116" Target="https://doi.org/10.2307/1913731" TargetMode="External" /><Relationship Type="http://schemas.openxmlformats.org/officeDocument/2006/relationships/hyperlink" Id="rId118" Target="https://doi.org/10.2307/1937885" TargetMode="External" /><Relationship Type="http://schemas.openxmlformats.org/officeDocument/2006/relationships/hyperlink" Id="rId219" Target="https://doi.org/10.2307/2227743" TargetMode="External" /><Relationship Type="http://schemas.openxmlformats.org/officeDocument/2006/relationships/hyperlink" Id="rId178" Target="https://doi.org/10.2307/2295996" TargetMode="External" /><Relationship Type="http://schemas.openxmlformats.org/officeDocument/2006/relationships/hyperlink" Id="rId195" Target="https://doi.org/10.2307/2296067" TargetMode="External" /><Relationship Type="http://schemas.openxmlformats.org/officeDocument/2006/relationships/hyperlink" Id="rId139" Target="https://doi.org/10.2307/2296107" TargetMode="External" /><Relationship Type="http://schemas.openxmlformats.org/officeDocument/2006/relationships/hyperlink" Id="rId201" Target="https://doi.org/10.2307/2296792" TargetMode="External" /><Relationship Type="http://schemas.openxmlformats.org/officeDocument/2006/relationships/hyperlink" Id="rId108" Target="https://doi.org/10.2307/2525382" TargetMode="External" /><Relationship Type="http://schemas.openxmlformats.org/officeDocument/2006/relationships/hyperlink" Id="rId232" Target="https://doi.org/10.2307/2525564" TargetMode="External" /><Relationship Type="http://schemas.openxmlformats.org/officeDocument/2006/relationships/hyperlink" Id="rId154" Target="https://doi.org/10.2307/2548574" TargetMode="External" /><Relationship Type="http://schemas.openxmlformats.org/officeDocument/2006/relationships/hyperlink" Id="rId210" Target="https://doi.org/10.2307/2548836" TargetMode="External" /><Relationship Type="http://schemas.openxmlformats.org/officeDocument/2006/relationships/hyperlink" Id="rId158" Target="https://doi.org/10.2307/2549382" TargetMode="External" /><Relationship Type="http://schemas.openxmlformats.org/officeDocument/2006/relationships/hyperlink" Id="rId212" Target="https://doi.org/10.2307/2549561" TargetMode="External" /><Relationship Type="http://schemas.openxmlformats.org/officeDocument/2006/relationships/hyperlink" Id="rId149" Target="https://doi.org/10.2307/2967467" TargetMode="External" /><Relationship Type="http://schemas.openxmlformats.org/officeDocument/2006/relationships/hyperlink" Id="rId151" Target="https://doi.org/10.2307/2967517" TargetMode="External" /><Relationship Type="http://schemas.openxmlformats.org/officeDocument/2006/relationships/hyperlink" Id="rId141" Target="https://doi.org/10.3386/w12311" TargetMode="External" /><Relationship Type="http://schemas.openxmlformats.org/officeDocument/2006/relationships/hyperlink" Id="rId228" Target="https://eur-lex.europa.eu/legal-content/ES/TXT/?uri=CELEX:32013R0549" TargetMode="External" /><Relationship Type="http://schemas.openxmlformats.org/officeDocument/2006/relationships/hyperlink" Id="rId180" Target="https://ww2.amstat.org/meetings/proceedings/2021/data/assets/pdf/1913738.pdf" TargetMode="External" /><Relationship Type="http://schemas.openxmlformats.org/officeDocument/2006/relationships/hyperlink" Id="rId197" Target="https://www.boe.es/buscar/act.php?id=BOE-A-2015-11724" TargetMode="External" /><Relationship Type="http://schemas.openxmlformats.org/officeDocument/2006/relationships/hyperlink" Id="rId215" Target="https://www.funcas.es/wp-content/uploads/Migracion/Articulos/FUNCAS_CIE/228art02.pdf" TargetMode="External" /><Relationship Type="http://schemas.openxmlformats.org/officeDocument/2006/relationships/hyperlink" Id="rId161" Target="https://www.ine.es/daco/daco42/daco4213/resmeto06.pdf" TargetMode="External" /><Relationship Type="http://schemas.openxmlformats.org/officeDocument/2006/relationships/hyperlink" Id="rId171" Target="https://www.ine.es/dyngs/Prensa/CNA2025.htm" TargetMode="External" /><Relationship Type="http://schemas.openxmlformats.org/officeDocument/2006/relationships/hyperlink" Id="rId169" Target="https://www.ine.es/dyngs/Prensa/EPF2025.htm" TargetMode="External" /><Relationship Type="http://schemas.openxmlformats.org/officeDocument/2006/relationships/hyperlink" Id="rId163" Target="https://www.ine.es/jaxiT3/Tabla.htm?t=76156" TargetMode="External" /><Relationship Type="http://schemas.openxmlformats.org/officeDocument/2006/relationships/hyperlink" Id="rId165" Target="https://www.ine.es/metodologia/t25/metodologia_IPC_base_2025.pdf" TargetMode="External" /><Relationship Type="http://schemas.openxmlformats.org/officeDocument/2006/relationships/hyperlink" Id="rId167" Target="https://www.ine.es/metodologia/t25/principales_caracteristicas_base_2025.pdf" TargetMode="External" /><Relationship Type="http://schemas.openxmlformats.org/officeDocument/2006/relationships/hyperlink" Id="rId173" Target="https://www.ine.es/metodologia/t25/t2530p458.pdf" TargetMode="External" /><Relationship Type="http://schemas.openxmlformats.org/officeDocument/2006/relationships/hyperlink" Id="rId199" Target="https://www.lamoncloa.gob.es/serviciosdeprensa/notasprensa/inclusion/Paginas/2025/121225-revalorizacion-pensiones.aspx" TargetMode="External" /><Relationship Type="http://schemas.openxmlformats.org/officeDocument/2006/relationships/hyperlink" Id="rId191" Target="https://www.marxists.org/reference/subject/economics/marshall/bk1ch01.htm" TargetMode="External" /><Relationship Type="http://schemas.openxmlformats.org/officeDocument/2006/relationships/hyperlink" Id="rId224" Target="https://www.nobelprize.org/prizes/economic-sciences/2015/summary/" TargetMode="External" /><Relationship Type="http://schemas.openxmlformats.org/officeDocument/2006/relationships/hyperlink" Id="rId189" Target="https://www.thelatinlibrary.com/cicero/leg3.shtml" TargetMode="External" /><Relationship Type="http://schemas.openxmlformats.org/officeDocument/2006/relationships/hyperlink" Id="rId106"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2026-10-13T18:52:51Z</dcterms:created>
  <dcterms:modified xsi:type="dcterms:W3CDTF">2026-10-13T18:52:51Z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3A09</vt:lpwstr>
  </property>
  <property fmtid="{D5CDD505-2E9C-101B-9397-08002B2CF9AE}" pid="3" name="bibliography">
    <vt:lpwstr>C:\Users\vgutierrez\Documents\src\victorgutierrezmarcos.github.io-revision\oposicion\temario\fuentes\3A09\3A09.bib</vt:lpwstr>
  </property>
  <property fmtid="{D5CDD505-2E9C-101B-9397-08002B2CF9AE}" pid="4" name="carpeta">
    <vt:lpwstr>tercer-ejercicio</vt:lpwstr>
  </property>
  <property fmtid="{D5CDD505-2E9C-101B-9397-08002B2CF9AE}" pid="5" name="codigo">
    <vt:lpwstr>3.A.9</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C:\Users\vgutierrez\Documents\src\victorgutierrezmarcos.github.io-revision\oposicion\temario\fuentes\3A09\graficos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(II). Dualidad e integrabilidad de las preferencias. Sistemas de demanda utilizados en estudios empíricos. Medidas de cambio en el bienestar.</vt:lpwstr>
  </property>
</Properties>
</file>