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png" ContentType="image/png"/>
  <Override PartName="/word/media/rId132.png" ContentType="image/png"/>
  <Override PartName="/word/media/rId151.png" ContentType="image/png"/>
  <Override PartName="/word/media/rId143.png" ContentType="image/png"/>
  <Override PartName="/word/media/rId147.png" ContentType="image/png"/>
  <Override PartName="/word/media/rId56.png" ContentType="image/png"/>
  <Override PartName="/word/media/rId38.png" ContentType="image/png"/>
  <Override PartName="/word/media/rId49.png" ContentType="image/png"/>
  <Override PartName="/word/media/rId73.png" ContentType="image/png"/>
  <Override PartName="/word/media/rId22.png" ContentType="image/png"/>
  <Override PartName="/word/media/rId159.png" ContentType="image/png"/>
  <Override PartName="/word/media/rId66.png" ContentType="image/png"/>
  <Override PartName="/word/media/rId31.png" ContentType="image/png"/>
  <Override PartName="/word/media/rId11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16/10/2026</w:t>
      </w:r>
    </w:p>
    <w:p>
      <w:pPr>
        <w:pStyle w:val="Paginasdeltema"/>
      </w:pPr>
      <w:r>
        <w:t xml:space="preserve">Tema: 40 págs. · Anexos: 5 · Bibliografía: 4 (PDF)</w:t>
      </w:r>
    </w:p>
    <w:bookmarkStart w:id="21" w:name="introducció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r>
        <w:rPr>
          <w:rStyle w:val="Referenciaatema"/>
        </w:rPr>
        <w:t xml:space="preserve">[ver tema 4.B.11]</w:t>
      </w:r>
      <w:r>
        <w:t xml:space="preserve">, la construcción de índices de precios</w:t>
      </w:r>
      <w:r>
        <w:t xml:space="preserve"> </w:t>
      </w:r>
      <w:r>
        <w:rPr>
          <w:rStyle w:val="Referenciaatema"/>
        </w:rPr>
        <w:t xml:space="preserve">[ver tema 4.A.1]</w:t>
      </w:r>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r>
        <w:rPr>
          <w:rStyle w:val="Referenciaatema"/>
        </w:rPr>
        <w:t xml:space="preserve">[ver tema 4.B.6]</w:t>
      </w:r>
      <w:r>
        <w:t xml:space="preserve"> </w:t>
      </w:r>
      <w:r>
        <w:t xml:space="preserve">y de la medición del exceso de gravamen de los impuestos</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r>
        <w:rPr>
          <w:rStyle w:val="Referenciaatema"/>
        </w:rPr>
        <w:t xml:space="preserve">[ver tema 3.A.8]</w:t>
      </w:r>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hyperlink w:anchor="ref-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0"/>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(I.1);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(I.2), y estableceremos las relaciones de dualidad entre ambos (I.3).</w:t>
      </w:r>
    </w:p>
    <w:p>
      <w:pPr>
        <w:numPr>
          <w:ilvl w:val="1"/>
          <w:numId w:val="1007"/>
        </w:numPr>
      </w:pPr>
      <w:r>
        <w:rPr>
          <w:b/>
          <w:bCs/>
        </w:rPr>
        <w:t xml:space="preserve">II. Desarrollos empíricos</w:t>
      </w:r>
      <w:r>
        <w:t xml:space="preserve">: veremos para qué se estiman los sistemas completos de demanda (II.1)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(II.2), y los valoraremos (II.3).</w:t>
      </w:r>
    </w:p>
    <w:p>
      <w:pPr>
        <w:numPr>
          <w:ilvl w:val="1"/>
          <w:numId w:val="1007"/>
        </w:numPr>
      </w:pPr>
      <w:r>
        <w:rPr>
          <w:b/>
          <w:bCs/>
        </w:rPr>
        <w:t xml:space="preserve">III. Aplicaciones de la dualidad</w:t>
      </w:r>
      <w:r>
        <w:t xml:space="preserve">: la integrabilidad de las preferencias, que pregunta cuándo un sistema de demandas procede de unas preferencias (III.1); la ecuación de</w:t>
      </w:r>
      <w:r>
        <w:t xml:space="preserve"> </w:t>
      </w:r>
      <w:r>
        <w:rPr>
          <w:smallCaps/>
        </w:rPr>
        <w:t xml:space="preserve">Slutsky</w:t>
      </w:r>
      <w:r>
        <w:t xml:space="preserve"> </w:t>
      </w:r>
      <w:r>
        <w:t xml:space="preserve">y la clasificación de los bienes, propia y cruzada, neta y bruta (III.2), y la medición de los cambios en el bienestar, con el excedente del consumidor, la métrica monetaria, las variaciones compensatoria y equivalente y los índices de coste de la vida (III.3).</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(I) a su estimación (II) y a sus aplicaciones (III). Reparto del cante: introducción, 2′; I, 10′ (I.1, 2′; I.2, 5′; I.3, 3′); II, 5′ (II.1, 0′30″; II.2, 3′30″; II.3, 1′); III, 12′ (III.1, 2′30″; III.2, 3′30″; III.3, 6′), y conclusión, 1′. El bloque I 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1"/>
    <w:bookmarkStart w:id="79" w:name="X71f534b4cdd64c3c6c7a75da5470e7aafa576ae"/>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A) son de profundización.</w:t>
      </w:r>
    </w:p>
    <w:p>
      <w:pPr>
        <w:numPr>
          <w:ilvl w:val="0"/>
          <w:numId w:val="1008"/>
        </w:numPr>
      </w:pPr>
      <w:r>
        <w:t xml:space="preserve">Este bloque responde a la primera pregunta.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27" w:name="Xadf3614fecccd08a3ec2ecd90481c1f5511b388"/>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1).</w:t>
      </w:r>
    </w:p>
    <w:bookmarkStart w:id="25" w:name="fig:esquema-ingredientes-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3" name="Picture"/>
            <a:graphic>
              <a:graphicData uri="http://schemas.openxmlformats.org/drawingml/2006/picture">
                <pic:pic>
                  <pic:nvPicPr>
                    <pic:cNvPr descr="C:\Users\vgutierrez\Documents\src\victorgutierrezmarcos.github.io-revision\oposicion\temario\fuentes\3A09\graficos/esquema-ingredientes-dualidad.png" id="24" name="Picture"/>
                    <pic:cNvPicPr>
                      <a:picLocks noChangeArrowheads="1" noChangeAspect="1"/>
                    </pic:cNvPicPr>
                  </pic:nvPicPr>
                  <pic:blipFill>
                    <a:blip r:embed="rId22"/>
                    <a:stretch>
                      <a:fillRect/>
                    </a:stretch>
                  </pic:blipFill>
                  <pic:spPr bwMode="auto">
                    <a:xfrm>
                      <a:off x="0" y="0"/>
                      <a:ext cx="5670550" cy="1833824"/>
                    </a:xfrm>
                    <a:prstGeom prst="rect">
                      <a:avLst/>
                    </a:prstGeom>
                    <a:noFill/>
                    <a:ln w="9525">
                      <a:noFill/>
                      <a:headEnd/>
                      <a:tailEnd/>
                    </a:ln>
                  </pic:spPr>
                </pic:pic>
              </a:graphicData>
            </a:graphic>
          </wp:inline>
        </w:drawing>
      </w:r>
    </w:p>
    <w:bookmarkEnd w:id="25"/>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r>
        <w:rPr>
          <w:rStyle w:val="Referenciaatema"/>
        </w:rPr>
        <w:t xml:space="preserve">[ver tema 3.A.8]</w:t>
      </w:r>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1).</w:t>
      </w:r>
    </w:p>
    <w:bookmarkStart w:id="26"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26"/>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w:t>
        </w:r>
      </w:hyperlink>
      <w:r>
        <w:rPr>
          <w:i/>
          <w:iCs/>
        </w:rPr>
        <w:t xml:space="preserve">)</w:t>
      </w:r>
      <w:r>
        <w:rPr>
          <w:i/>
          <w:iCs/>
        </w:rPr>
        <w:t xml:space="preserve">.</w:t>
      </w:r>
    </w:p>
    <w:bookmarkEnd w:id="27"/>
    <w:bookmarkStart w:id="65" w:name="problemas-primal-y-dual"/>
    <w:p>
      <w:pPr>
        <w:pStyle w:val="Heading2"/>
      </w:pPr>
      <w:r>
        <w:t xml:space="preserve">I.2.</w:t>
      </w:r>
      <w:r>
        <w:t xml:space="preserve"> </w:t>
      </w:r>
      <w:r>
        <w:t xml:space="preserve">Problemas primal y dual</w:t>
      </w:r>
    </w:p>
    <w:bookmarkStart w:id="45" w:name="X7c6d98eafb5dd2ce68979be25b5ecb40da7c1bf"/>
    <w:p>
      <w:pPr>
        <w:pStyle w:val="Heading3"/>
      </w:pPr>
      <w:r>
        <w:t xml:space="preserve">I.2.1.</w:t>
      </w:r>
      <w:r>
        <w:t xml:space="preserve"> </w:t>
      </w:r>
      <w:r>
        <w:t xml:space="preserve">Problema primal: maximización de la utilidad</w:t>
      </w:r>
    </w:p>
    <w:bookmarkStart w:id="28" w:name="a-idea"/>
    <w:p>
      <w:pPr>
        <w:pStyle w:val="Heading4"/>
      </w:pPr>
      <w:r>
        <w:t xml:space="preserve">a) Idea</w:t>
      </w:r>
    </w:p>
    <w:p>
      <w:pPr>
        <w:numPr>
          <w:ilvl w:val="0"/>
          <w:numId w:val="1016"/>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r>
        <w:rPr>
          <w:rStyle w:val="Referenciaatema"/>
        </w:rPr>
        <w:t xml:space="preserve">[ver tema 3.A.8]</w:t>
      </w:r>
      <w:r>
        <w:t xml:space="preserve">.</w:t>
      </w:r>
    </w:p>
    <w:bookmarkEnd w:id="28"/>
    <w:bookmarkStart w:id="43" w:name="b-modelo"/>
    <w:p>
      <w:pPr>
        <w:pStyle w:val="Heading4"/>
      </w:pPr>
      <w:r>
        <w:t xml:space="preserve">b) Modelo</w:t>
      </w:r>
    </w:p>
    <w:bookmarkStart w:id="29" w:name="i-supuestos"/>
    <w:p>
      <w:pPr>
        <w:pStyle w:val="Heading5"/>
      </w:pPr>
      <w:r>
        <w:t xml:space="preserve">i) Supuestos</w:t>
      </w:r>
    </w:p>
    <w:p>
      <w:pPr>
        <w:numPr>
          <w:ilvl w:val="0"/>
          <w:numId w:val="1017"/>
        </w:numPr>
      </w:pPr>
      <w:r>
        <w:t xml:space="preserve">Los de I.1: contexto estático, información perfecta, preferencias de buen comportamiento representables con una función de utilidad de buen comportamiento, bienes homogéneos y consumidor precio-aceptante.</w:t>
      </w:r>
    </w:p>
    <w:bookmarkEnd w:id="29"/>
    <w:bookmarkStart w:id="35" w:name="ii-desarrollo"/>
    <w:p>
      <w:pPr>
        <w:pStyle w:val="Heading5"/>
      </w:pPr>
      <w:r>
        <w:t xml:space="preserve">ii) Desarrollo</w:t>
      </w:r>
    </w:p>
    <w:p>
      <w:pPr>
        <w:numPr>
          <w:ilvl w:val="0"/>
          <w:numId w:val="1018"/>
        </w:numPr>
      </w:pPr>
      <w:r>
        <w:rPr>
          <w:i/>
          <w:iCs/>
        </w:rPr>
        <w:t xml:space="preserve">Analítico</w:t>
      </w:r>
      <w:r>
        <w:t xml:space="preserve">. El</w:t>
      </w:r>
      <w:r>
        <w:t xml:space="preserve"> </w:t>
      </w:r>
      <w:r>
        <w:rPr>
          <w:b/>
          <w:bCs/>
        </w:rPr>
        <w:t xml:space="preserve">problema de maximización de la utilidad</w:t>
      </w:r>
      <w:r>
        <w:t xml:space="preserve"> </w:t>
      </w:r>
      <w:r>
        <w:t xml:space="preserve">(PMU)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19"/>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19"/>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0"/>
      </w:r>
    </w:p>
    <w:p>
      <w:pPr>
        <w:numPr>
          <w:ilvl w:val="1"/>
          <w:numId w:val="1019"/>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A.</w:t>
      </w:r>
    </w:p>
    <w:p>
      <w:pPr>
        <w:numPr>
          <w:ilvl w:val="0"/>
          <w:numId w:val="1018"/>
        </w:numPr>
      </w:pPr>
      <w:r>
        <w:rPr>
          <w:i/>
          <w:iCs/>
        </w:rPr>
        <w:t xml:space="preserve">Gráfico</w:t>
      </w:r>
      <w:r>
        <w:t xml:space="preserve"> </w:t>
      </w:r>
      <w:r>
        <w:t xml:space="preserve">(gráfico 2),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34" w:name="fig: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32" name="Picture"/>
            <a:graphic>
              <a:graphicData uri="http://schemas.openxmlformats.org/drawingml/2006/picture">
                <pic:pic>
                  <pic:nvPicPr>
                    <pic:cNvPr descr="C:\Users\vgutierrez\Documents\src\victorgutierrezmarcos.github.io-revision\oposicion\temario\fuentes\3A09\graficos/primal.png" id="33" name="Picture"/>
                    <pic:cNvPicPr>
                      <a:picLocks noChangeArrowheads="1" noChangeAspect="1"/>
                    </pic:cNvPicPr>
                  </pic:nvPicPr>
                  <pic:blipFill>
                    <a:blip r:embed="rId31"/>
                    <a:stretch>
                      <a:fillRect/>
                    </a:stretch>
                  </pic:blipFill>
                  <pic:spPr bwMode="auto">
                    <a:xfrm>
                      <a:off x="0" y="0"/>
                      <a:ext cx="2688152" cy="2272238"/>
                    </a:xfrm>
                    <a:prstGeom prst="rect">
                      <a:avLst/>
                    </a:prstGeom>
                    <a:noFill/>
                    <a:ln w="9525">
                      <a:noFill/>
                      <a:headEnd/>
                      <a:tailEnd/>
                    </a:ln>
                  </pic:spPr>
                </pic:pic>
              </a:graphicData>
            </a:graphic>
          </wp:inline>
        </w:drawing>
      </w:r>
    </w:p>
    <w:bookmarkEnd w:id="34"/>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3.D.1</w:t>
        </w:r>
      </w:hyperlink>
      <w:r>
        <w:t xml:space="preserve">)</w:t>
      </w:r>
      <w:r>
        <w:t xml:space="preserve">.</w:t>
      </w:r>
    </w:p>
    <w:bookmarkEnd w:id="35"/>
    <w:bookmarkStart w:id="42" w:name="Xee0fe5705837d24383fbf47e6e89e518ec7c9c1"/>
    <w:p>
      <w:pPr>
        <w:pStyle w:val="Heading5"/>
      </w:pPr>
      <w:r>
        <w:t xml:space="preserve">iii) Implicaciones: la demanda marshalliana y la función indirecta de utilidad</w:t>
      </w:r>
    </w:p>
    <w:p>
      <w:pPr>
        <w:numPr>
          <w:ilvl w:val="0"/>
          <w:numId w:val="1020"/>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36"/>
      </w:r>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1"/>
        </w:numPr>
      </w:pPr>
      <w:r>
        <w:rPr>
          <w:i/>
          <w:iCs/>
        </w:rPr>
        <w:t xml:space="preserve">existe, es global y es única</w:t>
      </w:r>
      <w:r>
        <w:t xml:space="preserve">, por los teoremas de la optimización condicionada que acabamos de ver;</w:t>
      </w:r>
    </w:p>
    <w:p>
      <w:pPr>
        <w:numPr>
          <w:ilvl w:val="1"/>
          <w:numId w:val="102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1"/>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1"/>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37"/>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1"/>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0"/>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2"/>
        </w:numPr>
      </w:pPr>
      <w:r>
        <w:rPr>
          <w:i/>
          <w:iCs/>
        </w:rPr>
        <w:t xml:space="preserve">existe</w:t>
      </w:r>
      <w:r>
        <w:t xml:space="preserve">, porque existe la demanda;</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2"/>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2"/>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3"/>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3"/>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w:t>
      </w:r>
    </w:p>
    <w:p>
      <w:pPr>
        <w:numPr>
          <w:ilvl w:val="2"/>
          <w:numId w:val="1023"/>
        </w:numPr>
      </w:pPr>
      <w:r>
        <w:rPr>
          <w:i/>
          <w:iCs/>
        </w:rPr>
        <w:t xml:space="preserve">Gráficamente</w:t>
      </w:r>
      <w:r>
        <w:t xml:space="preserve"> </w:t>
      </w:r>
      <w:r>
        <w:t xml:space="preserve">(gráfico 3): la recta de balance promedio pasa por el corte de las dos extremas y queda dentro de la unión de sus conjuntos presupuestarios, así que la utilidad máxima con el promedio no supera la mayor de las alcanzables con los extremos.</w:t>
      </w:r>
    </w:p>
    <w:p>
      <w:pPr>
        <w:numPr>
          <w:ilvl w:val="2"/>
          <w:numId w:val="1023"/>
        </w:numPr>
      </w:pPr>
      <w:r>
        <w:t xml:space="preserve">No depende de la convexidad de las preferencias;</w:t>
      </w:r>
    </w:p>
    <w:p>
      <w:pPr>
        <w:numPr>
          <w:ilvl w:val="1"/>
          <w:numId w:val="1022"/>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B).</w:t>
      </w:r>
    </w:p>
    <w:bookmarkStart w:id="41" w:name="fig:cuasiconvexidad-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39" name="Picture"/>
            <a:graphic>
              <a:graphicData uri="http://schemas.openxmlformats.org/drawingml/2006/picture">
                <pic:pic>
                  <pic:nvPicPr>
                    <pic:cNvPr descr="C:\Users\vgutierrez\Documents\src\victorgutierrezmarcos.github.io-revision\oposicion\temario\fuentes\3A09\graficos/cuasiconvexidad-fiu.png" id="40" name="Picture"/>
                    <pic:cNvPicPr>
                      <a:picLocks noChangeArrowheads="1" noChangeAspect="1"/>
                    </pic:cNvPicPr>
                  </pic:nvPicPr>
                  <pic:blipFill>
                    <a:blip r:embed="rId38"/>
                    <a:stretch>
                      <a:fillRect/>
                    </a:stretch>
                  </pic:blipFill>
                  <pic:spPr bwMode="auto">
                    <a:xfrm>
                      <a:off x="0" y="0"/>
                      <a:ext cx="3581400" cy="2567681"/>
                    </a:xfrm>
                    <a:prstGeom prst="rect">
                      <a:avLst/>
                    </a:prstGeom>
                    <a:noFill/>
                    <a:ln w="9525">
                      <a:noFill/>
                      <a:headEnd/>
                      <a:tailEnd/>
                    </a:ln>
                  </pic:spPr>
                </pic:pic>
              </a:graphicData>
            </a:graphic>
          </wp:inline>
        </w:drawing>
      </w:r>
    </w:p>
    <w:bookmarkEnd w:id="4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3.D.5</w:t>
        </w:r>
      </w:hyperlink>
      <w:r>
        <w:t xml:space="preserve">)</w:t>
      </w:r>
      <w:r>
        <w:t xml:space="preserve">.</w:t>
      </w:r>
    </w:p>
    <w:bookmarkEnd w:id="42"/>
    <w:bookmarkEnd w:id="43"/>
    <w:bookmarkStart w:id="44" w:name="e-valoración"/>
    <w:p>
      <w:pPr>
        <w:pStyle w:val="Heading4"/>
      </w:pPr>
      <w:r>
        <w:t xml:space="preserve">e) Valoración</w:t>
      </w:r>
    </w:p>
    <w:p>
      <w:pPr>
        <w:numPr>
          <w:ilvl w:val="0"/>
          <w:numId w:val="1024"/>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44"/>
    <w:bookmarkEnd w:id="45"/>
    <w:bookmarkStart w:id="64" w:name="problema-dual-minimización-del-gasto"/>
    <w:p>
      <w:pPr>
        <w:pStyle w:val="Heading3"/>
      </w:pPr>
      <w:r>
        <w:t xml:space="preserve">I.2.2.</w:t>
      </w:r>
      <w:r>
        <w:t xml:space="preserve"> </w:t>
      </w:r>
      <w:r>
        <w:t xml:space="preserve">Problema dual: minimización del gasto</w:t>
      </w:r>
    </w:p>
    <w:bookmarkStart w:id="46" w:name="a-idea-1"/>
    <w:p>
      <w:pPr>
        <w:pStyle w:val="Heading4"/>
      </w:pPr>
      <w:r>
        <w:t xml:space="preserve">a) Idea</w:t>
      </w:r>
    </w:p>
    <w:p>
      <w:pPr>
        <w:numPr>
          <w:ilvl w:val="0"/>
          <w:numId w:val="1025"/>
        </w:numPr>
      </w:pPr>
      <w:r>
        <w:t xml:space="preserve">En lugar de preguntar cuánta utilidad compra una renta, preguntamos cuál es la forma más barata de alcanzar un nivel de utilidad. Es el problema de optimización alternativo que propone la teoría de la dualidad.</w:t>
      </w:r>
    </w:p>
    <w:bookmarkEnd w:id="46"/>
    <w:bookmarkStart w:id="62" w:name="b-modelo-1"/>
    <w:p>
      <w:pPr>
        <w:pStyle w:val="Heading4"/>
      </w:pPr>
      <w:r>
        <w:t xml:space="preserve">b) Modelo</w:t>
      </w:r>
    </w:p>
    <w:bookmarkStart w:id="47" w:name="i-supuestos-1"/>
    <w:p>
      <w:pPr>
        <w:pStyle w:val="Heading5"/>
      </w:pPr>
      <w:r>
        <w:t xml:space="preserve">i) Supuestos</w:t>
      </w:r>
    </w:p>
    <w:p>
      <w:pPr>
        <w:numPr>
          <w:ilvl w:val="0"/>
          <w:numId w:val="1026"/>
        </w:numPr>
      </w:pPr>
      <w:r>
        <w:t xml:space="preserve">Son idénticos a los del primal: solo cambia la formulación del problema.</w:t>
      </w:r>
    </w:p>
    <w:bookmarkEnd w:id="47"/>
    <w:bookmarkStart w:id="53" w:name="ii-desarrollo-1"/>
    <w:p>
      <w:pPr>
        <w:pStyle w:val="Heading5"/>
      </w:pPr>
      <w:r>
        <w:t xml:space="preserve">ii) Desarrollo</w:t>
      </w:r>
    </w:p>
    <w:p>
      <w:pPr>
        <w:numPr>
          <w:ilvl w:val="0"/>
          <w:numId w:val="1027"/>
        </w:numPr>
      </w:pPr>
      <w:r>
        <w:rPr>
          <w:i/>
          <w:iCs/>
        </w:rPr>
        <w:t xml:space="preserve">Analítico</w:t>
      </w:r>
      <w:r>
        <w:t xml:space="preserve">. El</w:t>
      </w:r>
      <w:r>
        <w:t xml:space="preserve"> </w:t>
      </w:r>
      <w:r>
        <w:rPr>
          <w:b/>
          <w:bCs/>
        </w:rPr>
        <w:t xml:space="preserve">problema de minimización del gasto</w:t>
      </w:r>
      <w:r>
        <w:t xml:space="preserve"> </w:t>
      </w:r>
      <w:r>
        <w:t xml:space="preserve">(PMG)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8"/>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8"/>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8"/>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8"/>
        </w:numPr>
      </w:pPr>
      <w:r>
        <w:t xml:space="preserve">En una solución interior, las condiciones de primer orden dan</w:t>
      </w:r>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A).</w:t>
      </w:r>
    </w:p>
    <w:p>
      <w:pPr>
        <w:numPr>
          <w:ilvl w:val="1"/>
          <w:numId w:val="1028"/>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48"/>
      </w:r>
    </w:p>
    <w:p>
      <w:pPr>
        <w:numPr>
          <w:ilvl w:val="1"/>
          <w:numId w:val="1028"/>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A).</w:t>
      </w:r>
    </w:p>
    <w:p>
      <w:pPr>
        <w:numPr>
          <w:ilvl w:val="0"/>
          <w:numId w:val="1027"/>
        </w:numPr>
      </w:pPr>
      <w:r>
        <w:rPr>
          <w:i/>
          <w:iCs/>
        </w:rPr>
        <w:t xml:space="preserve">Gráfico</w:t>
      </w:r>
      <w:r>
        <w:t xml:space="preserve"> </w:t>
      </w:r>
      <w:r>
        <w:t xml:space="preserve">(gráfico 4):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52" w:name="fig: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50" name="Picture"/>
            <a:graphic>
              <a:graphicData uri="http://schemas.openxmlformats.org/drawingml/2006/picture">
                <pic:pic>
                  <pic:nvPicPr>
                    <pic:cNvPr descr="C:\Users\vgutierrez\Documents\src\victorgutierrezmarcos.github.io-revision\oposicion\temario\fuentes\3A09\graficos/dual.png" id="51" name="Picture"/>
                    <pic:cNvPicPr>
                      <a:picLocks noChangeArrowheads="1" noChangeAspect="1"/>
                    </pic:cNvPicPr>
                  </pic:nvPicPr>
                  <pic:blipFill>
                    <a:blip r:embed="rId49"/>
                    <a:stretch>
                      <a:fillRect/>
                    </a:stretch>
                  </pic:blipFill>
                  <pic:spPr bwMode="auto">
                    <a:xfrm>
                      <a:off x="0" y="0"/>
                      <a:ext cx="2654512" cy="2275296"/>
                    </a:xfrm>
                    <a:prstGeom prst="rect">
                      <a:avLst/>
                    </a:prstGeom>
                    <a:noFill/>
                    <a:ln w="9525">
                      <a:noFill/>
                      <a:headEnd/>
                      <a:tailEnd/>
                    </a:ln>
                  </pic:spPr>
                </pic:pic>
              </a:graphicData>
            </a:graphic>
          </wp:inline>
        </w:drawing>
      </w:r>
    </w:p>
    <w:bookmarkEnd w:id="5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bookmarkEnd w:id="53"/>
    <w:bookmarkStart w:id="61" w:name="X7d303b0783c5a0d4bd1c448bf099f6e0e0c4b49"/>
    <w:p>
      <w:pPr>
        <w:pStyle w:val="Heading5"/>
      </w:pPr>
      <w:r>
        <w:t xml:space="preserve">iii) Implicaciones: la demanda hicksiana y la función de gasto</w:t>
      </w:r>
    </w:p>
    <w:p>
      <w:pPr>
        <w:numPr>
          <w:ilvl w:val="0"/>
          <w:numId w:val="1029"/>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54"/>
      </w:r>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29"/>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30"/>
        </w:numPr>
      </w:pPr>
      <w:r>
        <w:rPr>
          <w:i/>
          <w:iCs/>
        </w:rPr>
        <w:t xml:space="preserve">existe, es global y es única</w:t>
      </w:r>
      <w:r>
        <w:t xml:space="preserve">, con preferencias estrictamente convexas;</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0"/>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0"/>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0"/>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55"/>
      </w:r>
      <w:r>
        <w:t xml:space="preserve"> </w:t>
      </w:r>
      <w:r>
        <w:t xml:space="preserve">Es la diferencia fundamental con la demanda marshalliana, y se debe a la concavidad de la función de gasto, como veremos enseguida.</w:t>
      </w:r>
    </w:p>
    <w:p>
      <w:pPr>
        <w:numPr>
          <w:ilvl w:val="0"/>
          <w:numId w:val="1029"/>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(I.3) y la ecuación de</w:t>
      </w:r>
      <w:r>
        <w:t xml:space="preserve"> </w:t>
      </w:r>
      <w:r>
        <w:rPr>
          <w:smallCaps/>
        </w:rPr>
        <w:t xml:space="preserve">Slutsky</w:t>
      </w:r>
      <w:r>
        <w:t xml:space="preserve"> </w:t>
      </w:r>
      <w:r>
        <w:t xml:space="preserve">(III.2) permiten recuperar sus derivadas a partir de la demanda marshalliana, que sí se observa.</w:t>
      </w:r>
    </w:p>
    <w:p>
      <w:pPr>
        <w:numPr>
          <w:ilvl w:val="0"/>
          <w:numId w:val="1029"/>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1"/>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1"/>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1"/>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1"/>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2"/>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2"/>
        </w:numPr>
      </w:pPr>
      <w:r>
        <w:t xml:space="preserve">como puede reoptimizar y sustituir los bienes que se encarecen por los que se abaratan, gasta como mucho eso:</w:t>
      </w:r>
    </w:p>
    <w:p>
      <w:pPr>
        <w:pStyle w:val="FirstParagraph"/>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5).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1"/>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B;</w:t>
      </w:r>
    </w:p>
    <w:p>
      <w:pPr>
        <w:numPr>
          <w:ilvl w:val="1"/>
          <w:numId w:val="1031"/>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3"/>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3"/>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3"/>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III.2.</w:t>
      </w:r>
    </w:p>
    <w:bookmarkStart w:id="59" w:name="fig:concavidad-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57" name="Picture"/>
            <a:graphic>
              <a:graphicData uri="http://schemas.openxmlformats.org/drawingml/2006/picture">
                <pic:pic>
                  <pic:nvPicPr>
                    <pic:cNvPr descr="C:\Users\vgutierrez\Documents\src\victorgutierrezmarcos.github.io-revision\oposicion\temario\fuentes\3A09\graficos/concavidad-fg.png" id="58" name="Picture"/>
                    <pic:cNvPicPr>
                      <a:picLocks noChangeArrowheads="1" noChangeAspect="1"/>
                    </pic:cNvPicPr>
                  </pic:nvPicPr>
                  <pic:blipFill>
                    <a:blip r:embed="rId56"/>
                    <a:stretch>
                      <a:fillRect/>
                    </a:stretch>
                  </pic:blipFill>
                  <pic:spPr bwMode="auto">
                    <a:xfrm>
                      <a:off x="0" y="0"/>
                      <a:ext cx="3282950" cy="3020801"/>
                    </a:xfrm>
                    <a:prstGeom prst="rect">
                      <a:avLst/>
                    </a:prstGeom>
                    <a:noFill/>
                    <a:ln w="9525">
                      <a:noFill/>
                      <a:headEnd/>
                      <a:tailEnd/>
                    </a:ln>
                  </pic:spPr>
                </pic:pic>
              </a:graphicData>
            </a:graphic>
          </wp:inline>
        </w:drawing>
      </w:r>
    </w:p>
    <w:bookmarkEnd w:id="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3.E.3</w:t>
        </w:r>
      </w:hyperlink>
      <w:r>
        <w:t xml:space="preserve">)</w:t>
      </w:r>
      <w:r>
        <w:t xml:space="preserve">.</w:t>
      </w:r>
    </w:p>
    <w:p>
      <w:pPr>
        <w:numPr>
          <w:ilvl w:val="0"/>
          <w:numId w:val="1034"/>
        </w:numPr>
      </w:pPr>
      <w:r>
        <w:t xml:space="preserve">Las propiedades de los dos problemas forman pares duales (tabla 2): cada propiedad de la demanda marshalliana y de la FIU tiene su correspondiente en la demanda hicksiana y la función de gasto.</w:t>
      </w:r>
    </w:p>
    <w:bookmarkStart w:id="60" w:name="tab:pares-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6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3.D.2, 3.D.3, 3.E.2, 3.E.3 y 3.G.1)</w:t>
      </w:r>
      <w:r>
        <w:rPr>
          <w:i/>
          <w:iCs/>
        </w:rPr>
        <w:t xml:space="preserve">.</w:t>
      </w:r>
    </w:p>
    <w:bookmarkEnd w:id="61"/>
    <w:bookmarkEnd w:id="62"/>
    <w:bookmarkStart w:id="63" w:name="e-valoración-1"/>
    <w:p>
      <w:pPr>
        <w:pStyle w:val="Heading4"/>
      </w:pPr>
      <w:r>
        <w:t xml:space="preserve">e) Valoración</w:t>
      </w:r>
    </w:p>
    <w:p>
      <w:pPr>
        <w:numPr>
          <w:ilvl w:val="0"/>
          <w:numId w:val="1035"/>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63"/>
    <w:bookmarkEnd w:id="64"/>
    <w:bookmarkEnd w:id="65"/>
    <w:bookmarkStart w:id="78" w:name="relaciones-de-dualidad"/>
    <w:p>
      <w:pPr>
        <w:pStyle w:val="Heading2"/>
      </w:pPr>
      <w:r>
        <w:t xml:space="preserve">I.3.</w:t>
      </w:r>
      <w:r>
        <w:t xml:space="preserve"> </w:t>
      </w:r>
      <w:r>
        <w:t xml:space="preserve">Relaciones de dualidad</w:t>
      </w:r>
    </w:p>
    <w:p>
      <w:pPr>
        <w:numPr>
          <w:ilvl w:val="0"/>
          <w:numId w:val="1036"/>
        </w:numPr>
      </w:pPr>
      <w:r>
        <w:t xml:space="preserve">Como los dos problemas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70" w:name="X2dd2e041c89abe07466ad6ebf75cf135e134b9f"/>
    <w:p>
      <w:pPr>
        <w:pStyle w:val="Heading4"/>
      </w:pPr>
      <w:r>
        <w:t xml:space="preserve">Dualidad entre soluciones: el teorema básico de la dualidad</w:t>
      </w:r>
    </w:p>
    <w:p>
      <w:pPr>
        <w:keepNext/>
        <w:numPr>
          <w:ilvl w:val="0"/>
          <w:numId w:val="1037"/>
        </w:numPr>
      </w:pPr>
      <w:r>
        <w:rPr>
          <w:b/>
          <w:bCs/>
        </w:rPr>
        <w:t xml:space="preserve">Teorema básico de la dualidad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8"/>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8"/>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7"/>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6), se superponen los dos gráficos anteriores: la recta de balance del primal es la isogasto tangente del dual y la curva de indiferencia alcanzada en el primal es la curva exigida en el dual.</w:t>
      </w:r>
    </w:p>
    <w:bookmarkStart w:id="69" w:name="fig:primal-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67" name="Picture"/>
            <a:graphic>
              <a:graphicData uri="http://schemas.openxmlformats.org/drawingml/2006/picture">
                <pic:pic>
                  <pic:nvPicPr>
                    <pic:cNvPr descr="C:\Users\vgutierrez\Documents\src\victorgutierrezmarcos.github.io-revision\oposicion\temario\fuentes\3A09\graficos/primal-dual.png" id="68" name="Picture"/>
                    <pic:cNvPicPr>
                      <a:picLocks noChangeArrowheads="1" noChangeAspect="1"/>
                    </pic:cNvPicPr>
                  </pic:nvPicPr>
                  <pic:blipFill>
                    <a:blip r:embed="rId66"/>
                    <a:stretch>
                      <a:fillRect/>
                    </a:stretch>
                  </pic:blipFill>
                  <pic:spPr bwMode="auto">
                    <a:xfrm>
                      <a:off x="0" y="0"/>
                      <a:ext cx="3000088" cy="2342576"/>
                    </a:xfrm>
                    <a:prstGeom prst="rect">
                      <a:avLst/>
                    </a:prstGeom>
                    <a:noFill/>
                    <a:ln w="9525">
                      <a:noFill/>
                      <a:headEnd/>
                      <a:tailEnd/>
                    </a:ln>
                  </pic:spPr>
                </pic:pic>
              </a:graphicData>
            </a:graphic>
          </wp:inline>
        </w:drawing>
      </w:r>
    </w:p>
    <w:bookmarkEnd w:id="6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p>
      <w:pPr>
        <w:numPr>
          <w:ilvl w:val="0"/>
          <w:numId w:val="1039"/>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70"/>
    <w:bookmarkStart w:id="72" w:name="X821095d29f6674a5dab40acded09f0071ebcd1f"/>
    <w:p>
      <w:pPr>
        <w:pStyle w:val="Heading4"/>
      </w:pPr>
      <w:r>
        <w:t xml:space="preserve">Dualidad entre funciones de demanda y entre funciones valor</w:t>
      </w:r>
    </w:p>
    <w:p>
      <w:pPr>
        <w:numPr>
          <w:ilvl w:val="0"/>
          <w:numId w:val="1040"/>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p>
    <w:p>
      <w:pPr>
        <w:pStyle w:val="BodyT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pStyle w:val="FirstParagraph"/>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1"/>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1"/>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71"/>
      </w:r>
    </w:p>
    <w:p>
      <w:pPr>
        <w:numPr>
          <w:ilvl w:val="0"/>
          <w:numId w:val="1040"/>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r>
        <w:rPr>
          <w:rStyle w:val="Referenciaatema"/>
        </w:rPr>
        <w:t xml:space="preserve">[ver tema 3.A.8]</w:t>
      </w:r>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72"/>
    <w:bookmarkStart w:id="77" w:name="esquema-de-dualidad"/>
    <w:p>
      <w:pPr>
        <w:pStyle w:val="Heading4"/>
      </w:pPr>
      <w:r>
        <w:t xml:space="preserve">Esquema de dualidad</w:t>
      </w:r>
    </w:p>
    <w:p>
      <w:pPr>
        <w:numPr>
          <w:ilvl w:val="0"/>
          <w:numId w:val="1042"/>
        </w:numPr>
      </w:pPr>
      <w:r>
        <w:t xml:space="preserve">Todas estas relaciones se resumen en el gráfico 7: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76" w:name="fig:esquema-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31653"/>
            <wp:effectExtent b="0" l="0" r="0" t="0"/>
            <wp:docPr descr="" title="" id="74" name="Picture"/>
            <a:graphic>
              <a:graphicData uri="http://schemas.openxmlformats.org/drawingml/2006/picture">
                <pic:pic>
                  <pic:nvPicPr>
                    <pic:cNvPr descr="C:\Users\vgutierrez\Documents\src\victorgutierrezmarcos.github.io-revision\oposicion\temario\fuentes\3A09\graficos/esquema-dualidad.png" id="75" name="Picture"/>
                    <pic:cNvPicPr>
                      <a:picLocks noChangeArrowheads="1" noChangeAspect="1"/>
                    </pic:cNvPicPr>
                  </pic:nvPicPr>
                  <pic:blipFill>
                    <a:blip r:embed="rId73"/>
                    <a:stretch>
                      <a:fillRect/>
                    </a:stretch>
                  </pic:blipFill>
                  <pic:spPr bwMode="auto">
                    <a:xfrm>
                      <a:off x="0" y="0"/>
                      <a:ext cx="5969000" cy="3031653"/>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3"/>
        </w:numPr>
      </w:pPr>
      <w:r>
        <w:rPr>
          <w:b/>
          <w:b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(III.2);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(III.1), y la medida del bienestar usa</w:t>
      </w:r>
      <w:r>
        <w:t xml:space="preserve"> </w:t>
      </w:r>
      <m:oMath>
        <m:r>
          <m:t>E</m:t>
        </m:r>
      </m:oMath>
      <w:r>
        <w:t xml:space="preserve"> </w:t>
      </w:r>
      <w:r>
        <w:t xml:space="preserve">para traducir la utilidad a unidades monetarias (III.3). Antes, en el apartado II,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77"/>
    <w:bookmarkEnd w:id="78"/>
    <w:bookmarkEnd w:id="79"/>
    <w:bookmarkStart w:id="115" w:name="X83f00a045cb92ead9a9f0b1e548c0c732359965"/>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4"/>
        </w:numPr>
      </w:pPr>
      <w:r>
        <w:t xml:space="preserve">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80" w:name="idea"/>
    <w:p>
      <w:pPr>
        <w:pStyle w:val="Heading2"/>
      </w:pPr>
      <w:r>
        <w:t xml:space="preserve">II.1.</w:t>
      </w:r>
      <w:r>
        <w:t xml:space="preserve"> </w:t>
      </w:r>
      <w:r>
        <w:t xml:space="preserve">Idea</w:t>
      </w:r>
    </w:p>
    <w:p>
      <w:pPr>
        <w:keepNext/>
        <w:numPr>
          <w:ilvl w:val="0"/>
          <w:numId w:val="1045"/>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6"/>
        </w:numPr>
      </w:pPr>
      <w:r>
        <w:rPr>
          <w:i/>
          <w:iCs/>
        </w:rPr>
        <w:t xml:space="preserve">medir</w:t>
      </w:r>
      <w:r>
        <w:t xml:space="preserve">: las elasticidades-renta y precio, propias y cruzadas, que necesitan la política fiscal (imposición indirecta, reformas del IVA</w:t>
      </w:r>
      <w:r>
        <w:t xml:space="preserve"> </w:t>
      </w:r>
      <w:r>
        <w:rPr>
          <w:rStyle w:val="Referenciaatema"/>
        </w:rPr>
        <w:t xml:space="preserve">[ver tema 4.B.11]</w:t>
      </w:r>
      <w:r>
        <w:t xml:space="preserve">), los índices de precios o el análisis de la pobreza</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6"/>
        </w:numPr>
      </w:pPr>
      <w:r>
        <w:rPr>
          <w:i/>
          <w:iCs/>
        </w:rPr>
        <w:t xml:space="preserve">contrastar la teoría</w:t>
      </w:r>
      <w:r>
        <w:t xml:space="preserve">: la homogeneidad, la simetría y la negatividad pasan a ser restricciones sobre los parámetros, es decir, se contrasta si la demanda observada es integrable (III.1);</w:t>
      </w:r>
    </w:p>
    <w:p>
      <w:pPr>
        <w:numPr>
          <w:ilvl w:val="1"/>
          <w:numId w:val="1046"/>
        </w:numPr>
      </w:pPr>
      <w:r>
        <w:rPr>
          <w:i/>
          <w:iCs/>
        </w:rPr>
        <w:t xml:space="preserve">valorar el bienestar</w:t>
      </w:r>
      <w:r>
        <w:t xml:space="preserve">: si el sistema procede de una función de gasto conocida, las variaciones compensatoria y equivalente se calculan directamente (III.3).</w:t>
      </w:r>
    </w:p>
    <w:p>
      <w:pPr>
        <w:numPr>
          <w:ilvl w:val="0"/>
          <w:numId w:val="1045"/>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5"/>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7"/>
        </w:numPr>
      </w:pPr>
      <w:r>
        <w:rPr>
          <w:i/>
          <w:iCs/>
        </w:rPr>
        <w:t xml:space="preserve">coherencia con la teoría</w:t>
      </w:r>
      <w:r>
        <w:t xml:space="preserve">: poder imponer o contrastar sus restricciones;</w:t>
      </w:r>
    </w:p>
    <w:p>
      <w:pPr>
        <w:numPr>
          <w:ilvl w:val="1"/>
          <w:numId w:val="1047"/>
        </w:numPr>
      </w:pPr>
      <w:r>
        <w:rPr>
          <w:i/>
          <w:iCs/>
        </w:rPr>
        <w:t xml:space="preserve">flexibilidad</w:t>
      </w:r>
      <w:r>
        <w:t xml:space="preserve">: no fijar de antemano las elasticidades (formalmente, aproximar en primer orden cualquier sistema de demanda);</w:t>
      </w:r>
    </w:p>
    <w:p>
      <w:pPr>
        <w:numPr>
          <w:ilvl w:val="1"/>
          <w:numId w:val="1047"/>
        </w:numPr>
      </w:pPr>
      <w:r>
        <w:rPr>
          <w:i/>
          <w:iCs/>
        </w:rPr>
        <w:t xml:space="preserve">agregación</w:t>
      </w:r>
      <w:r>
        <w:t xml:space="preserve">: que la demanda media de muchos hogares distintos tenga la misma forma que la individual</w:t>
      </w:r>
      <w:r>
        <w:t xml:space="preserve"> </w:t>
      </w:r>
      <w:r>
        <w:rPr>
          <w:rStyle w:val="Referenciaatema"/>
        </w:rPr>
        <w:t xml:space="preserve">[ver tema 3.A.8]</w:t>
      </w:r>
      <w:r>
        <w:t xml:space="preserve">;</w:t>
      </w:r>
    </w:p>
    <w:p>
      <w:pPr>
        <w:numPr>
          <w:ilvl w:val="1"/>
          <w:numId w:val="1047"/>
        </w:numPr>
      </w:pPr>
      <w:r>
        <w:rPr>
          <w:i/>
          <w:iCs/>
        </w:rPr>
        <w:t xml:space="preserve">sencillez de estimación</w:t>
      </w:r>
      <w:r>
        <w:t xml:space="preserve">: a ser posible, linealidad en los parámetros.</w:t>
      </w:r>
    </w:p>
    <w:bookmarkEnd w:id="80"/>
    <w:bookmarkStart w:id="113" w:name="pasos-que-sigue-la-literatura"/>
    <w:p>
      <w:pPr>
        <w:pStyle w:val="Heading2"/>
      </w:pPr>
      <w:r>
        <w:t xml:space="preserve">II.2.</w:t>
      </w:r>
      <w:r>
        <w:t xml:space="preserve"> </w:t>
      </w:r>
      <w:r>
        <w:t xml:space="preserve">Pasos que sigue la literatura</w:t>
      </w:r>
    </w:p>
    <w:p>
      <w:pPr>
        <w:numPr>
          <w:ilvl w:val="0"/>
          <w:numId w:val="1048"/>
        </w:numPr>
      </w:pPr>
      <w:r>
        <w:t xml:space="preserve">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08" w:name="Xe667511b6d0ed2d2bd4c17ec39391f3b2daeab7"/>
    <w:p>
      <w:pPr>
        <w:pStyle w:val="Heading3"/>
      </w:pPr>
      <w:r>
        <w:t xml:space="preserve">II.2.1.</w:t>
      </w:r>
      <w:r>
        <w:t xml:space="preserve"> </w:t>
      </w:r>
      <w:r>
        <w:t xml:space="preserve">Elección de una función de referencia apropiada</w:t>
      </w:r>
    </w:p>
    <w:p>
      <w:pPr>
        <w:numPr>
          <w:ilvl w:val="0"/>
          <w:numId w:val="1049"/>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3).</w:t>
      </w:r>
    </w:p>
    <w:p>
      <w:pPr>
        <w:numPr>
          <w:ilvl w:val="0"/>
          <w:numId w:val="1049"/>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81"/>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86" w:name="sistema-lineal-de-gasto-les"/>
    <w:p>
      <w:pPr>
        <w:pStyle w:val="Heading4"/>
      </w:pPr>
      <w:r>
        <w:t xml:space="preserve">Sistema lineal de gasto (LES)</w:t>
      </w:r>
    </w:p>
    <w:bookmarkStart w:id="82" w:name="a-idea-2"/>
    <w:p>
      <w:pPr>
        <w:pStyle w:val="Heading5"/>
      </w:pPr>
      <w:r>
        <w:t xml:space="preserve">a) Idea</w:t>
      </w:r>
    </w:p>
    <w:p>
      <w:pPr>
        <w:numPr>
          <w:ilvl w:val="0"/>
          <w:numId w:val="1050"/>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82"/>
    <w:bookmarkStart w:id="83" w:name="b-modelo-2"/>
    <w:p>
      <w:pPr>
        <w:pStyle w:val="Heading5"/>
      </w:pPr>
      <w:r>
        <w:t xml:space="preserve">b) Modelo</w:t>
      </w:r>
    </w:p>
    <w:p>
      <w:pPr>
        <w:numPr>
          <w:ilvl w:val="0"/>
          <w:numId w:val="1051"/>
        </w:numPr>
      </w:pPr>
      <w:r>
        <w:rPr>
          <w:b/>
          <w:bCs/>
          <w:i/>
          <w:iCs/>
        </w:rPr>
        <w:t xml:space="preserve">i) Supuestos</w:t>
      </w:r>
      <w:r>
        <w:t xml:space="preserve">: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numPr>
          <w:ilvl w:val="0"/>
          <w:numId w:val="1051"/>
        </w:numPr>
      </w:pPr>
      <w:r>
        <w:rPr>
          <w:b/>
          <w:bCs/>
          <w:i/>
          <w:iCs/>
        </w:rPr>
        <w:t xml:space="preserve">ii) Desarrollo</w:t>
      </w:r>
      <w:r>
        <w:t xml:space="preserve">: maximizando, el gasto en cada bien es</w:t>
      </w:r>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numPr>
          <w:ilvl w:val="0"/>
          <w:numId w:val="1051"/>
        </w:numPr>
      </w:pPr>
      <w:r>
        <w:rPr>
          <w:b/>
          <w:bCs/>
          <w:i/>
          <w:iCs/>
        </w:rPr>
        <w:t xml:space="preserve">iii) Implicaciones</w:t>
      </w:r>
      <w:r>
        <w:t xml:space="preserve">: 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83"/>
    <w:bookmarkStart w:id="84" w:name="d-evidencia-empírica"/>
    <w:p>
      <w:pPr>
        <w:pStyle w:val="Heading5"/>
      </w:pPr>
      <w:r>
        <w:t xml:space="preserve">d) Evidencia empírica</w:t>
      </w:r>
    </w:p>
    <w:p>
      <w:pPr>
        <w:numPr>
          <w:ilvl w:val="0"/>
          <w:numId w:val="1052"/>
        </w:numPr>
      </w:pPr>
      <w:r>
        <w:t xml:space="preserve">Fue el primer sistema completo estimado con datos reales:</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rechaza la aditividad que impone.</w:t>
      </w:r>
    </w:p>
    <w:bookmarkEnd w:id="84"/>
    <w:bookmarkStart w:id="85" w:name="e-valoración-2"/>
    <w:p>
      <w:pPr>
        <w:pStyle w:val="Heading5"/>
      </w:pPr>
      <w:r>
        <w:t xml:space="preserve">e) Valoración</w:t>
      </w:r>
    </w:p>
    <w:p>
      <w:pPr>
        <w:numPr>
          <w:ilvl w:val="0"/>
          <w:numId w:val="1053"/>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85"/>
    <w:bookmarkEnd w:id="86"/>
    <w:bookmarkStart w:id="91" w:name="modelo-de-rotterdam"/>
    <w:p>
      <w:pPr>
        <w:pStyle w:val="Heading4"/>
      </w:pPr>
      <w:r>
        <w:t xml:space="preserve">Modelo de Rotterdam</w:t>
      </w:r>
    </w:p>
    <w:bookmarkStart w:id="87" w:name="a-idea-3"/>
    <w:p>
      <w:pPr>
        <w:pStyle w:val="Heading5"/>
      </w:pPr>
      <w:r>
        <w:t xml:space="preserve">a) Idea</w:t>
      </w:r>
    </w:p>
    <w:p>
      <w:pPr>
        <w:numPr>
          <w:ilvl w:val="0"/>
          <w:numId w:val="1054"/>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87"/>
    <w:bookmarkStart w:id="88" w:name="b-modelo-3"/>
    <w:p>
      <w:pPr>
        <w:pStyle w:val="Heading5"/>
      </w:pPr>
      <w:r>
        <w:t xml:space="preserve">b) Modelo</w:t>
      </w:r>
    </w:p>
    <w:p>
      <w:pPr>
        <w:numPr>
          <w:ilvl w:val="0"/>
          <w:numId w:val="1055"/>
        </w:numPr>
      </w:pPr>
      <w:r>
        <w:rPr>
          <w:b/>
          <w:bCs/>
          <w:i/>
          <w:iCs/>
        </w:rPr>
        <w:t xml:space="preserve">i) Supuestos</w:t>
      </w:r>
      <w:r>
        <w:t xml:space="preserve">: la ecuación de</w:t>
      </w:r>
      <w:r>
        <w:t xml:space="preserve"> </w:t>
      </w:r>
      <w:r>
        <w:rPr>
          <w:smallCaps/>
        </w:rPr>
        <w:t xml:space="preserve">Slutsky</w:t>
      </w:r>
      <w:r>
        <w:t xml:space="preserve"> </w:t>
      </w:r>
      <w:r>
        <w:t xml:space="preserve">en diferencias logarítmicas, con coeficientes constantes.</w:t>
      </w:r>
    </w:p>
    <w:p>
      <w:pPr>
        <w:numPr>
          <w:ilvl w:val="0"/>
          <w:numId w:val="1055"/>
        </w:numPr>
      </w:pPr>
      <w:r>
        <w:rPr>
          <w:b/>
          <w:bCs/>
          <w:i/>
          <w:iCs/>
        </w:rPr>
        <w:t xml:space="preserve">ii) Desarrollo</w:t>
      </w:r>
      <w:r>
        <w:t xml:space="preserve">:</w:t>
      </w:r>
    </w:p>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numPr>
          <w:ilvl w:val="0"/>
          <w:numId w:val="1055"/>
        </w:numPr>
      </w:pPr>
      <w:r>
        <w:rPr>
          <w:b/>
          <w:bCs/>
          <w:i/>
          <w:iCs/>
        </w:rPr>
        <w:t xml:space="preserve">iii) Implicaciones</w:t>
      </w:r>
      <w:r>
        <w:t xml:space="preserve">: 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88"/>
    <w:bookmarkStart w:id="89" w:name="d-evidencia-empírica-1"/>
    <w:p>
      <w:pPr>
        <w:pStyle w:val="Heading5"/>
      </w:pPr>
      <w:r>
        <w:t xml:space="preserve">d) Evidencia empírica</w:t>
      </w:r>
    </w:p>
    <w:p>
      <w:pPr>
        <w:numPr>
          <w:ilvl w:val="0"/>
          <w:numId w:val="1056"/>
        </w:numPr>
      </w:pP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datos de los Países Bajos, rechaza con frecuencia la homogeneidad.</w:t>
      </w:r>
    </w:p>
    <w:bookmarkEnd w:id="89"/>
    <w:bookmarkStart w:id="90" w:name="e-valoración-3"/>
    <w:p>
      <w:pPr>
        <w:pStyle w:val="Heading5"/>
      </w:pPr>
      <w:r>
        <w:t xml:space="preserve">e) Valoración</w:t>
      </w:r>
    </w:p>
    <w:p>
      <w:pPr>
        <w:numPr>
          <w:ilvl w:val="0"/>
          <w:numId w:val="1057"/>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90"/>
    <w:bookmarkEnd w:id="91"/>
    <w:bookmarkStart w:id="96" w:name="translog"/>
    <w:p>
      <w:pPr>
        <w:pStyle w:val="Heading4"/>
      </w:pPr>
      <w:r>
        <w:t xml:space="preserve">Translog</w:t>
      </w:r>
    </w:p>
    <w:bookmarkStart w:id="92" w:name="a-idea-4"/>
    <w:p>
      <w:pPr>
        <w:pStyle w:val="Heading5"/>
      </w:pPr>
      <w:r>
        <w:t xml:space="preserve">a) Idea</w:t>
      </w:r>
    </w:p>
    <w:p>
      <w:pPr>
        <w:numPr>
          <w:ilvl w:val="0"/>
          <w:numId w:val="1058"/>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92"/>
    <w:bookmarkStart w:id="93" w:name="b-modelo-4"/>
    <w:p>
      <w:pPr>
        <w:pStyle w:val="Heading5"/>
      </w:pPr>
      <w:r>
        <w:t xml:space="preserve">b) Modelo</w:t>
      </w:r>
    </w:p>
    <w:p>
      <w:pPr>
        <w:numPr>
          <w:ilvl w:val="0"/>
          <w:numId w:val="1059"/>
        </w:numPr>
      </w:pPr>
      <w:r>
        <w:rPr>
          <w:b/>
          <w:bCs/>
          <w:i/>
          <w:iCs/>
        </w:rPr>
        <w:t xml:space="preserve">i) Supuestos</w:t>
      </w:r>
      <w:r>
        <w:t xml:space="preserve">: se especifica la FIU (versión</w:t>
      </w:r>
      <w:r>
        <w:t xml:space="preserve"> </w:t>
      </w:r>
      <w:r>
        <w:rPr>
          <w:i/>
          <w:iCs/>
        </w:rPr>
        <w:t xml:space="preserve">indirecta</w:t>
      </w:r>
      <w:r>
        <w:t xml:space="preserve">),</w:t>
      </w:r>
    </w:p>
    <w:p>
      <w:pPr>
        <w:pStyle w:val="BodyText"/>
        <w:keepN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numPr>
          <w:ilvl w:val="0"/>
          <w:numId w:val="1059"/>
        </w:numPr>
      </w:pPr>
      <w:r>
        <w:rPr>
          <w:b/>
          <w:bCs/>
          <w:i/>
          <w:iCs/>
        </w:rPr>
        <w:t xml:space="preserve">ii) Desarrollo</w:t>
      </w:r>
      <w:r>
        <w:t xml:space="preserve">: 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p>
    <w:p>
      <w:pPr>
        <w:pStyle w:val="BodyText"/>
        <w:keepN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numPr>
          <w:ilvl w:val="0"/>
          <w:numId w:val="1059"/>
        </w:numPr>
      </w:pPr>
      <w:r>
        <w:rPr>
          <w:b/>
          <w:bCs/>
          <w:i/>
          <w:iCs/>
        </w:rPr>
        <w:t xml:space="preserve">iii) Implicaciones</w:t>
      </w:r>
      <w:r>
        <w:t xml:space="preserve">: 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93"/>
    <w:bookmarkStart w:id="94" w:name="d-evidencia-empírica-2"/>
    <w:p>
      <w:pPr>
        <w:pStyle w:val="Heading5"/>
      </w:pPr>
      <w:r>
        <w:t xml:space="preserve">d) Evidencia empírica</w:t>
      </w:r>
    </w:p>
    <w:p>
      <w:pPr>
        <w:numPr>
          <w:ilvl w:val="0"/>
          <w:numId w:val="1060"/>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94"/>
    <w:bookmarkStart w:id="95" w:name="e-valoración-4"/>
    <w:p>
      <w:pPr>
        <w:pStyle w:val="Heading5"/>
      </w:pPr>
      <w:r>
        <w:t xml:space="preserve">e) Valoración</w:t>
      </w:r>
    </w:p>
    <w:p>
      <w:pPr>
        <w:numPr>
          <w:ilvl w:val="0"/>
          <w:numId w:val="1061"/>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95"/>
    <w:bookmarkEnd w:id="96"/>
    <w:bookmarkStart w:id="102" w:name="sistema-casi-ideal-de-demanda-aids"/>
    <w:p>
      <w:pPr>
        <w:pStyle w:val="Heading4"/>
      </w:pPr>
      <w:r>
        <w:t xml:space="preserve">Sistema casi ideal de demanda (AIDS)</w:t>
      </w:r>
    </w:p>
    <w:bookmarkStart w:id="97" w:name="a-idea-5"/>
    <w:p>
      <w:pPr>
        <w:pStyle w:val="Heading5"/>
      </w:pPr>
      <w:r>
        <w:t xml:space="preserve">a) Idea</w:t>
      </w:r>
    </w:p>
    <w:p>
      <w:pPr>
        <w:numPr>
          <w:ilvl w:val="0"/>
          <w:numId w:val="1062"/>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w:t>
      </w:r>
    </w:p>
    <w:bookmarkEnd w:id="97"/>
    <w:bookmarkStart w:id="98" w:name="b-modelo-5"/>
    <w:p>
      <w:pPr>
        <w:pStyle w:val="Heading5"/>
      </w:pPr>
      <w:r>
        <w:t xml:space="preserve">b) Modelo</w:t>
      </w:r>
    </w:p>
    <w:p>
      <w:pPr>
        <w:numPr>
          <w:ilvl w:val="0"/>
          <w:numId w:val="1063"/>
        </w:numPr>
      </w:pPr>
      <w:r>
        <w:rPr>
          <w:b/>
          <w:bCs/>
          <w:i/>
          <w:iCs/>
        </w:rPr>
        <w:t xml:space="preserve">i) Supuestos</w:t>
      </w:r>
      <w:r>
        <w:t xml:space="preserve">: 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identificó como compatible con la agregación</w:t>
      </w:r>
      <w:r>
        <w:t xml:space="preserve"> </w:t>
      </w:r>
      <w:r>
        <w:rPr>
          <w:rStyle w:val="Referenciaatema"/>
        </w:rPr>
        <w:t xml:space="preserve">[ver tema 3.A.8]</w:t>
      </w:r>
      <w:r>
        <w:t xml:space="preserve">:</w:t>
      </w:r>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numPr>
          <w:ilvl w:val="0"/>
          <w:numId w:val="1063"/>
        </w:numPr>
      </w:pPr>
      <w:r>
        <w:rPr>
          <w:b/>
          <w:bCs/>
          <w:i/>
          <w:iCs/>
        </w:rPr>
        <w:t xml:space="preserve">ii) Desarrollo</w:t>
      </w:r>
      <w:r>
        <w:t xml:space="preserve">: 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keepNext/>
        <w:numPr>
          <w:ilvl w:val="0"/>
          <w:numId w:val="1063"/>
        </w:numPr>
      </w:pPr>
      <w:r>
        <w:rPr>
          <w:b/>
          <w:bCs/>
          <w:i/>
          <w:iCs/>
        </w:rPr>
        <w:t xml:space="preserve">iii) Implicaciones</w:t>
      </w:r>
      <w:r>
        <w:t xml:space="preserve">:</w:t>
      </w:r>
    </w:p>
    <w:p>
      <w:pPr>
        <w:numPr>
          <w:ilvl w:val="1"/>
          <w:numId w:val="1064"/>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1"/>
          <w:numId w:val="1064"/>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1"/>
          <w:numId w:val="1064"/>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1"/>
          <w:numId w:val="1000"/>
        </w:numPr>
      </w:pPr>
      <w:r>
        <w:t xml:space="preserve">la última por la ecuación de</w:t>
      </w:r>
      <w:r>
        <w:t xml:space="preserve"> </w:t>
      </w:r>
      <w:r>
        <w:rPr>
          <w:smallCaps/>
        </w:rPr>
        <w:t xml:space="preserve">Slutsky</w:t>
      </w:r>
      <w:r>
        <w:t xml:space="preserve"> </w:t>
      </w:r>
      <w:r>
        <w:t xml:space="preserve">en elasticidades (III.2);</w:t>
      </w:r>
    </w:p>
    <w:p>
      <w:pPr>
        <w:numPr>
          <w:ilvl w:val="1"/>
          <w:numId w:val="1064"/>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98"/>
    <w:bookmarkStart w:id="99" w:name="c-extensiones"/>
    <w:p>
      <w:pPr>
        <w:pStyle w:val="Heading5"/>
      </w:pPr>
      <w:r>
        <w:t xml:space="preserve">c) Extensiones</w:t>
      </w:r>
    </w:p>
    <w:p>
      <w:pPr>
        <w:numPr>
          <w:ilvl w:val="0"/>
          <w:numId w:val="1065"/>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99"/>
    <w:bookmarkStart w:id="100" w:name="d-evidencia-empírica-3"/>
    <w:p>
      <w:pPr>
        <w:pStyle w:val="Heading5"/>
      </w:pPr>
      <w:r>
        <w:t xml:space="preserve">d) Evidencia empírica</w:t>
      </w:r>
    </w:p>
    <w:p>
      <w:pPr>
        <w:numPr>
          <w:ilvl w:val="0"/>
          <w:numId w:val="1066"/>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00"/>
    <w:bookmarkStart w:id="101" w:name="e-valoración-5"/>
    <w:p>
      <w:pPr>
        <w:pStyle w:val="Heading5"/>
      </w:pPr>
      <w:r>
        <w:t xml:space="preserve">e) Valoración</w:t>
      </w:r>
    </w:p>
    <w:p>
      <w:pPr>
        <w:numPr>
          <w:ilvl w:val="0"/>
          <w:numId w:val="1067"/>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01"/>
    <w:bookmarkEnd w:id="102"/>
    <w:bookmarkStart w:id="107" w:name="aids-cuadrático-quaids"/>
    <w:p>
      <w:pPr>
        <w:pStyle w:val="Heading4"/>
      </w:pPr>
      <w:r>
        <w:t xml:space="preserve">AIDS cuadrático (QUAIDS)</w:t>
      </w:r>
    </w:p>
    <w:bookmarkStart w:id="103" w:name="a-idea-6"/>
    <w:p>
      <w:pPr>
        <w:pStyle w:val="Heading5"/>
      </w:pPr>
      <w:r>
        <w:t xml:space="preserve">a) Idea</w:t>
      </w:r>
    </w:p>
    <w:p>
      <w:pPr>
        <w:numPr>
          <w:ilvl w:val="0"/>
          <w:numId w:val="1068"/>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103"/>
    <w:bookmarkStart w:id="104" w:name="b-modelo-6"/>
    <w:p>
      <w:pPr>
        <w:pStyle w:val="Heading5"/>
      </w:pPr>
      <w:r>
        <w:t xml:space="preserve">b) Modelo</w:t>
      </w:r>
    </w:p>
    <w:p>
      <w:pPr>
        <w:numPr>
          <w:ilvl w:val="0"/>
          <w:numId w:val="1069"/>
        </w:numPr>
      </w:pPr>
      <w:r>
        <w:t xml:space="preserve">Se añade al AIDS un término cuadrático en el logaritmo del gasto:</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04"/>
    <w:bookmarkStart w:id="106" w:name="e-valoración-6"/>
    <w:p>
      <w:pPr>
        <w:pStyle w:val="Heading5"/>
      </w:pPr>
      <w:r>
        <w:t xml:space="preserve">e) Valoración</w:t>
      </w:r>
    </w:p>
    <w:p>
      <w:pPr>
        <w:numPr>
          <w:ilvl w:val="0"/>
          <w:numId w:val="1070"/>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05" w:name="tab: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05"/>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BanksBlundellLewbel1997Quadratic">
        <w:r>
          <w:rPr>
            <w:rStyle w:val="Hyperlink"/>
            <w:i/>
            <w:iCs/>
          </w:rPr>
          <w:t xml:space="preserve">1997</w:t>
        </w:r>
      </w:hyperlink>
      <w:r>
        <w:rPr>
          <w:i/>
          <w:iCs/>
        </w:rPr>
        <w:t xml:space="preserve">)</w:t>
      </w:r>
      <w:r>
        <w:rPr>
          <w:i/>
          <w:iCs/>
        </w:rPr>
        <w:t xml:space="preserve">.</w:t>
      </w:r>
    </w:p>
    <w:bookmarkEnd w:id="106"/>
    <w:bookmarkEnd w:id="107"/>
    <w:bookmarkEnd w:id="108"/>
    <w:bookmarkStart w:id="109" w:name="Xc15a10e5baf44120a54f7c8ffd6de9c6f6aca53"/>
    <w:p>
      <w:pPr>
        <w:pStyle w:val="Heading3"/>
      </w:pPr>
      <w:r>
        <w:t xml:space="preserve">II.2.2.</w:t>
      </w:r>
      <w:r>
        <w:t xml:space="preserve"> </w:t>
      </w:r>
      <w:r>
        <w:t xml:space="preserve">Elaboración de un sistema de ecuaciones completo o exhaustivo</w:t>
      </w:r>
    </w:p>
    <w:p>
      <w:pPr>
        <w:numPr>
          <w:ilvl w:val="0"/>
          <w:numId w:val="1071"/>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1"/>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w:t>
      </w:r>
    </w:p>
    <w:p>
      <w:pPr>
        <w:numPr>
          <w:ilvl w:val="1"/>
          <w:numId w:val="1072"/>
        </w:numPr>
      </w:pPr>
      <w:r>
        <w:rPr>
          <w:i/>
          <w:iCs/>
        </w:rPr>
        <w:t xml:space="preserve">separabilidad débil</w:t>
      </w:r>
      <w:r>
        <w:t xml:space="preserve">: la RMS entre dos bienes de un grupo no depende de las cantidades de los bienes de otros grupos;</w:t>
      </w:r>
    </w:p>
    <w:p>
      <w:pPr>
        <w:numPr>
          <w:ilvl w:val="1"/>
          <w:numId w:val="1072"/>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72"/>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1"/>
        </w:numPr>
      </w:pPr>
      <w:r>
        <w:t xml:space="preserve">El nivel de agregación es otro compromiso: con muchas partidas se captan mejor las relaciones de sustitución, pero la estimación se complica; con pocas, al revés.</w:t>
      </w:r>
    </w:p>
    <w:bookmarkEnd w:id="109"/>
    <w:bookmarkStart w:id="110" w:name="muestra-de-datos"/>
    <w:p>
      <w:pPr>
        <w:pStyle w:val="Heading3"/>
      </w:pPr>
      <w:r>
        <w:t xml:space="preserve">II.2.3.</w:t>
      </w:r>
      <w:r>
        <w:t xml:space="preserve"> </w:t>
      </w:r>
      <w:r>
        <w:t xml:space="preserve">Muestra de datos</w:t>
      </w:r>
    </w:p>
    <w:p>
      <w:pPr>
        <w:numPr>
          <w:ilvl w:val="0"/>
          <w:numId w:val="1073"/>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3"/>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3"/>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Deaton1997Analysis">
        <w:r>
          <w:rPr>
            <w:rStyle w:val="Hyperlink"/>
          </w:rPr>
          <w:t xml:space="preserve">1997</w:t>
        </w:r>
      </w:hyperlink>
      <w:r>
        <w:t xml:space="preserve">)</w:t>
      </w:r>
      <w:r>
        <w:t xml:space="preserve"> </w:t>
      </w:r>
      <w:r>
        <w:t xml:space="preserve">para las encuestas de los países en desarrollo.</w:t>
      </w:r>
    </w:p>
    <w:bookmarkEnd w:id="110"/>
    <w:bookmarkStart w:id="111" w:name="X11e43f01e28c2a8cc16a0dac0d333b258c2b647"/>
    <w:p>
      <w:pPr>
        <w:pStyle w:val="Heading3"/>
      </w:pPr>
      <w:r>
        <w:t xml:space="preserve">II.2.4.</w:t>
      </w:r>
      <w:r>
        <w:t xml:space="preserve"> </w:t>
      </w:r>
      <w:r>
        <w:t xml:space="preserve">Especificación econométrica del sistema de demanda</w:t>
      </w:r>
    </w:p>
    <w:p>
      <w:pPr>
        <w:numPr>
          <w:ilvl w:val="0"/>
          <w:numId w:val="1074"/>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74"/>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11"/>
    <w:bookmarkStart w:id="112" w:name="resultados-de-las-estimaciones"/>
    <w:p>
      <w:pPr>
        <w:pStyle w:val="Heading3"/>
      </w:pPr>
      <w:r>
        <w:t xml:space="preserve">II.2.5.</w:t>
      </w:r>
      <w:r>
        <w:t xml:space="preserve"> </w:t>
      </w:r>
      <w:r>
        <w:t xml:space="preserve">Resultados de las estimaciones</w:t>
      </w:r>
    </w:p>
    <w:p>
      <w:pPr>
        <w:numPr>
          <w:ilvl w:val="0"/>
          <w:numId w:val="1075"/>
        </w:numPr>
      </w:pPr>
      <w:r>
        <w:t xml:space="preserve">Se obtienen los parámetros y, con ellos, las</w:t>
      </w:r>
      <w:r>
        <w:t xml:space="preserve"> </w:t>
      </w:r>
      <w:r>
        <w:rPr>
          <w:b/>
          <w:bCs/>
        </w:rPr>
        <w:t xml:space="preserve">elasticidades</w:t>
      </w:r>
      <w:r>
        <w:t xml:space="preserve"> </w:t>
      </w:r>
      <w:r>
        <w:t xml:space="preserve">(ecuación (23)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III.1.</w:t>
      </w:r>
    </w:p>
    <w:p>
      <w:pPr>
        <w:keepNext/>
        <w:numPr>
          <w:ilvl w:val="0"/>
          <w:numId w:val="1075"/>
        </w:numPr>
      </w:pPr>
      <w:r>
        <w:t xml:space="preserve">La historia de estos contrastes resume la evolución del campo</w:t>
      </w:r>
      <w:r>
        <w:t xml:space="preserve"> </w:t>
      </w:r>
      <w:r>
        <w:t xml:space="preserve">(</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76"/>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su propio AIDS;</w:t>
      </w:r>
    </w:p>
    <w:p>
      <w:pPr>
        <w:numPr>
          <w:ilvl w:val="1"/>
          <w:numId w:val="1076"/>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76"/>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X654402c942ad9bea1ef2f416051d143dc9e9a07">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r>
        <w:rPr>
          <w:rStyle w:val="Referenciaatema"/>
        </w:rPr>
        <w:t xml:space="preserve">[ver tema 3.A.8]</w:t>
      </w:r>
      <w:r>
        <w:t xml:space="preserve">.</w:t>
      </w:r>
    </w:p>
    <w:p>
      <w:pPr>
        <w:numPr>
          <w:ilvl w:val="0"/>
          <w:numId w:val="1075"/>
        </w:numPr>
      </w:pPr>
      <w:r>
        <w:rPr>
          <w:b/>
          <w:bCs/>
        </w:rPr>
        <w:t xml:space="preserve">Usos</w:t>
      </w:r>
      <w:r>
        <w:t xml:space="preserve">: la imposición indirecta óptima y la reforma del IVA, que requieren elasticidades compensadas cruzadas</w:t>
      </w:r>
      <w:r>
        <w:t xml:space="preserve"> </w:t>
      </w:r>
      <w:r>
        <w:rPr>
          <w:rStyle w:val="Referenciaatema"/>
        </w:rPr>
        <w:t xml:space="preserve">[ver tema 4.B.11]</w:t>
      </w:r>
      <w:r>
        <w:t xml:space="preserve">; la incidencia distributiva de los cambios de precios por tramos de renta; los índices de coste de la vida para cada tipo de hogar (III.3),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75"/>
        </w:numPr>
      </w:pPr>
      <w:r>
        <w:t xml:space="preserve">Las empresas, en cambio, cuando necesitan conocer la demanda de sus productos, recurren a encuestas o a experimentos de precios (por ejemplo, rebajar el precio y observar cómo responde la demanda).</w:t>
      </w:r>
    </w:p>
    <w:bookmarkEnd w:id="112"/>
    <w:bookmarkEnd w:id="113"/>
    <w:bookmarkStart w:id="114" w:name="valoración"/>
    <w:p>
      <w:pPr>
        <w:pStyle w:val="Heading2"/>
      </w:pPr>
      <w:r>
        <w:t xml:space="preserve">II.3.</w:t>
      </w:r>
      <w:r>
        <w:t xml:space="preserve"> </w:t>
      </w:r>
      <w:r>
        <w:t xml:space="preserve">Valoración</w:t>
      </w:r>
    </w:p>
    <w:p>
      <w:pPr>
        <w:keepNext/>
        <w:numPr>
          <w:ilvl w:val="0"/>
          <w:numId w:val="1077"/>
        </w:numPr>
      </w:pPr>
      <w:r>
        <w:rPr>
          <w:b/>
          <w:bCs/>
        </w:rPr>
        <w:t xml:space="preserve">Aportaciones</w:t>
      </w:r>
      <w:r>
        <w:t xml:space="preserve">:</w:t>
      </w:r>
    </w:p>
    <w:p>
      <w:pPr>
        <w:numPr>
          <w:ilvl w:val="1"/>
          <w:numId w:val="1078"/>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78"/>
        </w:numPr>
      </w:pPr>
      <w:r>
        <w:t xml:space="preserve">las restricciones de la teoría pasan a ser hipótesis contrastables;</w:t>
      </w:r>
    </w:p>
    <w:p>
      <w:pPr>
        <w:numPr>
          <w:ilvl w:val="1"/>
          <w:numId w:val="1078"/>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keepNext/>
        <w:numPr>
          <w:ilvl w:val="0"/>
          <w:numId w:val="1077"/>
        </w:numPr>
      </w:pPr>
      <w:r>
        <w:rPr>
          <w:b/>
          <w:bCs/>
        </w:rPr>
        <w:t xml:space="preserve">Limitaciones</w:t>
      </w:r>
      <w:r>
        <w:t xml:space="preserve">:</w:t>
      </w:r>
    </w:p>
    <w:p>
      <w:pPr>
        <w:numPr>
          <w:ilvl w:val="1"/>
          <w:numId w:val="1079"/>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79"/>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r>
        <w:rPr>
          <w:rStyle w:val="Referenciaatema"/>
        </w:rPr>
        <w:t xml:space="preserve">[ver tema 3.A.8]</w:t>
      </w:r>
      <w:r>
        <w:t xml:space="preserve">; de ahí el uso creciente de microdatos;</w:t>
      </w:r>
    </w:p>
    <w:p>
      <w:pPr>
        <w:numPr>
          <w:ilvl w:val="1"/>
          <w:numId w:val="1079"/>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r>
        <w:rPr>
          <w:rStyle w:val="Referenciaatema"/>
        </w:rPr>
        <w:t xml:space="preserve">[ver tema 3.A.33]</w:t>
      </w:r>
      <w:r>
        <w:t xml:space="preserve">, y el rechazo de la homogeneidad y la simetría puede deberse a ello más que a la irracionalidad de los consumidores.</w:t>
      </w:r>
    </w:p>
    <w:p>
      <w:pPr>
        <w:numPr>
          <w:ilvl w:val="0"/>
          <w:numId w:val="1077"/>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77"/>
        </w:numPr>
      </w:pPr>
      <w:r>
        <w:rPr>
          <w:b/>
          <w:bCs/>
        </w:rPr>
        <w:t xml:space="preserve">Recapitulación y enlace</w:t>
      </w:r>
      <w:r>
        <w:t xml:space="preserve">: estimar un sistema de demandas no garantiza que proceda de unas preferencias. Saber cuándo lo hace es la primera aplicación de la dualidad: la integrabilidad.</w:t>
      </w:r>
    </w:p>
    <w:bookmarkEnd w:id="114"/>
    <w:bookmarkEnd w:id="115"/>
    <w:bookmarkStart w:id="166" w:name="aplicaciones-de-la-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9), la variación del excedente (gráfico 10), la VC (gráfico 11) y la VE (gráfico 12), y al final el que los reúne (gráfico 13);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14). Las tablas de clasificación se cantan por categorías, sin leerlas. La recuperación de la utilidad a partir de la FIU (gráfico 8),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D), la aproximación de</w:t>
      </w:r>
      <w:r>
        <w:t xml:space="preserve"> </w:t>
      </w:r>
      <w:r>
        <w:rPr>
          <w:smallCaps/>
        </w:rPr>
        <w:t xml:space="preserve">Willig</w:t>
      </w:r>
      <w:r>
        <w:t xml:space="preserve"> </w:t>
      </w:r>
      <w:r>
        <w:t xml:space="preserve">(anexo E) y las cajas del IPC y del deflactor son de profundización.</w:t>
      </w:r>
    </w:p>
    <w:p>
      <w:pPr>
        <w:numPr>
          <w:ilvl w:val="0"/>
          <w:numId w:val="1080"/>
        </w:numPr>
      </w:pPr>
      <w:r>
        <w:t xml:space="preserve">Este bloque responde a la tercera y la cuarta preguntas. Su conclusión anticipada: conocidas las herramientas, la dualidad tiene una aplicación teórica, la</w:t>
      </w:r>
      <w:r>
        <w:t xml:space="preserve"> </w:t>
      </w:r>
      <w:r>
        <w:rPr>
          <w:i/>
          <w:iCs/>
        </w:rPr>
        <w:t xml:space="preserve">integrabilidad</w:t>
      </w:r>
      <w:r>
        <w:t xml:space="preserve">, que recorre el esquema de dualidad al revés, de la demanda a las preferencias (III.1), y dos prácticas: la ecuación de</w:t>
      </w:r>
      <w:r>
        <w:t xml:space="preserve"> </w:t>
      </w:r>
      <w:r>
        <w:rPr>
          <w:smallCaps/>
        </w:rPr>
        <w:t xml:space="preserve">Slutsky</w:t>
      </w:r>
      <w:r>
        <w:t xml:space="preserve">, que se demuestra en dos líneas y separa lo observable de lo que no lo es (III.2), y la medida de los cambios en el bienestar, que usa la función de gasto para expresar la utilidad en unidades monetarias (III.3).</w:t>
      </w:r>
    </w:p>
    <w:bookmarkStart w:id="122" w:name="X588f5c22433f4d1e4de6b22a1afee4f3ce1cc2d"/>
    <w:p>
      <w:pPr>
        <w:pStyle w:val="Heading2"/>
      </w:pPr>
      <w:r>
        <w:t xml:space="preserve">III.1.</w:t>
      </w:r>
      <w:r>
        <w:t xml:space="preserve"> </w:t>
      </w:r>
      <w:r>
        <w:t xml:space="preserve">El problema de la integrabilidad de las preferencias</w:t>
      </w:r>
    </w:p>
    <w:p>
      <w:pPr>
        <w:numPr>
          <w:ilvl w:val="0"/>
          <w:numId w:val="1081"/>
        </w:numPr>
      </w:pPr>
      <w:r>
        <w:rPr>
          <w:i/>
          <w:iCs/>
        </w:rPr>
        <w:t xml:space="preserve">Pregunta</w:t>
      </w:r>
      <w:r>
        <w:t xml:space="preserve">: la parte inobservable de la teoría son las preferencias. Dado un sistema de demandas marshallianas observado (por ejemplo, estimado como en el apartado II),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w:t>
      </w:r>
    </w:p>
    <w:p>
      <w:pPr>
        <w:keepNext/>
        <w:numPr>
          <w:ilvl w:val="0"/>
          <w:numId w:val="1081"/>
        </w:numPr>
      </w:pPr>
      <w:r>
        <w:rPr>
          <w:b/>
          <w:bCs/>
        </w:rPr>
        <w:t xml:space="preserve">Teorema de integrabilidad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82"/>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82"/>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82"/>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I.2 y III.2).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16"/>
      </w:r>
    </w:p>
    <w:p>
      <w:pPr>
        <w:keepNext/>
        <w:numPr>
          <w:ilvl w:val="0"/>
          <w:numId w:val="1081"/>
        </w:numPr>
      </w:pPr>
      <w:r>
        <w:rPr>
          <w:b/>
          <w:b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Es una buena muestra de la potencia de la dualidad:</w:t>
      </w:r>
    </w:p>
    <w:p>
      <w:pPr>
        <w:numPr>
          <w:ilvl w:val="1"/>
          <w:numId w:val="1083"/>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(14)), la función de gasto desconocida debe cumplir el sistema de ecuaciones en derivadas parciales</w:t>
      </w:r>
      <w:r>
        <w:rPr>
          <w:rStyle w:val="FootnoteReference"/>
        </w:rPr>
        <w:footnoteReference w:id="117"/>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(26)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83"/>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83"/>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(15)),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8).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21" w:name="fig: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19" name="Picture"/>
            <a:graphic>
              <a:graphicData uri="http://schemas.openxmlformats.org/drawingml/2006/picture">
                <pic:pic>
                  <pic:nvPicPr>
                    <pic:cNvPr descr="C:\Users\vgutierrez\Documents\src\victorgutierrezmarcos.github.io-revision\oposicion\temario\fuentes\3A09\graficos/recuperar-utilidad.png" id="120" name="Picture"/>
                    <pic:cNvPicPr>
                      <a:picLocks noChangeArrowheads="1" noChangeAspect="1"/>
                    </pic:cNvPicPr>
                  </pic:nvPicPr>
                  <pic:blipFill>
                    <a:blip r:embed="rId118"/>
                    <a:stretch>
                      <a:fillRect/>
                    </a:stretch>
                  </pic:blipFill>
                  <pic:spPr bwMode="auto">
                    <a:xfrm>
                      <a:off x="0" y="0"/>
                      <a:ext cx="3211103" cy="2538301"/>
                    </a:xfrm>
                    <a:prstGeom prst="rect">
                      <a:avLst/>
                    </a:prstGeom>
                    <a:noFill/>
                    <a:ln w="9525">
                      <a:noFill/>
                      <a:headEnd/>
                      <a:tailEnd/>
                    </a:ln>
                  </pic:spPr>
                </pic:pic>
              </a:graphicData>
            </a:graphic>
          </wp:inline>
        </w:drawing>
      </w:r>
    </w:p>
    <w:bookmarkEnd w:id="121"/>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3.H</w:t>
        </w:r>
      </w:hyperlink>
      <w:r>
        <w:t xml:space="preserve">)</w:t>
      </w:r>
      <w:r>
        <w:t xml:space="preserve">.</w:t>
      </w:r>
    </w:p>
    <w:p>
      <w:pPr>
        <w:numPr>
          <w:ilvl w:val="0"/>
          <w:numId w:val="1084"/>
        </w:numPr>
      </w:pPr>
      <w:r>
        <w:t xml:space="preserve">La integrabilidad tiene una versión sin derivadas: la de la</w:t>
      </w:r>
      <w:r>
        <w:t xml:space="preserve"> </w:t>
      </w:r>
      <w:r>
        <w:rPr>
          <w:b/>
          <w:bCs/>
        </w:rPr>
        <w:t xml:space="preserve">preferencia revelada</w:t>
      </w:r>
      <w:r>
        <w:t xml:space="preserve"> </w:t>
      </w:r>
      <w:r>
        <w:rPr>
          <w:rStyle w:val="Referenciaatema"/>
        </w:rPr>
        <w:t xml:space="preserve">[ver tema 3.A.8]</w:t>
      </w:r>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el contraste.</w:t>
      </w:r>
    </w:p>
    <w:p>
      <w:pPr>
        <w:keepNext/>
        <w:numPr>
          <w:ilvl w:val="0"/>
          <w:numId w:val="1084"/>
        </w:numPr>
      </w:pPr>
      <w:r>
        <w:rPr>
          <w:b/>
          <w:bCs/>
        </w:rPr>
        <w:t xml:space="preserve">Relevancia</w:t>
      </w:r>
      <w:r>
        <w:t xml:space="preserve">:</w:t>
      </w:r>
    </w:p>
    <w:p>
      <w:pPr>
        <w:numPr>
          <w:ilvl w:val="1"/>
          <w:numId w:val="1085"/>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85"/>
        </w:numPr>
      </w:pPr>
      <w:r>
        <w:rPr>
          <w:i/>
          <w:iCs/>
        </w:rPr>
        <w:t xml:space="preserve">empírica</w:t>
      </w:r>
      <w:r>
        <w:t xml:space="preserve">: para saber si unas demandas estimadas son racionales basta contrastar esas propiedades (apartado II.2), sin necesidad de encontrar la función de utilidad, que puede ser muy difícil;</w:t>
      </w:r>
    </w:p>
    <w:p>
      <w:pPr>
        <w:numPr>
          <w:ilvl w:val="1"/>
          <w:numId w:val="1085"/>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(III.3).</w:t>
      </w:r>
    </w:p>
    <w:p>
      <w:pPr>
        <w:numPr>
          <w:ilvl w:val="0"/>
          <w:numId w:val="1084"/>
        </w:numPr>
      </w:pPr>
      <w:r>
        <w:rPr>
          <w:b/>
          <w:b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22"/>
    <w:bookmarkStart w:id="131" w:name="X51732a2724dbde895c7958178f8f73475ab9c69"/>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24" w:name="X9bcd8aeb02ee1e69ed0ec624e926d3665107bc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86"/>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(14))</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86"/>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86"/>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w:p>
    <w:p>
      <w:pPr>
        <w:numPr>
          <w:ilvl w:val="1"/>
          <w:numId w:val="1087"/>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87"/>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23"/>
      </w:r>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87"/>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86"/>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(26), y contrastar sus propiedades.</w:t>
      </w:r>
    </w:p>
    <w:p>
      <w:pPr>
        <w:keepNext/>
        <w:numPr>
          <w:ilvl w:val="0"/>
          <w:numId w:val="1086"/>
        </w:numPr>
      </w:pPr>
      <w:r>
        <w:rPr>
          <w:b/>
          <w:bCs/>
        </w:rPr>
        <w:t xml:space="preserve">Propiedades de la matriz de</w:t>
      </w:r>
      <w:r>
        <w:rPr>
          <w:b/>
          <w:bCs/>
        </w:rPr>
        <w:t xml:space="preserve"> </w:t>
      </w:r>
      <w:r>
        <w:rPr>
          <w:b/>
          <w:bCs/>
          <w:smallCaps/>
        </w:rPr>
        <w:t xml:space="preserve">Slutsky</w:t>
      </w:r>
      <w:r>
        <w:t xml:space="preserve"> </w:t>
      </w:r>
      <w:r>
        <w:t xml:space="preserve">(ecuación (13)):</w:t>
      </w:r>
    </w:p>
    <w:p>
      <w:pPr>
        <w:numPr>
          <w:ilvl w:val="1"/>
          <w:numId w:val="1088"/>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88"/>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88"/>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24"/>
    <w:bookmarkStart w:id="126" w:name="Xef20607d60c8523bacd85388fa3bf7a6d6587c7"/>
    <w:p>
      <w:pPr>
        <w:pStyle w:val="Heading4"/>
      </w:pPr>
      <w:r>
        <w:t xml:space="preserve">Clasificación de los bienes según el precio propio</w:t>
      </w:r>
    </w:p>
    <w:p>
      <w:pPr>
        <w:keepNext/>
        <w:numPr>
          <w:ilvl w:val="0"/>
          <w:numId w:val="1089"/>
        </w:numPr>
      </w:pPr>
      <w:r>
        <w:t xml:space="preserve">Como</w:t>
      </w:r>
      <w:r>
        <w:t xml:space="preserve"> </w:t>
      </w:r>
      <m:oMath>
        <m:sSub>
          <m:e>
            <m:r>
              <m:t>S</m:t>
            </m:r>
          </m:e>
          <m:sub>
            <m:r>
              <m:t>i</m:t>
            </m:r>
            <m:r>
              <m:t>i</m:t>
            </m:r>
          </m:sub>
        </m:sSub>
        <m:r>
          <m:rPr>
            <m:sty m:val="p"/>
          </m:rPr>
          <m:t>≤</m:t>
        </m:r>
        <m:r>
          <m:t>0</m:t>
        </m:r>
      </m:oMath>
      <w:r>
        <w:t xml:space="preserve">, el signo del efecto total depende del efecto renta (tabla 4):</w:t>
      </w:r>
    </w:p>
    <w:p>
      <w:pPr>
        <w:numPr>
          <w:ilvl w:val="1"/>
          <w:numId w:val="1090"/>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0"/>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89"/>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r>
        <w:rPr>
          <w:rStyle w:val="Referenciaatema"/>
        </w:rPr>
        <w:t xml:space="preserve">[ver tema 3.A.8]</w:t>
      </w:r>
      <w:r>
        <w:t xml:space="preserve">.</w:t>
      </w:r>
    </w:p>
    <w:bookmarkStart w:id="125" w:name="tab:slutsky-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25"/>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r>
        <w:rPr>
          <w:rStyle w:val="Referenciaatema"/>
        </w:rPr>
        <w:t xml:space="preserve">[ver tema 3.A.8]</w:t>
      </w:r>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26"/>
    <w:bookmarkStart w:id="128" w:name="X169064eaf6163e9bb6e49759595c02c4aeec0a8"/>
    <w:p>
      <w:pPr>
        <w:pStyle w:val="Heading4"/>
      </w:pPr>
      <w:r>
        <w:t xml:space="preserve">Clasificación de los bienes según los precios cruzados</w:t>
      </w:r>
    </w:p>
    <w:p>
      <w:pPr>
        <w:numPr>
          <w:ilvl w:val="0"/>
          <w:numId w:val="1091"/>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1"/>
        </w:numPr>
      </w:pPr>
      <w:r>
        <w:t xml:space="preserve">No todas las combinaciones son posibles (tabla 5):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27" w:name="tab:slutsky-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27"/>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28"/>
    <w:bookmarkStart w:id="130" w:name="X963b721e859de5ae05bc921dcdf3554cfc912bb"/>
    <w:p>
      <w:pPr>
        <w:pStyle w:val="Heading4"/>
      </w:pPr>
      <w:r>
        <w:t xml:space="preserve">Pendientes de las demandas marshalliana y hicksiana</w:t>
      </w:r>
    </w:p>
    <w:p>
      <w:pPr>
        <w:numPr>
          <w:ilvl w:val="0"/>
          <w:numId w:val="1092"/>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29"/>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r>
        <w:rPr>
          <w:rStyle w:val="Referenciaatema"/>
        </w:rPr>
        <w:t xml:space="preserve">[ver tema 3.A.8]</w:t>
      </w:r>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092"/>
        </w:numPr>
      </w:pPr>
      <w:r>
        <w:rPr>
          <w:b/>
          <w:b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30"/>
    <w:bookmarkEnd w:id="131"/>
    <w:bookmarkStart w:id="165" w:name="X16fbe024173e2295b4adbcb7a3554a81b5ae0e8"/>
    <w:p>
      <w:pPr>
        <w:pStyle w:val="Heading2"/>
      </w:pPr>
      <w:r>
        <w:t xml:space="preserve">III.3.</w:t>
      </w:r>
      <w:r>
        <w:t xml:space="preserve"> </w:t>
      </w:r>
      <w:r>
        <w:t xml:space="preserve">Análisis de bienestar del consumidor individual</w:t>
      </w:r>
    </w:p>
    <w:bookmarkStart w:id="136" w:name="idea-1"/>
    <w:p>
      <w:pPr>
        <w:pStyle w:val="Heading3"/>
      </w:pPr>
      <w:r>
        <w:t xml:space="preserve">III.3.1.</w:t>
      </w:r>
      <w:r>
        <w:t xml:space="preserve"> </w:t>
      </w:r>
      <w:r>
        <w:t xml:space="preserve">Idea</w:t>
      </w:r>
    </w:p>
    <w:p>
      <w:pPr>
        <w:numPr>
          <w:ilvl w:val="0"/>
          <w:numId w:val="1093"/>
        </w:numPr>
      </w:pPr>
      <w:r>
        <w:t xml:space="preserve">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r>
        <w:rPr>
          <w:rStyle w:val="Referenciaatema"/>
        </w:rPr>
        <w:t xml:space="preserve">[ver tema 3.A.16]</w:t>
      </w:r>
      <w:r>
        <w:t xml:space="preserve">, y mucho más limitado que el análisis en equilibrio general, que agrega a todos los agentes</w:t>
      </w:r>
      <w:r>
        <w:t xml:space="preserve"> </w:t>
      </w:r>
      <w:r>
        <w:rPr>
          <w:rStyle w:val="Referenciaatema"/>
        </w:rPr>
        <w:t xml:space="preserve">[ver tema 3.A.22]</w:t>
      </w:r>
      <w:r>
        <w:t xml:space="preserve"> </w:t>
      </w:r>
      <w:r>
        <w:rPr>
          <w:rStyle w:val="Referenciaatema"/>
        </w:rPr>
        <w:t xml:space="preserve">[ver tema 3.A.24]</w:t>
      </w:r>
      <w:r>
        <w:t xml:space="preserve">. La restricción tiene una ventaja: evita las comparaciones de bienestar entre personas, que la naturaleza ordinal de las preferencias complica.</w:t>
      </w:r>
    </w:p>
    <w:p>
      <w:pPr>
        <w:numPr>
          <w:ilvl w:val="0"/>
          <w:numId w:val="1093"/>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093"/>
        </w:numPr>
      </w:pPr>
      <w:r>
        <w:t xml:space="preserve">El</w:t>
      </w:r>
      <w:r>
        <w:t xml:space="preserve"> </w:t>
      </w:r>
      <w:r>
        <w:rPr>
          <w:i/>
          <w:iCs/>
        </w:rPr>
        <w:t xml:space="preserve">problema</w:t>
      </w:r>
      <w:r>
        <w:t xml:space="preserve"> </w:t>
      </w:r>
      <w:r>
        <w:t xml:space="preserve">(gráfico 9):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093"/>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35" w:name="fig:bienestar-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33" name="Picture"/>
            <a:graphic>
              <a:graphicData uri="http://schemas.openxmlformats.org/drawingml/2006/picture">
                <pic:pic>
                  <pic:nvPicPr>
                    <pic:cNvPr descr="C:\Users\vgutierrez\Documents\src\victorgutierrezmarcos.github.io-revision\oposicion\temario\fuentes\3A09\graficos/bienestar-problema.png" id="134" name="Picture"/>
                    <pic:cNvPicPr>
                      <a:picLocks noChangeArrowheads="1" noChangeAspect="1"/>
                    </pic:cNvPicPr>
                  </pic:nvPicPr>
                  <pic:blipFill>
                    <a:blip r:embed="rId132"/>
                    <a:stretch>
                      <a:fillRect/>
                    </a:stretch>
                  </pic:blipFill>
                  <pic:spPr bwMode="auto">
                    <a:xfrm>
                      <a:off x="0" y="0"/>
                      <a:ext cx="2993971" cy="2256947"/>
                    </a:xfrm>
                    <a:prstGeom prst="rect">
                      <a:avLst/>
                    </a:prstGeom>
                    <a:noFill/>
                    <a:ln w="9525">
                      <a:noFill/>
                      <a:headEnd/>
                      <a:tailEnd/>
                    </a:ln>
                  </pic:spPr>
                </pic:pic>
              </a:graphicData>
            </a:graphic>
          </wp:inline>
        </w:drawing>
      </w:r>
    </w:p>
    <w:bookmarkEnd w:id="135"/>
    <w:p>
      <w:pPr>
        <w:pStyle w:val="Piedeimagen"/>
      </w:pPr>
      <w:r>
        <w:t xml:space="preserve">Fuente: elaboración propia.</w:t>
      </w:r>
    </w:p>
    <w:bookmarkEnd w:id="136"/>
    <w:bookmarkStart w:id="164" w:name="Xcfd008ef96d67a8320853afc75a4ad7c3b225d9"/>
    <w:p>
      <w:pPr>
        <w:pStyle w:val="Heading3"/>
      </w:pPr>
      <w:r>
        <w:t xml:space="preserve">III.3.2.</w:t>
      </w:r>
      <w:r>
        <w:t xml:space="preserve"> </w:t>
      </w:r>
      <w:r>
        <w:t xml:space="preserve">Medición de la variación del bienestar del consumidor individual</w:t>
      </w:r>
    </w:p>
    <w:bookmarkStart w:id="141" w:name="X1fc56320b6168869029d8c3fa807cc2401d7198"/>
    <w:p>
      <w:pPr>
        <w:pStyle w:val="Heading4"/>
      </w:pPr>
      <w:r>
        <w:t xml:space="preserve">La variación del excedente del consumidor</w:t>
      </w:r>
    </w:p>
    <w:p>
      <w:pPr>
        <w:keepNext/>
        <w:numPr>
          <w:ilvl w:val="0"/>
          <w:numId w:val="1094"/>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p>
      <w:pPr>
        <w:numPr>
          <w:ilvl w:val="1"/>
          <w:numId w:val="1095"/>
        </w:numPr>
      </w:pPr>
      <w:r>
        <w:t xml:space="preserve">El</w:t>
      </w:r>
      <w:r>
        <w:t xml:space="preserve"> </w:t>
      </w:r>
      <w:r>
        <w:rPr>
          <w:i/>
          <w:i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095"/>
        </w:numPr>
      </w:pPr>
      <w:r>
        <w:t xml:space="preserve">Su</w:t>
      </w:r>
      <w:r>
        <w:t xml:space="preserve"> </w:t>
      </w:r>
      <w:r>
        <w:rPr>
          <w:i/>
          <w:iCs/>
        </w:rPr>
        <w:t xml:space="preserve">variación</w:t>
      </w:r>
      <w:r>
        <w:t xml:space="preserve"> </w:t>
      </w:r>
      <w:r>
        <w:t xml:space="preserve">es el área a la izquierda de la demanda marshalliana entre el precio inicial y el final (gráfico 10):</w:t>
      </w:r>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40" w:name="fig:bienestar-delta-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38" name="Picture"/>
            <a:graphic>
              <a:graphicData uri="http://schemas.openxmlformats.org/drawingml/2006/picture">
                <pic:pic>
                  <pic:nvPicPr>
                    <pic:cNvPr descr="C:\Users\vgutierrez\Documents\src\victorgutierrezmarcos.github.io-revision\oposicion\temario\fuentes\3A09\graficos/bienestar-delta-ec.png" id="139" name="Picture"/>
                    <pic:cNvPicPr>
                      <a:picLocks noChangeArrowheads="1" noChangeAspect="1"/>
                    </pic:cNvPicPr>
                  </pic:nvPicPr>
                  <pic:blipFill>
                    <a:blip r:embed="rId137"/>
                    <a:stretch>
                      <a:fillRect/>
                    </a:stretch>
                  </pic:blipFill>
                  <pic:spPr bwMode="auto">
                    <a:xfrm>
                      <a:off x="0" y="0"/>
                      <a:ext cx="2984500" cy="1670809"/>
                    </a:xfrm>
                    <a:prstGeom prst="rect">
                      <a:avLst/>
                    </a:prstGeom>
                    <a:noFill/>
                    <a:ln w="9525">
                      <a:noFill/>
                      <a:headEnd/>
                      <a:tailEnd/>
                    </a:ln>
                  </pic:spPr>
                </pic:pic>
              </a:graphicData>
            </a:graphic>
          </wp:inline>
        </w:drawing>
      </w:r>
    </w:p>
    <w:bookmarkEnd w:id="14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keepNext/>
        <w:numPr>
          <w:ilvl w:val="0"/>
          <w:numId w:val="1096"/>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097"/>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r>
        <w:rPr>
          <w:rStyle w:val="Referenciaatema"/>
        </w:rPr>
        <w:t xml:space="preserve">[ver tema 3.A.16]</w:t>
      </w:r>
      <w:r>
        <w:t xml:space="preserve">.</w:t>
      </w:r>
    </w:p>
    <w:p>
      <w:pPr>
        <w:numPr>
          <w:ilvl w:val="1"/>
          <w:numId w:val="1097"/>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096"/>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41"/>
    <w:bookmarkStart w:id="155" w:name="Xaf96a4649bd8cbbc83c9509d373be26c7129868"/>
    <w:p>
      <w:pPr>
        <w:pStyle w:val="Heading4"/>
      </w:pPr>
      <w:r>
        <w:t xml:space="preserve">Análisis mediante variaciones: información completa</w:t>
      </w:r>
    </w:p>
    <w:p>
      <w:pPr>
        <w:numPr>
          <w:ilvl w:val="0"/>
          <w:numId w:val="1098"/>
        </w:numPr>
      </w:pPr>
      <w:r>
        <w:t xml:space="preserve">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098"/>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42"/>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099"/>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11),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46" w:name="fig:bienestar-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44" name="Picture"/>
            <a:graphic>
              <a:graphicData uri="http://schemas.openxmlformats.org/drawingml/2006/picture">
                <pic:pic>
                  <pic:nvPicPr>
                    <pic:cNvPr descr="C:\Users\vgutierrez\Documents\src\victorgutierrezmarcos.github.io-revision\oposicion\temario\fuentes\3A09\graficos/bienestar-vc.png" id="145" name="Picture"/>
                    <pic:cNvPicPr>
                      <a:picLocks noChangeArrowheads="1" noChangeAspect="1"/>
                    </pic:cNvPicPr>
                  </pic:nvPicPr>
                  <pic:blipFill>
                    <a:blip r:embed="rId143"/>
                    <a:stretch>
                      <a:fillRect/>
                    </a:stretch>
                  </pic:blipFill>
                  <pic:spPr bwMode="auto">
                    <a:xfrm>
                      <a:off x="0" y="0"/>
                      <a:ext cx="3282950" cy="3862134"/>
                    </a:xfrm>
                    <a:prstGeom prst="rect">
                      <a:avLst/>
                    </a:prstGeom>
                    <a:noFill/>
                    <a:ln w="9525">
                      <a:noFill/>
                      <a:headEnd/>
                      <a:tailEnd/>
                    </a:ln>
                  </pic:spPr>
                </pic:pic>
              </a:graphicData>
            </a:graphic>
          </wp:inline>
        </w:drawing>
      </w:r>
    </w:p>
    <w:bookmarkEnd w:id="14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0"/>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r>
        <w:rPr>
          <w:rStyle w:val="Referenciaatema"/>
        </w:rPr>
        <w:t xml:space="preserve">[ver tema 4.B.6]</w:t>
      </w:r>
      <w:r>
        <w:t xml:space="preserve">.</w:t>
      </w:r>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12),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50" w:name="fig:bienestar-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48" name="Picture"/>
            <a:graphic>
              <a:graphicData uri="http://schemas.openxmlformats.org/drawingml/2006/picture">
                <pic:pic>
                  <pic:nvPicPr>
                    <pic:cNvPr descr="C:\Users\vgutierrez\Documents\src\victorgutierrezmarcos.github.io-revision\oposicion\temario\fuentes\3A09\graficos/bienestar-ve.png" id="149" name="Picture"/>
                    <pic:cNvPicPr>
                      <a:picLocks noChangeArrowheads="1" noChangeAspect="1"/>
                    </pic:cNvPicPr>
                  </pic:nvPicPr>
                  <pic:blipFill>
                    <a:blip r:embed="rId147"/>
                    <a:stretch>
                      <a:fillRect/>
                    </a:stretch>
                  </pic:blipFill>
                  <pic:spPr bwMode="auto">
                    <a:xfrm>
                      <a:off x="0" y="0"/>
                      <a:ext cx="3282950" cy="3865321"/>
                    </a:xfrm>
                    <a:prstGeom prst="rect">
                      <a:avLst/>
                    </a:prstGeom>
                    <a:noFill/>
                    <a:ln w="9525">
                      <a:noFill/>
                      <a:headEnd/>
                      <a:tailEnd/>
                    </a:ln>
                  </pic:spPr>
                </pic:pic>
              </a:graphicData>
            </a:graphic>
          </wp:inline>
        </w:drawing>
      </w:r>
    </w:p>
    <w:bookmarkEnd w:id="1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1"/>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1"/>
        </w:numPr>
      </w:pPr>
      <w:r>
        <w:rPr>
          <w:b/>
          <w:bCs/>
        </w:rPr>
        <w:t xml:space="preserve">Las tres medidas juntas</w:t>
      </w:r>
      <w:r>
        <w:t xml:space="preserve"> </w:t>
      </w:r>
      <w:r>
        <w:t xml:space="preserve">(gráfico 13): para un bien normal, la hicksiana inicial es más inclinada que la marshalliana y la final queda a su derecha, de modo que, ante una bajada del precio,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D.</w:t>
      </w:r>
    </w:p>
    <w:bookmarkStart w:id="154" w:name="fig:bienestar-vc-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152" name="Picture"/>
            <a:graphic>
              <a:graphicData uri="http://schemas.openxmlformats.org/drawingml/2006/picture">
                <pic:pic>
                  <pic:nvPicPr>
                    <pic:cNvPr descr="C:\Users\vgutierrez\Documents\src\victorgutierrezmarcos.github.io-revision\oposicion\temario\fuentes\3A09\graficos/bienestar-vc-ve.png" id="153" name="Picture"/>
                    <pic:cNvPicPr>
                      <a:picLocks noChangeArrowheads="1" noChangeAspect="1"/>
                    </pic:cNvPicPr>
                  </pic:nvPicPr>
                  <pic:blipFill>
                    <a:blip r:embed="rId151"/>
                    <a:stretch>
                      <a:fillRect/>
                    </a:stretch>
                  </pic:blipFill>
                  <pic:spPr bwMode="auto">
                    <a:xfrm>
                      <a:off x="0" y="0"/>
                      <a:ext cx="3700780" cy="4191280"/>
                    </a:xfrm>
                    <a:prstGeom prst="rect">
                      <a:avLst/>
                    </a:prstGeom>
                    <a:noFill/>
                    <a:ln w="9525">
                      <a:noFill/>
                      <a:headEnd/>
                      <a:tailEnd/>
                    </a:ln>
                  </pic:spPr>
                </pic:pic>
              </a:graphicData>
            </a:graphic>
          </wp:inline>
        </w:drawing>
      </w:r>
    </w:p>
    <w:bookmarkEnd w:id="15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2"/>
        </w:numPr>
      </w:pPr>
      <w:r>
        <w:rPr>
          <w:b/>
          <w:bCs/>
        </w:rPr>
        <w:t xml:space="preserve">Aproximación de</w:t>
      </w:r>
      <w:r>
        <w:rPr>
          <w:b/>
          <w:bCs/>
        </w:rPr>
        <w:t xml:space="preserve"> </w:t>
      </w:r>
      <w:r>
        <w:rPr>
          <w:b/>
          <w:bCs/>
          <w:smallCaps/>
        </w:rPr>
        <w:t xml:space="preserve">Willig</w:t>
      </w:r>
      <w:r>
        <w:t xml:space="preserve"> </w:t>
      </w:r>
      <w:r>
        <w:t xml:space="preserve">(</w:t>
      </w:r>
      <w:hyperlink w:anchor="ref-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r>
        <w:rPr>
          <w:rStyle w:val="Referenciaatema"/>
        </w:rPr>
        <w:t xml:space="preserve">[ver tema 3.A.16]</w:t>
      </w:r>
      <w:r>
        <w:t xml:space="preserve"> </w:t>
      </w:r>
      <w:r>
        <w:t xml:space="preserve">y en el análisis coste-beneficio.</w:t>
      </w:r>
    </w:p>
    <w:p>
      <w:pPr>
        <w:numPr>
          <w:ilvl w:val="0"/>
          <w:numId w:val="1102"/>
        </w:numPr>
      </w:pPr>
      <w:r>
        <w:rPr>
          <w:smallCaps/>
        </w:rPr>
        <w:t xml:space="preserve">Hausman</w:t>
      </w:r>
      <w:r>
        <w:t xml:space="preserve"> </w:t>
      </w:r>
      <w:r>
        <w:t xml:space="preserve">(</w:t>
      </w:r>
      <w:hyperlink w:anchor="ref-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(27), y calcular la VC y la VE sin aproximaciones: una aplicación directa de la integrabilidad.</w:t>
      </w:r>
    </w:p>
    <w:p>
      <w:pPr>
        <w:keepNext/>
        <w:numPr>
          <w:ilvl w:val="0"/>
          <w:numId w:val="1102"/>
        </w:numPr>
      </w:pPr>
      <w:r>
        <w:t xml:space="preserve">¿</w:t>
      </w:r>
      <w:r>
        <w:rPr>
          <w:b/>
          <w:bCs/>
        </w:rPr>
        <w:t xml:space="preserve">Cuál usar</w:t>
      </w:r>
      <w:r>
        <w:t xml:space="preserve">? Depende de la pregunta:</w:t>
      </w:r>
    </w:p>
    <w:p>
      <w:pPr>
        <w:numPr>
          <w:ilvl w:val="1"/>
          <w:numId w:val="1103"/>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03"/>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r>
        <w:rPr>
          <w:rStyle w:val="Referenciaatema"/>
        </w:rPr>
        <w:t xml:space="preserve">[ver tema 3.A.22]</w:t>
      </w:r>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r>
        <w:rPr>
          <w:rStyle w:val="Referenciaatema"/>
        </w:rPr>
        <w:t xml:space="preserve">[ver tema 4.B.9]</w:t>
      </w:r>
      <w:r>
        <w:t xml:space="preserve">.</w:t>
      </w:r>
    </w:p>
    <w:bookmarkEnd w:id="155"/>
    <w:bookmarkStart w:id="156" w:name="Xc06de061893a483a0907c38a7edce71dc3931c0"/>
    <w:p>
      <w:pPr>
        <w:pStyle w:val="Heading4"/>
      </w:pPr>
      <w:r>
        <w:t xml:space="preserve">Análisis mediante variaciones: información incompleta</w:t>
      </w:r>
    </w:p>
    <w:p>
      <w:pPr>
        <w:numPr>
          <w:ilvl w:val="0"/>
          <w:numId w:val="1104"/>
        </w:numPr>
      </w:pPr>
      <w:r>
        <w:t xml:space="preserve">Si no se conoce la función de gasto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i/>
          <w:iCs/>
        </w:rPr>
        <w:t xml:space="preserve">variación de</w:t>
      </w:r>
      <w:r>
        <w:rPr>
          <w:i/>
          <w:iCs/>
        </w:rPr>
        <w:t xml:space="preserve"> </w:t>
      </w:r>
      <w:r>
        <w:rPr>
          <w:i/>
          <w:iCs/>
          <w:smallCaps/>
        </w:rPr>
        <w:t xml:space="preserve">Laspeyres</w:t>
      </w:r>
      <w:r>
        <w:t xml:space="preserve"> </w:t>
      </w:r>
      <w:r>
        <w:t xml:space="preserve">(</w:t>
      </w:r>
      <m:oMath>
        <m:r>
          <m:t>L</m:t>
        </m:r>
      </m:oMath>
      <w:r>
        <w:t xml:space="preserve">) valora el cambio de precios con la cesta inicial; la</w:t>
      </w:r>
      <w:r>
        <w:t xml:space="preserve"> </w:t>
      </w:r>
      <w:r>
        <w:rPr>
          <w:i/>
          <w:iCs/>
        </w:rPr>
        <w:t xml:space="preserve">de</w:t>
      </w:r>
      <w:r>
        <w:rPr>
          <w:i/>
          <w:iCs/>
        </w:rPr>
        <w:t xml:space="preserve"> </w:t>
      </w:r>
      <w:r>
        <w:rPr>
          <w:i/>
          <w:i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13, últimas capas).</w:t>
      </w:r>
    </w:p>
    <w:p>
      <w:pPr>
        <w:numPr>
          <w:ilvl w:val="0"/>
          <w:numId w:val="1104"/>
        </w:numPr>
      </w:pPr>
      <w:r>
        <w:t xml:space="preserve">Acotan las medidas exactas, para cualquier número de precios y tipo de bien:</w:t>
      </w:r>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7 del anexo D, con los demás casos).</w:t>
      </w:r>
    </w:p>
    <w:bookmarkEnd w:id="156"/>
    <w:bookmarkStart w:id="163" w:name="X10fc17a453d4026ed618adb8fb9b668b866e628"/>
    <w:p>
      <w:pPr>
        <w:pStyle w:val="Heading4"/>
      </w:pPr>
      <w:r>
        <w:t xml:space="preserve">El uso de índices de coste de la vida y su comparación con los índices de precios</w:t>
      </w:r>
    </w:p>
    <w:p>
      <w:pPr>
        <w:numPr>
          <w:ilvl w:val="0"/>
          <w:numId w:val="1105"/>
        </w:numPr>
      </w:pPr>
      <w:r>
        <w:t xml:space="preserve">Otra forma de medir los cambios de bienestar son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05"/>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05"/>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06"/>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157"/>
      </w:r>
      <w:r>
        <w:t xml:space="preserve"> </w:t>
      </w:r>
      <w:r>
        <w:t xml:space="preserve">En el gráfico 14,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06"/>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06"/>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158"/>
      </w:r>
    </w:p>
    <w:bookmarkStart w:id="162" w:name="fig:indice-konus-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160" name="Picture"/>
            <a:graphic>
              <a:graphicData uri="http://schemas.openxmlformats.org/drawingml/2006/picture">
                <pic:pic>
                  <pic:nvPicPr>
                    <pic:cNvPr descr="C:\Users\vgutierrez\Documents\src\victorgutierrezmarcos.github.io-revision\oposicion\temario\fuentes\3A09\graficos/indice-konus-laspeyres.png" id="161" name="Picture"/>
                    <pic:cNvPicPr>
                      <a:picLocks noChangeArrowheads="1" noChangeAspect="1"/>
                    </pic:cNvPicPr>
                  </pic:nvPicPr>
                  <pic:blipFill>
                    <a:blip r:embed="rId159"/>
                    <a:stretch>
                      <a:fillRect/>
                    </a:stretch>
                  </pic:blipFill>
                  <pic:spPr bwMode="auto">
                    <a:xfrm>
                      <a:off x="0" y="0"/>
                      <a:ext cx="3581400" cy="1982175"/>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7"/>
        </w:numPr>
      </w:pPr>
      <w:r>
        <w:rPr>
          <w:b/>
          <w:bCs/>
        </w:rPr>
        <w:t xml:space="preserve">Índices superlativos</w:t>
      </w:r>
      <w:r>
        <w:t xml:space="preserve">.</w:t>
      </w:r>
      <w:r>
        <w:t xml:space="preserve"> </w:t>
      </w:r>
      <w:r>
        <w:rPr>
          <w:smallCaps/>
        </w:rPr>
        <w:t xml:space="preserve">Diewert</w:t>
      </w:r>
      <w:r>
        <w:t xml:space="preserve"> </w:t>
      </w:r>
      <w:r>
        <w:t xml:space="preserve">(</w:t>
      </w:r>
      <w:hyperlink w:anchor="ref-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II y la medición de los precios.</w:t>
      </w:r>
    </w:p>
    <w:p>
      <w:pPr>
        <w:keepNext/>
        <w:numPr>
          <w:ilvl w:val="0"/>
          <w:numId w:val="1107"/>
        </w:numPr>
      </w:pPr>
      <w:r>
        <w:rPr>
          <w:b/>
          <w:bCs/>
        </w:rPr>
        <w:t xml:space="preserve">Magnitud del sesgo de sustitución</w:t>
      </w:r>
      <w:r>
        <w:t xml:space="preserve">:</w:t>
      </w:r>
    </w:p>
    <w:p>
      <w:pPr>
        <w:numPr>
          <w:ilvl w:val="1"/>
          <w:numId w:val="1108"/>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08"/>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08"/>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r>
        <w:rPr>
          <w:rStyle w:val="Referenciaatema"/>
        </w:rPr>
        <w:t xml:space="preserve">[ver tema 4.A.1]</w:t>
      </w:r>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r>
        <w:rPr>
          <w:rStyle w:val="Referenciaatema"/>
        </w:rPr>
        <w:t xml:space="preserve">[ver tema 3.A.30]</w:t>
      </w:r>
      <w:r>
        <w:t xml:space="preserve"> </w:t>
      </w:r>
      <w:r>
        <w:rPr>
          <w:rStyle w:val="Referenciaatema"/>
        </w:rPr>
        <w:t xml:space="preserve">[ver tema 4.A.1]</w:t>
      </w:r>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09"/>
        </w:numPr>
      </w:pPr>
      <w:r>
        <w:rPr>
          <w:b/>
          <w:b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163"/>
    <w:bookmarkEnd w:id="164"/>
    <w:bookmarkEnd w:id="165"/>
    <w:bookmarkEnd w:id="166"/>
    <w:bookmarkStart w:id="167" w:name="conclusión"/>
    <w:p>
      <w:pPr>
        <w:pStyle w:val="Heading1"/>
      </w:pPr>
      <w:r>
        <w:t xml:space="preserve">Conclusión</w:t>
      </w:r>
      <w:r>
        <w:t xml:space="preserve"> </w:t>
      </w:r>
      <w:r>
        <w:rPr>
          <w:rStyle w:val="Minutos"/>
        </w:rPr>
        <w:t xml:space="preserve">1′</w:t>
      </w:r>
    </w:p>
    <w:p>
      <w:pPr>
        <w:keepNext/>
        <w:numPr>
          <w:ilvl w:val="0"/>
          <w:numId w:val="1110"/>
        </w:numPr>
      </w:pPr>
      <w:r>
        <w:rPr>
          <w:b/>
          <w:bCs/>
          <w:i/>
          <w:iCs/>
        </w:rPr>
        <w:t xml:space="preserve">Recapitulación</w:t>
      </w:r>
      <w:r>
        <w:t xml:space="preserve">:</w:t>
      </w:r>
    </w:p>
    <w:p>
      <w:pPr>
        <w:numPr>
          <w:ilvl w:val="1"/>
          <w:numId w:val="1111"/>
        </w:numPr>
      </w:pPr>
      <w:r>
        <w:t xml:space="preserve">Al dar la vuelta al problema del consumidor hemos obtenido la demanda hicksiana y la función de gasto, y unas relaciones de dualidad que permiten pasar de cualquiera de las cuatro funciones a las demás (I).</w:t>
      </w:r>
    </w:p>
    <w:p>
      <w:pPr>
        <w:numPr>
          <w:ilvl w:val="1"/>
          <w:numId w:val="1111"/>
        </w:numPr>
      </w:pPr>
      <w:r>
        <w:t xml:space="preserve">Esas relaciones hacen practicable la estimación de sistemas completos de demanda: basta especificar una función de gasto, como la PIGLOG del AIDS, y derivar. Los contrastes de homogeneidad y simetría llevaron la disciplina hacia los microdatos (II).</w:t>
      </w:r>
    </w:p>
    <w:p>
      <w:pPr>
        <w:numPr>
          <w:ilvl w:val="1"/>
          <w:numId w:val="1111"/>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(III).</w:t>
      </w:r>
    </w:p>
    <w:p>
      <w:pPr>
        <w:numPr>
          <w:ilvl w:val="0"/>
          <w:numId w:val="1110"/>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0"/>
        </w:numPr>
      </w:pPr>
      <w:r>
        <w:rPr>
          <w:b/>
          <w:bCs/>
          <w:i/>
          <w:iCs/>
        </w:rPr>
        <w:t xml:space="preserve">Extensiones y relación con otras partes del temario</w:t>
      </w:r>
      <w:r>
        <w:t xml:space="preserve">:</w:t>
      </w:r>
    </w:p>
    <w:p>
      <w:pPr>
        <w:numPr>
          <w:ilvl w:val="1"/>
          <w:numId w:val="1112"/>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r>
        <w:rPr>
          <w:rStyle w:val="Referenciaatema"/>
        </w:rPr>
        <w:t xml:space="preserve">[ver tema 3.A.12]</w:t>
      </w:r>
      <w:r>
        <w:t xml:space="preserve">;</w:t>
      </w:r>
    </w:p>
    <w:p>
      <w:pPr>
        <w:numPr>
          <w:ilvl w:val="1"/>
          <w:numId w:val="1112"/>
        </w:numPr>
      </w:pPr>
      <w:r>
        <w:t xml:space="preserve">el excedente del consumidor y del productor en el equilibrio parcial</w:t>
      </w:r>
      <w:r>
        <w:t xml:space="preserve"> </w:t>
      </w:r>
      <w:r>
        <w:rPr>
          <w:rStyle w:val="Referenciaatema"/>
        </w:rPr>
        <w:t xml:space="preserve">[ver tema 3.A.16]</w:t>
      </w:r>
      <w:r>
        <w:t xml:space="preserve"> </w:t>
      </w:r>
      <w:r>
        <w:t xml:space="preserve">y el bienestar agregado, con los criterios de compensación</w:t>
      </w:r>
      <w:r>
        <w:t xml:space="preserve"> </w:t>
      </w:r>
      <w:r>
        <w:rPr>
          <w:rStyle w:val="Referenciaatema"/>
        </w:rPr>
        <w:t xml:space="preserve">[ver tema 3.A.22]</w:t>
      </w:r>
      <w:r>
        <w:t xml:space="preserve"> </w:t>
      </w:r>
      <w:r>
        <w:rPr>
          <w:rStyle w:val="Referenciaatema"/>
        </w:rPr>
        <w:t xml:space="preserve">[ver tema 3.A.24]</w:t>
      </w:r>
      <w:r>
        <w:t xml:space="preserve">;</w:t>
      </w:r>
    </w:p>
    <w:p>
      <w:pPr>
        <w:numPr>
          <w:ilvl w:val="1"/>
          <w:numId w:val="1112"/>
        </w:numPr>
      </w:pPr>
      <w:r>
        <w:t xml:space="preserve">en economía pública, la VE mide el exceso de gravamen</w:t>
      </w:r>
      <w:r>
        <w:t xml:space="preserve"> </w:t>
      </w:r>
      <w:r>
        <w:rPr>
          <w:rStyle w:val="Referenciaatema"/>
        </w:rPr>
        <w:t xml:space="preserve">[ver tema 4.B.9]</w:t>
      </w:r>
      <w:r>
        <w:t xml:space="preserve"> </w:t>
      </w:r>
      <w:r>
        <w:t xml:space="preserve">y la VC y la VE valoran los proyectos en el análisis coste-beneficio</w:t>
      </w:r>
      <w:r>
        <w:t xml:space="preserve"> </w:t>
      </w:r>
      <w:r>
        <w:rPr>
          <w:rStyle w:val="Referenciaatema"/>
        </w:rPr>
        <w:t xml:space="preserve">[ver tema 4.B.6]</w:t>
      </w:r>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r>
        <w:rPr>
          <w:rStyle w:val="Referenciaatema"/>
        </w:rPr>
        <w:t xml:space="preserve">[ver tema 3.A.30]</w:t>
      </w:r>
      <w:r>
        <w:t xml:space="preserve"> </w:t>
      </w:r>
      <w:r>
        <w:rPr>
          <w:rStyle w:val="Referenciaatema"/>
        </w:rPr>
        <w:t xml:space="preserve">[ver tema 4.A.1]</w:t>
      </w:r>
      <w:r>
        <w:t xml:space="preserve">;</w:t>
      </w:r>
    </w:p>
    <w:p>
      <w:pPr>
        <w:numPr>
          <w:ilvl w:val="1"/>
          <w:numId w:val="1112"/>
        </w:numPr>
      </w:pPr>
      <w:r>
        <w:t xml:space="preserve">la elección con riesgo</w:t>
      </w:r>
      <w:r>
        <w:t xml:space="preserve"> </w:t>
      </w:r>
      <w:r>
        <w:rPr>
          <w:rStyle w:val="Referenciaatema"/>
        </w:rPr>
        <w:t xml:space="preserve">[ver tema 3.A.10]</w:t>
      </w:r>
      <w:r>
        <w:t xml:space="preserve"> </w:t>
      </w:r>
      <w:r>
        <w:t xml:space="preserve">y las decisiones intertemporales</w:t>
      </w:r>
      <w:r>
        <w:t xml:space="preserve"> </w:t>
      </w:r>
      <w:r>
        <w:rPr>
          <w:rStyle w:val="Referenciaatema"/>
        </w:rPr>
        <w:t xml:space="preserve">[ver tema 3.A.29]</w:t>
      </w:r>
      <w:r>
        <w:t xml:space="preserve"> </w:t>
      </w:r>
      <w:r>
        <w:t xml:space="preserve">extienden el análisis.</w:t>
      </w:r>
    </w:p>
    <w:p>
      <w:pPr>
        <w:numPr>
          <w:ilvl w:val="0"/>
          <w:numId w:val="1110"/>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0"/>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13"/>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13"/>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13"/>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13"/>
        </w:numPr>
      </w:pPr>
      <w:r>
        <w:rPr>
          <w:smallCaps/>
        </w:rPr>
        <w:t xml:space="preserve">Rodríguez López</w:t>
      </w:r>
      <w:r>
        <w:t xml:space="preserve"> </w:t>
      </w:r>
      <w:r>
        <w:t xml:space="preserve">(</w:t>
      </w:r>
      <w:hyperlink w:anchor="ref-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7"/>
    <w:bookmarkStart w:id="170"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14"/>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168" w:name="tab: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168"/>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15"/>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15"/>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15"/>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169" w:name="Xa5019a610cd07b2f58bbc26dd64df8866018f02"/>
    <w:p>
      <w:pPr>
        <w:pStyle w:val="Heading2"/>
      </w:pPr>
      <w:r>
        <w:t xml:space="preserve">A.1. Condiciones de segundo orden: hessiano orlado y regla de</w:t>
      </w:r>
      <w:r>
        <w:t xml:space="preserve"> </w:t>
      </w:r>
      <w:r>
        <w:rPr>
          <w:smallCaps/>
        </w:rPr>
        <w:t xml:space="preserve">Sarrus</w:t>
      </w:r>
    </w:p>
    <w:p>
      <w:pPr>
        <w:numPr>
          <w:ilvl w:val="0"/>
          <w:numId w:val="1116"/>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C):</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16"/>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16"/>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16"/>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16"/>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169"/>
    <w:bookmarkEnd w:id="170"/>
    <w:bookmarkStart w:id="173" w:name="anexo: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17"/>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171" w:name="der:roy"/>
    <w:p>
      <w:pPr>
        <w:pStyle w:val="Heading2"/>
      </w:pPr>
      <w:r>
        <w:t xml:space="preserve">B.1. Identidad de</w:t>
      </w:r>
      <w:r>
        <w:t xml:space="preserve"> </w:t>
      </w:r>
      <w:r>
        <w:rPr>
          <w:smallCaps/>
        </w:rPr>
        <w:t xml:space="preserve">Roy</w:t>
      </w:r>
    </w:p>
    <w:p>
      <w:pPr>
        <w:numPr>
          <w:ilvl w:val="0"/>
          <w:numId w:val="1118"/>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(5).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w:p>
    <w:p>
      <w:pPr>
        <w:numPr>
          <w:ilvl w:val="0"/>
          <w:numId w:val="1118"/>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w:p>
    <w:bookmarkEnd w:id="171"/>
    <w:bookmarkStart w:id="172" w:name="der:shephard"/>
    <w:p>
      <w:pPr>
        <w:pStyle w:val="Heading2"/>
      </w:pPr>
      <w:r>
        <w:t xml:space="preserve">B.2. Lema de</w:t>
      </w:r>
      <w:r>
        <w:t xml:space="preserve"> </w:t>
      </w:r>
      <w:r>
        <w:rPr>
          <w:smallCaps/>
        </w:rPr>
        <w:t xml:space="preserve">Shephard</w:t>
      </w:r>
    </w:p>
    <w:p>
      <w:pPr>
        <w:numPr>
          <w:ilvl w:val="0"/>
          <w:numId w:val="1119"/>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119"/>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w:p>
    <w:p>
      <w:pPr>
        <w:numPr>
          <w:ilvl w:val="0"/>
          <w:numId w:val="1119"/>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172"/>
    <w:bookmarkEnd w:id="173"/>
    <w:bookmarkStart w:id="174" w:name="anexo:hessiana"/>
    <w:p>
      <w:pPr>
        <w:pStyle w:val="Heading1"/>
      </w:pPr>
      <w:r>
        <w:t xml:space="preserve">C. Anexo: matriz hessiana, concavidad y cuasiconcavidad</w:t>
      </w:r>
    </w:p>
    <w:p>
      <w:pPr>
        <w:numPr>
          <w:ilvl w:val="0"/>
          <w:numId w:val="1120"/>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0"/>
        </w:numPr>
      </w:pPr>
      <w:r>
        <w:rPr>
          <w:b/>
          <w:bCs/>
        </w:rPr>
        <w:t xml:space="preserve">Concavidad y convexidad</w:t>
      </w:r>
      <w:r>
        <w:t xml:space="preserve">:</w:t>
      </w:r>
    </w:p>
    <w:p>
      <w:pPr>
        <w:numPr>
          <w:ilvl w:val="1"/>
          <w:numId w:val="1121"/>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1"/>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0"/>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0"/>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r>
        <w:rPr>
          <w:rStyle w:val="Referenciaatema"/>
        </w:rPr>
        <w:t xml:space="preserve">[ver tema 3.A.8]</w:t>
      </w:r>
      <w:r>
        <w:t xml:space="preserve">.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20"/>
        </w:numPr>
      </w:pPr>
      <w:r>
        <w:rPr>
          <w:b/>
          <w:b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r>
        <w:rPr>
          <w:rStyle w:val="Referenciaatema"/>
        </w:rPr>
        <w:t xml:space="preserve">[ver tema 3.A.12]</w:t>
      </w:r>
      <w:r>
        <w:t xml:space="preserve">.</w:t>
      </w:r>
    </w:p>
    <w:bookmarkEnd w:id="174"/>
    <w:bookmarkStart w:id="176" w:name="anexo:ordenacion"/>
    <w:p>
      <w:pPr>
        <w:pStyle w:val="Heading1"/>
      </w:pPr>
      <w:r>
        <w:t xml:space="preserve">D. Anexo: ordenación de las medidas de bienestar</w:t>
      </w:r>
    </w:p>
    <w:p>
      <w:pPr>
        <w:numPr>
          <w:ilvl w:val="0"/>
          <w:numId w:val="1122"/>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22"/>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w:p>
    <w:p>
      <w:pPr>
        <w:numPr>
          <w:ilvl w:val="0"/>
          <w:numId w:val="1122"/>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w:p>
    <w:p>
      <w:pPr>
        <w:numPr>
          <w:ilvl w:val="0"/>
          <w:numId w:val="1122"/>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w:p>
    <w:p>
      <w:pPr>
        <w:numPr>
          <w:ilvl w:val="0"/>
          <w:numId w:val="1122"/>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w:p>
    <w:p>
      <w:pPr>
        <w:numPr>
          <w:ilvl w:val="0"/>
          <w:numId w:val="1122"/>
        </w:numPr>
      </w:pPr>
      <w:r>
        <w:t xml:space="preserve">Combinando estas desigualdades se obtiene la tabla 7.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175" w:name="tab: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175"/>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3.I</w:t>
        </w:r>
      </w:hyperlink>
      <w:r>
        <w:rPr>
          <w:i/>
          <w:iCs/>
        </w:rPr>
        <w:t xml:space="preserve">)</w:t>
      </w:r>
      <w:r>
        <w:rPr>
          <w:i/>
          <w:iCs/>
        </w:rPr>
        <w:t xml:space="preserve">.</w:t>
      </w:r>
    </w:p>
    <w:bookmarkEnd w:id="176"/>
    <w:bookmarkStart w:id="177" w:name="anexo:willig"/>
    <w:p>
      <w:pPr>
        <w:pStyle w:val="Heading1"/>
      </w:pPr>
      <w:r>
        <w:t xml:space="preserve">E. Anexo: la aproximación de</w:t>
      </w:r>
      <w:r>
        <w:t xml:space="preserve"> </w:t>
      </w:r>
      <w:r>
        <w:rPr>
          <w:smallCaps/>
        </w:rPr>
        <w:t xml:space="preserve">Willig</w:t>
      </w:r>
    </w:p>
    <w:p>
      <w:pPr>
        <w:numPr>
          <w:ilvl w:val="0"/>
          <w:numId w:val="1123"/>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23"/>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23"/>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(36); del mismo modo para la VE.</w:t>
      </w:r>
    </w:p>
    <w:p>
      <w:pPr>
        <w:numPr>
          <w:ilvl w:val="0"/>
          <w:numId w:val="1123"/>
        </w:numPr>
      </w:pPr>
      <w:r>
        <w:t xml:space="preserve">El resultado formal, con las cotas del error, está en</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Hausman1981Exact">
        <w:r>
          <w:rPr>
            <w:rStyle w:val="Hyperlink"/>
          </w:rPr>
          <w:t xml:space="preserve">1981</w:t>
        </w:r>
      </w:hyperlink>
      <w:r>
        <w:t xml:space="preserve">)</w:t>
      </w:r>
      <w:r>
        <w:t xml:space="preserve">.</w:t>
      </w:r>
    </w:p>
    <w:bookmarkEnd w:id="177"/>
    <w:bookmarkStart w:id="179" w:name="anexo:test"/>
    <w:p>
      <w:pPr>
        <w:pStyle w:val="Heading1"/>
      </w:pPr>
      <w:r>
        <w:t xml:space="preserve">F. Anexo: aspectos relevantes para el test</w:t>
      </w:r>
    </w:p>
    <w:p>
      <w:pPr>
        <w:pStyle w:val="Cajadeanotaciones"/>
      </w:pPr>
      <w:r>
        <w:t xml:space="preserve">Preguntas tipo test:</w:t>
      </w:r>
      <w:r>
        <w:t xml:space="preserve"> </w:t>
      </w:r>
      <w:hyperlink r:id="rId178">
        <w:r>
          <w:rPr>
            <w:rStyle w:val="Hyperlink"/>
          </w:rPr>
          <w:t xml:space="preserve">simulador de test</w:t>
        </w:r>
      </w:hyperlink>
      <w:r>
        <w:t xml:space="preserve">.</w:t>
      </w:r>
    </w:p>
    <w:p>
      <w:pPr>
        <w:numPr>
          <w:ilvl w:val="0"/>
          <w:numId w:val="1124"/>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24"/>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24"/>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24"/>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24"/>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24"/>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24"/>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24"/>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9"/>
    <w:bookmarkStart w:id="314" w:name="bibliography"/>
    <w:p>
      <w:pPr>
        <w:pStyle w:val="Heading1"/>
      </w:pPr>
      <w:r>
        <w:t xml:space="preserve">Bibliografía</w:t>
      </w:r>
    </w:p>
    <w:bookmarkStart w:id="313" w:name="refs"/>
    <w:bookmarkStart w:id="181"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180">
        <w:r>
          <w:rPr>
            <w:rStyle w:val="Hyperlink"/>
          </w:rPr>
          <w:t xml:space="preserve">https://doi.org/10.2307/2525382</w:t>
        </w:r>
      </w:hyperlink>
      <w:r>
        <w:t xml:space="preserve">.</w:t>
      </w:r>
    </w:p>
    <w:bookmarkEnd w:id="181"/>
    <w:bookmarkStart w:id="183"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182">
        <w:r>
          <w:rPr>
            <w:rStyle w:val="Hyperlink"/>
          </w:rPr>
          <w:t xml:space="preserve">https://argos.gva.es/documents/166658342/166714754/Ejemplar+3070/2957e02b-f135-4235-98a6-bfc909292066</w:t>
        </w:r>
      </w:hyperlink>
      <w:r>
        <w:t xml:space="preserve">.</w:t>
      </w:r>
    </w:p>
    <w:bookmarkEnd w:id="183"/>
    <w:bookmarkStart w:id="184"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184"/>
    <w:bookmarkStart w:id="185"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185"/>
    <w:bookmarkStart w:id="187" w:name="ref-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186">
        <w:r>
          <w:rPr>
            <w:rStyle w:val="Hyperlink"/>
          </w:rPr>
          <w:t xml:space="preserve">https://doi.org/10.1162/003465397557015</w:t>
        </w:r>
      </w:hyperlink>
      <w:r>
        <w:t xml:space="preserve">.</w:t>
      </w:r>
    </w:p>
    <w:bookmarkEnd w:id="187"/>
    <w:bookmarkStart w:id="189" w:name="ref-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188">
        <w:r>
          <w:rPr>
            <w:rStyle w:val="Hyperlink"/>
          </w:rPr>
          <w:t xml:space="preserve">https://doi.org/10.2307/1913731</w:t>
        </w:r>
      </w:hyperlink>
      <w:r>
        <w:t xml:space="preserve">.</w:t>
      </w:r>
    </w:p>
    <w:bookmarkEnd w:id="189"/>
    <w:bookmarkStart w:id="191" w:name="ref-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190">
        <w:r>
          <w:rPr>
            <w:rStyle w:val="Hyperlink"/>
          </w:rPr>
          <w:t xml:space="preserve">https://doi.org/10.2307/1937885</w:t>
        </w:r>
      </w:hyperlink>
      <w:r>
        <w:t xml:space="preserve">.</w:t>
      </w:r>
    </w:p>
    <w:bookmarkEnd w:id="191"/>
    <w:bookmarkStart w:id="193"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192">
        <w:r>
          <w:rPr>
            <w:rStyle w:val="Hyperlink"/>
          </w:rPr>
          <w:t xml:space="preserve">https://doi.org/10.1016/0014-2921(69)90017-8</w:t>
        </w:r>
      </w:hyperlink>
      <w:r>
        <w:t xml:space="preserve">.</w:t>
      </w:r>
    </w:p>
    <w:bookmarkEnd w:id="193"/>
    <w:bookmarkStart w:id="195"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194">
        <w:r>
          <w:rPr>
            <w:rStyle w:val="Hyperlink"/>
          </w:rPr>
          <w:t xml:space="preserve">https://doi.org/10.1057/9780230226203.0411</w:t>
        </w:r>
      </w:hyperlink>
      <w:r>
        <w:t xml:space="preserve">.</w:t>
      </w:r>
    </w:p>
    <w:bookmarkEnd w:id="195"/>
    <w:bookmarkStart w:id="197" w:name="X654402c942ad9bea1ef2f416051d143dc9e9a07"/>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196">
        <w:r>
          <w:rPr>
            <w:rStyle w:val="Hyperlink"/>
          </w:rPr>
          <w:t xml:space="preserve">https://doi.org/10.1111/1468-0262.00394</w:t>
        </w:r>
      </w:hyperlink>
      <w:r>
        <w:t xml:space="preserve">.</w:t>
      </w:r>
    </w:p>
    <w:bookmarkEnd w:id="197"/>
    <w:bookmarkStart w:id="198"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198"/>
    <w:bookmarkStart w:id="199"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199"/>
    <w:bookmarkStart w:id="20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00"/>
    <w:bookmarkStart w:id="202"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01">
        <w:r>
          <w:rPr>
            <w:rStyle w:val="Hyperlink"/>
          </w:rPr>
          <w:t xml:space="preserve">https://doi.org/10.2307/1911983</w:t>
        </w:r>
      </w:hyperlink>
      <w:r>
        <w:t xml:space="preserve">.</w:t>
      </w:r>
    </w:p>
    <w:bookmarkEnd w:id="202"/>
    <w:bookmarkStart w:id="204" w:name="ref-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03">
        <w:r>
          <w:rPr>
            <w:rStyle w:val="Hyperlink"/>
          </w:rPr>
          <w:t xml:space="preserve">https://doi.org/10.1596/0-8018-5254-4</w:t>
        </w:r>
      </w:hyperlink>
      <w:r>
        <w:t xml:space="preserve">.</w:t>
      </w:r>
    </w:p>
    <w:bookmarkEnd w:id="204"/>
    <w:bookmarkStart w:id="205"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05"/>
    <w:bookmarkStart w:id="206"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06"/>
    <w:bookmarkStart w:id="207" w:name="ref-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07"/>
    <w:bookmarkStart w:id="209" w:name="ref-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08">
        <w:r>
          <w:rPr>
            <w:rStyle w:val="Hyperlink"/>
          </w:rPr>
          <w:t xml:space="preserve">https://doi.org/10.1016/0304-4076(76)90009-9</w:t>
        </w:r>
      </w:hyperlink>
      <w:r>
        <w:t xml:space="preserve">.</w:t>
      </w:r>
    </w:p>
    <w:bookmarkEnd w:id="209"/>
    <w:bookmarkStart w:id="21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10">
        <w:r>
          <w:rPr>
            <w:rStyle w:val="Hyperlink"/>
          </w:rPr>
          <w:t xml:space="preserve">https://doi.org/10.1086/260489</w:t>
        </w:r>
      </w:hyperlink>
      <w:r>
        <w:t xml:space="preserve">.</w:t>
      </w:r>
    </w:p>
    <w:bookmarkEnd w:id="211"/>
    <w:bookmarkStart w:id="212"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12"/>
    <w:bookmarkStart w:id="214"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13">
        <w:r>
          <w:rPr>
            <w:rStyle w:val="Hyperlink"/>
          </w:rPr>
          <w:t xml:space="preserve">https://doi.org/10.2307/2296107</w:t>
        </w:r>
      </w:hyperlink>
      <w:r>
        <w:t xml:space="preserve">.</w:t>
      </w:r>
    </w:p>
    <w:bookmarkEnd w:id="214"/>
    <w:bookmarkStart w:id="216" w:name="ref-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15">
        <w:r>
          <w:rPr>
            <w:rStyle w:val="Hyperlink"/>
          </w:rPr>
          <w:t xml:space="preserve">https://doi.org/10.3386/w12311</w:t>
        </w:r>
      </w:hyperlink>
      <w:r>
        <w:t xml:space="preserve">.</w:t>
      </w:r>
    </w:p>
    <w:bookmarkEnd w:id="216"/>
    <w:bookmarkStart w:id="218" w:name="ref-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17">
        <w:r>
          <w:rPr>
            <w:rStyle w:val="Hyperlink"/>
          </w:rPr>
          <w:t xml:space="preserve">https://doi.org/10.2307/1909472</w:t>
        </w:r>
      </w:hyperlink>
      <w:r>
        <w:t xml:space="preserve">.</w:t>
      </w:r>
    </w:p>
    <w:bookmarkEnd w:id="218"/>
    <w:bookmarkStart w:id="220" w:name="ref-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19">
        <w:r>
          <w:rPr>
            <w:rStyle w:val="Hyperlink"/>
          </w:rPr>
          <w:t xml:space="preserve">https://doi.org/10.1017/CBO9780511984082.003</w:t>
        </w:r>
      </w:hyperlink>
      <w:r>
        <w:t xml:space="preserve">.</w:t>
      </w:r>
    </w:p>
    <w:bookmarkEnd w:id="220"/>
    <w:bookmarkStart w:id="221" w:name="ref-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21"/>
    <w:bookmarkStart w:id="222"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22"/>
    <w:bookmarkStart w:id="224" w:name="ref-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23">
        <w:r>
          <w:rPr>
            <w:rStyle w:val="Hyperlink"/>
          </w:rPr>
          <w:t xml:space="preserve">https://doi.org/10.2307/2967467</w:t>
        </w:r>
      </w:hyperlink>
      <w:r>
        <w:t xml:space="preserve">.</w:t>
      </w:r>
    </w:p>
    <w:bookmarkEnd w:id="224"/>
    <w:bookmarkStart w:id="226" w:name="ref-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25">
        <w:r>
          <w:rPr>
            <w:rStyle w:val="Hyperlink"/>
          </w:rPr>
          <w:t xml:space="preserve">https://doi.org/10.2307/2967517</w:t>
        </w:r>
      </w:hyperlink>
      <w:r>
        <w:t xml:space="preserve">.</w:t>
      </w:r>
    </w:p>
    <w:bookmarkEnd w:id="226"/>
    <w:bookmarkStart w:id="227" w:name="ref-Hicks1956Revision"/>
    <w:p>
      <w:pPr>
        <w:pStyle w:val="Bibliography"/>
      </w:pPr>
      <w:r>
        <w:t xml:space="preserve">———. 1956.</w:t>
      </w:r>
      <w:r>
        <w:t xml:space="preserve"> </w:t>
      </w:r>
      <w:r>
        <w:rPr>
          <w:i/>
          <w:iCs/>
        </w:rPr>
        <w:t xml:space="preserve">A Revision of Demand Theory</w:t>
      </w:r>
      <w:r>
        <w:t xml:space="preserve">. Oxford: Clarendon Press.</w:t>
      </w:r>
    </w:p>
    <w:bookmarkEnd w:id="227"/>
    <w:bookmarkStart w:id="229"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28">
        <w:r>
          <w:rPr>
            <w:rStyle w:val="Hyperlink"/>
          </w:rPr>
          <w:t xml:space="preserve">https://doi.org/10.2307/2548574</w:t>
        </w:r>
      </w:hyperlink>
      <w:r>
        <w:t xml:space="preserve">.</w:t>
      </w:r>
    </w:p>
    <w:bookmarkEnd w:id="229"/>
    <w:bookmarkStart w:id="231"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30">
        <w:r>
          <w:rPr>
            <w:rStyle w:val="Hyperlink"/>
          </w:rPr>
          <w:t xml:space="preserve">https://doi.org/10.1086/254387</w:t>
        </w:r>
      </w:hyperlink>
      <w:r>
        <w:t xml:space="preserve">.</w:t>
      </w:r>
    </w:p>
    <w:bookmarkEnd w:id="231"/>
    <w:bookmarkStart w:id="233"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32">
        <w:r>
          <w:rPr>
            <w:rStyle w:val="Hyperlink"/>
          </w:rPr>
          <w:t xml:space="preserve">https://doi.org/10.2307/2549382</w:t>
        </w:r>
      </w:hyperlink>
      <w:r>
        <w:t xml:space="preserve">.</w:t>
      </w:r>
    </w:p>
    <w:bookmarkEnd w:id="233"/>
    <w:bookmarkStart w:id="234"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34"/>
    <w:bookmarkStart w:id="236"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35">
        <w:r>
          <w:rPr>
            <w:rStyle w:val="Hyperlink"/>
          </w:rPr>
          <w:t xml:space="preserve">https://www.ine.es/daco/daco42/daco4213/resmeto06.pdf</w:t>
        </w:r>
      </w:hyperlink>
      <w:r>
        <w:t xml:space="preserve">.</w:t>
      </w:r>
    </w:p>
    <w:bookmarkEnd w:id="236"/>
    <w:bookmarkStart w:id="238" w:name="ref-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37">
        <w:r>
          <w:rPr>
            <w:rStyle w:val="Hyperlink"/>
          </w:rPr>
          <w:t xml:space="preserve">https://www.ine.es/jaxiT3/Tabla.htm?t=76156</w:t>
        </w:r>
      </w:hyperlink>
      <w:r>
        <w:t xml:space="preserve">.</w:t>
      </w:r>
    </w:p>
    <w:bookmarkEnd w:id="238"/>
    <w:bookmarkStart w:id="240" w:name="ref-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39">
        <w:r>
          <w:rPr>
            <w:rStyle w:val="Hyperlink"/>
          </w:rPr>
          <w:t xml:space="preserve">https://www.ine.es/metodologia/t25/metodologia_IPC_base_2025.pdf</w:t>
        </w:r>
      </w:hyperlink>
      <w:r>
        <w:t xml:space="preserve">.</w:t>
      </w:r>
    </w:p>
    <w:bookmarkEnd w:id="240"/>
    <w:bookmarkStart w:id="242" w:name="ref-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41">
        <w:r>
          <w:rPr>
            <w:rStyle w:val="Hyperlink"/>
          </w:rPr>
          <w:t xml:space="preserve">https://www.ine.es/metodologia/t25/principales_caracteristicas_base_2025.pdf</w:t>
        </w:r>
      </w:hyperlink>
      <w:r>
        <w:t xml:space="preserve">.</w:t>
      </w:r>
    </w:p>
    <w:bookmarkEnd w:id="242"/>
    <w:bookmarkStart w:id="244" w:name="ref-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43">
        <w:r>
          <w:rPr>
            <w:rStyle w:val="Hyperlink"/>
          </w:rPr>
          <w:t xml:space="preserve">https://www.ine.es/dyngs/Prensa/EPF2025.htm</w:t>
        </w:r>
      </w:hyperlink>
      <w:r>
        <w:t xml:space="preserve">.</w:t>
      </w:r>
    </w:p>
    <w:bookmarkEnd w:id="244"/>
    <w:bookmarkStart w:id="246" w:name="ref-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245">
        <w:r>
          <w:rPr>
            <w:rStyle w:val="Hyperlink"/>
          </w:rPr>
          <w:t xml:space="preserve">https://www.ine.es/dyngs/Prensa/CNA2025.htm</w:t>
        </w:r>
      </w:hyperlink>
      <w:r>
        <w:t xml:space="preserve">.</w:t>
      </w:r>
    </w:p>
    <w:bookmarkEnd w:id="246"/>
    <w:bookmarkStart w:id="248"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247">
        <w:r>
          <w:rPr>
            <w:rStyle w:val="Hyperlink"/>
          </w:rPr>
          <w:t xml:space="preserve">https://www.ine.es/metodologia/t25/t2530p458.pdf</w:t>
        </w:r>
      </w:hyperlink>
      <w:r>
        <w:t xml:space="preserve">.</w:t>
      </w:r>
    </w:p>
    <w:bookmarkEnd w:id="248"/>
    <w:bookmarkStart w:id="24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49"/>
    <w:bookmarkStart w:id="251"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250">
        <w:r>
          <w:rPr>
            <w:rStyle w:val="Hyperlink"/>
          </w:rPr>
          <w:t xml:space="preserve">https://doi.org/10.2307/1911539</w:t>
        </w:r>
      </w:hyperlink>
      <w:r>
        <w:t xml:space="preserve">.</w:t>
      </w:r>
    </w:p>
    <w:bookmarkEnd w:id="251"/>
    <w:bookmarkStart w:id="253" w:name="ref-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252">
        <w:r>
          <w:rPr>
            <w:rStyle w:val="Hyperlink"/>
          </w:rPr>
          <w:t xml:space="preserve">https://doi.org/10.2307/2295996</w:t>
        </w:r>
      </w:hyperlink>
      <w:r>
        <w:t xml:space="preserve">.</w:t>
      </w:r>
    </w:p>
    <w:bookmarkEnd w:id="253"/>
    <w:bookmarkStart w:id="255" w:name="ref-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254">
        <w:r>
          <w:rPr>
            <w:rStyle w:val="Hyperlink"/>
          </w:rPr>
          <w:t xml:space="preserve">https://ww2.amstat.org/meetings/proceedings/2021/data/assets/pdf/1913738.pdf</w:t>
        </w:r>
      </w:hyperlink>
      <w:r>
        <w:t xml:space="preserve">.</w:t>
      </w:r>
    </w:p>
    <w:bookmarkEnd w:id="255"/>
    <w:bookmarkStart w:id="257" w:name="ref-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256">
        <w:r>
          <w:rPr>
            <w:rStyle w:val="Hyperlink"/>
          </w:rPr>
          <w:t xml:space="preserve">https://doi.org/10.2307/1906997</w:t>
        </w:r>
      </w:hyperlink>
      <w:r>
        <w:t xml:space="preserve">.</w:t>
      </w:r>
    </w:p>
    <w:bookmarkEnd w:id="257"/>
    <w:bookmarkStart w:id="258" w:name="ref-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258"/>
    <w:bookmarkStart w:id="260" w:name="ref-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259">
        <w:r>
          <w:rPr>
            <w:rStyle w:val="Hyperlink"/>
          </w:rPr>
          <w:t xml:space="preserve">https://doi.org/10.2307/1909167</w:t>
        </w:r>
      </w:hyperlink>
      <w:r>
        <w:t xml:space="preserve">.</w:t>
      </w:r>
    </w:p>
    <w:bookmarkEnd w:id="260"/>
    <w:bookmarkStart w:id="262" w:name="ref-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261">
        <w:r>
          <w:rPr>
            <w:rStyle w:val="Hyperlink"/>
          </w:rPr>
          <w:t xml:space="preserve">https://doi.org/10.2307/1912704</w:t>
        </w:r>
      </w:hyperlink>
      <w:r>
        <w:t xml:space="preserve">.</w:t>
      </w:r>
    </w:p>
    <w:bookmarkEnd w:id="262"/>
    <w:bookmarkStart w:id="264" w:name="ref-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263">
        <w:r>
          <w:rPr>
            <w:rStyle w:val="Hyperlink"/>
          </w:rPr>
          <w:t xml:space="preserve">https://www.thelatinlibrary.com/cicero/leg3.shtml</w:t>
        </w:r>
      </w:hyperlink>
      <w:r>
        <w:t xml:space="preserve">.</w:t>
      </w:r>
    </w:p>
    <w:bookmarkEnd w:id="264"/>
    <w:bookmarkStart w:id="26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5">
        <w:r>
          <w:rPr>
            <w:rStyle w:val="Hyperlink"/>
          </w:rPr>
          <w:t xml:space="preserve">https://www.marxists.org/reference/subject/economics/marshall/bk1ch01.htm</w:t>
        </w:r>
      </w:hyperlink>
      <w:r>
        <w:t xml:space="preserve">.</w:t>
      </w:r>
    </w:p>
    <w:bookmarkEnd w:id="266"/>
    <w:bookmarkStart w:id="26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7"/>
    <w:bookmarkStart w:id="26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68"/>
    <w:bookmarkStart w:id="270" w:name="ref-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269">
        <w:r>
          <w:rPr>
            <w:rStyle w:val="Hyperlink"/>
          </w:rPr>
          <w:t xml:space="preserve">https://doi.org/10.2307/2296067</w:t>
        </w:r>
      </w:hyperlink>
      <w:r>
        <w:t xml:space="preserve">.</w:t>
      </w:r>
    </w:p>
    <w:bookmarkEnd w:id="270"/>
    <w:bookmarkStart w:id="272" w:name="ref-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271">
        <w:r>
          <w:rPr>
            <w:rStyle w:val="Hyperlink"/>
          </w:rPr>
          <w:t xml:space="preserve">https://www.boe.es/buscar/act.php?id=BOE-A-2015-11724</w:t>
        </w:r>
      </w:hyperlink>
      <w:r>
        <w:t xml:space="preserve">.</w:t>
      </w:r>
    </w:p>
    <w:bookmarkEnd w:id="272"/>
    <w:bookmarkStart w:id="274" w:name="ref-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273">
        <w:r>
          <w:rPr>
            <w:rStyle w:val="Hyperlink"/>
          </w:rPr>
          <w:t xml:space="preserve">https://www.lamoncloa.gob.es/serviciosdeprensa/notasprensa/inclusion/Paginas/2025/121225-revalorizacion-pensiones.aspx</w:t>
        </w:r>
      </w:hyperlink>
      <w:r>
        <w:t xml:space="preserve">.</w:t>
      </w:r>
    </w:p>
    <w:bookmarkEnd w:id="274"/>
    <w:bookmarkStart w:id="276"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275">
        <w:r>
          <w:rPr>
            <w:rStyle w:val="Hyperlink"/>
          </w:rPr>
          <w:t xml:space="preserve">https://doi.org/10.2307/2296792</w:t>
        </w:r>
      </w:hyperlink>
      <w:r>
        <w:t xml:space="preserve">.</w:t>
      </w:r>
    </w:p>
    <w:bookmarkEnd w:id="276"/>
    <w:bookmarkStart w:id="278"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277">
        <w:r>
          <w:rPr>
            <w:rStyle w:val="Hyperlink"/>
          </w:rPr>
          <w:t xml:space="preserve">https://doi.org/10.2307/1911540</w:t>
        </w:r>
      </w:hyperlink>
      <w:r>
        <w:t xml:space="preserve">.</w:t>
      </w:r>
    </w:p>
    <w:bookmarkEnd w:id="278"/>
    <w:bookmarkStart w:id="279" w:name="ref-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279"/>
    <w:bookmarkStart w:id="281" w:name="ref-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280">
        <w:r>
          <w:rPr>
            <w:rStyle w:val="Hyperlink"/>
          </w:rPr>
          <w:t xml:space="preserve">https://doi.org/10.2307/1911416</w:t>
        </w:r>
      </w:hyperlink>
      <w:r>
        <w:t xml:space="preserve">.</w:t>
      </w:r>
    </w:p>
    <w:bookmarkEnd w:id="281"/>
    <w:bookmarkStart w:id="282" w:name="ref-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282"/>
    <w:bookmarkStart w:id="284"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283">
        <w:r>
          <w:rPr>
            <w:rStyle w:val="Hyperlink"/>
          </w:rPr>
          <w:t xml:space="preserve">https://doi.org/10.2307/1905479</w:t>
        </w:r>
      </w:hyperlink>
      <w:r>
        <w:t xml:space="preserve">.</w:t>
      </w:r>
    </w:p>
    <w:bookmarkEnd w:id="284"/>
    <w:bookmarkStart w:id="286"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285">
        <w:r>
          <w:rPr>
            <w:rStyle w:val="Hyperlink"/>
          </w:rPr>
          <w:t xml:space="preserve">https://doi.org/10.2307/2548836</w:t>
        </w:r>
      </w:hyperlink>
      <w:r>
        <w:t xml:space="preserve">.</w:t>
      </w:r>
    </w:p>
    <w:bookmarkEnd w:id="286"/>
    <w:bookmarkStart w:id="288"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287">
        <w:r>
          <w:rPr>
            <w:rStyle w:val="Hyperlink"/>
          </w:rPr>
          <w:t xml:space="preserve">https://doi.org/10.2307/2549561</w:t>
        </w:r>
      </w:hyperlink>
      <w:r>
        <w:t xml:space="preserve">.</w:t>
      </w:r>
    </w:p>
    <w:bookmarkEnd w:id="288"/>
    <w:bookmarkStart w:id="289" w:name="ref-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289"/>
    <w:bookmarkStart w:id="291" w:name="ref-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290">
        <w:r>
          <w:rPr>
            <w:rStyle w:val="Hyperlink"/>
          </w:rPr>
          <w:t xml:space="preserve">https://www.funcas.es/wp-content/uploads/Migracion/Articulos/FUNCAS_CIE/228art02.pdf</w:t>
        </w:r>
      </w:hyperlink>
      <w:r>
        <w:t xml:space="preserve">.</w:t>
      </w:r>
    </w:p>
    <w:bookmarkEnd w:id="291"/>
    <w:bookmarkStart w:id="29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92"/>
    <w:bookmarkStart w:id="293"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293"/>
    <w:bookmarkStart w:id="2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294">
        <w:r>
          <w:rPr>
            <w:rStyle w:val="Hyperlink"/>
          </w:rPr>
          <w:t xml:space="preserve">https://doi.org/10.2307/2227743</w:t>
        </w:r>
      </w:hyperlink>
      <w:r>
        <w:t xml:space="preserve">.</w:t>
      </w:r>
    </w:p>
    <w:bookmarkEnd w:id="295"/>
    <w:bookmarkStart w:id="297" w:name="ref-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296">
        <w:r>
          <w:rPr>
            <w:rStyle w:val="Hyperlink"/>
          </w:rPr>
          <w:t xml:space="preserve">https://doi.org/10.2307/1910254</w:t>
        </w:r>
      </w:hyperlink>
      <w:r>
        <w:t xml:space="preserve">.</w:t>
      </w:r>
    </w:p>
    <w:bookmarkEnd w:id="297"/>
    <w:bookmarkStart w:id="298"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98"/>
    <w:bookmarkStart w:id="300" w:name="ref-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299">
        <w:r>
          <w:rPr>
            <w:rStyle w:val="Hyperlink"/>
          </w:rPr>
          <w:t xml:space="preserve">https://www.nobelprize.org/prizes/economic-sciences/2015/summary/</w:t>
        </w:r>
      </w:hyperlink>
      <w:r>
        <w:t xml:space="preserve">.</w:t>
      </w:r>
    </w:p>
    <w:bookmarkEnd w:id="300"/>
    <w:bookmarkStart w:id="302"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01">
        <w:r>
          <w:rPr>
            <w:rStyle w:val="Hyperlink"/>
          </w:rPr>
          <w:t xml:space="preserve">https://doi.org/10.2307/1911889</w:t>
        </w:r>
      </w:hyperlink>
      <w:r>
        <w:t xml:space="preserve">.</w:t>
      </w:r>
    </w:p>
    <w:bookmarkEnd w:id="302"/>
    <w:bookmarkStart w:id="304" w:name="ref-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03">
        <w:r>
          <w:rPr>
            <w:rStyle w:val="Hyperlink"/>
          </w:rPr>
          <w:t xml:space="preserve">https://eur-lex.europa.eu/legal-content/ES/TXT/?uri=CELEX:32013R0549</w:t>
        </w:r>
      </w:hyperlink>
      <w:r>
        <w:t xml:space="preserve">.</w:t>
      </w:r>
    </w:p>
    <w:bookmarkEnd w:id="304"/>
    <w:bookmarkStart w:id="306" w:name="ref-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05">
        <w:r>
          <w:rPr>
            <w:rStyle w:val="Hyperlink"/>
          </w:rPr>
          <w:t xml:space="preserve">https://api.bls.gov/publicAPI/v1/timeseries/data/SUUR0000SA0</w:t>
        </w:r>
      </w:hyperlink>
      <w:r>
        <w:t xml:space="preserve">.</w:t>
      </w:r>
    </w:p>
    <w:bookmarkEnd w:id="306"/>
    <w:bookmarkStart w:id="308" w:name="ref-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07">
        <w:r>
          <w:rPr>
            <w:rStyle w:val="Hyperlink"/>
          </w:rPr>
          <w:t xml:space="preserve">https://doi.org/10.2307/2525564</w:t>
        </w:r>
      </w:hyperlink>
      <w:r>
        <w:t xml:space="preserve">.</w:t>
      </w:r>
    </w:p>
    <w:bookmarkEnd w:id="308"/>
    <w:bookmarkStart w:id="309"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09"/>
    <w:bookmarkStart w:id="310" w:name="ref-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10"/>
    <w:bookmarkStart w:id="312" w:name="ref-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11">
        <w:r>
          <w:rPr>
            <w:rStyle w:val="Hyperlink"/>
          </w:rPr>
          <w:t xml:space="preserve">https://doi.org/10.1080/01621459.1943.10501775</w:t>
        </w:r>
      </w:hyperlink>
      <w:r>
        <w:t xml:space="preserve">.</w:t>
      </w:r>
    </w:p>
    <w:bookmarkEnd w:id="312"/>
    <w:bookmarkEnd w:id="313"/>
    <w:bookmarkEnd w:id="31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Por ejemplo, la relación entre la función indirecta de utilidad y la función de utilidad directa (apartado III.1).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r>
        <w:rPr>
          <w:rStyle w:val="Referenciaatema"/>
        </w:rPr>
        <w:t xml:space="preserve">[ver tema 3.A.12]</w:t>
      </w:r>
      <w:r>
        <w:t xml:space="preserve">.</w:t>
      </w:r>
    </w:p>
  </w:footnote>
  <w:footnote w:id="30">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36">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37">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r>
        <w:rPr>
          <w:rStyle w:val="Referenciaatema"/>
        </w:rPr>
        <w:t xml:space="preserve">[ver tema 3.A.21]</w:t>
      </w:r>
      <w:r>
        <w:t xml:space="preserve">.</w:t>
      </w:r>
    </w:p>
  </w:footnote>
  <w:footnote w:id="48">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I.3:</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w:p>
  </w:footnote>
  <w:footnote w:id="54">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55">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71">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81">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r>
        <w:rPr>
          <w:rStyle w:val="Referenciaatema"/>
        </w:rPr>
        <w:t xml:space="preserve">[ver tema 3.A.11]</w:t>
      </w:r>
      <w:r>
        <w:t xml:space="preserve">.</w:t>
      </w:r>
    </w:p>
  </w:footnote>
  <w:footnote w:id="116">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17">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23">
    <w:p>
      <w:pPr>
        <w:pStyle w:val="FootnoteText"/>
      </w:pPr>
      <w:r>
        <w:rPr>
          <w:rStyle w:val="FootnoteReference"/>
        </w:rPr>
        <w:footnoteRef/>
      </w:r>
    </w:p>
    <w:p>
      <w:pPr>
        <w:pStyle w:val="FootnoteText"/>
      </w:pPr>
      <w:r>
        <w:t xml:space="preserve">Paso a paso, multiplicando los dos lados de (29)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w:t>
      </w:r>
    </w:p>
  </w:footnote>
  <w:footnote w:id="129">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r>
        <w:rPr>
          <w:rStyle w:val="Referenciaatema"/>
        </w:rPr>
        <w:t xml:space="preserve">[ver tema 3.A.3]</w:t>
      </w:r>
      <w:r>
        <w:t xml:space="preserve">.</w:t>
      </w:r>
    </w:p>
  </w:footnote>
  <w:footnote w:id="142">
    <w:p>
      <w:pPr>
        <w:pStyle w:val="FootnoteText"/>
      </w:pPr>
      <w:r>
        <w:rPr>
          <w:rStyle w:val="FootnoteReference"/>
        </w:rPr>
        <w:footnoteRef/>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no las introduce: muestra cuándo el excedente marshalliano las aproxima.</w:t>
      </w:r>
    </w:p>
  </w:footnote>
  <w:footnote w:id="157">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w:t>
      </w:r>
    </w:p>
  </w:footnote>
  <w:footnote w:id="158">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56" Target="media/rId56.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73" Target="media/rId73.png" /><Relationship Type="http://schemas.openxmlformats.org/officeDocument/2006/relationships/image" Id="rId22" Target="media/rId22.png" /><Relationship Type="http://schemas.openxmlformats.org/officeDocument/2006/relationships/image" Id="rId159" Target="media/rId159.png" /><Relationship Type="http://schemas.openxmlformats.org/officeDocument/2006/relationships/image" Id="rId66" Target="media/rId66.png" /><Relationship Type="http://schemas.openxmlformats.org/officeDocument/2006/relationships/image" Id="rId31" Target="media/rId31.png" /><Relationship Type="http://schemas.openxmlformats.org/officeDocument/2006/relationships/image" Id="rId118" Target="media/rId118.png" /><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language>es-ES</dc:language>
  <cp:keywords/>
  <dcterms:created xsi:type="dcterms:W3CDTF">2026-10-16T14:37:53Z</dcterms:created>
  <dcterms:modified xsi:type="dcterms:W3CDTF">2026-10-16T14:37:53Z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3A09</vt:lpwstr>
  </property>
  <property fmtid="{D5CDD505-2E9C-101B-9397-08002B2CF9AE}" pid="4" name="bibliography">
    <vt:lpwstr>C:\Users\vgutierrez\Documents\src\victorgutierrezmarcos.github.io-revision\oposicion\temario\fuentes\3A09\3A09.bib</vt:lpwstr>
  </property>
  <property fmtid="{D5CDD505-2E9C-101B-9397-08002B2CF9AE}" pid="5" name="carpeta">
    <vt:lpwstr>tercer-ejercicio</vt:lpwstr>
  </property>
  <property fmtid="{D5CDD505-2E9C-101B-9397-08002B2CF9AE}" pid="6" name="codigo">
    <vt:lpwstr>3.A.9</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C:\Users\vgutierrez\Documents\src\victorgutierrezmarcos.github.io-revision\oposicion\temario\fuentes\3A09\graficos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40 págs. · Anexos: 5 · Bibliografía: 4</vt:lpwstr>
  </property>
  <property fmtid="{D5CDD505-2E9C-101B-9397-08002B2CF9AE}" pid="17"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18" name="reference-section-title">
    <vt:lpwstr>Bibliografía</vt:lpwstr>
  </property>
  <property fmtid="{D5CDD505-2E9C-101B-9397-08002B2CF9AE}" pid="19" name="resumen">
    <vt:lpwstr>Demanda hicksiana, función de gasto, lema de Shephard e identidad de Roy, integrabilidad, sistemas de demanda (AIDS, Rotterdam) y variación compensatoria.</vt:lpwstr>
  </property>
  <property fmtid="{D5CDD505-2E9C-101B-9397-08002B2CF9AE}" pid="20" name="titulo">
    <vt:lpwstr>Teoría de la demanda del consumidor (II). Dualidad e integrabilidad de las preferencias. Sistemas de demanda utilizados en estudios empíricos. Medidas de cambio en el bienestar.</vt:lpwstr>
  </property>
  <property fmtid="{D5CDD505-2E9C-101B-9397-08002B2CF9AE}" pid="21" name="titulo-seo">
    <vt:lpwstr>Dualidad del consumidor y medidas de bienestar</vt:lpwstr>
  </property>
</Properties>
</file>