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8.png" ContentType="image/png"/>
  <Override PartName="/word/media/rId76.png" ContentType="image/png"/>
  <Override PartName="/word/media/rId92.png" ContentType="image/png"/>
  <Override PartName="/word/media/rId143.png" ContentType="image/png"/>
  <Override PartName="/word/media/rId111.png" ContentType="image/png"/>
  <Override PartName="/word/media/rId201.png" ContentType="image/png"/>
  <Override PartName="/word/media/rId123.png" ContentType="image/png"/>
  <Override PartName="/word/media/rId62.png" ContentType="image/png"/>
  <Override PartName="/word/media/rId47.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3.A.20: Poder de mercado y regulación óptima. Definición</w:t>
      </w:r>
      <w:r>
        <w:br/>
      </w:r>
      <w:r>
        <w:t xml:space="preserve">del mercado relevante. Desarrollos en presencia</w:t>
      </w:r>
      <w:r>
        <w:br/>
      </w:r>
      <w:r>
        <w:t xml:space="preserve">de información asimétrica. Aplicaciones prácticas.</w:t>
      </w:r>
    </w:p>
    <w:p>
      <w:pPr>
        <w:pStyle w:val="Author"/>
      </w:pPr>
      <w:r>
        <w:t xml:space="preserve">Víctor Gutiérrez Marcos</w:t>
      </w:r>
    </w:p>
    <w:p>
      <w:pPr>
        <w:pStyle w:val="Date"/>
      </w:pPr>
      <w:r>
        <w:t xml:space="preserve">Última actualización: 22/10/2026</w:t>
      </w:r>
    </w:p>
    <w:p>
      <w:pPr>
        <w:pStyle w:val="Paginasdeltema"/>
      </w:pPr>
      <w:r>
        <w:t xml:space="preserve">Tema: 35 págs. · Anexos: 8 · Bibliografía: 7 (PDF)</w:t>
      </w:r>
    </w:p>
    <w:bookmarkStart w:id="24"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«Tener la sartén por el mango», decimos de quien manda. Una empresa con poder de mercado la tiene: puede fijar el precio. Y si, además, es la única que sabe lo que hay dentro de la sartén, cuánto le cuesta de verdad producir, quien quiera regularla cocina a ciegas.</w:t>
      </w:r>
    </w:p>
    <w:p>
      <w:pPr>
        <w:numPr>
          <w:ilvl w:val="1"/>
          <w:numId w:val="1002"/>
        </w:numPr>
      </w:pPr>
      <w:r>
        <w:t xml:space="preserve">Lo vemos hoy en las redes eléctricas. En diciembre de 2025, la Comisión Nacional de los Mercados y la Competencia (CNMC) subió del 5,58 % al 6,58 % la tasa de retribución financiera que aplica a los activos de las redes de transporte y distribución de electricidad para 2026-2031</w:t>
      </w:r>
      <w:r>
        <w:t xml:space="preserve"> </w:t>
      </w:r>
      <w:r>
        <w:t xml:space="preserve">(</w:t>
      </w:r>
      <w:hyperlink w:anchor="ref_CNMC2025Circular9">
        <w:r>
          <w:rPr>
            <w:rStyle w:val="Hyperlink"/>
            <w:smallCaps/>
          </w:rPr>
          <w:t xml:space="preserve">Comisión Nacional de los Mercados y la Competencia</w:t>
        </w:r>
        <w:r>
          <w:rPr>
            <w:rStyle w:val="Hyperlink"/>
          </w:rPr>
          <w:t xml:space="preserve">, 2025d</w:t>
        </w:r>
      </w:hyperlink>
      <w:r>
        <w:t xml:space="preserve">,</w:t>
      </w:r>
      <w:r>
        <w:t xml:space="preserve"> </w:t>
      </w:r>
      <w:hyperlink w:anchor="ref_CNMC2025NPCirculares">
        <w:r>
          <w:rPr>
            <w:rStyle w:val="Hyperlink"/>
          </w:rPr>
          <w:t xml:space="preserve">2025c</w:t>
        </w:r>
      </w:hyperlink>
      <w:r>
        <w:t xml:space="preserve">)</w:t>
      </w:r>
      <w:r>
        <w:t xml:space="preserve">. ¿Es mucho o es poco? Si es poco, no se invertirá en las redes que exige la transición energética; si es mucho, los consumidores pagarán rentas. Y quien mejor lo sabe es la empresa regulada.</w:t>
      </w:r>
    </w:p>
    <w:p>
      <w:pPr>
        <w:numPr>
          <w:ilvl w:val="1"/>
          <w:numId w:val="1002"/>
        </w:numPr>
      </w:pPr>
      <w:r>
        <w:t xml:space="preserve">Detrás están las preguntas de esta exposición: ¿cuándo hay que regular a una empresa con poder de mercado, en qué mercado se mide ese poder y cómo se regula cuando la empresa sabe más que el regulador?</w:t>
      </w:r>
    </w:p>
    <w:p>
      <w:pPr>
        <w:keepNext/>
        <w:numPr>
          <w:ilvl w:val="0"/>
          <w:numId w:val="1001"/>
        </w:numPr>
      </w:pPr>
      <w:r>
        <w:rPr>
          <w:b/>
          <w:bCs/>
          <w:i/>
          <w:iCs/>
        </w:rPr>
        <w:t xml:space="preserve">Relevancia</w:t>
      </w:r>
      <w:r>
        <w:t xml:space="preserve">:</w:t>
      </w:r>
    </w:p>
    <w:p>
      <w:pPr>
        <w:numPr>
          <w:ilvl w:val="1"/>
          <w:numId w:val="1003"/>
        </w:numPr>
      </w:pPr>
      <w:r>
        <w:rPr>
          <w:i/>
          <w:iCs/>
        </w:rPr>
        <w:t xml:space="preserve">Teórica</w:t>
      </w:r>
      <w:r>
        <w:t xml:space="preserve">: es una de las aplicaciones más logradas de la economía de la información y del diseño de mecanismos; Jean</w:t>
      </w:r>
      <w:r>
        <w:t xml:space="preserve"> </w:t>
      </w:r>
      <w:r>
        <w:rPr>
          <w:smallCaps/>
        </w:rPr>
        <w:t xml:space="preserve">Tirole</w:t>
      </w:r>
      <w:r>
        <w:t xml:space="preserve"> </w:t>
      </w:r>
      <w:r>
        <w:t xml:space="preserve">recibió el Premio Nobel de Economía en 2014 «por su análisis del poder de mercado y la regulación»</w:t>
      </w:r>
      <w:r>
        <w:t xml:space="preserve"> </w:t>
      </w:r>
      <w:r>
        <w:t xml:space="preserve">(</w:t>
      </w:r>
      <w:hyperlink w:anchor="ref_Nobel2014Tirole">
        <w:r>
          <w:rPr>
            <w:rStyle w:val="Hyperlink"/>
            <w:smallCaps/>
          </w:rPr>
          <w:t xml:space="preserve">The Nobel Prize</w:t>
        </w:r>
        <w:r>
          <w:rPr>
            <w:rStyle w:val="Hyperlink"/>
          </w:rPr>
          <w:t xml:space="preserve">, 2014</w:t>
        </w:r>
      </w:hyperlink>
      <w:r>
        <w:t xml:space="preserve">)</w:t>
      </w:r>
      <w:r>
        <w:t xml:space="preserve">.</w:t>
      </w:r>
    </w:p>
    <w:p>
      <w:pPr>
        <w:numPr>
          <w:ilvl w:val="1"/>
          <w:numId w:val="1003"/>
        </w:numPr>
      </w:pPr>
      <w:r>
        <w:rPr>
          <w:i/>
          <w:iCs/>
        </w:rPr>
        <w:t xml:space="preserve">Empírica</w:t>
      </w:r>
      <w:r>
        <w:t xml:space="preserve">: con datos de empresas cotizadas de Estados Unidos, el precio medio pasó de estar un 21 % por encima del coste marginal en 1980 a un 61 % en 2016</w:t>
      </w:r>
      <w:r>
        <w:t xml:space="preserve"> </w:t>
      </w:r>
      <w:r>
        <w:t xml:space="preserve">(</w:t>
      </w:r>
      <w:hyperlink w:anchor="ref_DeLoeckerEeckhoutUnger2020Rise">
        <w:r>
          <w:rPr>
            <w:rStyle w:val="Hyperlink"/>
            <w:smallCaps/>
          </w:rPr>
          <w:t xml:space="preserve">De Loecker</w:t>
        </w:r>
        <w:r>
          <w:rPr>
            <w:rStyle w:val="Hyperlink"/>
          </w:rPr>
          <w:t xml:space="preserve">,</w:t>
        </w:r>
        <w:r>
          <w:rPr>
            <w:rStyle w:val="Hyperlink"/>
          </w:rPr>
          <w:t xml:space="preserve"> </w:t>
        </w:r>
        <w:r>
          <w:rPr>
            <w:rStyle w:val="Hyperlink"/>
            <w:smallCaps/>
          </w:rPr>
          <w:t xml:space="preserve">Eeckhout</w:t>
        </w:r>
        <w:r>
          <w:rPr>
            <w:rStyle w:val="Hyperlink"/>
          </w:rPr>
          <w:t xml:space="preserve"> </w:t>
        </w:r>
        <w:r>
          <w:rPr>
            <w:rStyle w:val="Hyperlink"/>
          </w:rPr>
          <w:t xml:space="preserve">y</w:t>
        </w:r>
        <w:r>
          <w:rPr>
            <w:rStyle w:val="Hyperlink"/>
          </w:rPr>
          <w:t xml:space="preserve"> </w:t>
        </w:r>
        <w:r>
          <w:rPr>
            <w:rStyle w:val="Hyperlink"/>
            <w:smallCaps/>
          </w:rPr>
          <w:t xml:space="preserve">Unger</w:t>
        </w:r>
        <w:r>
          <w:rPr>
            <w:rStyle w:val="Hyperlink"/>
          </w:rPr>
          <w:t xml:space="preserve">, 2020</w:t>
        </w:r>
      </w:hyperlink>
      <w:r>
        <w:t xml:space="preserve">)</w:t>
      </w:r>
      <w:r>
        <w:t xml:space="preserve">, y unas pocas empresas «superestrella», con márgenes altos, explican parte de la caída de la participación del trabajo en la renta</w:t>
      </w:r>
      <w:r>
        <w:t xml:space="preserve"> </w:t>
      </w:r>
      <w:r>
        <w:t xml:space="preserve">(</w:t>
      </w:r>
      <w:hyperlink w:anchor="ref_AutorEtAl2020Fall">
        <w:r>
          <w:rPr>
            <w:rStyle w:val="Hyperlink"/>
            <w:smallCaps/>
          </w:rPr>
          <w:t xml:space="preserve">Autor</w:t>
        </w:r>
        <w:r>
          <w:rPr>
            <w:rStyle w:val="Hyperlink"/>
          </w:rPr>
          <w:t xml:space="preserve"> </w:t>
        </w:r>
        <w:r>
          <w:rPr>
            <w:rStyle w:val="Hyperlink"/>
          </w:rPr>
          <w:t xml:space="preserve">et al., 2020</w:t>
        </w:r>
      </w:hyperlink>
      <w:r>
        <w:t xml:space="preserve">)</w:t>
      </w:r>
      <w:r>
        <w:t xml:space="preserve">.</w:t>
      </w:r>
    </w:p>
    <w:p>
      <w:pPr>
        <w:numPr>
          <w:ilvl w:val="1"/>
          <w:numId w:val="1003"/>
        </w:numPr>
      </w:pPr>
      <w:r>
        <w:rPr>
          <w:i/>
          <w:iCs/>
        </w:rPr>
        <w:t xml:space="preserve">De política económica</w:t>
      </w:r>
      <w:r>
        <w:t xml:space="preserve">: la energía, las telecomunicaciones, el transporte, el agua y, desde 2023, las grandes plataformas digitales están regulados</w:t>
      </w:r>
      <w:r>
        <w:t xml:space="preserve"> </w:t>
      </w:r>
      <w:r>
        <w:rPr>
          <w:i/>
          <w:iCs/>
        </w:rPr>
        <w:t xml:space="preserve">ex ante</w:t>
      </w:r>
      <w:r>
        <w:t xml:space="preserve"> </w:t>
      </w:r>
      <w:r>
        <w:t xml:space="preserve">(</w:t>
      </w:r>
      <w:hyperlink w:anchor="ref_UE2022DMA">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2022</w:t>
        </w:r>
      </w:hyperlink>
      <w:r>
        <w:t xml:space="preserve">)</w:t>
      </w:r>
      <w:r>
        <w:t xml:space="preserve">; la CNMC y los ministerios aplican a diario estos instrumentos, y la política de competencia de la Unión Europea empieza siempre por definir el mercado relevante</w:t>
      </w:r>
      <w:r>
        <w:t xml:space="preserve"> </w:t>
      </w:r>
      <w:hyperlink r:id="rId20">
        <w:r>
          <w:rPr>
            <w:rStyle w:val="Referenciaatema"/>
          </w:rPr>
          <w:t xml:space="preserve">[ver tema 3.B.39]</w:t>
        </w:r>
      </w:hyperlink>
      <w:r>
        <w:t xml:space="preserve"> </w:t>
      </w:r>
      <w:hyperlink r:id="rId21">
        <w:r>
          <w:rPr>
            <w:rStyle w:val="Referenciaatema"/>
          </w:rPr>
          <w:t xml:space="preserve">[ver tema 4.A.15]</w:t>
        </w:r>
      </w:hyperlink>
      <w:r>
        <w:t xml:space="preserve">.</w:t>
      </w:r>
    </w:p>
    <w:p>
      <w:pPr>
        <w:keepNext/>
        <w:numPr>
          <w:ilvl w:val="0"/>
          <w:numId w:val="1001"/>
        </w:numPr>
      </w:pPr>
      <w:r>
        <w:rPr>
          <w:b/>
          <w:bCs/>
          <w:i/>
          <w:iCs/>
        </w:rPr>
        <w:t xml:space="preserve">Contextualización</w:t>
      </w:r>
      <w:r>
        <w:t xml:space="preserve">:</w:t>
      </w:r>
    </w:p>
    <w:p>
      <w:pPr>
        <w:numPr>
          <w:ilvl w:val="1"/>
          <w:numId w:val="1004"/>
        </w:numPr>
      </w:pPr>
      <w:r>
        <w:rPr>
          <w:i/>
          <w:iCs/>
        </w:rPr>
        <w:t xml:space="preserve">Definiciones</w:t>
      </w:r>
      <w:r>
        <w:t xml:space="preserve">. Decimos que una empresa tiene</w:t>
      </w:r>
      <w:r>
        <w:t xml:space="preserve"> </w:t>
      </w:r>
      <w:r>
        <w:rPr>
          <w:b/>
          <w:bCs/>
        </w:rPr>
        <w:t xml:space="preserve">poder de mercado</w:t>
      </w:r>
      <w:r>
        <w:t xml:space="preserve"> </w:t>
      </w:r>
      <w:r>
        <w:t xml:space="preserve">cuando puede cobrar, durante un tiempo y sin perder a todos sus clientes, un precio superior a su coste marginal y ganar con ello. La</w:t>
      </w:r>
      <w:r>
        <w:t xml:space="preserve"> </w:t>
      </w:r>
      <w:r>
        <w:rPr>
          <w:b/>
          <w:bCs/>
        </w:rPr>
        <w:t xml:space="preserve">regulación económica</w:t>
      </w:r>
      <w:r>
        <w:t xml:space="preserve"> </w:t>
      </w:r>
      <w:r>
        <w:t xml:space="preserve">es la intervención pública</w:t>
      </w:r>
      <w:r>
        <w:t xml:space="preserve"> </w:t>
      </w:r>
      <w:r>
        <w:rPr>
          <w:i/>
          <w:iCs/>
        </w:rPr>
        <w:t xml:space="preserve">ex ante</w:t>
      </w:r>
      <w:r>
        <w:t xml:space="preserve"> </w:t>
      </w:r>
      <w:r>
        <w:t xml:space="preserve">que fija precios, condiciones de entrada, calidad o acceso. Y la</w:t>
      </w:r>
      <w:r>
        <w:t xml:space="preserve"> </w:t>
      </w:r>
      <w:r>
        <w:rPr>
          <w:b/>
          <w:bCs/>
        </w:rPr>
        <w:t xml:space="preserve">regulación óptima</w:t>
      </w:r>
      <w:r>
        <w:t xml:space="preserve">, la que lleva el bienestar social a su máximo dentro de lo que permiten la viabilidad de la empresa y la información del regulador.</w:t>
      </w:r>
    </w:p>
    <w:p>
      <w:pPr>
        <w:numPr>
          <w:ilvl w:val="1"/>
          <w:numId w:val="1004"/>
        </w:numPr>
      </w:pPr>
      <w:r>
        <w:t xml:space="preserve">El poder de mercado rompe un supuesto del primer teorema fundamental de la economía del bienestar (1TFEB), el de agentes precio-aceptantes, y el equilibrio deja de ser eficiente</w:t>
      </w:r>
      <w:r>
        <w:t xml:space="preserve"> </w:t>
      </w:r>
      <w:hyperlink r:id="rId22">
        <w:r>
          <w:rPr>
            <w:rStyle w:val="Referenciaatema"/>
          </w:rPr>
          <w:t xml:space="preserve">[ver tema 3.A.22]</w:t>
        </w:r>
      </w:hyperlink>
      <w:r>
        <w:t xml:space="preserve"> </w:t>
      </w:r>
      <w:hyperlink r:id="rId23">
        <w:r>
          <w:rPr>
            <w:rStyle w:val="Referenciaatema"/>
          </w:rPr>
          <w:t xml:space="preserve">[ver tema 3.A.23]</w:t>
        </w:r>
      </w:hyperlink>
      <w:r>
        <w:t xml:space="preserve">.</w:t>
      </w:r>
      <w:r>
        <w:t xml:space="preserve"> </w:t>
      </w:r>
      <w:r>
        <w:rPr>
          <w:smallCaps/>
        </w:rPr>
        <w:t xml:space="preserve">Harberger</w:t>
      </w:r>
      <w:r>
        <w:t xml:space="preserve"> </w:t>
      </w:r>
      <w:r>
        <w:t xml:space="preserve">(</w:t>
      </w:r>
      <w:hyperlink w:anchor="ref_Harberger1954Monopoly">
        <w:r>
          <w:rPr>
            <w:rStyle w:val="Hyperlink"/>
          </w:rPr>
          <w:t xml:space="preserve">1954</w:t>
        </w:r>
      </w:hyperlink>
      <w:r>
        <w:t xml:space="preserve">)</w:t>
      </w:r>
      <w:r>
        <w:t xml:space="preserve"> </w:t>
      </w:r>
      <w:r>
        <w:t xml:space="preserve">midió por primera vez su coste.</w:t>
      </w:r>
    </w:p>
    <w:p>
      <w:pPr>
        <w:numPr>
          <w:ilvl w:val="1"/>
          <w:numId w:val="1004"/>
        </w:numPr>
      </w:pPr>
      <w:r>
        <w:t xml:space="preserve">La</w:t>
      </w:r>
      <w:r>
        <w:t xml:space="preserve"> </w:t>
      </w:r>
      <w:r>
        <w:rPr>
          <w:b/>
          <w:bCs/>
        </w:rPr>
        <w:t xml:space="preserve">teoría tradicional de la regulación</w:t>
      </w:r>
      <w:r>
        <w:t xml:space="preserve">, de Jules</w:t>
      </w:r>
      <w:r>
        <w:t xml:space="preserve"> </w:t>
      </w:r>
      <w:r>
        <w:rPr>
          <w:smallCaps/>
        </w:rPr>
        <w:t xml:space="preserve">Dupuit</w:t>
      </w:r>
      <w:r>
        <w:t xml:space="preserve"> </w:t>
      </w:r>
      <w:r>
        <w:t xml:space="preserve">(</w:t>
      </w:r>
      <w:hyperlink w:anchor="ref_Dupuit1844Mesure">
        <w:r>
          <w:rPr>
            <w:rStyle w:val="Hyperlink"/>
          </w:rPr>
          <w:t xml:space="preserve">1844</w:t>
        </w:r>
      </w:hyperlink>
      <w:r>
        <w:t xml:space="preserve">)</w:t>
      </w:r>
      <w:r>
        <w:t xml:space="preserve"> </w:t>
      </w:r>
      <w:r>
        <w:t xml:space="preserve">a Harold</w:t>
      </w:r>
      <w:r>
        <w:t xml:space="preserve"> </w:t>
      </w:r>
      <w:r>
        <w:rPr>
          <w:smallCaps/>
        </w:rPr>
        <w:t xml:space="preserve">Hotelling</w:t>
      </w:r>
      <w:r>
        <w:t xml:space="preserve"> </w:t>
      </w:r>
      <w:r>
        <w:t xml:space="preserve">(</w:t>
      </w:r>
      <w:hyperlink w:anchor="ref_Hotelling1938General">
        <w:r>
          <w:rPr>
            <w:rStyle w:val="Hyperlink"/>
          </w:rPr>
          <w:t xml:space="preserve">1938</w:t>
        </w:r>
      </w:hyperlink>
      <w:r>
        <w:t xml:space="preserve">)</w:t>
      </w:r>
      <w:r>
        <w:t xml:space="preserve">, Ronald</w:t>
      </w:r>
      <w:r>
        <w:t xml:space="preserve"> </w:t>
      </w:r>
      <w:r>
        <w:rPr>
          <w:smallCaps/>
        </w:rPr>
        <w:t xml:space="preserve">Coase</w:t>
      </w:r>
      <w:r>
        <w:t xml:space="preserve"> </w:t>
      </w:r>
      <w:r>
        <w:t xml:space="preserve">(</w:t>
      </w:r>
      <w:hyperlink w:anchor="ref_Coase1946Marginal">
        <w:r>
          <w:rPr>
            <w:rStyle w:val="Hyperlink"/>
          </w:rPr>
          <w:t xml:space="preserve">1946</w:t>
        </w:r>
      </w:hyperlink>
      <w:r>
        <w:t xml:space="preserve">)</w:t>
      </w:r>
      <w:r>
        <w:t xml:space="preserve"> </w:t>
      </w:r>
      <w:r>
        <w:t xml:space="preserve">y Marcel</w:t>
      </w:r>
      <w:r>
        <w:t xml:space="preserve"> </w:t>
      </w:r>
      <w:r>
        <w:rPr>
          <w:smallCaps/>
        </w:rPr>
        <w:t xml:space="preserve">Boiteux</w:t>
      </w:r>
      <w:r>
        <w:t xml:space="preserve"> </w:t>
      </w:r>
      <w:r>
        <w:t xml:space="preserve">(</w:t>
      </w:r>
      <w:hyperlink w:anchor="ref_Boiteux1956Gestion">
        <w:r>
          <w:rPr>
            <w:rStyle w:val="Hyperlink"/>
          </w:rPr>
          <w:t xml:space="preserve">1956</w:t>
        </w:r>
      </w:hyperlink>
      <w:r>
        <w:t xml:space="preserve">)</w:t>
      </w:r>
      <w:r>
        <w:t xml:space="preserve">, busca los precios óptimos de un monopolio natural con un regulador benevolente e informado. En Estados Unidos se reguló durante buena parte del siglo XX con la tasa de rentabilidad, cuya distorsión mostraron</w:t>
      </w:r>
      <w:r>
        <w:t xml:space="preserve"> </w:t>
      </w:r>
      <w:r>
        <w:rPr>
          <w:smallCaps/>
        </w:rPr>
        <w:t xml:space="preserve">Averch</w:t>
      </w:r>
      <w:r>
        <w:t xml:space="preserve"> </w:t>
      </w:r>
      <w:r>
        <w:t xml:space="preserve">y</w:t>
      </w:r>
      <w:r>
        <w:t xml:space="preserve"> </w:t>
      </w:r>
      <w:r>
        <w:rPr>
          <w:smallCaps/>
        </w:rPr>
        <w:t xml:space="preserve">Johnson</w:t>
      </w:r>
      <w:r>
        <w:t xml:space="preserve"> </w:t>
      </w:r>
      <w:r>
        <w:t xml:space="preserve">(</w:t>
      </w:r>
      <w:hyperlink w:anchor="ref_AverchJohnson1962Behavior">
        <w:r>
          <w:rPr>
            <w:rStyle w:val="Hyperlink"/>
          </w:rPr>
          <w:t xml:space="preserve">1962</w:t>
        </w:r>
      </w:hyperlink>
      <w:r>
        <w:t xml:space="preserve">)</w:t>
      </w:r>
      <w:r>
        <w:t xml:space="preserve">.</w:t>
      </w:r>
    </w:p>
    <w:p>
      <w:pPr>
        <w:numPr>
          <w:ilvl w:val="1"/>
          <w:numId w:val="1004"/>
        </w:numPr>
      </w:pPr>
      <w:r>
        <w:t xml:space="preserve">En los años 70, George</w:t>
      </w:r>
      <w:r>
        <w:t xml:space="preserve"> </w:t>
      </w:r>
      <w:r>
        <w:rPr>
          <w:smallCaps/>
        </w:rPr>
        <w:t xml:space="preserve">Stigler</w:t>
      </w:r>
      <w:r>
        <w:t xml:space="preserve"> </w:t>
      </w:r>
      <w:r>
        <w:t xml:space="preserve">(</w:t>
      </w:r>
      <w:hyperlink w:anchor="ref_Stigler1971Theory">
        <w:r>
          <w:rPr>
            <w:rStyle w:val="Hyperlink"/>
          </w:rPr>
          <w:t xml:space="preserve">1971</w:t>
        </w:r>
      </w:hyperlink>
      <w:r>
        <w:t xml:space="preserve">)</w:t>
      </w:r>
      <w:r>
        <w:t xml:space="preserve"> </w:t>
      </w:r>
      <w:r>
        <w:t xml:space="preserve">pone en duda la benevolencia del regulador (la</w:t>
      </w:r>
      <w:r>
        <w:t xml:space="preserve"> </w:t>
      </w:r>
      <w:r>
        <w:rPr>
          <w:i/>
          <w:iCs/>
        </w:rPr>
        <w:t xml:space="preserve">captura</w:t>
      </w:r>
      <w:r>
        <w:t xml:space="preserve">), y a finales de los 70 y en los 80 la</w:t>
      </w:r>
      <w:r>
        <w:t xml:space="preserve"> </w:t>
      </w:r>
      <w:r>
        <w:rPr>
          <w:b/>
          <w:bCs/>
        </w:rPr>
        <w:t xml:space="preserve">nueva economía de la regulación</w:t>
      </w:r>
      <w:r>
        <w:t xml:space="preserve"> </w:t>
      </w:r>
      <w:r>
        <w:t xml:space="preserve">incorpora la información asimétrica</w:t>
      </w:r>
      <w:r>
        <w:t xml:space="preserve"> </w:t>
      </w:r>
      <w:r>
        <w:t xml:space="preserve">(</w:t>
      </w:r>
      <w:hyperlink w:anchor="ref_LoebMagat1979Decentralized">
        <w:r>
          <w:rPr>
            <w:rStyle w:val="Hyperlink"/>
            <w:smallCaps/>
          </w:rPr>
          <w:t xml:space="preserve">Loeb</w:t>
        </w:r>
        <w:r>
          <w:rPr>
            <w:rStyle w:val="Hyperlink"/>
          </w:rPr>
          <w:t xml:space="preserve"> </w:t>
        </w:r>
        <w:r>
          <w:rPr>
            <w:rStyle w:val="Hyperlink"/>
          </w:rPr>
          <w:t xml:space="preserve">y</w:t>
        </w:r>
        <w:r>
          <w:rPr>
            <w:rStyle w:val="Hyperlink"/>
          </w:rPr>
          <w:t xml:space="preserve"> </w:t>
        </w:r>
        <w:r>
          <w:rPr>
            <w:rStyle w:val="Hyperlink"/>
            <w:smallCaps/>
          </w:rPr>
          <w:t xml:space="preserve">Magat</w:t>
        </w:r>
        <w:r>
          <w:rPr>
            <w:rStyle w:val="Hyperlink"/>
          </w:rPr>
          <w:t xml:space="preserve">, 1979</w:t>
        </w:r>
      </w:hyperlink>
      <w:r>
        <w:t xml:space="preserve">;</w:t>
      </w:r>
      <w:r>
        <w:t xml:space="preserve"> </w:t>
      </w:r>
      <w:hyperlink w:anchor="ref_BaronMyerson1982Regulating">
        <w:r>
          <w:rPr>
            <w:rStyle w:val="Hyperlink"/>
            <w:smallCaps/>
          </w:rPr>
          <w:t xml:space="preserve">Baron</w:t>
        </w:r>
        <w:r>
          <w:rPr>
            <w:rStyle w:val="Hyperlink"/>
          </w:rPr>
          <w:t xml:space="preserve"> </w:t>
        </w:r>
        <w:r>
          <w:rPr>
            <w:rStyle w:val="Hyperlink"/>
          </w:rPr>
          <w:t xml:space="preserve">y</w:t>
        </w:r>
        <w:r>
          <w:rPr>
            <w:rStyle w:val="Hyperlink"/>
          </w:rPr>
          <w:t xml:space="preserve"> </w:t>
        </w:r>
        <w:r>
          <w:rPr>
            <w:rStyle w:val="Hyperlink"/>
            <w:smallCaps/>
          </w:rPr>
          <w:t xml:space="preserve">Myerson</w:t>
        </w:r>
        <w:r>
          <w:rPr>
            <w:rStyle w:val="Hyperlink"/>
          </w:rPr>
          <w:t xml:space="preserve">, 1982</w:t>
        </w:r>
      </w:hyperlink>
      <w:r>
        <w:t xml:space="preserve">;</w:t>
      </w:r>
      <w:r>
        <w:t xml:space="preserve"> </w:t>
      </w:r>
      <w:hyperlink w:anchor="ref_LaffontTirole1986Using">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1986</w:t>
        </w:r>
      </w:hyperlink>
      <w:r>
        <w:t xml:space="preserve">,</w:t>
      </w:r>
      <w:r>
        <w:t xml:space="preserve"> </w:t>
      </w:r>
      <w:hyperlink w:anchor="ref_LaffontTirole1993Theory">
        <w:r>
          <w:rPr>
            <w:rStyle w:val="Hyperlink"/>
          </w:rPr>
          <w:t xml:space="preserve">1993</w:t>
        </w:r>
      </w:hyperlink>
      <w:r>
        <w:t xml:space="preserve">)</w:t>
      </w:r>
      <w:r>
        <w:t xml:space="preserve">. A la vez, las privatizaciones británicas traen el</w:t>
      </w:r>
      <w:r>
        <w:t xml:space="preserve"> </w:t>
      </w:r>
      <w:r>
        <w:rPr>
          <w:i/>
          <w:iCs/>
        </w:rPr>
        <w:t xml:space="preserve">price cap</w:t>
      </w:r>
      <w:r>
        <w:t xml:space="preserve"> </w:t>
      </w:r>
      <w:r>
        <w:t xml:space="preserve">(</w:t>
      </w:r>
      <w:hyperlink w:anchor="ref_Littlechild1983Regulation">
        <w:r>
          <w:rPr>
            <w:rStyle w:val="Hyperlink"/>
            <w:smallCaps/>
          </w:rPr>
          <w:t xml:space="preserve">Littlechild</w:t>
        </w:r>
        <w:r>
          <w:rPr>
            <w:rStyle w:val="Hyperlink"/>
          </w:rPr>
          <w:t xml:space="preserve">, 1983</w:t>
        </w:r>
      </w:hyperlink>
      <w:r>
        <w:t xml:space="preserve">)</w:t>
      </w:r>
      <w:r>
        <w:t xml:space="preserve">, y la Unión Europea liberaliza en los 90 las industrias de red.</w:t>
      </w:r>
    </w:p>
    <w:p>
      <w:pPr>
        <w:numPr>
          <w:ilvl w:val="1"/>
          <w:numId w:val="1004"/>
        </w:numPr>
      </w:pPr>
      <w:r>
        <w:t xml:space="preserve">La</w:t>
      </w:r>
      <w:r>
        <w:t xml:space="preserve"> </w:t>
      </w:r>
      <w:r>
        <w:rPr>
          <w:b/>
          <w:bCs/>
        </w:rPr>
        <w:t xml:space="preserve">definición del mercado relevante</w:t>
      </w:r>
      <w:r>
        <w:t xml:space="preserve"> </w:t>
      </w:r>
      <w:r>
        <w:t xml:space="preserve">se formaliza con el test del monopolista hipotético de las directrices de concentraciones de Estados Unidos de 1982</w:t>
      </w:r>
      <w:r>
        <w:t xml:space="preserve"> </w:t>
      </w:r>
      <w:r>
        <w:t xml:space="preserve">(</w:t>
      </w:r>
      <w:hyperlink w:anchor="ref_DOJ1982Merger">
        <w:r>
          <w:rPr>
            <w:rStyle w:val="Hyperlink"/>
            <w:smallCaps/>
          </w:rPr>
          <w:t xml:space="preserve">U.S. Department of Justice</w:t>
        </w:r>
        <w:r>
          <w:rPr>
            <w:rStyle w:val="Hyperlink"/>
          </w:rPr>
          <w:t xml:space="preserve">, 1982</w:t>
        </w:r>
      </w:hyperlink>
      <w:r>
        <w:t xml:space="preserve">)</w:t>
      </w:r>
      <w:r>
        <w:t xml:space="preserve">; la Comisión Europea lo recoge en su Comunicación de 1997, sustituida en 2024</w:t>
      </w:r>
      <w:r>
        <w:t xml:space="preserve"> </w:t>
      </w:r>
      <w:r>
        <w:t xml:space="preserve">(</w:t>
      </w:r>
      <w:hyperlink w:anchor="ref_CE2024DefinicionMercado">
        <w:r>
          <w:rPr>
            <w:rStyle w:val="Hyperlink"/>
            <w:smallCaps/>
          </w:rPr>
          <w:t xml:space="preserve">Comisión Europea</w:t>
        </w:r>
        <w:r>
          <w:rPr>
            <w:rStyle w:val="Hyperlink"/>
          </w:rPr>
          <w:t xml:space="preserve">, 2024</w:t>
        </w:r>
      </w:hyperlink>
      <w:r>
        <w:t xml:space="preserve">)</w:t>
      </w:r>
      <w:r>
        <w:t xml:space="preserve">.</w:t>
      </w:r>
    </w:p>
    <w:p>
      <w:pPr>
        <w:keepNext/>
        <w:numPr>
          <w:ilvl w:val="0"/>
          <w:numId w:val="1001"/>
        </w:numPr>
      </w:pPr>
      <w:r>
        <w:rPr>
          <w:b/>
          <w:bCs/>
          <w:i/>
          <w:iCs/>
        </w:rPr>
        <w:t xml:space="preserve">Problemática (preguntas clave)</w:t>
      </w:r>
      <w:r>
        <w:t xml:space="preserve">:</w:t>
      </w:r>
    </w:p>
    <w:p>
      <w:pPr>
        <w:numPr>
          <w:ilvl w:val="1"/>
          <w:numId w:val="1005"/>
        </w:numPr>
      </w:pPr>
      <w:r>
        <w:t xml:space="preserve">¿Qué es el poder de mercado, cómo se mide y por qué hay que corregirlo?</w:t>
      </w:r>
    </w:p>
    <w:p>
      <w:pPr>
        <w:numPr>
          <w:ilvl w:val="1"/>
          <w:numId w:val="1005"/>
        </w:numPr>
      </w:pPr>
      <w:r>
        <w:t xml:space="preserve">¿En qué mercado se mide? ¿Cómo se define el mercado relevante?</w:t>
      </w:r>
    </w:p>
    <w:p>
      <w:pPr>
        <w:numPr>
          <w:ilvl w:val="1"/>
          <w:numId w:val="1005"/>
        </w:numPr>
      </w:pPr>
      <w:r>
        <w:t xml:space="preserve">Si el regulador lo sabe todo, ¿cuál es la regulación óptima? ¿Y si la empresa sabe más que él sobre sus costes y su esfuerzo?</w:t>
      </w:r>
    </w:p>
    <w:p>
      <w:pPr>
        <w:numPr>
          <w:ilvl w:val="1"/>
          <w:numId w:val="1005"/>
        </w:numPr>
      </w:pPr>
      <w:r>
        <w:t xml:space="preserve">¿Qué cambia cuando hay varias empresas, y cómo se aplica todo esto en la regulación real?</w:t>
      </w:r>
    </w:p>
    <w:p>
      <w:pPr>
        <w:keepNext/>
        <w:numPr>
          <w:ilvl w:val="0"/>
          <w:numId w:val="1001"/>
        </w:numPr>
      </w:pPr>
      <w:r>
        <w:rPr>
          <w:b/>
          <w:bCs/>
          <w:i/>
          <w:iCs/>
        </w:rPr>
        <w:t xml:space="preserve">Estructura</w:t>
      </w:r>
      <w:r>
        <w:t xml:space="preserve">: la exposición tiene 3 partes, en el orden del título:</w:t>
      </w:r>
    </w:p>
    <w:p>
      <w:pPr>
        <w:numPr>
          <w:ilvl w:val="1"/>
          <w:numId w:val="1006"/>
        </w:numPr>
      </w:pPr>
      <w:r>
        <w:rPr>
          <w:b/>
          <w:bCs/>
        </w:rPr>
        <w:t xml:space="preserve">I. Poder de mercado, mercado relevante y regulación con información completa</w:t>
      </w:r>
      <w:r>
        <w:t xml:space="preserve"> </w:t>
      </w:r>
      <w:r>
        <w:t xml:space="preserve">(</w:t>
      </w:r>
      <w:hyperlink w:anchor="sec_informacion_completa">
        <w:r>
          <w:rPr>
            <w:rStyle w:val="Hyperlink"/>
          </w:rPr>
          <w:t xml:space="preserve">I</w:t>
        </w:r>
      </w:hyperlink>
      <w:r>
        <w:t xml:space="preserve">): qué es el poder de mercado, en qué mercado se mide y qué haría un regulador que lo supiera todo;</w:t>
      </w:r>
    </w:p>
    <w:p>
      <w:pPr>
        <w:numPr>
          <w:ilvl w:val="1"/>
          <w:numId w:val="1006"/>
        </w:numPr>
      </w:pPr>
      <w:r>
        <w:rPr>
          <w:b/>
          <w:bCs/>
        </w:rPr>
        <w:t xml:space="preserve">II. Desarrollos en presencia de información asimétrica</w:t>
      </w:r>
      <w:r>
        <w:t xml:space="preserve"> </w:t>
      </w:r>
      <w:r>
        <w:t xml:space="preserve">(</w:t>
      </w:r>
      <w:hyperlink w:anchor="sec_informacion_asimetrica">
        <w:r>
          <w:rPr>
            <w:rStyle w:val="Hyperlink"/>
          </w:rPr>
          <w:t xml:space="preserve">II</w:t>
        </w:r>
      </w:hyperlink>
      <w:r>
        <w:t xml:space="preserve">), el centro del título: qué hace el regulador cuando la empresa sabe más que él, desde la tasa de rentabilidad hasta el menú de contratos de</w:t>
      </w:r>
      <w:r>
        <w:t xml:space="preserve"> </w:t>
      </w:r>
      <w:r>
        <w:rPr>
          <w:smallCaps/>
        </w:rPr>
        <w:t xml:space="preserve">Laffont</w:t>
      </w:r>
      <w:r>
        <w:t xml:space="preserve"> </w:t>
      </w:r>
      <w:r>
        <w:t xml:space="preserve">y</w:t>
      </w:r>
      <w:r>
        <w:t xml:space="preserve"> </w:t>
      </w:r>
      <w:r>
        <w:rPr>
          <w:smallCaps/>
        </w:rPr>
        <w:t xml:space="preserve">Tirole</w:t>
      </w:r>
      <w:r>
        <w:t xml:space="preserve">, el</w:t>
      </w:r>
      <w:r>
        <w:t xml:space="preserve"> </w:t>
      </w:r>
      <w:r>
        <w:rPr>
          <w:i/>
          <w:iCs/>
        </w:rPr>
        <w:t xml:space="preserve">price cap</w:t>
      </w:r>
      <w:r>
        <w:t xml:space="preserve"> </w:t>
      </w:r>
      <w:r>
        <w:t xml:space="preserve">y la captura;</w:t>
      </w:r>
    </w:p>
    <w:p>
      <w:pPr>
        <w:numPr>
          <w:ilvl w:val="1"/>
          <w:numId w:val="1006"/>
        </w:numPr>
      </w:pPr>
      <w:r>
        <w:rPr>
          <w:b/>
          <w:bCs/>
        </w:rPr>
        <w:t xml:space="preserve">III. Regulación con varias empresas y aplicaciones prácticas</w:t>
      </w:r>
      <w:r>
        <w:t xml:space="preserve"> </w:t>
      </w:r>
      <w:r>
        <w:t xml:space="preserve">(</w:t>
      </w:r>
      <w:hyperlink w:anchor="sec_varias_empresas">
        <w:r>
          <w:rPr>
            <w:rStyle w:val="Hyperlink"/>
          </w:rPr>
          <w:t xml:space="preserve">III</w:t>
        </w:r>
      </w:hyperlink>
      <w:r>
        <w:t xml:space="preserve">): cómo ayudan la comparación, la competencia por el mercado y el acceso a la red, y cómo se regula hoy en España y en Europa.</w:t>
      </w:r>
    </w:p>
    <w:p>
      <w:pPr>
        <w:numPr>
          <w:ilvl w:val="0"/>
          <w:numId w:val="1000"/>
        </w:numPr>
      </w:pPr>
      <w:r>
        <w:t xml:space="preserve">El orden va de menos a más realismo: primero se levanta solo el supuesto de precio-aceptación; después, también el de información.</w:t>
      </w:r>
    </w:p>
    <w:p>
      <w:pPr>
        <w:pStyle w:val="Esquema"/>
        <w:keepLines/>
      </w:pPr>
      <w:r>
        <w:rPr>
          <w:b/>
          <w:bCs/>
        </w:rPr>
        <w:t xml:space="preserve">Esquema del tema. </w:t>
      </w:r>
      <w:r>
        <w:rPr>
          <w:b/>
          <w:bCs/>
        </w:rPr>
        <w:t xml:space="preserve">3.A.20. Poder de mercado y regulación óptima</w:t>
      </w:r>
      <w:r>
        <w:br/>
      </w:r>
      <w:r>
        <w:t xml:space="preserve">Introducción</w:t>
      </w:r>
      <w:r>
        <w:br/>
      </w:r>
      <w:r>
        <w:t xml:space="preserve">I. Poder de mercado, mercado relevante y regulación con información completa</w:t>
      </w:r>
      <w:r>
        <w:br/>
      </w:r>
      <w:r>
        <w:t xml:space="preserve">1. Poder de mercado:</w:t>
      </w:r>
      <w:r>
        <w:t xml:space="preserve"> </w:t>
      </w:r>
      <m:oMath>
        <m:r>
          <m:rPr>
            <m:sty m:val="p"/>
            <m:scr m:val="script"/>
          </m:rPr>
          <m:t>L</m:t>
        </m:r>
        <m:r>
          <m:rPr>
            <m:sty m:val="p"/>
          </m:rPr>
          <m:t>=</m:t>
        </m:r>
        <m:d>
          <m:dPr>
            <m:begChr m:val="("/>
            <m:sepChr m:val=""/>
            <m:endChr m:val=")"/>
            <m:grow/>
          </m:dPr>
          <m:e>
            <m:r>
              <m:t>p</m:t>
            </m:r>
            <m:r>
              <m:rPr>
                <m:sty m:val="p"/>
              </m:rPr>
              <m:t>−</m:t>
            </m:r>
            <m:r>
              <m:rPr>
                <m:sty m:val="p"/>
              </m:rPr>
              <m:t>C</m:t>
            </m:r>
            <m:r>
              <m:rPr>
                <m:sty m:val="p"/>
              </m:rPr>
              <m:t>M</m:t>
            </m:r>
            <m:r>
              <m:rPr>
                <m:sty m:val="p"/>
              </m:rPr>
              <m:t>g</m:t>
            </m:r>
          </m:e>
        </m:d>
        <m:r>
          <m:rPr>
            <m:sty m:val="p"/>
          </m:rPr>
          <m:t>/</m:t>
        </m:r>
        <m:r>
          <m:t>p</m:t>
        </m:r>
      </m:oMath>
      <w:r>
        <w:t xml:space="preserve">, IHH, 3 ineficiencias</w:t>
      </w:r>
      <w:r>
        <w:br/>
      </w:r>
      <w:r>
        <w:t xml:space="preserve">2. Mercado relevante: test del monopolista hipotético (SSNIP), celofán</w:t>
      </w:r>
      <w:r>
        <w:br/>
      </w:r>
      <w:r>
        <w:t xml:space="preserve">3. Información completa:</w:t>
      </w:r>
      <w:r>
        <w:t xml:space="preserve"> </w:t>
      </w:r>
      <m:oMath>
        <m:r>
          <m:t>p</m:t>
        </m:r>
        <m:r>
          <m:rPr>
            <m:sty m:val="p"/>
          </m:rPr>
          <m:t>=</m:t>
        </m:r>
        <m:r>
          <m:rPr>
            <m:sty m:val="p"/>
          </m:rPr>
          <m:t>C</m:t>
        </m:r>
        <m:r>
          <m:rPr>
            <m:sty m:val="p"/>
          </m:rPr>
          <m:t>M</m:t>
        </m:r>
        <m:r>
          <m:rPr>
            <m:sty m:val="p"/>
          </m:rPr>
          <m:t>g</m:t>
        </m:r>
      </m:oMath>
      <w:r>
        <w:t xml:space="preserve">,</w:t>
      </w:r>
      <w:r>
        <w:t xml:space="preserve"> </w:t>
      </w:r>
      <m:oMath>
        <m:r>
          <m:t>p</m:t>
        </m:r>
        <m:r>
          <m:rPr>
            <m:sty m:val="p"/>
          </m:rPr>
          <m:t>=</m:t>
        </m:r>
        <m:r>
          <m:rPr>
            <m:sty m:val="p"/>
          </m:rPr>
          <m:t>C</m:t>
        </m:r>
        <m:r>
          <m:rPr>
            <m:sty m:val="p"/>
          </m:rPr>
          <m:t>M</m:t>
        </m:r>
        <m:r>
          <m:rPr>
            <m:sty m:val="p"/>
          </m:rPr>
          <m:t>e</m:t>
        </m:r>
      </m:oMath>
      <w:r>
        <w:t xml:space="preserve">, dos partes,</w:t>
      </w:r>
      <w:r>
        <w:t xml:space="preserve"> </w:t>
      </w:r>
      <w:r>
        <w:rPr>
          <w:smallCaps/>
        </w:rPr>
        <w:t xml:space="preserve">Ramsey</w:t>
      </w:r>
      <w:r>
        <w:t xml:space="preserve">-</w:t>
      </w:r>
      <w:r>
        <w:rPr>
          <w:smallCaps/>
        </w:rPr>
        <w:t xml:space="preserve">Boiteux</w:t>
      </w:r>
      <w:r>
        <w:br/>
      </w:r>
      <w:r>
        <w:t xml:space="preserve">II. Desarrollos en presencia de información asimétrica</w:t>
      </w:r>
      <w:r>
        <w:br/>
      </w:r>
      <w:r>
        <w:t xml:space="preserve">1. Tasa de rentabilidad: efecto</w:t>
      </w:r>
      <w:r>
        <w:t xml:space="preserve"> </w:t>
      </w:r>
      <w:r>
        <w:rPr>
          <w:smallCaps/>
        </w:rPr>
        <w:t xml:space="preserve">Averch</w:t>
      </w:r>
      <w:r>
        <w:t xml:space="preserve">-</w:t>
      </w:r>
      <w:r>
        <w:rPr>
          <w:smallCaps/>
        </w:rPr>
        <w:t xml:space="preserve">Johnson</w:t>
      </w:r>
      <w:r>
        <w:br/>
      </w:r>
      <w:r>
        <w:t xml:space="preserve">2. Selección adversa:</w:t>
      </w:r>
      <w:r>
        <w:t xml:space="preserve"> </w:t>
      </w:r>
      <w:r>
        <w:rPr>
          <w:smallCaps/>
        </w:rPr>
        <w:t xml:space="preserve">Loeb</w:t>
      </w:r>
      <w:r>
        <w:t xml:space="preserve">-</w:t>
      </w:r>
      <w:r>
        <w:rPr>
          <w:smallCaps/>
        </w:rPr>
        <w:t xml:space="preserve">Magat</w:t>
      </w:r>
      <w:r>
        <w:t xml:space="preserve">,</w:t>
      </w:r>
      <w:r>
        <w:t xml:space="preserve"> </w:t>
      </w:r>
      <w:r>
        <w:rPr>
          <w:smallCaps/>
        </w:rPr>
        <w:t xml:space="preserve">Baron</w:t>
      </w:r>
      <w:r>
        <w:t xml:space="preserve">-</w:t>
      </w:r>
      <w:r>
        <w:rPr>
          <w:smallCaps/>
        </w:rPr>
        <w:t xml:space="preserve">Myerson</w:t>
      </w:r>
      <w:r>
        <w:br/>
      </w:r>
      <w:r>
        <w:t xml:space="preserve">3. Selección adversa y riesgo moral: menú de</w:t>
      </w:r>
      <w:r>
        <w:t xml:space="preserve"> </w:t>
      </w:r>
      <w:r>
        <w:rPr>
          <w:smallCaps/>
        </w:rPr>
        <w:t xml:space="preserve">Laffont</w:t>
      </w:r>
      <w:r>
        <w:t xml:space="preserve">-</w:t>
      </w:r>
      <w:r>
        <w:rPr>
          <w:smallCaps/>
        </w:rPr>
        <w:t xml:space="preserve">Tirole</w:t>
      </w:r>
      <w:r>
        <w:br/>
      </w:r>
      <w:r>
        <w:t xml:space="preserve">4. Precios máximos (</w:t>
      </w:r>
      <m:oMath>
        <m:r>
          <m:rPr>
            <m:sty m:val="p"/>
          </m:rPr>
          <m:t>I</m:t>
        </m:r>
        <m:r>
          <m:rPr>
            <m:sty m:val="p"/>
          </m:rPr>
          <m:t>P</m:t>
        </m:r>
        <m:r>
          <m:rPr>
            <m:sty m:val="p"/>
          </m:rPr>
          <m:t>C</m:t>
        </m:r>
        <m:r>
          <m:rPr>
            <m:sty m:val="p"/>
          </m:rPr>
          <m:t>−</m:t>
        </m:r>
        <m:r>
          <m:t>X</m:t>
        </m:r>
      </m:oMath>
      <w:r>
        <w:t xml:space="preserve">) y esquemas intermedios</w:t>
      </w:r>
      <w:r>
        <w:br/>
      </w:r>
      <w:r>
        <w:t xml:space="preserve">5. Compromiso y captura: trinquete,</w:t>
      </w:r>
      <w:r>
        <w:t xml:space="preserve"> </w:t>
      </w:r>
      <w:r>
        <w:rPr>
          <w:smallCaps/>
        </w:rPr>
        <w:t xml:space="preserve">Stigler</w:t>
      </w:r>
      <w:r>
        <w:t xml:space="preserve">,</w:t>
      </w:r>
      <w:r>
        <w:t xml:space="preserve"> </w:t>
      </w:r>
      <w:r>
        <w:rPr>
          <w:smallCaps/>
        </w:rPr>
        <w:t xml:space="preserve">Peltzman</w:t>
      </w:r>
      <w:r>
        <w:br/>
      </w:r>
      <w:r>
        <w:t xml:space="preserve">III. Regulación con varias empresas y aplicaciones prácticas</w:t>
      </w:r>
      <w:r>
        <w:br/>
      </w:r>
      <w:r>
        <w:t xml:space="preserve">1. Competencia por comparación 2. Competencia por el mercado</w:t>
      </w:r>
      <w:r>
        <w:br/>
      </w:r>
      <w:r>
        <w:t xml:space="preserve">3. Acceso a la red y mercados de 2 lados 4. Aplicaciones prácticas</w:t>
      </w:r>
      <w:r>
        <w:br/>
      </w:r>
      <w:r>
        <w:t xml:space="preserve">Conclusión</w:t>
      </w:r>
    </w:p>
    <w:p>
      <w:pPr>
        <w:pStyle w:val="Notaalopositor"/>
        <w:keepLines/>
      </w:pPr>
      <w:r>
        <w:rPr>
          <w:b/>
          <w:bCs/>
        </w:rPr>
        <w:t xml:space="preserve">Nota al opositor. </w:t>
      </w:r>
      <w:r>
        <w:t xml:space="preserve">Reparto del cante: introducción, 2′30″; I, 7′30″ (I.1, 2′30″; I.2, 2′30″; I.3, 2′30″); II, 11′30″ (II.1, 2′; II.2, 2′; II.3, 3′30″; II.4, 2′; II.5, 2′); III, 7′30″ (III.1, 2′; III.2, 1′30″; III.3, 1′30″; III.4, 2′30″), y conclusión, 1′. El bloque </w:t>
      </w:r>
      <w:hyperlink w:anchor="sec_informacion_asimetrica">
        <w:r>
          <w:rPr>
            <w:rStyle w:val="Hyperlink"/>
          </w:rPr>
          <w:t xml:space="preserve">II</w:t>
        </w:r>
      </w:hyperlink>
      <w:r>
        <w:t xml:space="preserve"> </w:t>
      </w:r>
      <w:r>
        <w:t xml:space="preserve">pesa más porque esta exposición es la de referencia de los modelos de regulación con información asimétrica; la teoría tradicional (</w:t>
      </w:r>
      <w:hyperlink w:anchor="sec_regulacion_informacion_completa">
        <w:r>
          <w:rPr>
            <w:rStyle w:val="Hyperlink"/>
          </w:rPr>
          <w:t xml:space="preserve">I.3</w:t>
        </w:r>
      </w:hyperlink>
      <w:r>
        <w:t xml:space="preserve">) se resume. Los gráficos imprescindibles son el test del monopolista hipotético (gráfico </w:t>
      </w:r>
      <w:hyperlink w:anchor="fig_ssnip">
        <w:r>
          <w:rPr>
            <w:rStyle w:val="Hyperlink"/>
          </w:rPr>
          <w:t xml:space="preserve">2</w:t>
        </w:r>
      </w:hyperlink>
      <w:r>
        <w:t xml:space="preserve">), la regulación del monopolio natural (gráfico </w:t>
      </w:r>
      <w:hyperlink w:anchor="fig_regulacion_monopolio_natural">
        <w:r>
          <w:rPr>
            <w:rStyle w:val="Hyperlink"/>
          </w:rPr>
          <w:t xml:space="preserve">3</w:t>
        </w:r>
      </w:hyperlink>
      <w:r>
        <w:t xml:space="preserve">), el efecto</w:t>
      </w:r>
      <w:r>
        <w:t xml:space="preserve"> </w:t>
      </w:r>
      <w:r>
        <w:rPr>
          <w:smallCaps/>
        </w:rPr>
        <w:t xml:space="preserve">Averch</w:t>
      </w:r>
      <w:r>
        <w:t xml:space="preserve">-</w:t>
      </w:r>
      <w:r>
        <w:rPr>
          <w:smallCaps/>
        </w:rPr>
        <w:t xml:space="preserve">Johnson</w:t>
      </w:r>
      <w:r>
        <w:t xml:space="preserve"> </w:t>
      </w:r>
      <w:r>
        <w:t xml:space="preserve">(gráfico </w:t>
      </w:r>
      <w:hyperlink w:anchor="fig_averch_johnson">
        <w:r>
          <w:rPr>
            <w:rStyle w:val="Hyperlink"/>
          </w:rPr>
          <w:t xml:space="preserve">4</w:t>
        </w:r>
      </w:hyperlink>
      <w:r>
        <w:t xml:space="preserve">),</w:t>
      </w:r>
      <w:r>
        <w:t xml:space="preserve"> </w:t>
      </w:r>
      <w:r>
        <w:rPr>
          <w:smallCaps/>
        </w:rPr>
        <w:t xml:space="preserve">Baron</w:t>
      </w:r>
      <w:r>
        <w:t xml:space="preserve">-</w:t>
      </w:r>
      <w:r>
        <w:rPr>
          <w:smallCaps/>
        </w:rPr>
        <w:t xml:space="preserve">Myerson</w:t>
      </w:r>
      <w:r>
        <w:t xml:space="preserve"> </w:t>
      </w:r>
      <w:r>
        <w:t xml:space="preserve">(gráfico </w:t>
      </w:r>
      <w:hyperlink w:anchor="fig_baron_myerson">
        <w:r>
          <w:rPr>
            <w:rStyle w:val="Hyperlink"/>
          </w:rPr>
          <w:t xml:space="preserve">5</w:t>
        </w:r>
      </w:hyperlink>
      <w:r>
        <w:t xml:space="preserve">), el menú de contratos (gráfico </w:t>
      </w:r>
      <w:hyperlink w:anchor="fig_menu_contratos">
        <w:r>
          <w:rPr>
            <w:rStyle w:val="Hyperlink"/>
          </w:rPr>
          <w:t xml:space="preserve">6</w:t>
        </w:r>
      </w:hyperlink>
      <w:r>
        <w:t xml:space="preserve">) y la escala de la potencia de los incentivos (gráfico </w:t>
      </w:r>
      <w:hyperlink w:anchor="fig_escala_potencia">
        <w:r>
          <w:rPr>
            <w:rStyle w:val="Hyperlink"/>
          </w:rPr>
          <w:t xml:space="preserve">8</w:t>
        </w:r>
      </w:hyperlink>
      <w:r>
        <w:t xml:space="preserve">), que se va completando en la pizarra desde</w:t>
      </w:r>
      <w:r>
        <w:t xml:space="preserve"> </w:t>
      </w:r>
      <w:hyperlink w:anchor="sec_coste_servicio">
        <w:r>
          <w:rPr>
            <w:rStyle w:val="Hyperlink"/>
          </w:rPr>
          <w:t xml:space="preserve">II.1</w:t>
        </w:r>
      </w:hyperlink>
      <w:r>
        <w:t xml:space="preserve"> </w:t>
      </w:r>
      <w:r>
        <w:t xml:space="preserve">y en la que se coloca cada instrumento al estudiarlo. Se quedan escritos y recuadrados el índice de</w:t>
      </w:r>
      <w:r>
        <w:t xml:space="preserve"> </w:t>
      </w:r>
      <w:r>
        <w:rPr>
          <w:smallCaps/>
        </w:rPr>
        <w:t xml:space="preserve">Lerner</w:t>
      </w:r>
      <w:r>
        <w:t xml:space="preserve">, (</w:t>
      </w:r>
      <w:hyperlink w:anchor="eq_lerner">
        <w:r>
          <w:rPr>
            <w:rStyle w:val="Hyperlink"/>
          </w:rPr>
          <w:t xml:space="preserve">1</w:t>
        </w:r>
      </w:hyperlink>
      <w:r>
        <w:t xml:space="preserve">), todo el cante, y la condición del esfuerzo de</w:t>
      </w:r>
      <w:r>
        <w:t xml:space="preserve"> </w:t>
      </w:r>
      <w:r>
        <w:rPr>
          <w:smallCaps/>
        </w:rPr>
        <w:t xml:space="preserve">Laffont</w:t>
      </w:r>
      <w:r>
        <w:t xml:space="preserve"> </w:t>
      </w:r>
      <w:r>
        <w:t xml:space="preserve">y</w:t>
      </w:r>
      <w:r>
        <w:t xml:space="preserve"> </w:t>
      </w:r>
      <w:r>
        <w:rPr>
          <w:smallCaps/>
        </w:rPr>
        <w:t xml:space="preserve">Tirole</w:t>
      </w:r>
      <w:r>
        <w:t xml:space="preserve">, (</w:t>
      </w:r>
      <w:hyperlink w:anchor="eq_laffont_tirole">
        <w:r>
          <w:rPr>
            <w:rStyle w:val="Hyperlink"/>
          </w:rPr>
          <w:t xml:space="preserve">9</w:t>
        </w:r>
      </w:hyperlink>
      <w:r>
        <w:t xml:space="preserve">), desde</w:t>
      </w:r>
      <w:r>
        <w:t xml:space="preserve"> </w:t>
      </w:r>
      <w:hyperlink w:anchor="sec_laffont_tirole">
        <w:r>
          <w:rPr>
            <w:rStyle w:val="Hyperlink"/>
          </w:rPr>
          <w:t xml:space="preserve">II.3</w:t>
        </w:r>
      </w:hyperlink>
      <w:r>
        <w:t xml:space="preserve">. Las derivaciones van en los anexos y no se cantan. A lo largo del tema se retoma un ejemplo,</w:t>
      </w:r>
      <w:r>
        <w:t xml:space="preserve"> </w:t>
      </w:r>
      <w:r>
        <w:rPr>
          <w:i/>
          <w:iCs/>
        </w:rPr>
        <w:t xml:space="preserve">Redes del Valle</w:t>
      </w:r>
      <w:r>
        <w:t xml:space="preserve">, una distribuidora eléctrica ficticia, con números redondos.</w:t>
      </w:r>
    </w:p>
    <w:bookmarkEnd w:id="24"/>
    <w:bookmarkStart w:id="69" w:name="sec_informacion_completa"/>
    <w:p>
      <w:pPr>
        <w:pStyle w:val="Heading1"/>
      </w:pPr>
      <w:r>
        <w:t xml:space="preserve">I.</w:t>
      </w:r>
      <w:r>
        <w:t xml:space="preserve"> </w:t>
      </w:r>
      <w:r>
        <w:t xml:space="preserve">Poder de mercado, mercado relevante</w:t>
      </w:r>
      <w:r>
        <w:br/>
      </w:r>
      <w:r>
        <w:t xml:space="preserve">y regulación con información completa</w:t>
      </w:r>
      <w:r>
        <w:t xml:space="preserve"> </w:t>
      </w:r>
      <w:r>
        <w:rPr>
          <w:rStyle w:val="Minutos"/>
        </w:rPr>
        <w:t xml:space="preserve">7′30″</w:t>
      </w:r>
    </w:p>
    <w:p>
      <w:pPr>
        <w:pStyle w:val="Notaalopositor"/>
        <w:keepLines/>
      </w:pPr>
      <w:r>
        <w:rPr>
          <w:b/>
          <w:bCs/>
        </w:rPr>
        <w:t xml:space="preserve">Nota al opositor. </w:t>
      </w:r>
      <w:r>
        <w:t xml:space="preserve">En el cante: el índice de</w:t>
      </w:r>
      <w:r>
        <w:t xml:space="preserve"> </w:t>
      </w:r>
      <w:r>
        <w:rPr>
          <w:smallCaps/>
        </w:rPr>
        <w:t xml:space="preserve">Lerner</w:t>
      </w:r>
      <w:r>
        <w:t xml:space="preserve"> </w:t>
      </w:r>
      <w:r>
        <w:t xml:space="preserve">como función clave (se queda en una esquina de la pizarra todo el tema), el IHH y las 3 ineficiencias de palabra (2′30″); el test del monopolista hipotético con su gráfico, aplicado a Redes del Valle, y la falacia del celofán (2′30″); y la teoría tradicional resumida con el gráfico de la regulación del monopolio natural y la regla de</w:t>
      </w:r>
      <w:r>
        <w:t xml:space="preserve"> </w:t>
      </w:r>
      <w:r>
        <w:rPr>
          <w:smallCaps/>
        </w:rPr>
        <w:t xml:space="preserve">Ramsey</w:t>
      </w:r>
      <w:r>
        <w:t xml:space="preserve">-</w:t>
      </w:r>
      <w:r>
        <w:rPr>
          <w:smallCaps/>
        </w:rPr>
        <w:t xml:space="preserve">Boiteux</w:t>
      </w:r>
      <w:r>
        <w:t xml:space="preserve"> </w:t>
      </w:r>
      <w:r>
        <w:t xml:space="preserve">escrita junto a la de</w:t>
      </w:r>
      <w:r>
        <w:t xml:space="preserve"> </w:t>
      </w:r>
      <w:r>
        <w:rPr>
          <w:smallCaps/>
        </w:rPr>
        <w:t xml:space="preserve">Lerner</w:t>
      </w:r>
      <w:r>
        <w:t xml:space="preserve"> </w:t>
      </w:r>
      <w:r>
        <w:t xml:space="preserve">(2′30″). La tabla de supuestos y el esquema por etapas, como apoyo.</w:t>
      </w:r>
    </w:p>
    <w:p>
      <w:pPr>
        <w:numPr>
          <w:ilvl w:val="0"/>
          <w:numId w:val="1007"/>
        </w:numPr>
      </w:pPr>
      <w:r>
        <w:t xml:space="preserve">Empezamos por el problema que justifica la regulación. La</w:t>
      </w:r>
      <w:r>
        <w:t xml:space="preserve"> </w:t>
      </w:r>
      <w:r>
        <w:rPr>
          <w:i/>
          <w:iCs/>
        </w:rPr>
        <w:t xml:space="preserve">conclusión anticipada</w:t>
      </w:r>
      <w:r>
        <w:t xml:space="preserve"> </w:t>
      </w:r>
      <w:r>
        <w:t xml:space="preserve">del bloque: el poder de mercado aleja al mercado del óptimo; se mide en un mercado que hay que definir antes; y un regulador con toda la información sobre costes y demanda sabría qué precios poner, aunque rara vez coincidirían con los de competencia perfecta.</w:t>
      </w:r>
    </w:p>
    <w:p>
      <w:pPr>
        <w:numPr>
          <w:ilvl w:val="0"/>
          <w:numId w:val="1007"/>
        </w:numPr>
      </w:pPr>
      <w:r>
        <w:rPr>
          <w:i/>
          <w:iCs/>
        </w:rPr>
        <w:t xml:space="preserve">Qué supuesto se levanta</w:t>
      </w:r>
      <w:r>
        <w:t xml:space="preserve">. Partimos de los 5 supuestos del primer teorema fundamental de la economía del bienestar (1TFEB)</w:t>
      </w:r>
      <w:r>
        <w:t xml:space="preserve"> </w:t>
      </w:r>
      <w:hyperlink r:id="rId22">
        <w:r>
          <w:rPr>
            <w:rStyle w:val="Referenciaatema"/>
          </w:rPr>
          <w:t xml:space="preserve">[ver tema 3.A.22]</w:t>
        </w:r>
      </w:hyperlink>
      <w:r>
        <w:t xml:space="preserve"> </w:t>
      </w:r>
      <w:r>
        <w:t xml:space="preserve">(tabla </w:t>
      </w:r>
      <w:hyperlink w:anchor="tab_supuestos_1tfeb">
        <w:r>
          <w:rPr>
            <w:rStyle w:val="Hyperlink"/>
          </w:rPr>
          <w:t xml:space="preserve">1</w:t>
        </w:r>
      </w:hyperlink>
      <w:r>
        <w:t xml:space="preserve">). En este bloque se levanta el 3: hay empresas que no son precio-aceptantes y fijan</w:t>
      </w:r>
      <w:r>
        <w:t xml:space="preserve"> </w:t>
      </w:r>
      <m:oMath>
        <m:r>
          <m:t>p</m:t>
        </m:r>
        <m:r>
          <m:rPr>
            <m:sty m:val="p"/>
          </m:rPr>
          <m:t>&gt;</m:t>
        </m:r>
        <m:r>
          <m:rPr>
            <m:sty m:val="p"/>
          </m:rPr>
          <m:t>C</m:t>
        </m:r>
        <m:r>
          <m:rPr>
            <m:sty m:val="p"/>
          </m:rPr>
          <m:t>M</m:t>
        </m:r>
        <m:r>
          <m:rPr>
            <m:sty m:val="p"/>
          </m:rPr>
          <m:t>g</m:t>
        </m:r>
      </m:oMath>
      <w:r>
        <w:t xml:space="preserve">. En el bloque </w:t>
      </w:r>
      <w:hyperlink w:anchor="sec_informacion_asimetrica">
        <w:r>
          <w:rPr>
            <w:rStyle w:val="Hyperlink"/>
          </w:rPr>
          <w:t xml:space="preserve">II</w:t>
        </w:r>
      </w:hyperlink>
      <w:r>
        <w:t xml:space="preserve"> </w:t>
      </w:r>
      <w:r>
        <w:t xml:space="preserve">se levanta, además, el 5: el regulador sabe de los costes y del esfuerzo de la empresa menos que ella.</w:t>
      </w:r>
    </w:p>
    <w:bookmarkStart w:id="27" w:name="tab_supuestos_1tfeb"/>
    <w:p>
      <w:pPr>
        <w:pStyle w:val="TableCaption"/>
      </w:pPr>
      <w:r>
        <w:t xml:space="preserve">Tabla 1.–</w:t>
      </w:r>
      <w:r>
        <w:t xml:space="preserve"> </w:t>
      </w:r>
      <w:r>
        <w:t xml:space="preserve">Supuestos del 1TFEB: la regulación del poder de mercado levanta el 3 y el 5</w:t>
      </w:r>
    </w:p>
    <w:tbl>
      <w:tblPr>
        <w:tblStyle w:val="Table"/>
        <w:tblW w:type="auto" w:w="0"/>
        <w:tblLook w:firstRow="1" w:lastRow="0" w:firstColumn="0" w:lastColumn="0" w:noHBand="0" w:noVBand="0" w:val="0020"/>
        <w:tblCaption w:val="Tabla 1.– Supuestos del 1TFEB: la regulación del poder de mercado levanta el 3 y el 5"/>
      </w:tblPr>
      <w:tblGrid>
        <w:gridCol w:w="1584"/>
        <w:gridCol w:w="1584"/>
        <w:gridCol w:w="1584"/>
        <w:gridCol w:w="1584"/>
        <w:gridCol w:w="1584"/>
      </w:tblGrid>
      <w:tr>
        <w:trPr>
          <w:cantSplit/>
          <w:tblHeader w:val="on"/>
        </w:trPr>
        <w:tc>
          <w:tcPr>
            <w:shd w:val="clear" w:color="auto" w:fill="DDEBF7"/>
            <w:vAlign w:val="center"/>
          </w:tcPr>
          <w:p>
            <w:pPr>
              <w:pStyle w:val="Celdatceeazulpalido"/>
              <w:keepNext/>
              <w:jc w:val="center"/>
            </w:pPr>
            <w:r>
              <w:rPr>
                <w:b/>
                <w:bCs/>
              </w:rPr>
              <w:t xml:space="preserve">N.º</w:t>
            </w:r>
          </w:p>
        </w:tc>
        <w:tc>
          <w:tcPr>
            <w:shd w:val="clear" w:color="auto" w:fill="DDEBF7"/>
            <w:vAlign w:val="center"/>
          </w:tcPr>
          <w:p>
            <w:pPr>
              <w:pStyle w:val="Celdatceeazulpalido"/>
              <w:keepNext/>
              <w:jc w:val="left"/>
            </w:pPr>
            <w:r>
              <w:rPr>
                <w:b/>
                <w:bCs/>
              </w:rPr>
              <w:t xml:space="preserve">Supuesto</w:t>
            </w:r>
          </w:p>
        </w:tc>
        <w:tc>
          <w:tcPr>
            <w:shd w:val="clear" w:color="auto" w:fill="DDEBF7"/>
            <w:vAlign w:val="center"/>
          </w:tcPr>
          <w:p>
            <w:pPr>
              <w:pStyle w:val="Celdatceeazulpalido"/>
              <w:keepNext/>
              <w:jc w:val="left"/>
            </w:pPr>
            <w:r>
              <w:rPr>
                <w:b/>
                <w:bCs/>
              </w:rPr>
              <w:t xml:space="preserve">Qué significa</w:t>
            </w:r>
          </w:p>
        </w:tc>
        <w:tc>
          <w:tcPr>
            <w:shd w:val="clear" w:color="auto" w:fill="DDEBF7"/>
            <w:vAlign w:val="center"/>
          </w:tcPr>
          <w:p>
            <w:pPr>
              <w:pStyle w:val="Celdatceeazulpalido"/>
              <w:keepNext/>
              <w:jc w:val="left"/>
            </w:pPr>
            <w:r>
              <w:rPr>
                <w:b/>
                <w:bCs/>
              </w:rPr>
              <w:t xml:space="preserve">Si se levanta</w:t>
            </w:r>
          </w:p>
        </w:tc>
        <w:tc>
          <w:tcPr>
            <w:shd w:val="clear" w:color="auto" w:fill="DDEBF7"/>
            <w:vAlign w:val="center"/>
          </w:tcPr>
          <w:p>
            <w:pPr>
              <w:pStyle w:val="Celdatceeazulpalido"/>
              <w:keepNext/>
              <w:jc w:val="center"/>
            </w:pPr>
            <w:r>
              <w:rPr>
                <w:b/>
                <w:bCs/>
              </w:rPr>
              <w:t xml:space="preserve">Dónde</w:t>
            </w:r>
          </w:p>
        </w:tc>
      </w:tr>
      <w:tr>
        <w:trPr>
          <w:cantSplit/>
        </w:trPr>
        <w:tc>
          <w:tcPr>
            <w:vAlign w:val="center"/>
          </w:tcPr>
          <w:p>
            <w:pPr>
              <w:pStyle w:val="Compact"/>
              <w:jc w:val="center"/>
            </w:pPr>
            <w:r>
              <w:rPr>
                <w:rStyle w:val="Textomorado"/>
                <w:b/>
                <w:bCs/>
              </w:rPr>
              <w:t xml:space="preserve">1</w:t>
            </w:r>
          </w:p>
        </w:tc>
        <w:tc>
          <w:tcPr>
            <w:vAlign w:val="center"/>
          </w:tcPr>
          <w:p>
            <w:pPr>
              <w:pStyle w:val="Compact"/>
              <w:jc w:val="left"/>
            </w:pPr>
            <w:r>
              <w:rPr>
                <w:b/>
                <w:bCs/>
              </w:rPr>
              <w:t xml:space="preserve">No saciedad local</w:t>
            </w:r>
          </w:p>
        </w:tc>
        <w:tc>
          <w:tcPr>
            <w:vAlign w:val="center"/>
          </w:tcPr>
          <w:p>
            <w:pPr>
              <w:pStyle w:val="Compact"/>
              <w:jc w:val="left"/>
            </w:pPr>
            <w:r>
              <w:t xml:space="preserve">cerca de cualquier cesta hay otra que el consumidor prefiere, de modo que gasta toda su renta</w:t>
            </w:r>
          </w:p>
        </w:tc>
        <w:tc>
          <w:tcPr>
            <w:vAlign w:val="center"/>
          </w:tcPr>
          <w:p>
            <w:pPr>
              <w:pStyle w:val="Compact"/>
              <w:jc w:val="left"/>
            </w:pPr>
            <w:r>
              <w:t xml:space="preserve">un consumidor saciado puede dejar renta sin gastar y el equilibrio puede no ser eficiente</w:t>
            </w:r>
          </w:p>
        </w:tc>
        <w:tc>
          <w:tcPr>
            <w:vAlign w:val="center"/>
          </w:tcPr>
          <w:p>
            <w:pPr>
              <w:pStyle w:val="Compact"/>
              <w:jc w:val="center"/>
            </w:pPr>
            <w:hyperlink r:id="rId22">
              <w:r>
                <w:rPr>
                  <w:rStyle w:val="Referenciaatema"/>
                </w:rPr>
                <w:t xml:space="preserve">[ver tema 3.A.22]</w:t>
              </w:r>
            </w:hyperlink>
          </w:p>
        </w:tc>
      </w:tr>
      <w:tr>
        <w:trPr>
          <w:cantSplit/>
        </w:trPr>
        <w:tc>
          <w:tcPr>
            <w:vAlign w:val="center"/>
          </w:tcPr>
          <w:p>
            <w:pPr>
              <w:pStyle w:val="Compact"/>
              <w:jc w:val="center"/>
            </w:pPr>
            <w:r>
              <w:rPr>
                <w:rStyle w:val="Textomorado"/>
                <w:b/>
                <w:bCs/>
              </w:rPr>
              <w:t xml:space="preserve">2</w:t>
            </w:r>
          </w:p>
        </w:tc>
        <w:tc>
          <w:tcPr>
            <w:vAlign w:val="center"/>
          </w:tcPr>
          <w:p>
            <w:pPr>
              <w:pStyle w:val="Compact"/>
              <w:jc w:val="left"/>
            </w:pPr>
            <w:r>
              <w:rPr>
                <w:b/>
                <w:bCs/>
              </w:rPr>
              <w:t xml:space="preserve">Mercados completos</w:t>
            </w:r>
          </w:p>
        </w:tc>
        <w:tc>
          <w:tcPr>
            <w:vAlign w:val="center"/>
          </w:tcPr>
          <w:p>
            <w:pPr>
              <w:pStyle w:val="Compact"/>
              <w:jc w:val="left"/>
            </w:pPr>
            <w:r>
              <w:t xml:space="preserve">todo lo que afecta a la utilidad o a la producción tiene mercado y precio: no hay externalidades ni bienes públicos</w:t>
            </w:r>
          </w:p>
        </w:tc>
        <w:tc>
          <w:tcPr>
            <w:vAlign w:val="center"/>
          </w:tcPr>
          <w:p>
            <w:pPr>
              <w:pStyle w:val="Compact"/>
              <w:jc w:val="left"/>
            </w:pPr>
            <w:r>
              <w:rPr>
                <w:rStyle w:val="Textorojo"/>
              </w:rPr>
              <w:t xml:space="preserve">externalidades y bienes públicos</w:t>
            </w:r>
          </w:p>
        </w:tc>
        <w:tc>
          <w:tcPr>
            <w:vAlign w:val="center"/>
          </w:tcPr>
          <w:p>
            <w:pPr>
              <w:pStyle w:val="Compact"/>
              <w:jc w:val="center"/>
            </w:pPr>
            <w:hyperlink r:id="rId23">
              <w:r>
                <w:rPr>
                  <w:rStyle w:val="Referenciaatema"/>
                </w:rPr>
                <w:t xml:space="preserve">[ver tema 3.A.23]</w:t>
              </w:r>
            </w:hyperlink>
          </w:p>
        </w:tc>
      </w:tr>
      <w:tr>
        <w:trPr>
          <w:cantSplit/>
        </w:trPr>
        <w:tc>
          <w:tcPr>
            <w:shd w:val="clear" w:color="auto" w:fill="FBE4D5"/>
            <w:vAlign w:val="center"/>
          </w:tcPr>
          <w:p>
            <w:pPr>
              <w:pStyle w:val="Celdatceesalmon"/>
              <w:jc w:val="center"/>
            </w:pPr>
            <w:r>
              <w:rPr>
                <w:rStyle w:val="Textomorado"/>
                <w:b/>
                <w:bCs/>
              </w:rPr>
              <w:t xml:space="preserve">3</w:t>
            </w:r>
          </w:p>
        </w:tc>
        <w:tc>
          <w:tcPr>
            <w:shd w:val="clear" w:color="auto" w:fill="FBE4D5"/>
            <w:vAlign w:val="center"/>
          </w:tcPr>
          <w:p>
            <w:pPr>
              <w:pStyle w:val="Celdatceesalmon"/>
              <w:jc w:val="left"/>
            </w:pPr>
            <w:r>
              <w:rPr>
                <w:b/>
                <w:bCs/>
              </w:rPr>
              <w:t xml:space="preserve">Agentes precio-aceptantes</w:t>
            </w:r>
          </w:p>
        </w:tc>
        <w:tc>
          <w:tcPr>
            <w:shd w:val="clear" w:color="auto" w:fill="FBE4D5"/>
            <w:vAlign w:val="center"/>
          </w:tcPr>
          <w:p>
            <w:pPr>
              <w:pStyle w:val="Celdatceesalmon"/>
              <w:jc w:val="left"/>
            </w:pPr>
            <w:r>
              <w:t xml:space="preserve">nadie mueve los precios con sus decisiones (el supuesto de atomicidad de la competencia perfecta,</w:t>
            </w:r>
            <w:r>
              <w:t xml:space="preserve"> </w:t>
            </w:r>
            <w:hyperlink r:id="rId25">
              <w:r>
                <w:rPr>
                  <w:rStyle w:val="Referenciaatema"/>
                </w:rPr>
                <w:t xml:space="preserve">[ver tema 3.A.16]</w:t>
              </w:r>
            </w:hyperlink>
            <w:r>
              <w:t xml:space="preserve">)</w:t>
            </w:r>
          </w:p>
        </w:tc>
        <w:tc>
          <w:tcPr>
            <w:shd w:val="clear" w:color="auto" w:fill="FBE4D5"/>
            <w:vAlign w:val="center"/>
          </w:tcPr>
          <w:p>
            <w:pPr>
              <w:pStyle w:val="Celdatceesalmon"/>
              <w:jc w:val="left"/>
            </w:pPr>
            <w:r>
              <w:rPr>
                <w:rStyle w:val="Textorojo"/>
                <w:b/>
                <w:bCs/>
              </w:rPr>
              <w:t xml:space="preserve">Se levanta</w:t>
            </w:r>
            <w:r>
              <w:t xml:space="preserve">:</w:t>
            </w:r>
            <w:r>
              <w:t xml:space="preserve"> </w:t>
            </w:r>
            <w:r>
              <w:rPr>
                <w:i/>
                <w:iCs/>
              </w:rPr>
              <w:t xml:space="preserve">poder de mercado</w:t>
            </w:r>
            <w:r>
              <w:t xml:space="preserve">; una empresa (o pocas), protegida por barreras de entrada, fija</w:t>
            </w:r>
            <w:r>
              <w:t xml:space="preserve"> </w:t>
            </w:r>
            <m:oMath>
              <m:r>
                <m:t>p</m:t>
              </m:r>
              <m:r>
                <m:rPr>
                  <m:sty m:val="p"/>
                </m:rPr>
                <m:t>&gt;</m:t>
              </m:r>
              <m:r>
                <m:rPr>
                  <m:sty m:val="p"/>
                </m:rPr>
                <m:t>C</m:t>
              </m:r>
              <m:r>
                <m:rPr>
                  <m:sty m:val="p"/>
                </m:rPr>
                <m:t>M</m:t>
              </m:r>
              <m:r>
                <m:rPr>
                  <m:sty m:val="p"/>
                </m:rPr>
                <m:t>g</m:t>
              </m:r>
            </m:oMath>
            <w:r>
              <w:t xml:space="preserve"> </w:t>
            </w:r>
            <w:r>
              <w:t xml:space="preserve">y se produce menos de lo óptimo</w:t>
            </w:r>
          </w:p>
        </w:tc>
        <w:tc>
          <w:tcPr>
            <w:shd w:val="clear" w:color="auto" w:fill="FBE4D5"/>
            <w:vAlign w:val="center"/>
          </w:tcPr>
          <w:p>
            <w:pPr>
              <w:pStyle w:val="Celdatceesalmon"/>
              <w:jc w:val="center"/>
            </w:pPr>
            <w:r>
              <w:t xml:space="preserve">bloque </w:t>
            </w:r>
            <w:hyperlink w:anchor="sec_informacion_completa">
              <w:r>
                <w:rPr>
                  <w:rStyle w:val="Hyperlink"/>
                </w:rPr>
                <w:t xml:space="preserve">I</w:t>
              </w:r>
            </w:hyperlink>
          </w:p>
        </w:tc>
      </w:tr>
      <w:tr>
        <w:trPr>
          <w:cantSplit/>
        </w:trPr>
        <w:tc>
          <w:tcPr>
            <w:vAlign w:val="center"/>
          </w:tcPr>
          <w:p>
            <w:pPr>
              <w:pStyle w:val="Compact"/>
              <w:jc w:val="center"/>
            </w:pPr>
            <w:r>
              <w:rPr>
                <w:rStyle w:val="Textomorado"/>
                <w:b/>
                <w:bCs/>
              </w:rPr>
              <w:t xml:space="preserve">4</w:t>
            </w:r>
          </w:p>
        </w:tc>
        <w:tc>
          <w:tcPr>
            <w:vAlign w:val="center"/>
          </w:tcPr>
          <w:p>
            <w:pPr>
              <w:pStyle w:val="Compact"/>
              <w:jc w:val="left"/>
            </w:pPr>
            <w:r>
              <w:rPr>
                <w:b/>
                <w:bCs/>
              </w:rPr>
              <w:t xml:space="preserve">Precios comunes</w:t>
            </w:r>
          </w:p>
        </w:tc>
        <w:tc>
          <w:tcPr>
            <w:vAlign w:val="center"/>
          </w:tcPr>
          <w:p>
            <w:pPr>
              <w:pStyle w:val="Compact"/>
              <w:jc w:val="left"/>
            </w:pPr>
            <w:r>
              <w:t xml:space="preserve">todos se enfrentan a los mismos precios: no hay impuestos que abran cuñas entre lo que paga el comprador y lo que cobra el vendedor</w:t>
            </w:r>
          </w:p>
        </w:tc>
        <w:tc>
          <w:tcPr>
            <w:vAlign w:val="center"/>
          </w:tcPr>
          <w:p>
            <w:pPr>
              <w:pStyle w:val="Compact"/>
              <w:jc w:val="left"/>
            </w:pPr>
            <w:r>
              <w:rPr>
                <w:rStyle w:val="Textorojo"/>
              </w:rPr>
              <w:t xml:space="preserve">exceso de gravamen</w:t>
            </w:r>
          </w:p>
        </w:tc>
        <w:tc>
          <w:tcPr>
            <w:vAlign w:val="center"/>
          </w:tcPr>
          <w:p>
            <w:pPr>
              <w:pStyle w:val="Compact"/>
              <w:jc w:val="center"/>
            </w:pPr>
            <w:hyperlink r:id="rId26">
              <w:r>
                <w:rPr>
                  <w:rStyle w:val="Referenciaatema"/>
                </w:rPr>
                <w:t xml:space="preserve">[ver tema 4.B.9]</w:t>
              </w:r>
            </w:hyperlink>
          </w:p>
        </w:tc>
      </w:tr>
      <w:tr>
        <w:trPr>
          <w:cantSplit/>
        </w:trPr>
        <w:tc>
          <w:tcPr>
            <w:shd w:val="clear" w:color="auto" w:fill="FBE4D5"/>
            <w:vAlign w:val="center"/>
          </w:tcPr>
          <w:p>
            <w:pPr>
              <w:pStyle w:val="Celdatceesalmon"/>
              <w:jc w:val="center"/>
            </w:pPr>
            <w:r>
              <w:rPr>
                <w:rStyle w:val="Textomorado"/>
                <w:b/>
                <w:bCs/>
              </w:rPr>
              <w:t xml:space="preserve">5</w:t>
            </w:r>
          </w:p>
        </w:tc>
        <w:tc>
          <w:tcPr>
            <w:shd w:val="clear" w:color="auto" w:fill="FBE4D5"/>
            <w:vAlign w:val="center"/>
          </w:tcPr>
          <w:p>
            <w:pPr>
              <w:pStyle w:val="Celdatceesalmon"/>
              <w:jc w:val="left"/>
            </w:pPr>
            <w:r>
              <w:rPr>
                <w:b/>
                <w:bCs/>
              </w:rPr>
              <w:t xml:space="preserve">Información perfecta y simétrica</w:t>
            </w:r>
          </w:p>
        </w:tc>
        <w:tc>
          <w:tcPr>
            <w:shd w:val="clear" w:color="auto" w:fill="FBE4D5"/>
            <w:vAlign w:val="center"/>
          </w:tcPr>
          <w:p>
            <w:pPr>
              <w:pStyle w:val="Celdatceesalmon"/>
              <w:jc w:val="left"/>
            </w:pPr>
            <w:r>
              <w:t xml:space="preserve">todos observan lo que entra en el intercambio: su calidad, su precio y lo que hace cada parte</w:t>
            </w:r>
          </w:p>
        </w:tc>
        <w:tc>
          <w:tcPr>
            <w:shd w:val="clear" w:color="auto" w:fill="FBE4D5"/>
            <w:vAlign w:val="center"/>
          </w:tcPr>
          <w:p>
            <w:pPr>
              <w:pStyle w:val="Celdatceesalmon"/>
              <w:jc w:val="left"/>
            </w:pPr>
            <w:r>
              <w:rPr>
                <w:rStyle w:val="Textorojo"/>
                <w:b/>
                <w:bCs/>
              </w:rPr>
              <w:t xml:space="preserve">Se levanta</w:t>
            </w:r>
            <w:r>
              <w:t xml:space="preserve">: la empresa regulada conoce sus costes y su esfuerzo, y el regulador no:</w:t>
            </w:r>
            <w:r>
              <w:t xml:space="preserve"> </w:t>
            </w:r>
            <w:r>
              <w:rPr>
                <w:i/>
                <w:iCs/>
              </w:rPr>
              <w:t xml:space="preserve">selección adversa y riesgo moral</w:t>
            </w:r>
          </w:p>
        </w:tc>
        <w:tc>
          <w:tcPr>
            <w:shd w:val="clear" w:color="auto" w:fill="FBE4D5"/>
            <w:vAlign w:val="center"/>
          </w:tcPr>
          <w:p>
            <w:pPr>
              <w:pStyle w:val="Celdatceesalmon"/>
              <w:jc w:val="center"/>
            </w:pPr>
            <w:r>
              <w:t xml:space="preserve">bloque </w:t>
            </w:r>
            <w:hyperlink w:anchor="sec_informacion_asimetrica">
              <w:r>
                <w:rPr>
                  <w:rStyle w:val="Hyperlink"/>
                </w:rPr>
                <w:t xml:space="preserve">II</w:t>
              </w:r>
            </w:hyperlink>
          </w:p>
        </w:tc>
      </w:tr>
    </w:tbl>
    <w:bookmarkEnd w:id="27"/>
    <w:p>
      <w:pPr>
        <w:pStyle w:val="BodyText"/>
      </w:pPr>
      <w:r>
        <w:rPr>
          <w:i/>
          <w:iCs/>
        </w:rPr>
        <w:t xml:space="preserve">Fuente: elaboración propia a partir de la tabla de supuestos del 1TFEB de</w:t>
      </w:r>
      <w:r>
        <w:rPr>
          <w:i/>
          <w:iCs/>
        </w:rPr>
        <w:t xml:space="preserve"> </w:t>
      </w:r>
      <w:hyperlink r:id="rId22">
        <w:r>
          <w:rPr>
            <w:rStyle w:val="Referenciaatema"/>
            <w:i/>
            <w:iCs/>
          </w:rPr>
          <w:t xml:space="preserve">[ver tema 3.A.22]</w:t>
        </w:r>
      </w:hyperlink>
      <w:r>
        <w:rPr>
          <w:i/>
          <w:iCs/>
        </w:rPr>
        <w:t xml:space="preserve"> </w:t>
      </w:r>
      <w:r>
        <w:rPr>
          <w:i/>
          <w:iCs/>
        </w:rPr>
        <w:t xml:space="preserve">y de</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_MasColellWhinstonGreen1995">
        <w:r>
          <w:rPr>
            <w:rStyle w:val="Hyperlink"/>
            <w:i/>
            <w:iCs/>
          </w:rPr>
          <w:t xml:space="preserve">1995, párr. 16.C</w:t>
        </w:r>
      </w:hyperlink>
      <w:r>
        <w:rPr>
          <w:i/>
          <w:iCs/>
        </w:rPr>
        <w:t xml:space="preserve">)</w:t>
      </w:r>
      <w:r>
        <w:rPr>
          <w:i/>
          <w:iCs/>
        </w:rPr>
        <w:t xml:space="preserve">.</w:t>
      </w:r>
    </w:p>
    <w:bookmarkStart w:id="43" w:name="sec_poder_mercado"/>
    <w:p>
      <w:pPr>
        <w:pStyle w:val="Heading2"/>
      </w:pPr>
      <w:r>
        <w:t xml:space="preserve">I.1.</w:t>
      </w:r>
      <w:r>
        <w:t xml:space="preserve"> </w:t>
      </w:r>
      <w:r>
        <w:t xml:space="preserve">Poder de mercado: concepto, medida y coste social</w:t>
      </w:r>
    </w:p>
    <w:bookmarkStart w:id="30" w:name="concepto"/>
    <w:p>
      <w:pPr>
        <w:pStyle w:val="Heading4"/>
      </w:pPr>
      <w:r>
        <w:t xml:space="preserve">Concepto</w:t>
      </w:r>
    </w:p>
    <w:p>
      <w:pPr>
        <w:numPr>
          <w:ilvl w:val="0"/>
          <w:numId w:val="1008"/>
        </w:numPr>
      </w:pPr>
      <w:r>
        <w:t xml:space="preserve">Las directrices europeas de concentraciones entienden por</w:t>
      </w:r>
      <w:r>
        <w:t xml:space="preserve"> </w:t>
      </w:r>
      <w:r>
        <w:rPr>
          <w:b/>
          <w:bCs/>
        </w:rPr>
        <w:t xml:space="preserve">poder de mercado</w:t>
      </w:r>
      <w:r>
        <w:t xml:space="preserve"> </w:t>
      </w:r>
      <w:r>
        <w:t xml:space="preserve">la posibilidad de que una o varias empresas suban precios con beneficio, o recorten producción, calidad, variedad o innovación, respecto de lo que habría con competencia</w:t>
      </w:r>
      <w:r>
        <w:t xml:space="preserve"> </w:t>
      </w:r>
      <w:r>
        <w:t xml:space="preserve">(</w:t>
      </w:r>
      <w:hyperlink w:anchor="ref_CE2004Horizontales">
        <w:r>
          <w:rPr>
            <w:rStyle w:val="Hyperlink"/>
            <w:smallCaps/>
          </w:rPr>
          <w:t xml:space="preserve">Comisión Europea</w:t>
        </w:r>
        <w:r>
          <w:rPr>
            <w:rStyle w:val="Hyperlink"/>
          </w:rPr>
          <w:t xml:space="preserve">, 2004</w:t>
        </w:r>
      </w:hyperlink>
      <w:r>
        <w:t xml:space="preserve">, apdo. 8)</w:t>
      </w:r>
      <w:r>
        <w:t xml:space="preserve">. Analíticamente: sostener</w:t>
      </w:r>
      <w:r>
        <w:t xml:space="preserve"> </w:t>
      </w:r>
      <m:oMath>
        <m:r>
          <m:t>p</m:t>
        </m:r>
        <m:r>
          <m:rPr>
            <m:sty m:val="p"/>
          </m:rPr>
          <m:t>&gt;</m:t>
        </m:r>
        <m:r>
          <m:rPr>
            <m:sty m:val="p"/>
          </m:rPr>
          <m:t>C</m:t>
        </m:r>
        <m:r>
          <m:rPr>
            <m:sty m:val="p"/>
          </m:rPr>
          <m:t>M</m:t>
        </m:r>
        <m:r>
          <m:rPr>
            <m:sty m:val="p"/>
          </m:rPr>
          <m:t>g</m:t>
        </m:r>
      </m:oMath>
      <w:r>
        <w:t xml:space="preserve"> </w:t>
      </w:r>
      <w:r>
        <w:t xml:space="preserve">en el tiempo sin quedarse sin ventas.</w:t>
      </w:r>
    </w:p>
    <w:p>
      <w:pPr>
        <w:keepNext/>
        <w:numPr>
          <w:ilvl w:val="0"/>
          <w:numId w:val="1008"/>
        </w:numPr>
      </w:pPr>
      <w:r>
        <w:t xml:space="preserve">Nace de levantar el supuesto 3 (tabla </w:t>
      </w:r>
      <w:hyperlink w:anchor="tab_supuestos_1tfeb">
        <w:r>
          <w:rPr>
            <w:rStyle w:val="Hyperlink"/>
          </w:rPr>
          <w:t xml:space="preserve">1</w:t>
        </w:r>
      </w:hyperlink>
      <w:r>
        <w:t xml:space="preserve">): pocas empresas o productos diferenciados, protegidos por</w:t>
      </w:r>
      <w:r>
        <w:t xml:space="preserve"> </w:t>
      </w:r>
      <w:r>
        <w:rPr>
          <w:b/>
          <w:bCs/>
        </w:rPr>
        <w:t xml:space="preserve">barreras de entrada</w:t>
      </w:r>
      <w:r>
        <w:t xml:space="preserve"> </w:t>
      </w:r>
      <w:hyperlink r:id="rId28">
        <w:r>
          <w:rPr>
            <w:rStyle w:val="Referenciaatema"/>
          </w:rPr>
          <w:t xml:space="preserve">[ver tema 3.A.15]</w:t>
        </w:r>
      </w:hyperlink>
      <w:r>
        <w:t xml:space="preserve">:</w:t>
      </w:r>
    </w:p>
    <w:p>
      <w:pPr>
        <w:numPr>
          <w:ilvl w:val="1"/>
          <w:numId w:val="1009"/>
        </w:numPr>
      </w:pPr>
      <w:r>
        <w:rPr>
          <w:i/>
          <w:iCs/>
        </w:rPr>
        <w:t xml:space="preserve">legales</w:t>
      </w:r>
      <w:r>
        <w:t xml:space="preserve">: patentes, licencias, concesiones;</w:t>
      </w:r>
    </w:p>
    <w:p>
      <w:pPr>
        <w:numPr>
          <w:ilvl w:val="1"/>
          <w:numId w:val="1009"/>
        </w:numPr>
      </w:pPr>
      <w:r>
        <w:rPr>
          <w:i/>
          <w:iCs/>
        </w:rPr>
        <w:t xml:space="preserve">estratégicas</w:t>
      </w:r>
      <w:r>
        <w:t xml:space="preserve">: conductas de la empresa instalada que disuaden la entrada;</w:t>
      </w:r>
    </w:p>
    <w:p>
      <w:pPr>
        <w:numPr>
          <w:ilvl w:val="1"/>
          <w:numId w:val="1009"/>
        </w:numPr>
      </w:pPr>
      <w:r>
        <w:rPr>
          <w:i/>
          <w:iCs/>
        </w:rPr>
        <w:t xml:space="preserve">tecnológicas</w:t>
      </w:r>
      <w:r>
        <w:t xml:space="preserve">: costes subaditivos, que hacen más barato producir con una sola empresa; es el</w:t>
      </w:r>
      <w:r>
        <w:t xml:space="preserve"> </w:t>
      </w:r>
      <w:r>
        <w:rPr>
          <w:i/>
          <w:iCs/>
        </w:rPr>
        <w:t xml:space="preserve">monopolio natural</w:t>
      </w:r>
      <w:r>
        <w:t xml:space="preserve"> </w:t>
      </w:r>
      <w:r>
        <w:t xml:space="preserve">(</w:t>
      </w:r>
      <w:hyperlink w:anchor="sec_regulacion_informacion_completa">
        <w:r>
          <w:rPr>
            <w:rStyle w:val="Hyperlink"/>
          </w:rPr>
          <w:t xml:space="preserve">I.3</w:t>
        </w:r>
      </w:hyperlink>
      <w:r>
        <w:t xml:space="preserve">)</w:t>
      </w:r>
      <w:r>
        <w:t xml:space="preserve"> </w:t>
      </w:r>
      <w:hyperlink r:id="rId29">
        <w:r>
          <w:rPr>
            <w:rStyle w:val="Referenciaatema"/>
          </w:rPr>
          <w:t xml:space="preserve">[ver tema 3.A.17]</w:t>
        </w:r>
      </w:hyperlink>
      <w:r>
        <w:t xml:space="preserve">.</w:t>
      </w:r>
    </w:p>
    <w:p>
      <w:pPr>
        <w:keepNext/>
        <w:numPr>
          <w:ilvl w:val="0"/>
          <w:numId w:val="1008"/>
        </w:numPr>
      </w:pPr>
      <w:r>
        <w:t xml:space="preserve">El derecho de la competencia habla de</w:t>
      </w:r>
      <w:r>
        <w:t xml:space="preserve"> </w:t>
      </w:r>
      <w:r>
        <w:rPr>
          <w:b/>
          <w:bCs/>
        </w:rPr>
        <w:t xml:space="preserve">posición dominante</w:t>
      </w:r>
      <w:r>
        <w:t xml:space="preserve">: una posición de fuerza económica que permite a una empresa impedir que se mantenga una competencia efectiva en el mercado de referencia, porque puede comportarse con un grado apreciable de independencia frente a sus competidores, sus clientes y los consumidores</w:t>
      </w:r>
      <w:r>
        <w:t xml:space="preserve"> </w:t>
      </w:r>
      <w:r>
        <w:t xml:space="preserve">(</w:t>
      </w:r>
      <w:hyperlink w:anchor="ref_TJUE1979HoffmannLaRoche">
        <w:r>
          <w:rPr>
            <w:rStyle w:val="Hyperlink"/>
            <w:smallCaps/>
          </w:rPr>
          <w:t xml:space="preserve">Tribunal de Justicia de las Comunidades Europeas</w:t>
        </w:r>
        <w:r>
          <w:rPr>
            <w:rStyle w:val="Hyperlink"/>
          </w:rPr>
          <w:t xml:space="preserve">, 1979</w:t>
        </w:r>
      </w:hyperlink>
      <w:r>
        <w:t xml:space="preserve">)</w:t>
      </w:r>
      <w:r>
        <w:t xml:space="preserve">. Tenerla no es ilegal; abusar de ella, sí (art. 102 del Tratado de Funcionamiento de la Unión Europea, TFUE).</w:t>
      </w:r>
    </w:p>
    <w:p>
      <w:pPr>
        <w:numPr>
          <w:ilvl w:val="1"/>
          <w:numId w:val="1010"/>
        </w:numPr>
      </w:pPr>
      <w:r>
        <w:t xml:space="preserve">Pensemos en Redes del Valle, la única distribuidora eléctrica de una comarca. Tiene todas las conexiones de la zona, y nadie tenderá otra red al lado porque duplicaría un coste enorme: su poder de mercado nace de la tecnología, no de su conducta.</w:t>
      </w:r>
    </w:p>
    <w:bookmarkEnd w:id="30"/>
    <w:bookmarkStart w:id="35" w:name="medida"/>
    <w:p>
      <w:pPr>
        <w:pStyle w:val="Heading4"/>
      </w:pPr>
      <w:r>
        <w:t xml:space="preserve">Medida</w:t>
      </w:r>
    </w:p>
    <w:p>
      <w:pPr>
        <w:numPr>
          <w:ilvl w:val="0"/>
          <w:numId w:val="1011"/>
        </w:numPr>
      </w:pPr>
      <w:r>
        <w:rPr>
          <w:i/>
          <w:iCs/>
        </w:rPr>
        <w:t xml:space="preserve">Índice de</w:t>
      </w:r>
      <w:r>
        <w:rPr>
          <w:i/>
          <w:iCs/>
        </w:rPr>
        <w:t xml:space="preserve"> </w:t>
      </w:r>
      <w:r>
        <w:rPr>
          <w:i/>
          <w:iCs/>
          <w:smallCaps/>
        </w:rPr>
        <w:t xml:space="preserve">Lerner</w:t>
      </w:r>
      <w:r>
        <w:t xml:space="preserve"> </w:t>
      </w:r>
      <w:r>
        <w:t xml:space="preserve">(</w:t>
      </w:r>
      <w:hyperlink w:anchor="ref_Lerner1934Concept">
        <w:r>
          <w:rPr>
            <w:rStyle w:val="Hyperlink"/>
            <w:smallCaps/>
          </w:rPr>
          <w:t xml:space="preserve">Lerner</w:t>
        </w:r>
        <w:r>
          <w:rPr>
            <w:rStyle w:val="Hyperlink"/>
          </w:rPr>
          <w:t xml:space="preserve">, 1934</w:t>
        </w:r>
      </w:hyperlink>
      <w:r>
        <w:t xml:space="preserve">)</w:t>
      </w:r>
      <w:r>
        <w:t xml:space="preserve">: el margen relativo sobre el coste marginal, que en el óptimo del monopolista es la inversa de la elasticidad de la demanda</w:t>
      </w:r>
      <w:r>
        <w:t xml:space="preserve"> </w:t>
      </w:r>
      <w:hyperlink r:id="rId29">
        <w:r>
          <w:rPr>
            <w:rStyle w:val="Referenciaatema"/>
          </w:rPr>
          <w:t xml:space="preserve">[ver tema 3.A.17]</w:t>
        </w:r>
      </w:hyperlink>
      <w:r>
        <w:t xml:space="preserve">:</w:t>
      </w:r>
    </w:p>
    <w:bookmarkStart w:id="31" w:name="eq_lerner"/>
    <w:bookmarkEnd w:id="31"/>
    <w:p>
      <w:pPr>
        <w:pStyle w:val="Funcionclave"/>
        <w:keepLines/>
      </w:pPr>
      <m:oMathPara>
        <m:oMathParaPr>
          <m:jc m:val="center"/>
        </m:oMathParaPr>
        <m:oMath>
          <m:r>
            <m:rPr>
              <m:sty m:val="p"/>
              <m:scr m:val="script"/>
            </m:rPr>
            <m:t>L</m:t>
          </m:r>
          <m:r>
            <m:rPr>
              <m:sty m:val="p"/>
            </m:rPr>
            <m:t>≡</m:t>
          </m:r>
          <m:f>
            <m:fPr>
              <m:type m:val="bar"/>
            </m:fPr>
            <m:num>
              <m:r>
                <m:t>p</m:t>
              </m:r>
              <m:r>
                <m:rPr>
                  <m:sty m:val="p"/>
                </m:rPr>
                <m:t>−</m:t>
              </m:r>
              <m:r>
                <m:rPr>
                  <m:sty m:val="p"/>
                </m:rPr>
                <m:t>C</m:t>
              </m:r>
              <m:r>
                <m:rPr>
                  <m:sty m:val="p"/>
                </m:rPr>
                <m:t>M</m:t>
              </m:r>
              <m:r>
                <m:rPr>
                  <m:sty m:val="p"/>
                </m:rPr>
                <m:t>g</m:t>
              </m:r>
            </m:num>
            <m:den>
              <m:r>
                <m:t>p</m:t>
              </m:r>
            </m:den>
          </m:f>
          <m:r>
            <m:rPr>
              <m:sty m:val="p"/>
            </m:rPr>
            <m:t>=</m:t>
          </m:r>
          <m:f>
            <m:fPr>
              <m:type m:val="bar"/>
            </m:fPr>
            <m:num>
              <m:r>
                <m:t>1</m:t>
              </m:r>
            </m:num>
            <m:den>
              <m:d>
                <m:dPr>
                  <m:begChr m:val="|"/>
                  <m:sepChr m:val=""/>
                  <m:endChr m:val="|"/>
                  <m:grow/>
                </m:dPr>
                <m:e>
                  <m:sSub>
                    <m:e>
                      <m:r>
                        <m:t>ε</m:t>
                      </m:r>
                    </m:e>
                    <m:sub>
                      <m:r>
                        <m:t>q</m:t>
                      </m:r>
                      <m:r>
                        <m:rPr>
                          <m:sty m:val="p"/>
                        </m:rPr>
                        <m:t>,</m:t>
                      </m:r>
                      <m:r>
                        <m:t>p</m:t>
                      </m:r>
                    </m:sub>
                  </m:sSub>
                </m:e>
              </m:d>
            </m:den>
          </m:f>
        </m:oMath>
      </m:oMathPara>
    </w:p>
    <w:p>
      <w:pPr>
        <w:numPr>
          <w:ilvl w:val="0"/>
          <w:numId w:val="1000"/>
        </w:numPr>
      </w:pPr>
      <w:r>
        <w:t xml:space="preserve">Vale 0 en competencia perfecta y es mayor cuanto menos elástica es la demanda a la que se enfrenta la empresa. En el oligopolio de</w:t>
      </w:r>
      <w:r>
        <w:t xml:space="preserve"> </w:t>
      </w:r>
      <w:r>
        <w:rPr>
          <w:smallCaps/>
        </w:rPr>
        <w:t xml:space="preserve">Cournot</w:t>
      </w:r>
      <w:r>
        <w:t xml:space="preserve">,</w:t>
      </w:r>
      <w:r>
        <w:t xml:space="preserve"> </w:t>
      </w:r>
      <m:oMath>
        <m:sSub>
          <m:e>
            <m:r>
              <m:rPr>
                <m:sty m:val="p"/>
                <m:scr m:val="script"/>
              </m:rPr>
              <m:t>L</m:t>
            </m:r>
          </m:e>
          <m:sub>
            <m:r>
              <m:t>i</m:t>
            </m:r>
          </m:sub>
        </m:sSub>
        <m:r>
          <m:rPr>
            <m:sty m:val="p"/>
          </m:rPr>
          <m:t>=</m:t>
        </m:r>
        <m:sSub>
          <m:e>
            <m:r>
              <m:t>s</m:t>
            </m:r>
          </m:e>
          <m:sub>
            <m:r>
              <m:t>i</m:t>
            </m:r>
          </m:sub>
        </m:sSub>
        <m:r>
          <m:rPr>
            <m:sty m:val="p"/>
          </m:rPr>
          <m:t>/</m:t>
        </m:r>
        <m:d>
          <m:dPr>
            <m:begChr m:val="|"/>
            <m:sepChr m:val=""/>
            <m:endChr m:val="|"/>
            <m:grow/>
          </m:dPr>
          <m:e>
            <m:sSub>
              <m:e>
                <m:r>
                  <m:t>ε</m:t>
                </m:r>
              </m:e>
              <m:sub>
                <m:r>
                  <m:t>Q</m:t>
                </m:r>
                <m:r>
                  <m:rPr>
                    <m:sty m:val="p"/>
                  </m:rPr>
                  <m:t>,</m:t>
                </m:r>
                <m:r>
                  <m:t>p</m:t>
                </m:r>
              </m:sub>
            </m:sSub>
          </m:e>
        </m:d>
      </m:oMath>
      <w:r>
        <w:t xml:space="preserve">, con</w:t>
      </w:r>
      <w:r>
        <w:t xml:space="preserve"> </w:t>
      </w:r>
      <m:oMath>
        <m:sSub>
          <m:e>
            <m:r>
              <m:t>s</m:t>
            </m:r>
          </m:e>
          <m:sub>
            <m:r>
              <m:t>i</m:t>
            </m:r>
          </m:sub>
        </m:sSub>
        <m:r>
          <m:rPr>
            <m:sty m:val="p"/>
          </m:rPr>
          <m:t>∈</m:t>
        </m:r>
        <m:d>
          <m:dPr>
            <m:begChr m:val="["/>
            <m:sepChr m:val=""/>
            <m:endChr m:val="]"/>
            <m:grow/>
          </m:dPr>
          <m:e>
            <m:r>
              <m:t>0</m:t>
            </m:r>
            <m:r>
              <m:rPr>
                <m:sty m:val="p"/>
              </m:rPr>
              <m:t>,</m:t>
            </m:r>
            <m:r>
              <m:t>1</m:t>
            </m:r>
          </m:e>
        </m:d>
      </m:oMath>
      <w:r>
        <w:t xml:space="preserve"> </w:t>
      </w:r>
      <w:r>
        <w:t xml:space="preserve">la cuota de mercado</w:t>
      </w:r>
      <w:r>
        <w:t xml:space="preserve"> </w:t>
      </w:r>
      <w:hyperlink r:id="rId32">
        <w:r>
          <w:rPr>
            <w:rStyle w:val="Referenciaatema"/>
          </w:rPr>
          <w:t xml:space="preserve">[ver tema 3.A.19]</w:t>
        </w:r>
      </w:hyperlink>
      <w:r>
        <w:t xml:space="preserve">.</w:t>
      </w:r>
    </w:p>
    <w:p>
      <w:pPr>
        <w:keepNext/>
        <w:numPr>
          <w:ilvl w:val="0"/>
          <w:numId w:val="1011"/>
        </w:numPr>
      </w:pPr>
      <w:r>
        <w:rPr>
          <w:i/>
          <w:iCs/>
        </w:rPr>
        <w:t xml:space="preserve">Problemas del índice</w:t>
      </w:r>
      <w:r>
        <w:t xml:space="preserve">:</w:t>
      </w:r>
    </w:p>
    <w:p>
      <w:pPr>
        <w:numPr>
          <w:ilvl w:val="1"/>
          <w:numId w:val="1012"/>
        </w:numPr>
      </w:pPr>
      <w:r>
        <w:t xml:space="preserve">el coste marginal no se observa: hay que estimarlo;</w:t>
      </w:r>
    </w:p>
    <w:p>
      <w:pPr>
        <w:numPr>
          <w:ilvl w:val="1"/>
          <w:numId w:val="1012"/>
        </w:numPr>
      </w:pPr>
      <w:r>
        <w:t xml:space="preserve">un margen alto puede ser necesario para cubrir costes fijos (con economías de escala,</w:t>
      </w:r>
      <w:r>
        <w:t xml:space="preserve"> </w:t>
      </w:r>
      <m:oMath>
        <m:r>
          <m:t>p</m:t>
        </m:r>
        <m:r>
          <m:rPr>
            <m:sty m:val="p"/>
          </m:rPr>
          <m:t>=</m:t>
        </m:r>
        <m:r>
          <m:rPr>
            <m:sty m:val="p"/>
          </m:rPr>
          <m:t>C</m:t>
        </m:r>
        <m:r>
          <m:rPr>
            <m:sty m:val="p"/>
          </m:rPr>
          <m:t>M</m:t>
        </m:r>
        <m:r>
          <m:rPr>
            <m:sty m:val="p"/>
          </m:rPr>
          <m:t>g</m:t>
        </m:r>
      </m:oMath>
      <w:r>
        <w:t xml:space="preserve"> </w:t>
      </w:r>
      <w:r>
        <w:t xml:space="preserve">da pérdidas);</w:t>
      </w:r>
    </w:p>
    <w:p>
      <w:pPr>
        <w:numPr>
          <w:ilvl w:val="1"/>
          <w:numId w:val="1012"/>
        </w:numPr>
      </w:pPr>
      <w:r>
        <w:t xml:space="preserve">un margen bajo puede esconder poder de mercado si la empresa, sin rivales que la presionen, no minimiza costes (ineficiencia X).</w:t>
      </w:r>
    </w:p>
    <w:p>
      <w:pPr>
        <w:keepNext/>
        <w:numPr>
          <w:ilvl w:val="0"/>
          <w:numId w:val="1011"/>
        </w:numPr>
      </w:pPr>
      <w:r>
        <w:rPr>
          <w:i/>
          <w:iCs/>
        </w:rPr>
        <w:t xml:space="preserve">Medidas de estructura</w:t>
      </w:r>
      <w:r>
        <w:t xml:space="preserve">, en un mercado ya definido (</w:t>
      </w:r>
      <w:hyperlink w:anchor="sec_mercado_relevante">
        <w:r>
          <w:rPr>
            <w:rStyle w:val="Hyperlink"/>
          </w:rPr>
          <w:t xml:space="preserve">I.2</w:t>
        </w:r>
      </w:hyperlink>
      <w:r>
        <w:t xml:space="preserve">):</w:t>
      </w:r>
    </w:p>
    <w:p>
      <w:pPr>
        <w:numPr>
          <w:ilvl w:val="1"/>
          <w:numId w:val="1013"/>
        </w:numPr>
      </w:pPr>
      <w:r>
        <w:t xml:space="preserve">las cuotas de mercado,</w:t>
      </w:r>
      <w:r>
        <w:t xml:space="preserve"> </w:t>
      </w:r>
      <m:oMath>
        <m:sSub>
          <m:e>
            <m:r>
              <m:t>s</m:t>
            </m:r>
          </m:e>
          <m:sub>
            <m:r>
              <m:t>i</m:t>
            </m:r>
          </m:sub>
        </m:sSub>
      </m:oMath>
      <w:r>
        <w:t xml:space="preserve">;</w:t>
      </w:r>
    </w:p>
    <w:p>
      <w:pPr>
        <w:numPr>
          <w:ilvl w:val="1"/>
          <w:numId w:val="1013"/>
        </w:numPr>
      </w:pPr>
      <w:r>
        <w:t xml:space="preserve">la ratio de concentración de las</w:t>
      </w:r>
      <w:r>
        <w:t xml:space="preserve"> </w:t>
      </w:r>
      <m:oMath>
        <m:r>
          <m:t>m</m:t>
        </m:r>
      </m:oMath>
      <w:r>
        <w:t xml:space="preserve"> </w:t>
      </w:r>
      <w:r>
        <w:t xml:space="preserve">mayores,</w:t>
      </w:r>
      <w:r>
        <w:t xml:space="preserve"> </w:t>
      </w:r>
      <m:oMath>
        <m:sSub>
          <m:e>
            <m:r>
              <m:rPr>
                <m:sty m:val="p"/>
              </m:rPr>
              <m:t>C</m:t>
            </m:r>
            <m:r>
              <m:rPr>
                <m:sty m:val="p"/>
              </m:rPr>
              <m:t>R</m:t>
            </m:r>
          </m:e>
          <m:sub>
            <m:r>
              <m:t>m</m:t>
            </m:r>
          </m:sub>
        </m:sSub>
        <m:r>
          <m:rPr>
            <m:sty m:val="p"/>
          </m:rPr>
          <m:t>=</m:t>
        </m:r>
        <m:nary>
          <m:naryPr>
            <m:chr m:val="∑"/>
            <m:limLoc m:val="undOvr"/>
            <m:subHide m:val="off"/>
            <m:supHide m:val="off"/>
          </m:naryPr>
          <m:sub>
            <m:r>
              <m:t>i</m:t>
            </m:r>
            <m:r>
              <m:rPr>
                <m:sty m:val="p"/>
              </m:rPr>
              <m:t>=</m:t>
            </m:r>
            <m:r>
              <m:t>1</m:t>
            </m:r>
          </m:sub>
          <m:sup>
            <m:r>
              <m:t>m</m:t>
            </m:r>
          </m:sup>
          <m:e>
            <m:sSub>
              <m:e>
                <m:r>
                  <m:t>s</m:t>
                </m:r>
              </m:e>
              <m:sub>
                <m:r>
                  <m:t>i</m:t>
                </m:r>
              </m:sub>
            </m:sSub>
          </m:e>
        </m:nary>
      </m:oMath>
      <w:r>
        <w:t xml:space="preserve">;</w:t>
      </w:r>
    </w:p>
    <w:p>
      <w:pPr>
        <w:numPr>
          <w:ilvl w:val="1"/>
          <w:numId w:val="1013"/>
        </w:numPr>
      </w:pPr>
      <w:r>
        <w:t xml:space="preserve">el</w:t>
      </w:r>
      <w:r>
        <w:t xml:space="preserve"> </w:t>
      </w:r>
      <w:r>
        <w:rPr>
          <w:b/>
          <w:bCs/>
        </w:rPr>
        <w:t xml:space="preserve">índice de Herfindahl-Hirschman</w:t>
      </w:r>
      <w:r>
        <w:t xml:space="preserve"> </w:t>
      </w:r>
      <w:r>
        <w:t xml:space="preserve">(IHH; HHI en inglés), que tiene una justificación teórica: en</w:t>
      </w:r>
      <w:r>
        <w:t xml:space="preserve"> </w:t>
      </w:r>
      <w:r>
        <w:rPr>
          <w:smallCaps/>
        </w:rPr>
        <w:t xml:space="preserve">Cournot</w:t>
      </w:r>
      <w:r>
        <w:t xml:space="preserve">, el margen medio ponderado por las cuotas es</w:t>
      </w:r>
      <w:r>
        <w:t xml:space="preserve"> </w:t>
      </w:r>
      <m:oMath>
        <m:nary>
          <m:naryPr>
            <m:chr m:val="∑"/>
            <m:limLoc m:val="undOvr"/>
            <m:subHide m:val="off"/>
            <m:supHide m:val="on"/>
          </m:naryPr>
          <m:sub>
            <m:r>
              <m:t>i</m:t>
            </m:r>
          </m:sub>
          <m:sup>
            <m:r>
              <m:t>​</m:t>
            </m:r>
          </m:sup>
          <m:e>
            <m:sSub>
              <m:e>
                <m:r>
                  <m:t>s</m:t>
                </m:r>
              </m:e>
              <m:sub>
                <m:r>
                  <m:t>i</m:t>
                </m:r>
              </m:sub>
            </m:sSub>
          </m:e>
        </m:nary>
        <m:sSub>
          <m:e>
            <m:r>
              <m:rPr>
                <m:sty m:val="p"/>
                <m:scr m:val="script"/>
              </m:rPr>
              <m:t>L</m:t>
            </m:r>
          </m:e>
          <m:sub>
            <m:r>
              <m:t>i</m:t>
            </m:r>
          </m:sub>
        </m:sSub>
        <m:r>
          <m:rPr>
            <m:sty m:val="p"/>
          </m:rPr>
          <m:t>=</m:t>
        </m:r>
        <m:r>
          <m:rPr>
            <m:sty m:val="p"/>
          </m:rPr>
          <m:t>I</m:t>
        </m:r>
        <m:r>
          <m:rPr>
            <m:sty m:val="p"/>
          </m:rPr>
          <m:t>H</m:t>
        </m:r>
        <m:r>
          <m:rPr>
            <m:sty m:val="p"/>
          </m:rPr>
          <m:t>H</m:t>
        </m:r>
        <m:r>
          <m:rPr>
            <m:sty m:val="p"/>
          </m:rPr>
          <m:t>/</m:t>
        </m:r>
        <m:d>
          <m:dPr>
            <m:begChr m:val="("/>
            <m:sepChr m:val=""/>
            <m:endChr m:val=")"/>
            <m:grow/>
          </m:dPr>
          <m:e>
            <m:r>
              <m:t>10.000</m:t>
            </m:r>
            <m:r>
              <m:t> </m:t>
            </m:r>
            <m:d>
              <m:dPr>
                <m:begChr m:val="|"/>
                <m:sepChr m:val=""/>
                <m:endChr m:val="|"/>
                <m:grow/>
              </m:dPr>
              <m:e>
                <m:sSub>
                  <m:e>
                    <m:r>
                      <m:t>ε</m:t>
                    </m:r>
                  </m:e>
                  <m:sub>
                    <m:r>
                      <m:t>Q</m:t>
                    </m:r>
                    <m:r>
                      <m:rPr>
                        <m:sty m:val="p"/>
                      </m:rPr>
                      <m:t>,</m:t>
                    </m:r>
                    <m:r>
                      <m:t>p</m:t>
                    </m:r>
                  </m:sub>
                </m:sSub>
              </m:e>
            </m:d>
          </m:e>
        </m:d>
      </m:oMath>
      <w:r>
        <w:t xml:space="preserve"> </w:t>
      </w:r>
      <w:r>
        <w:t xml:space="preserve">(</w:t>
      </w:r>
      <w:hyperlink w:anchor="ref_CowlingWaterson1976Price">
        <w:r>
          <w:rPr>
            <w:rStyle w:val="Hyperlink"/>
            <w:smallCaps/>
          </w:rPr>
          <w:t xml:space="preserve">Cowling</w:t>
        </w:r>
        <w:r>
          <w:rPr>
            <w:rStyle w:val="Hyperlink"/>
          </w:rPr>
          <w:t xml:space="preserve"> </w:t>
        </w:r>
        <w:r>
          <w:rPr>
            <w:rStyle w:val="Hyperlink"/>
          </w:rPr>
          <w:t xml:space="preserve">y</w:t>
        </w:r>
        <w:r>
          <w:rPr>
            <w:rStyle w:val="Hyperlink"/>
          </w:rPr>
          <w:t xml:space="preserve"> </w:t>
        </w:r>
        <w:r>
          <w:rPr>
            <w:rStyle w:val="Hyperlink"/>
            <w:smallCaps/>
          </w:rPr>
          <w:t xml:space="preserve">Waterson</w:t>
        </w:r>
        <w:r>
          <w:rPr>
            <w:rStyle w:val="Hyperlink"/>
          </w:rPr>
          <w:t xml:space="preserve">, 1976</w:t>
        </w:r>
      </w:hyperlink>
      <w:r>
        <w:t xml:space="preserve">)</w:t>
      </w:r>
      <w:r>
        <w:t xml:space="preserve"> </w:t>
      </w:r>
      <w:hyperlink r:id="rId28">
        <w:r>
          <w:rPr>
            <w:rStyle w:val="Referenciaatema"/>
          </w:rPr>
          <w:t xml:space="preserve">[ver tema 3.A.15]</w:t>
        </w:r>
      </w:hyperlink>
      <w:r>
        <w:t xml:space="preserve"> </w:t>
      </w:r>
      <w:hyperlink r:id="rId32">
        <w:r>
          <w:rPr>
            <w:rStyle w:val="Referenciaatema"/>
          </w:rPr>
          <w:t xml:space="preserve">[ver tema 3.A.19]</w:t>
        </w:r>
      </w:hyperlink>
      <w:r>
        <w:t xml:space="preserve">:</w:t>
      </w:r>
      <w:r>
        <w:t xml:space="preserve"> </w:t>
      </w:r>
      <w:bookmarkStart w:id="33" w:name="eq_ihh"/>
      <w:bookmarkEnd w:id="33"/>
    </w:p>
    <w:p>
      <w:pPr>
        <w:pStyle w:val="BodyText"/>
        <w:keepNext/>
      </w:pPr>
      <m:oMathPara>
        <m:oMathParaPr>
          <m:jc m:val="center"/>
        </m:oMathParaPr>
        <m:oMath>
          <m:r>
            <m:rPr>
              <m:sty m:val="p"/>
            </m:rPr>
            <m:t>I</m:t>
          </m:r>
          <m:r>
            <m:rPr>
              <m:sty m:val="p"/>
            </m:rPr>
            <m:t>H</m:t>
          </m:r>
          <m:r>
            <m:rPr>
              <m:sty m:val="p"/>
            </m:rPr>
            <m:t>H</m:t>
          </m:r>
          <m:r>
            <m:rPr>
              <m:sty m:val="p"/>
            </m:rPr>
            <m:t>≡</m:t>
          </m:r>
          <m:nary>
            <m:naryPr>
              <m:chr m:val="∑"/>
              <m:limLoc m:val="undOvr"/>
              <m:subHide m:val="off"/>
              <m:supHide m:val="on"/>
            </m:naryPr>
            <m:sub>
              <m:r>
                <m:t>i</m:t>
              </m:r>
            </m:sub>
            <m:sup>
              <m:r>
                <m:t>​</m:t>
              </m:r>
            </m:sup>
            <m:e>
              <m:sSup>
                <m:e>
                  <m:d>
                    <m:dPr>
                      <m:begChr m:val="("/>
                      <m:sepChr m:val=""/>
                      <m:endChr m:val=")"/>
                      <m:grow/>
                    </m:dPr>
                    <m:e>
                      <m:r>
                        <m:t>100</m:t>
                      </m:r>
                      <m:r>
                        <m:t> </m:t>
                      </m:r>
                      <m:sSub>
                        <m:e>
                          <m:r>
                            <m:t>s</m:t>
                          </m:r>
                        </m:e>
                        <m:sub>
                          <m:r>
                            <m:t>i</m:t>
                          </m:r>
                        </m:sub>
                      </m:sSub>
                    </m:e>
                  </m:d>
                </m:e>
                <m:sup>
                  <m:r>
                    <m:t>2</m:t>
                  </m:r>
                </m:sup>
              </m:sSup>
            </m:e>
          </m:nary>
          <m:r>
            <m:rPr>
              <m:sty m:val="p"/>
            </m:rPr>
            <m:t>∈</m:t>
          </m:r>
          <m:r>
            <m:rPr>
              <m:sty m:val="p"/>
            </m:rPr>
            <m:t>(</m:t>
          </m:r>
          <m:r>
            <m:t>0</m:t>
          </m:r>
          <m:r>
            <m:rPr>
              <m:sty m:val="p"/>
            </m:rPr>
            <m:t>;</m:t>
          </m:r>
          <m:r>
            <m:t> </m:t>
          </m:r>
          <m:r>
            <m:t>10.000</m:t>
          </m:r>
          <m:r>
            <m:rPr>
              <m:sty m:val="p"/>
            </m:rPr>
            <m:t>]</m:t>
          </m:r>
          <m:r>
            <m:rPr>
              <m:sty m:val="p"/>
            </m:rPr>
            <m:t>.</m:t>
          </m:r>
        </m:oMath>
      </m:oMathPara>
    </w:p>
    <w:p>
      <w:pPr>
        <w:keepNext/>
        <w:numPr>
          <w:ilvl w:val="0"/>
          <w:numId w:val="1011"/>
        </w:numPr>
      </w:pPr>
      <w:r>
        <w:rPr>
          <w:i/>
          <w:iCs/>
        </w:rPr>
        <w:t xml:space="preserve">Umbrales en la práctica</w:t>
      </w:r>
      <w:r>
        <w:t xml:space="preserve">:</w:t>
      </w:r>
    </w:p>
    <w:p>
      <w:pPr>
        <w:numPr>
          <w:ilvl w:val="1"/>
          <w:numId w:val="1014"/>
        </w:numPr>
      </w:pPr>
      <w:r>
        <w:t xml:space="preserve">una cuota del 50 % o más hace presumir la posición dominante</w:t>
      </w:r>
      <w:r>
        <w:t xml:space="preserve"> </w:t>
      </w:r>
      <w:r>
        <w:t xml:space="preserve">(</w:t>
      </w:r>
      <w:hyperlink w:anchor="ref_TJUE1991AKZO">
        <w:r>
          <w:rPr>
            <w:rStyle w:val="Hyperlink"/>
            <w:smallCaps/>
          </w:rPr>
          <w:t xml:space="preserve">Tribunal de Justicia de las Comunidades Europeas</w:t>
        </w:r>
        <w:r>
          <w:rPr>
            <w:rStyle w:val="Hyperlink"/>
          </w:rPr>
          <w:t xml:space="preserve">, 1991</w:t>
        </w:r>
      </w:hyperlink>
      <w:r>
        <w:t xml:space="preserve">)</w:t>
      </w:r>
      <w:r>
        <w:t xml:space="preserve">, y por debajo del 40 % esta es, en general, improbable</w:t>
      </w:r>
      <w:r>
        <w:t xml:space="preserve"> </w:t>
      </w:r>
      <w:r>
        <w:t xml:space="preserve">(</w:t>
      </w:r>
      <w:hyperlink w:anchor="ref_CE2026DirectricesExclusion">
        <w:r>
          <w:rPr>
            <w:rStyle w:val="Hyperlink"/>
            <w:smallCaps/>
          </w:rPr>
          <w:t xml:space="preserve">Comisión Europea</w:t>
        </w:r>
        <w:r>
          <w:rPr>
            <w:rStyle w:val="Hyperlink"/>
          </w:rPr>
          <w:t xml:space="preserve">, 2026d</w:t>
        </w:r>
      </w:hyperlink>
      <w:r>
        <w:t xml:space="preserve">, punto 24)</w:t>
      </w:r>
      <w:r>
        <w:t xml:space="preserve">;</w:t>
      </w:r>
    </w:p>
    <w:p>
      <w:pPr>
        <w:numPr>
          <w:ilvl w:val="1"/>
          <w:numId w:val="1014"/>
        </w:numPr>
      </w:pPr>
      <w:r>
        <w:t xml:space="preserve">en las concentraciones, la Comisión ve improbables los problemas si el IHH resultante no llega a 1.000, si está entre 1.000 y 2.000 y sube menos de 250 puntos, o si supera 2.000 y sube menos de 150</w:t>
      </w:r>
      <w:r>
        <w:t xml:space="preserve"> </w:t>
      </w:r>
      <w:r>
        <w:t xml:space="preserve">(</w:t>
      </w:r>
      <w:hyperlink w:anchor="ref_CE2004Horizontales">
        <w:r>
          <w:rPr>
            <w:rStyle w:val="Hyperlink"/>
            <w:smallCaps/>
          </w:rPr>
          <w:t xml:space="preserve">Comisión Europea</w:t>
        </w:r>
        <w:r>
          <w:rPr>
            <w:rStyle w:val="Hyperlink"/>
          </w:rPr>
          <w:t xml:space="preserve">, 2004</w:t>
        </w:r>
      </w:hyperlink>
      <w:r>
        <w:t xml:space="preserve">, apdos. 19-20)</w:t>
      </w:r>
      <w:r>
        <w:t xml:space="preserve">;</w:t>
      </w:r>
      <w:r>
        <w:rPr>
          <w:rStyle w:val="FootnoteReference"/>
        </w:rPr>
        <w:footnoteReference w:id="34"/>
      </w:r>
    </w:p>
    <w:p>
      <w:pPr>
        <w:numPr>
          <w:ilvl w:val="1"/>
          <w:numId w:val="1014"/>
        </w:numPr>
      </w:pPr>
      <w:r>
        <w:t xml:space="preserve">los acuerdos verticales quedan exentos por categorías si ni el proveedor ni el comprador superan el 30 % de su mercado de referencia</w:t>
      </w:r>
      <w:r>
        <w:t xml:space="preserve"> </w:t>
      </w:r>
      <w:r>
        <w:t xml:space="preserve">(</w:t>
      </w:r>
      <w:hyperlink w:anchor="ref_UE2022RECAV">
        <w:r>
          <w:rPr>
            <w:rStyle w:val="Hyperlink"/>
            <w:smallCaps/>
          </w:rPr>
          <w:t xml:space="preserve">Comisión Europea</w:t>
        </w:r>
        <w:r>
          <w:rPr>
            <w:rStyle w:val="Hyperlink"/>
          </w:rPr>
          <w:t xml:space="preserve">, 2022</w:t>
        </w:r>
      </w:hyperlink>
      <w:r>
        <w:t xml:space="preserve">, art. 3)</w:t>
      </w:r>
      <w:r>
        <w:t xml:space="preserve">, y los acuerdos de menor importancia (</w:t>
      </w:r>
      <w:r>
        <w:rPr>
          <w:i/>
          <w:iCs/>
        </w:rPr>
        <w:t xml:space="preserve">de minimis</w:t>
      </w:r>
      <w:r>
        <w:t xml:space="preserve">) no restringen la competencia de forma sensible si la cuota conjunta no pasa del 10 % entre competidores o la de cada parte del 15 % entre no competidores</w:t>
      </w:r>
      <w:r>
        <w:t xml:space="preserve"> </w:t>
      </w:r>
      <w:r>
        <w:t xml:space="preserve">(</w:t>
      </w:r>
      <w:hyperlink w:anchor="ref_CE2014DeMinimis">
        <w:r>
          <w:rPr>
            <w:rStyle w:val="Hyperlink"/>
            <w:smallCaps/>
          </w:rPr>
          <w:t xml:space="preserve">Comisión Europea</w:t>
        </w:r>
        <w:r>
          <w:rPr>
            <w:rStyle w:val="Hyperlink"/>
          </w:rPr>
          <w:t xml:space="preserve">, 2014</w:t>
        </w:r>
      </w:hyperlink>
      <w:r>
        <w:t xml:space="preserve">, puntos 8-9)</w:t>
      </w:r>
      <w:r>
        <w:t xml:space="preserve">.</w:t>
      </w:r>
    </w:p>
    <w:p>
      <w:pPr>
        <w:numPr>
          <w:ilvl w:val="1"/>
          <w:numId w:val="1015"/>
        </w:numPr>
      </w:pPr>
      <w:r>
        <w:t xml:space="preserve">Volvamos a Redes del Valle: con todo su mercado,</w:t>
      </w:r>
      <w:r>
        <w:t xml:space="preserve"> </w:t>
      </w:r>
      <m:oMath>
        <m:r>
          <m:rPr>
            <m:sty m:val="p"/>
          </m:rPr>
          <m:t>I</m:t>
        </m:r>
        <m:r>
          <m:rPr>
            <m:sty m:val="p"/>
          </m:rPr>
          <m:t>H</m:t>
        </m:r>
        <m:r>
          <m:rPr>
            <m:sty m:val="p"/>
          </m:rPr>
          <m:t>H</m:t>
        </m:r>
        <m:r>
          <m:rPr>
            <m:sty m:val="p"/>
          </m:rPr>
          <m:t>=</m:t>
        </m:r>
        <m:sSup>
          <m:e>
            <m:r>
              <m:t>100</m:t>
            </m:r>
          </m:e>
          <m:sup>
            <m:r>
              <m:t>2</m:t>
            </m:r>
          </m:sup>
        </m:sSup>
        <m:r>
          <m:rPr>
            <m:sty m:val="p"/>
          </m:rPr>
          <m:t>=</m:t>
        </m:r>
        <m:r>
          <m:t>10.000</m:t>
        </m:r>
      </m:oMath>
      <w:r>
        <w:t xml:space="preserve">, el máximo. Y la demanda de acceso a la red es muy inelástica: la luz se usa casi igual aunque el peaje suba. Sin regulación, su margen sería altísimo.</w:t>
      </w:r>
    </w:p>
    <w:bookmarkEnd w:id="35"/>
    <w:bookmarkStart w:id="37" w:name="por_qu___preocupa_las_3_ineficiencias"/>
    <w:p>
      <w:pPr>
        <w:pStyle w:val="Heading4"/>
      </w:pPr>
      <w:r>
        <w:t xml:space="preserve">Por qué preocupa: las 3 ineficiencias</w:t>
      </w:r>
    </w:p>
    <w:p>
      <w:pPr>
        <w:numPr>
          <w:ilvl w:val="0"/>
          <w:numId w:val="1016"/>
        </w:numPr>
      </w:pPr>
      <w:r>
        <w:rPr>
          <w:i/>
          <w:iCs/>
        </w:rPr>
        <w:t xml:space="preserve">Asignativa</w:t>
      </w:r>
      <w:r>
        <w:t xml:space="preserve">: con</w:t>
      </w:r>
      <w:r>
        <w:t xml:space="preserve"> </w:t>
      </w:r>
      <m:oMath>
        <m:r>
          <m:t>p</m:t>
        </m:r>
        <m:r>
          <m:rPr>
            <m:sty m:val="p"/>
          </m:rPr>
          <m:t>&gt;</m:t>
        </m:r>
        <m:r>
          <m:rPr>
            <m:sty m:val="p"/>
          </m:rPr>
          <m:t>C</m:t>
        </m:r>
        <m:r>
          <m:rPr>
            <m:sty m:val="p"/>
          </m:rPr>
          <m:t>M</m:t>
        </m:r>
        <m:r>
          <m:rPr>
            <m:sty m:val="p"/>
          </m:rPr>
          <m:t>g</m:t>
        </m:r>
      </m:oMath>
      <w:r>
        <w:t xml:space="preserve"> </w:t>
      </w:r>
      <w:r>
        <w:t xml:space="preserve">se produce menos de lo eficiente, y se pierde el triángulo de</w:t>
      </w:r>
      <w:r>
        <w:t xml:space="preserve"> </w:t>
      </w:r>
      <w:r>
        <w:rPr>
          <w:smallCaps/>
        </w:rPr>
        <w:t xml:space="preserve">Harberger</w:t>
      </w:r>
      <w:r>
        <w:t xml:space="preserve"> </w:t>
      </w:r>
      <w:r>
        <w:t xml:space="preserve">(</w:t>
      </w:r>
      <w:hyperlink w:anchor="ref_Harberger1954Monopoly">
        <w:r>
          <w:rPr>
            <w:rStyle w:val="Hyperlink"/>
          </w:rPr>
          <w:t xml:space="preserve">1954</w:t>
        </w:r>
      </w:hyperlink>
      <w:r>
        <w:t xml:space="preserve">)</w:t>
      </w:r>
      <w:r>
        <w:t xml:space="preserve">,</w:t>
      </w:r>
      <w:r>
        <w:t xml:space="preserve"> </w:t>
      </w:r>
      <m:oMath>
        <m:r>
          <m:rPr>
            <m:sty m:val="p"/>
          </m:rPr>
          <m:t>P</m:t>
        </m:r>
        <m:r>
          <m:rPr>
            <m:sty m:val="p"/>
          </m:rPr>
          <m:t>I</m:t>
        </m:r>
        <m:r>
          <m:rPr>
            <m:sty m:val="p"/>
          </m:rPr>
          <m:t>E</m:t>
        </m:r>
        <m:r>
          <m:rPr>
            <m:sty m:val="p"/>
          </m:rPr>
          <m:t>≈</m:t>
        </m:r>
        <m:f>
          <m:fPr>
            <m:type m:val="lin"/>
          </m:fPr>
          <m:num>
            <m:r>
              <m:t>1</m:t>
            </m:r>
          </m:num>
          <m:den>
            <m:r>
              <m:t>2</m:t>
            </m:r>
          </m:den>
        </m:f>
        <m:r>
          <m:t> </m:t>
        </m:r>
        <m:r>
          <m:rPr>
            <m:sty m:val="p"/>
            <m:scr m:val="script"/>
          </m:rPr>
          <m:t>L</m:t>
        </m:r>
        <m:r>
          <m:t> </m:t>
        </m:r>
        <m:sSup>
          <m:e>
            <m:r>
              <m:t>p</m:t>
            </m:r>
          </m:e>
          <m:sup>
            <m:r>
              <m:t>M</m:t>
            </m:r>
          </m:sup>
        </m:sSup>
        <m:sSup>
          <m:e>
            <m:r>
              <m:t>q</m:t>
            </m:r>
          </m:e>
          <m:sup>
            <m:r>
              <m:t>M</m:t>
            </m:r>
          </m:sup>
        </m:sSup>
      </m:oMath>
      <w:r>
        <w:t xml:space="preserve"> </w:t>
      </w:r>
      <w:hyperlink r:id="rId29">
        <w:r>
          <w:rPr>
            <w:rStyle w:val="Referenciaatema"/>
          </w:rPr>
          <w:t xml:space="preserve">[ver tema 3.A.17]</w:t>
        </w:r>
      </w:hyperlink>
      <w:r>
        <w:t xml:space="preserve">.</w:t>
      </w:r>
      <w:r>
        <w:t xml:space="preserve"> </w:t>
      </w:r>
      <w:r>
        <w:rPr>
          <w:smallCaps/>
        </w:rPr>
        <w:t xml:space="preserve">Harberger</w:t>
      </w:r>
      <w:r>
        <w:t xml:space="preserve">, con datos de la industria manufacturera de Estados Unidos de 1924-1928, lo estimó por debajo del 0,1 % de la renta nacional</w:t>
      </w:r>
      <w:r>
        <w:t xml:space="preserve"> </w:t>
      </w:r>
      <w:r>
        <w:t xml:space="preserve">(</w:t>
      </w:r>
      <w:hyperlink w:anchor="ref_Schmitz2012New">
        <w:r>
          <w:rPr>
            <w:rStyle w:val="Hyperlink"/>
            <w:smallCaps/>
          </w:rPr>
          <w:t xml:space="preserve">Schmitz</w:t>
        </w:r>
        <w:r>
          <w:rPr>
            <w:rStyle w:val="Hyperlink"/>
          </w:rPr>
          <w:t xml:space="preserve">, 2012</w:t>
        </w:r>
      </w:hyperlink>
      <w:r>
        <w:t xml:space="preserve">)</w:t>
      </w:r>
      <w:r>
        <w:t xml:space="preserve">;</w:t>
      </w:r>
      <w:r>
        <w:t xml:space="preserve"> </w:t>
      </w:r>
      <w:r>
        <w:rPr>
          <w:smallCaps/>
        </w:rPr>
        <w:t xml:space="preserve">Cowling</w:t>
      </w:r>
      <w:r>
        <w:t xml:space="preserve"> </w:t>
      </w:r>
      <w:r>
        <w:t xml:space="preserve">y</w:t>
      </w:r>
      <w:r>
        <w:t xml:space="preserve"> </w:t>
      </w:r>
      <w:r>
        <w:rPr>
          <w:smallCaps/>
        </w:rPr>
        <w:t xml:space="preserve">Mueller</w:t>
      </w:r>
      <w:r>
        <w:t xml:space="preserve"> </w:t>
      </w:r>
      <w:r>
        <w:t xml:space="preserve">(</w:t>
      </w:r>
      <w:hyperlink w:anchor="ref_CowlingMueller1978Social">
        <w:r>
          <w:rPr>
            <w:rStyle w:val="Hyperlink"/>
          </w:rPr>
          <w:t xml:space="preserve">1978</w:t>
        </w:r>
      </w:hyperlink>
      <w:r>
        <w:t xml:space="preserve">)</w:t>
      </w:r>
      <w:r>
        <w:t xml:space="preserve"> </w:t>
      </w:r>
      <w:r>
        <w:t xml:space="preserve">obtienen pérdidas muy superiores. Si las empresas gastan recursos en conseguir y defender la posición, se pierde además parte del rectángulo de beneficios: la</w:t>
      </w:r>
      <w:r>
        <w:t xml:space="preserve"> </w:t>
      </w:r>
      <w:r>
        <w:rPr>
          <w:b/>
          <w:bCs/>
        </w:rPr>
        <w:t xml:space="preserve">búsqueda de rentas</w:t>
      </w:r>
      <w:r>
        <w:t xml:space="preserve"> </w:t>
      </w:r>
      <w:r>
        <w:t xml:space="preserve">(</w:t>
      </w:r>
      <w:hyperlink w:anchor="ref_Tullock1967Welfare">
        <w:r>
          <w:rPr>
            <w:rStyle w:val="Hyperlink"/>
            <w:smallCaps/>
          </w:rPr>
          <w:t xml:space="preserve">Tullock</w:t>
        </w:r>
        <w:r>
          <w:rPr>
            <w:rStyle w:val="Hyperlink"/>
          </w:rPr>
          <w:t xml:space="preserve">, 1967</w:t>
        </w:r>
      </w:hyperlink>
      <w:r>
        <w:t xml:space="preserve">;</w:t>
      </w:r>
      <w:r>
        <w:t xml:space="preserve"> </w:t>
      </w:r>
      <w:hyperlink w:anchor="ref_Posner1975Social">
        <w:r>
          <w:rPr>
            <w:rStyle w:val="Hyperlink"/>
            <w:smallCaps/>
          </w:rPr>
          <w:t xml:space="preserve">Posner</w:t>
        </w:r>
        <w:r>
          <w:rPr>
            <w:rStyle w:val="Hyperlink"/>
          </w:rPr>
          <w:t xml:space="preserve">, 1975</w:t>
        </w:r>
      </w:hyperlink>
      <w:r>
        <w:t xml:space="preserve">)</w:t>
      </w:r>
      <w:r>
        <w:t xml:space="preserve">.</w:t>
      </w:r>
    </w:p>
    <w:p>
      <w:pPr>
        <w:numPr>
          <w:ilvl w:val="0"/>
          <w:numId w:val="1016"/>
        </w:numPr>
      </w:pPr>
      <w:r>
        <w:rPr>
          <w:i/>
          <w:iCs/>
        </w:rPr>
        <w:t xml:space="preserve">Productiva</w:t>
      </w:r>
      <w:r>
        <w:t xml:space="preserve">: sin la presión de los rivales, la empresa no minimiza costes: la</w:t>
      </w:r>
      <w:r>
        <w:t xml:space="preserve"> </w:t>
      </w:r>
      <w:r>
        <w:rPr>
          <w:b/>
          <w:bCs/>
        </w:rPr>
        <w:t xml:space="preserve">ineficiencia X</w:t>
      </w:r>
      <w:r>
        <w:t xml:space="preserve"> </w:t>
      </w:r>
      <w:r>
        <w:t xml:space="preserve">(</w:t>
      </w:r>
      <w:hyperlink w:anchor="ref_Leibenstein1966Allocative">
        <w:r>
          <w:rPr>
            <w:rStyle w:val="Hyperlink"/>
            <w:smallCaps/>
          </w:rPr>
          <w:t xml:space="preserve">Leibenstein</w:t>
        </w:r>
        <w:r>
          <w:rPr>
            <w:rStyle w:val="Hyperlink"/>
          </w:rPr>
          <w:t xml:space="preserve">, 1966</w:t>
        </w:r>
      </w:hyperlink>
      <w:r>
        <w:t xml:space="preserve">)</w:t>
      </w:r>
      <w:r>
        <w:t xml:space="preserve"> </w:t>
      </w:r>
      <w:hyperlink r:id="rId36">
        <w:r>
          <w:rPr>
            <w:rStyle w:val="Referenciaatema"/>
          </w:rPr>
          <w:t xml:space="preserve">[ver tema 3.A.12]</w:t>
        </w:r>
      </w:hyperlink>
      <w:r>
        <w:t xml:space="preserve">.</w:t>
      </w:r>
    </w:p>
    <w:p>
      <w:pPr>
        <w:numPr>
          <w:ilvl w:val="0"/>
          <w:numId w:val="1016"/>
        </w:numPr>
      </w:pPr>
      <w:r>
        <w:rPr>
          <w:i/>
          <w:iCs/>
        </w:rPr>
        <w:t xml:space="preserve">Dinámica</w:t>
      </w:r>
      <w:r>
        <w:t xml:space="preserve">: el efecto sobre la innovación es ambiguo. El monopolista puede financiar la investigación y la usa para proteger su posición</w:t>
      </w:r>
      <w:r>
        <w:t xml:space="preserve"> </w:t>
      </w:r>
      <w:r>
        <w:t xml:space="preserve">(</w:t>
      </w:r>
      <w:hyperlink w:anchor="ref_Schumpeter1942Capitalism">
        <w:r>
          <w:rPr>
            <w:rStyle w:val="Hyperlink"/>
            <w:smallCaps/>
          </w:rPr>
          <w:t xml:space="preserve">Schumpeter</w:t>
        </w:r>
        <w:r>
          <w:rPr>
            <w:rStyle w:val="Hyperlink"/>
          </w:rPr>
          <w:t xml:space="preserve">, 1942</w:t>
        </w:r>
      </w:hyperlink>
      <w:r>
        <w:t xml:space="preserve">)</w:t>
      </w:r>
      <w:r>
        <w:t xml:space="preserve">, pero gana menos que una empresa en competencia con la misma innovación, porque sustituye sus propios beneficios</w:t>
      </w:r>
      <w:r>
        <w:t xml:space="preserve"> </w:t>
      </w:r>
      <w:r>
        <w:t xml:space="preserve">(</w:t>
      </w:r>
      <w:hyperlink w:anchor="ref_Arrow1962Economic">
        <w:r>
          <w:rPr>
            <w:rStyle w:val="Hyperlink"/>
            <w:smallCaps/>
          </w:rPr>
          <w:t xml:space="preserve">Arrow</w:t>
        </w:r>
        <w:r>
          <w:rPr>
            <w:rStyle w:val="Hyperlink"/>
          </w:rPr>
          <w:t xml:space="preserve">, 1962</w:t>
        </w:r>
      </w:hyperlink>
      <w:r>
        <w:t xml:space="preserve">)</w:t>
      </w:r>
      <w:r>
        <w:t xml:space="preserve">; la evidencia apunta a una relación en U invertida entre competencia e innovación</w:t>
      </w:r>
      <w:r>
        <w:t xml:space="preserve"> </w:t>
      </w:r>
      <w:r>
        <w:t xml:space="preserve">(</w:t>
      </w:r>
      <w:hyperlink w:anchor="ref_AghionEtAl2005Competition">
        <w:r>
          <w:rPr>
            <w:rStyle w:val="Hyperlink"/>
            <w:smallCaps/>
          </w:rPr>
          <w:t xml:space="preserve">Aghion</w:t>
        </w:r>
        <w:r>
          <w:rPr>
            <w:rStyle w:val="Hyperlink"/>
          </w:rPr>
          <w:t xml:space="preserve"> </w:t>
        </w:r>
        <w:r>
          <w:rPr>
            <w:rStyle w:val="Hyperlink"/>
          </w:rPr>
          <w:t xml:space="preserve">et al., 2005</w:t>
        </w:r>
      </w:hyperlink>
      <w:r>
        <w:t xml:space="preserve">)</w:t>
      </w:r>
      <w:r>
        <w:t xml:space="preserve">.</w:t>
      </w:r>
    </w:p>
    <w:p>
      <w:pPr>
        <w:numPr>
          <w:ilvl w:val="0"/>
          <w:numId w:val="1016"/>
        </w:numPr>
      </w:pPr>
      <w:r>
        <w:t xml:space="preserve">Hay además un efecto</w:t>
      </w:r>
      <w:r>
        <w:t xml:space="preserve"> </w:t>
      </w:r>
      <w:r>
        <w:rPr>
          <w:i/>
          <w:iCs/>
        </w:rPr>
        <w:t xml:space="preserve">distributivo</w:t>
      </w:r>
      <w:r>
        <w:t xml:space="preserve">: parte del excedente del consumidor pasa a la empresa, lo que pesa en bienes esenciales como la electricidad o el agua.</w:t>
      </w:r>
    </w:p>
    <w:bookmarkEnd w:id="37"/>
    <w:bookmarkStart w:id="42" w:name="respuesta_p__blica_defensa_de_la_c_46482"/>
    <w:p>
      <w:pPr>
        <w:pStyle w:val="Heading4"/>
      </w:pPr>
      <w:r>
        <w:t xml:space="preserve">Respuesta pública: defensa de la competencia y regulación</w:t>
      </w:r>
    </w:p>
    <w:p>
      <w:pPr>
        <w:keepNext/>
        <w:numPr>
          <w:ilvl w:val="0"/>
          <w:numId w:val="1017"/>
        </w:numPr>
      </w:pPr>
      <w:r>
        <w:t xml:space="preserve">La respuesta depende del origen del poder de mercado</w:t>
      </w:r>
      <w:r>
        <w:t xml:space="preserve"> </w:t>
      </w:r>
      <w:r>
        <w:t xml:space="preserve">(</w:t>
      </w:r>
      <w:hyperlink w:anchor="ref_Braeutigam1989Optimal">
        <w:r>
          <w:rPr>
            <w:rStyle w:val="Hyperlink"/>
            <w:smallCaps/>
          </w:rPr>
          <w:t xml:space="preserve">Braeutigam</w:t>
        </w:r>
        <w:r>
          <w:rPr>
            <w:rStyle w:val="Hyperlink"/>
          </w:rPr>
          <w:t xml:space="preserve">, 1989</w:t>
        </w:r>
      </w:hyperlink>
      <w:r>
        <w:t xml:space="preserve">)</w:t>
      </w:r>
      <w:r>
        <w:t xml:space="preserve"> </w:t>
      </w:r>
      <w:r>
        <w:t xml:space="preserve">(gráfico </w:t>
      </w:r>
      <w:hyperlink w:anchor="fig_algoritmo_regulacion">
        <w:r>
          <w:rPr>
            <w:rStyle w:val="Hyperlink"/>
          </w:rPr>
          <w:t xml:space="preserve">1</w:t>
        </w:r>
      </w:hyperlink>
      <w:r>
        <w:t xml:space="preserve">):</w:t>
      </w:r>
    </w:p>
    <w:p>
      <w:pPr>
        <w:numPr>
          <w:ilvl w:val="1"/>
          <w:numId w:val="1018"/>
        </w:numPr>
      </w:pPr>
      <w:r>
        <w:t xml:space="preserve">cuando nace de conductas o de fusiones y cabe la competencia, la respuesta es la</w:t>
      </w:r>
      <w:r>
        <w:t xml:space="preserve"> </w:t>
      </w:r>
      <w:r>
        <w:rPr>
          <w:b/>
          <w:bCs/>
        </w:rPr>
        <w:t xml:space="preserve">defensa de la competencia</w:t>
      </w:r>
      <w:r>
        <w:t xml:space="preserve">, que interviene caso a caso y</w:t>
      </w:r>
      <w:r>
        <w:t xml:space="preserve"> </w:t>
      </w:r>
      <w:r>
        <w:rPr>
          <w:i/>
          <w:iCs/>
        </w:rPr>
        <w:t xml:space="preserve">ex post</w:t>
      </w:r>
      <w:r>
        <w:t xml:space="preserve">: prohíbe los cárteles (art. 101 del TFUE) y el abuso de posición dominante (art. 102) y vigila las concentraciones</w:t>
      </w:r>
      <w:r>
        <w:t xml:space="preserve"> </w:t>
      </w:r>
      <w:r>
        <w:t xml:space="preserve">(</w:t>
      </w:r>
      <w:hyperlink w:anchor="ref_UE2016TFUE">
        <w:r>
          <w:rPr>
            <w:rStyle w:val="Hyperlink"/>
            <w:smallCaps/>
          </w:rPr>
          <w:t xml:space="preserve">Unión Europea</w:t>
        </w:r>
        <w:r>
          <w:rPr>
            <w:rStyle w:val="Hyperlink"/>
          </w:rPr>
          <w:t xml:space="preserve">, 2016</w:t>
        </w:r>
      </w:hyperlink>
      <w:r>
        <w:t xml:space="preserve">;</w:t>
      </w:r>
      <w:r>
        <w:t xml:space="preserve"> </w:t>
      </w:r>
      <w:hyperlink w:anchor="ref_UE2004Reglamento139">
        <w:r>
          <w:rPr>
            <w:rStyle w:val="Hyperlink"/>
            <w:smallCaps/>
          </w:rPr>
          <w:t xml:space="preserve">Consejo de la Unión Europea</w:t>
        </w:r>
        <w:r>
          <w:rPr>
            <w:rStyle w:val="Hyperlink"/>
          </w:rPr>
          <w:t xml:space="preserve">, 2004</w:t>
        </w:r>
      </w:hyperlink>
      <w:r>
        <w:t xml:space="preserve">)</w:t>
      </w:r>
      <w:r>
        <w:t xml:space="preserve"> </w:t>
      </w:r>
      <w:hyperlink r:id="rId20">
        <w:r>
          <w:rPr>
            <w:rStyle w:val="Referenciaatema"/>
          </w:rPr>
          <w:t xml:space="preserve">[ver tema 3.B.39]</w:t>
        </w:r>
      </w:hyperlink>
      <w:r>
        <w:t xml:space="preserve"> </w:t>
      </w:r>
      <w:hyperlink r:id="rId21">
        <w:r>
          <w:rPr>
            <w:rStyle w:val="Referenciaatema"/>
          </w:rPr>
          <w:t xml:space="preserve">[ver tema 4.A.15]</w:t>
        </w:r>
      </w:hyperlink>
      <w:r>
        <w:t xml:space="preserve">;</w:t>
      </w:r>
    </w:p>
    <w:p>
      <w:pPr>
        <w:numPr>
          <w:ilvl w:val="1"/>
          <w:numId w:val="1018"/>
        </w:numPr>
      </w:pPr>
      <w:r>
        <w:t xml:space="preserve">si procede de la tecnología (monopolio natural) o de un cuello de botella que no se puede duplicar, la competencia no es viable, o no es deseable, y hace falta</w:t>
      </w:r>
      <w:r>
        <w:t xml:space="preserve"> </w:t>
      </w:r>
      <w:r>
        <w:rPr>
          <w:b/>
          <w:bCs/>
        </w:rPr>
        <w:t xml:space="preserve">regulación económica</w:t>
      </w:r>
      <w:r>
        <w:t xml:space="preserve">: reglas</w:t>
      </w:r>
      <w:r>
        <w:t xml:space="preserve"> </w:t>
      </w:r>
      <w:r>
        <w:rPr>
          <w:i/>
          <w:iCs/>
        </w:rPr>
        <w:t xml:space="preserve">ex ante</w:t>
      </w:r>
      <w:r>
        <w:t xml:space="preserve"> </w:t>
      </w:r>
      <w:r>
        <w:t xml:space="preserve">sobre los precios, la entrada, la calidad y el acceso.</w:t>
      </w:r>
    </w:p>
    <w:p>
      <w:pPr>
        <w:numPr>
          <w:ilvl w:val="0"/>
          <w:numId w:val="1017"/>
        </w:numPr>
      </w:pPr>
      <w:r>
        <w:t xml:space="preserve">Las 2 se complementan y a veces chocan: cumplir la regulación sectorial no exime del derecho de la competencia. La Comisión multó en 2007 a Telefónica con 151,9 millones de euros por estrechar el margen entre su precio mayorista de acceso a la banda ancha y sus precios minoristas, y el Tribunal de Justicia lo confirmó en 2014</w:t>
      </w:r>
      <w:r>
        <w:t xml:space="preserve"> </w:t>
      </w:r>
      <w:r>
        <w:t xml:space="preserve">(</w:t>
      </w:r>
      <w:hyperlink w:anchor="ref_TJUE2014Telefonica">
        <w:r>
          <w:rPr>
            <w:rStyle w:val="Hyperlink"/>
            <w:smallCaps/>
          </w:rPr>
          <w:t xml:space="preserve">Tribunal de Justicia de la Unión Europea</w:t>
        </w:r>
        <w:r>
          <w:rPr>
            <w:rStyle w:val="Hyperlink"/>
          </w:rPr>
          <w:t xml:space="preserve">, 2014</w:t>
        </w:r>
      </w:hyperlink>
      <w:r>
        <w:t xml:space="preserve">)</w:t>
      </w:r>
      <w:r>
        <w:t xml:space="preserve">.</w:t>
      </w:r>
    </w:p>
    <w:p>
      <w:pPr>
        <w:numPr>
          <w:ilvl w:val="0"/>
          <w:numId w:val="1017"/>
        </w:numPr>
      </w:pPr>
      <w:r>
        <w:t xml:space="preserve">En España, la CNMC reúne las 2 funciones desde 2013</w:t>
      </w:r>
      <w:r>
        <w:t xml:space="preserve"> </w:t>
      </w:r>
      <w:r>
        <w:t xml:space="preserve">(</w:t>
      </w:r>
      <w:hyperlink w:anchor="ref_Ley3_2013CNMC">
        <w:r>
          <w:rPr>
            <w:rStyle w:val="Hyperlink"/>
            <w:smallCaps/>
          </w:rPr>
          <w:t xml:space="preserve">Jefatura del Estado</w:t>
        </w:r>
        <w:r>
          <w:rPr>
            <w:rStyle w:val="Hyperlink"/>
          </w:rPr>
          <w:t xml:space="preserve">, 2013a</w:t>
        </w:r>
      </w:hyperlink>
      <w:r>
        <w:t xml:space="preserve">)</w:t>
      </w:r>
      <w:r>
        <w:t xml:space="preserve">; en la mayoría de los países hay organismos separados.</w:t>
      </w:r>
    </w:p>
    <w:p>
      <w:pPr>
        <w:numPr>
          <w:ilvl w:val="0"/>
          <w:numId w:val="1017"/>
        </w:numPr>
      </w:pPr>
      <w:r>
        <w:t xml:space="preserve">Llamamos</w:t>
      </w:r>
      <w:r>
        <w:t xml:space="preserve"> </w:t>
      </w:r>
      <w:r>
        <w:rPr>
          <w:b/>
          <w:bCs/>
        </w:rPr>
        <w:t xml:space="preserve">regulación óptima</w:t>
      </w:r>
      <w:r>
        <w:t xml:space="preserve"> </w:t>
      </w:r>
      <w:r>
        <w:t xml:space="preserve">al conjunto de normas sobre precios, entrada y calidad que hace máximo el bienestar social (excedente de los consumidores más beneficio de la empresa, menos el coste de los fondos públicos que recibe) con 2 límites: que la empresa sobreviva y lo que el regulador alcanza a ver. A menos información, más distancia respecto del óptimo competitivo.</w:t>
      </w:r>
    </w:p>
    <w:bookmarkStart w:id="41" w:name="fig_algoritmo_regulacion"/>
    <w:p>
      <w:pPr>
        <w:pStyle w:val="ImageCaption"/>
      </w:pPr>
      <w:r>
        <w:t xml:space="preserve">Gráfico 1.–</w:t>
      </w:r>
      <w:r>
        <w:t xml:space="preserve"> </w:t>
      </w:r>
      <w:r>
        <w:t xml:space="preserve">Esquema por etapas para la regulación del poder de mercado</w:t>
      </w:r>
    </w:p>
    <w:p>
      <w:pPr>
        <w:pStyle w:val="CaptionedFigure"/>
      </w:pPr>
      <w:r>
        <w:drawing>
          <wp:inline>
            <wp:extent cx="5372100" cy="3570181"/>
            <wp:effectExtent b="0" l="0" r="0" t="0"/>
            <wp:docPr descr="Gráfico 1.– Esquema por etapas para la regulación del poder de mercado" title="" id="39" name="Picture"/>
            <a:graphic>
              <a:graphicData uri="http://schemas.openxmlformats.org/drawingml/2006/picture">
                <pic:pic>
                  <pic:nvPicPr>
                    <pic:cNvPr descr="C:\Users\vgutierrez\Documents\src\victorgutierrezmarcos.github.io-revision\oposicion\temario\fuentes\3A20\graficos/algoritmo-regulacion.png" id="40" name="Picture"/>
                    <pic:cNvPicPr>
                      <a:picLocks noChangeArrowheads="1" noChangeAspect="1"/>
                    </pic:cNvPicPr>
                  </pic:nvPicPr>
                  <pic:blipFill>
                    <a:blip r:embed="rId38"/>
                    <a:stretch>
                      <a:fillRect/>
                    </a:stretch>
                  </pic:blipFill>
                  <pic:spPr bwMode="auto">
                    <a:xfrm>
                      <a:off x="0" y="0"/>
                      <a:ext cx="5372100" cy="3570181"/>
                    </a:xfrm>
                    <a:prstGeom prst="rect">
                      <a:avLst/>
                    </a:prstGeom>
                    <a:noFill/>
                    <a:ln w="9525">
                      <a:noFill/>
                      <a:headEnd/>
                      <a:tailEnd/>
                    </a:ln>
                  </pic:spPr>
                </pic:pic>
              </a:graphicData>
            </a:graphic>
          </wp:inline>
        </w:drawing>
      </w:r>
    </w:p>
    <w:bookmarkEnd w:id="41"/>
    <w:p>
      <w:pPr>
        <w:pStyle w:val="Piedeimagen"/>
      </w:pPr>
      <w:r>
        <w:t xml:space="preserve">Fuente: elaboración propia a partir de</w:t>
      </w:r>
      <w:r>
        <w:t xml:space="preserve"> </w:t>
      </w:r>
      <w:r>
        <w:rPr>
          <w:smallCaps/>
        </w:rPr>
        <w:t xml:space="preserve">Braeutigam</w:t>
      </w:r>
      <w:r>
        <w:t xml:space="preserve"> </w:t>
      </w:r>
      <w:r>
        <w:t xml:space="preserve">(</w:t>
      </w:r>
      <w:hyperlink w:anchor="ref_Braeutigam1989Optimal">
        <w:r>
          <w:rPr>
            <w:rStyle w:val="Hyperlink"/>
          </w:rPr>
          <w:t xml:space="preserve">1989</w:t>
        </w:r>
      </w:hyperlink>
      <w:r>
        <w:t xml:space="preserve">)</w:t>
      </w:r>
      <w:r>
        <w:t xml:space="preserve">.</w:t>
      </w:r>
    </w:p>
    <w:bookmarkEnd w:id="42"/>
    <w:bookmarkEnd w:id="43"/>
    <w:bookmarkStart w:id="57" w:name="sec_mercado_relevante"/>
    <w:p>
      <w:pPr>
        <w:pStyle w:val="Heading2"/>
      </w:pPr>
      <w:r>
        <w:t xml:space="preserve">I.2.</w:t>
      </w:r>
      <w:r>
        <w:t xml:space="preserve"> </w:t>
      </w:r>
      <w:r>
        <w:t xml:space="preserve">Definición del mercado relevante</w:t>
      </w:r>
    </w:p>
    <w:bookmarkStart w:id="45" w:name="a_idea"/>
    <w:p>
      <w:pPr>
        <w:pStyle w:val="Heading4"/>
      </w:pPr>
      <w:r>
        <w:t xml:space="preserve">a) Idea</w:t>
      </w:r>
    </w:p>
    <w:p>
      <w:pPr>
        <w:numPr>
          <w:ilvl w:val="0"/>
          <w:numId w:val="1019"/>
        </w:numPr>
      </w:pPr>
      <w:r>
        <w:t xml:space="preserve">Un precio solo se puede subir si los clientes no tienen adónde ir. Si les basta con pasarse a otro producto o comprar fuera de la zona, ser el único vendedor de algo no da poder. Por eso el primer paso, antes de calcular cuotas, es acotar el</w:t>
      </w:r>
      <w:r>
        <w:t xml:space="preserve"> </w:t>
      </w:r>
      <w:r>
        <w:rPr>
          <w:b/>
          <w:bCs/>
        </w:rPr>
        <w:t xml:space="preserve">mercado relevante</w:t>
      </w:r>
      <w:r>
        <w:t xml:space="preserve"> </w:t>
      </w:r>
      <w:r>
        <w:t xml:space="preserve">(</w:t>
      </w:r>
      <w:r>
        <w:rPr>
          <w:i/>
          <w:iCs/>
        </w:rPr>
        <w:t xml:space="preserve">de referencia</w:t>
      </w:r>
      <w:r>
        <w:t xml:space="preserve">, en la terminología de la Comisión): los productos y las zonas que se disciplinan mutuamente</w:t>
      </w:r>
      <w:r>
        <w:t xml:space="preserve"> </w:t>
      </w:r>
      <w:r>
        <w:t xml:space="preserve">(</w:t>
      </w:r>
      <w:hyperlink w:anchor="ref_CE2024DefinicionMercado">
        <w:r>
          <w:rPr>
            <w:rStyle w:val="Hyperlink"/>
            <w:smallCaps/>
          </w:rPr>
          <w:t xml:space="preserve">Comisión Europea</w:t>
        </w:r>
        <w:r>
          <w:rPr>
            <w:rStyle w:val="Hyperlink"/>
          </w:rPr>
          <w:t xml:space="preserve">, 2024</w:t>
        </w:r>
      </w:hyperlink>
      <w:r>
        <w:t xml:space="preserve">)</w:t>
      </w:r>
      <w:r>
        <w:t xml:space="preserve">.</w:t>
      </w:r>
    </w:p>
    <w:p>
      <w:pPr>
        <w:numPr>
          <w:ilvl w:val="0"/>
          <w:numId w:val="1019"/>
        </w:numPr>
      </w:pPr>
      <w:r>
        <w:t xml:space="preserve">Ni muy estrecho (casi toda empresa sería un monopolio) ni muy amplio (todo es en algún grado sustitutivo de todo): debe recoger las interacciones principales entre las empresas, y depende del uso que se le vaya a dar</w:t>
      </w:r>
      <w:r>
        <w:t xml:space="preserve"> </w:t>
      </w:r>
      <w:r>
        <w:t xml:space="preserve">(</w:t>
      </w:r>
      <w:hyperlink w:anchor="ref_Tirole1988Theory">
        <w:r>
          <w:rPr>
            <w:rStyle w:val="Hyperlink"/>
            <w:smallCaps/>
          </w:rPr>
          <w:t xml:space="preserve">Tirole</w:t>
        </w:r>
        <w:r>
          <w:rPr>
            <w:rStyle w:val="Hyperlink"/>
          </w:rPr>
          <w:t xml:space="preserve">, 1988, 12-13</w:t>
        </w:r>
      </w:hyperlink>
      <w:r>
        <w:t xml:space="preserve">)</w:t>
      </w:r>
      <w:r>
        <w:t xml:space="preserve"> </w:t>
      </w:r>
      <w:hyperlink r:id="rId44">
        <w:r>
          <w:rPr>
            <w:rStyle w:val="Referenciaatema"/>
          </w:rPr>
          <w:t xml:space="preserve">[ver tema 3.A.18]</w:t>
        </w:r>
      </w:hyperlink>
      <w:r>
        <w:t xml:space="preserve">.</w:t>
      </w:r>
    </w:p>
    <w:p>
      <w:pPr>
        <w:numPr>
          <w:ilvl w:val="0"/>
          <w:numId w:val="1019"/>
        </w:numPr>
      </w:pPr>
      <w:r>
        <w:t xml:space="preserve">Se usa en el control de concentraciones (para calcular las cuotas y los índices), en los casos de abuso de posición dominante (para saber si la hay), en los acuerdos (umbrales de exención) y en la regulación</w:t>
      </w:r>
      <w:r>
        <w:t xml:space="preserve"> </w:t>
      </w:r>
      <w:r>
        <w:rPr>
          <w:i/>
          <w:iCs/>
        </w:rPr>
        <w:t xml:space="preserve">ex ante</w:t>
      </w:r>
      <w:r>
        <w:t xml:space="preserve"> </w:t>
      </w:r>
      <w:r>
        <w:t xml:space="preserve">de las telecomunicaciones, donde la Comisión recomienda qué mercados deben analizar los reguladores nacionales</w:t>
      </w:r>
      <w:r>
        <w:t xml:space="preserve"> </w:t>
      </w:r>
      <w:r>
        <w:t xml:space="preserve">(</w:t>
      </w:r>
      <w:hyperlink w:anchor="ref_UE2020RecomendacionMercados">
        <w:r>
          <w:rPr>
            <w:rStyle w:val="Hyperlink"/>
            <w:smallCaps/>
          </w:rPr>
          <w:t xml:space="preserve">Comisión Europea</w:t>
        </w:r>
        <w:r>
          <w:rPr>
            <w:rStyle w:val="Hyperlink"/>
          </w:rPr>
          <w:t xml:space="preserve">, 2020</w:t>
        </w:r>
      </w:hyperlink>
      <w:r>
        <w:t xml:space="preserve">)</w:t>
      </w:r>
      <w:r>
        <w:t xml:space="preserve">.</w:t>
      </w:r>
    </w:p>
    <w:bookmarkEnd w:id="45"/>
    <w:bookmarkStart w:id="54" w:name="b_modelo_el_test_del_monopolista_h_29359"/>
    <w:p>
      <w:pPr>
        <w:pStyle w:val="Heading4"/>
      </w:pPr>
      <w:r>
        <w:t xml:space="preserve">b) Modelo: el test del monopolista hipotético</w:t>
      </w:r>
    </w:p>
    <w:bookmarkStart w:id="46" w:name="i_supuestos"/>
    <w:p>
      <w:pPr>
        <w:pStyle w:val="Heading5"/>
      </w:pPr>
      <w:r>
        <w:t xml:space="preserve">i) Supuestos</w:t>
      </w:r>
    </w:p>
    <w:p>
      <w:pPr>
        <w:numPr>
          <w:ilvl w:val="0"/>
          <w:numId w:val="1020"/>
        </w:numPr>
      </w:pPr>
      <w:r>
        <w:t xml:space="preserve">El</w:t>
      </w:r>
      <w:r>
        <w:t xml:space="preserve"> </w:t>
      </w:r>
      <w:r>
        <w:rPr>
          <w:b/>
          <w:bCs/>
        </w:rPr>
        <w:t xml:space="preserve">mercado de producto</w:t>
      </w:r>
      <w:r>
        <w:t xml:space="preserve"> </w:t>
      </w:r>
      <w:r>
        <w:t xml:space="preserve">reúne los productos que los clientes consideran sustituibles por sus características, su precio y su uso; el</w:t>
      </w:r>
      <w:r>
        <w:t xml:space="preserve"> </w:t>
      </w:r>
      <w:r>
        <w:rPr>
          <w:b/>
          <w:bCs/>
        </w:rPr>
        <w:t xml:space="preserve">mercado geográfico</w:t>
      </w:r>
      <w:r>
        <w:t xml:space="preserve">, la zona en la que las condiciones de competencia son suficientemente homogéneas y distintas de las de las zonas vecinas</w:t>
      </w:r>
      <w:r>
        <w:t xml:space="preserve"> </w:t>
      </w:r>
      <w:r>
        <w:t xml:space="preserve">(</w:t>
      </w:r>
      <w:hyperlink w:anchor="ref_CE2024DefinicionMercado">
        <w:r>
          <w:rPr>
            <w:rStyle w:val="Hyperlink"/>
            <w:smallCaps/>
          </w:rPr>
          <w:t xml:space="preserve">Comisión Europea</w:t>
        </w:r>
        <w:r>
          <w:rPr>
            <w:rStyle w:val="Hyperlink"/>
          </w:rPr>
          <w:t xml:space="preserve">, 2024</w:t>
        </w:r>
      </w:hyperlink>
      <w:r>
        <w:t xml:space="preserve">)</w:t>
      </w:r>
      <w:r>
        <w:t xml:space="preserve">.</w:t>
      </w:r>
    </w:p>
    <w:p>
      <w:pPr>
        <w:numPr>
          <w:ilvl w:val="0"/>
          <w:numId w:val="1020"/>
        </w:numPr>
      </w:pPr>
      <w:r>
        <w:t xml:space="preserve">La disciplina principal es la</w:t>
      </w:r>
      <w:r>
        <w:t xml:space="preserve"> </w:t>
      </w:r>
      <w:r>
        <w:rPr>
          <w:i/>
          <w:iCs/>
        </w:rPr>
        <w:t xml:space="preserve">sustitución por el lado de la demanda</w:t>
      </w:r>
      <w:r>
        <w:t xml:space="preserve">; la del lado de la</w:t>
      </w:r>
      <w:r>
        <w:t xml:space="preserve"> </w:t>
      </w:r>
      <w:r>
        <w:rPr>
          <w:i/>
          <w:iCs/>
        </w:rPr>
        <w:t xml:space="preserve">oferta</w:t>
      </w:r>
      <w:r>
        <w:t xml:space="preserve"> </w:t>
      </w:r>
      <w:r>
        <w:t xml:space="preserve">(empresas que podrían pasar a producir el bien enseguida y sin grandes costes) solo cuenta si es tan inmediata como la de la demanda, y la competencia potencial se valora después, al juzgar el poder de mercado.</w:t>
      </w:r>
    </w:p>
    <w:bookmarkEnd w:id="46"/>
    <w:bookmarkStart w:id="51" w:name="ii_desarrollo"/>
    <w:p>
      <w:pPr>
        <w:pStyle w:val="Heading5"/>
      </w:pPr>
      <w:r>
        <w:t xml:space="preserve">ii) Desarrollo</w:t>
      </w:r>
    </w:p>
    <w:p>
      <w:pPr>
        <w:keepNext/>
        <w:numPr>
          <w:ilvl w:val="0"/>
          <w:numId w:val="1021"/>
        </w:numPr>
      </w:pPr>
      <w:r>
        <w:t xml:space="preserve">El</w:t>
      </w:r>
      <w:r>
        <w:t xml:space="preserve"> </w:t>
      </w:r>
      <w:r>
        <w:rPr>
          <w:b/>
          <w:bCs/>
        </w:rPr>
        <w:t xml:space="preserve">test del monopolista hipotético</w:t>
      </w:r>
      <w:r>
        <w:t xml:space="preserve">, o</w:t>
      </w:r>
      <w:r>
        <w:t xml:space="preserve"> </w:t>
      </w:r>
      <w:r>
        <w:rPr>
          <w:b/>
          <w:bCs/>
        </w:rPr>
        <w:t xml:space="preserve">SSNIP</w:t>
      </w:r>
      <w:r>
        <w:t xml:space="preserve"> </w:t>
      </w:r>
      <w:r>
        <w:t xml:space="preserve">(del inglés</w:t>
      </w:r>
      <w:r>
        <w:t xml:space="preserve"> </w:t>
      </w:r>
      <w:r>
        <w:rPr>
          <w:i/>
          <w:iCs/>
        </w:rPr>
        <w:t xml:space="preserve">small but significant non-transitory increase in price</w:t>
      </w:r>
      <w:r>
        <w:t xml:space="preserve">), nace en las directrices de concentraciones de Estados Unidos de 1982</w:t>
      </w:r>
      <w:r>
        <w:t xml:space="preserve"> </w:t>
      </w:r>
      <w:r>
        <w:t xml:space="preserve">(</w:t>
      </w:r>
      <w:hyperlink w:anchor="ref_DOJ1982Merger">
        <w:r>
          <w:rPr>
            <w:rStyle w:val="Hyperlink"/>
            <w:smallCaps/>
          </w:rPr>
          <w:t xml:space="preserve">U.S. Department of Justice</w:t>
        </w:r>
        <w:r>
          <w:rPr>
            <w:rStyle w:val="Hyperlink"/>
          </w:rPr>
          <w:t xml:space="preserve">, 1982</w:t>
        </w:r>
      </w:hyperlink>
      <w:r>
        <w:t xml:space="preserve">)</w:t>
      </w:r>
      <w:r>
        <w:t xml:space="preserve">. La Comisión lo aplica así</w:t>
      </w:r>
      <w:r>
        <w:t xml:space="preserve"> </w:t>
      </w:r>
      <w:r>
        <w:t xml:space="preserve">(</w:t>
      </w:r>
      <w:hyperlink w:anchor="ref_CE2024DefinicionMercado">
        <w:r>
          <w:rPr>
            <w:rStyle w:val="Hyperlink"/>
            <w:smallCaps/>
          </w:rPr>
          <w:t xml:space="preserve">Comisión Europea</w:t>
        </w:r>
        <w:r>
          <w:rPr>
            <w:rStyle w:val="Hyperlink"/>
          </w:rPr>
          <w:t xml:space="preserve">, 2024</w:t>
        </w:r>
      </w:hyperlink>
      <w:r>
        <w:t xml:space="preserve">, punto 29 y nota 53)</w:t>
      </w:r>
      <w:r>
        <w:t xml:space="preserve">:</w:t>
      </w:r>
    </w:p>
    <w:p>
      <w:pPr>
        <w:numPr>
          <w:ilvl w:val="1"/>
          <w:numId w:val="1022"/>
        </w:numPr>
      </w:pPr>
      <w:r>
        <w:t xml:space="preserve">se parte del producto y de la zona de las empresas investigadas: el</w:t>
      </w:r>
      <w:r>
        <w:t xml:space="preserve"> </w:t>
      </w:r>
      <w:r>
        <w:rPr>
          <w:i/>
          <w:iCs/>
        </w:rPr>
        <w:t xml:space="preserve">mercado candidato</w:t>
      </w:r>
      <w:r>
        <w:t xml:space="preserve">;</w:t>
      </w:r>
    </w:p>
    <w:p>
      <w:pPr>
        <w:numPr>
          <w:ilvl w:val="1"/>
          <w:numId w:val="1022"/>
        </w:numPr>
      </w:pPr>
      <w:r>
        <w:t xml:space="preserve">la pregunta: un monopolista hipotético de ese conjunto, ¿ganaría encareciéndolo de forma «pequeña, pero significativa y no transitoria», que suele ser un 5-10 %?;</w:t>
      </w:r>
    </w:p>
    <w:p>
      <w:pPr>
        <w:numPr>
          <w:ilvl w:val="1"/>
          <w:numId w:val="1022"/>
        </w:numPr>
      </w:pPr>
      <w:r>
        <w:t xml:space="preserve">si la respuesta es</w:t>
      </w:r>
      <w:r>
        <w:t xml:space="preserve"> </w:t>
      </w:r>
      <w:r>
        <w:rPr>
          <w:i/>
          <w:iCs/>
        </w:rPr>
        <w:t xml:space="preserve">no</w:t>
      </w:r>
      <w:r>
        <w:t xml:space="preserve">, porque la clientela huye hacia otros productos o zonas, el conjunto se amplía con el sustitutivo más próximo y se vuelve a preguntar;</w:t>
      </w:r>
    </w:p>
    <w:p>
      <w:pPr>
        <w:numPr>
          <w:ilvl w:val="1"/>
          <w:numId w:val="1022"/>
        </w:numPr>
      </w:pPr>
      <w:r>
        <w:t xml:space="preserve">el mercado relevante es el</w:t>
      </w:r>
      <w:r>
        <w:t xml:space="preserve"> </w:t>
      </w:r>
      <w:r>
        <w:rPr>
          <w:i/>
          <w:iCs/>
        </w:rPr>
        <w:t xml:space="preserve">menor</w:t>
      </w:r>
      <w:r>
        <w:t xml:space="preserve"> </w:t>
      </w:r>
      <w:r>
        <w:t xml:space="preserve">conjunto para el que la subida sí es rentable (gráfico </w:t>
      </w:r>
      <w:hyperlink w:anchor="fig_ssnip">
        <w:r>
          <w:rPr>
            <w:rStyle w:val="Hyperlink"/>
          </w:rPr>
          <w:t xml:space="preserve">2</w:t>
        </w:r>
      </w:hyperlink>
      <w:r>
        <w:t xml:space="preserve">).</w:t>
      </w:r>
    </w:p>
    <w:p>
      <w:pPr>
        <w:keepNext/>
        <w:numPr>
          <w:ilvl w:val="0"/>
          <w:numId w:val="1021"/>
        </w:numPr>
      </w:pPr>
      <w:r>
        <w:t xml:space="preserve">La subida es rentable si las ventas que se pierden no superan la</w:t>
      </w:r>
      <w:r>
        <w:t xml:space="preserve"> </w:t>
      </w:r>
      <w:r>
        <w:rPr>
          <w:b/>
          <w:bCs/>
        </w:rPr>
        <w:t xml:space="preserve">pérdida crítica</w:t>
      </w:r>
      <w:r>
        <w:t xml:space="preserve">,</w:t>
      </w:r>
      <w:r>
        <w:t xml:space="preserve"> </w:t>
      </w:r>
      <m:oMath>
        <m:sSup>
          <m:e>
            <m:r>
              <m:rPr>
                <m:sty m:val="p"/>
              </m:rPr>
              <m:t>ℓ</m:t>
            </m:r>
          </m:e>
          <m:sup>
            <m:r>
              <m:t>c</m:t>
            </m:r>
          </m:sup>
        </m:sSup>
        <m:r>
          <m:rPr>
            <m:sty m:val="p"/>
          </m:rPr>
          <m:t>=</m:t>
        </m:r>
        <m:r>
          <m:t>τ</m:t>
        </m:r>
        <m:r>
          <m:rPr>
            <m:sty m:val="p"/>
          </m:rPr>
          <m:t>/</m:t>
        </m:r>
        <m:d>
          <m:dPr>
            <m:begChr m:val="("/>
            <m:sepChr m:val=""/>
            <m:endChr m:val=")"/>
            <m:grow/>
          </m:dPr>
          <m:e>
            <m:r>
              <m:t>τ</m:t>
            </m:r>
            <m:r>
              <m:rPr>
                <m:sty m:val="p"/>
              </m:rPr>
              <m:t>+</m:t>
            </m:r>
            <m:r>
              <m:rPr>
                <m:sty m:val="p"/>
                <m:scr m:val="script"/>
              </m:rPr>
              <m:t>L</m:t>
            </m:r>
          </m:e>
        </m:d>
      </m:oMath>
      <w:r>
        <w:t xml:space="preserve">, con</w:t>
      </w:r>
      <w:r>
        <w:t xml:space="preserve"> </w:t>
      </w:r>
      <m:oMath>
        <m:r>
          <m:t>τ</m:t>
        </m:r>
      </m:oMath>
      <w:r>
        <w:t xml:space="preserve"> </w:t>
      </w:r>
      <w:r>
        <w:t xml:space="preserve">la subida relativa del precio y</w:t>
      </w:r>
      <w:r>
        <w:t xml:space="preserve"> </w:t>
      </w:r>
      <m:oMath>
        <m:r>
          <m:rPr>
            <m:sty m:val="p"/>
            <m:scr m:val="script"/>
          </m:rPr>
          <m:t>L</m:t>
        </m:r>
      </m:oMath>
      <w:r>
        <w:t xml:space="preserve"> </w:t>
      </w:r>
      <w:r>
        <w:t xml:space="preserve">el margen relativo inicial, el índice de</w:t>
      </w:r>
      <w:r>
        <w:t xml:space="preserve"> </w:t>
      </w:r>
      <w:r>
        <w:rPr>
          <w:smallCaps/>
        </w:rPr>
        <w:t xml:space="preserve">Lerner</w:t>
      </w:r>
      <w:r>
        <w:t xml:space="preserve"> </w:t>
      </w:r>
      <w:r>
        <w:t xml:space="preserve">(</w:t>
      </w:r>
      <w:hyperlink w:anchor="eq_lerner">
        <w:r>
          <w:rPr>
            <w:rStyle w:val="Hyperlink"/>
          </w:rPr>
          <w:t xml:space="preserve">1</w:t>
        </w:r>
      </w:hyperlink>
      <w:r>
        <w:t xml:space="preserve">)</w:t>
      </w:r>
      <w:r>
        <w:t xml:space="preserve"> </w:t>
      </w:r>
      <w:r>
        <w:t xml:space="preserve">(</w:t>
      </w:r>
      <w:hyperlink w:anchor="ref_HarrisSimons1989Focusing">
        <w:r>
          <w:rPr>
            <w:rStyle w:val="Hyperlink"/>
            <w:smallCaps/>
          </w:rPr>
          <w:t xml:space="preserve">Harris</w:t>
        </w:r>
        <w:r>
          <w:rPr>
            <w:rStyle w:val="Hyperlink"/>
          </w:rPr>
          <w:t xml:space="preserve"> </w:t>
        </w:r>
        <w:r>
          <w:rPr>
            <w:rStyle w:val="Hyperlink"/>
          </w:rPr>
          <w:t xml:space="preserve">y</w:t>
        </w:r>
        <w:r>
          <w:rPr>
            <w:rStyle w:val="Hyperlink"/>
          </w:rPr>
          <w:t xml:space="preserve"> </w:t>
        </w:r>
        <w:r>
          <w:rPr>
            <w:rStyle w:val="Hyperlink"/>
            <w:smallCaps/>
          </w:rPr>
          <w:t xml:space="preserve">Simons</w:t>
        </w:r>
        <w:r>
          <w:rPr>
            <w:rStyle w:val="Hyperlink"/>
          </w:rPr>
          <w:t xml:space="preserve">, 1989</w:t>
        </w:r>
      </w:hyperlink>
      <w:r>
        <w:t xml:space="preserve">)</w:t>
      </w:r>
      <w:r>
        <w:t xml:space="preserve"> </w:t>
      </w:r>
      <w:r>
        <w:t xml:space="preserve">(anexo </w:t>
      </w:r>
      <w:hyperlink w:anchor="anexo_mercado_relevante">
        <w:r>
          <w:rPr>
            <w:rStyle w:val="Hyperlink"/>
          </w:rPr>
          <w:t xml:space="preserve">B</w:t>
        </w:r>
      </w:hyperlink>
      <w:r>
        <w:t xml:space="preserve">): con una subida del 5 % y un margen del 20 %, basta con perder menos del 20 % de las ventas.</w:t>
      </w:r>
    </w:p>
    <w:p>
      <w:pPr>
        <w:numPr>
          <w:ilvl w:val="1"/>
          <w:numId w:val="1023"/>
        </w:numPr>
      </w:pPr>
      <w:r>
        <w:t xml:space="preserve">Apliquémoslo a Redes del Valle. Mercado candidato: la distribución de electricidad en su comarca. Si un monopolista hipotético de esa red subiera los peajes un 5-10 %, ¿cuántos clientes se desconectarían para producir su propia electricidad con placas y baterías, o pasarían la calefacción al gas? Muy pocos: vivir sin red cuesta todavía mucho más. La subida es rentable, y el mercado relevante es la</w:t>
      </w:r>
      <w:r>
        <w:t xml:space="preserve"> </w:t>
      </w:r>
      <w:r>
        <w:rPr>
          <w:i/>
          <w:iCs/>
        </w:rPr>
        <w:t xml:space="preserve">distribución eléctrica en la comarca</w:t>
      </w:r>
      <w:r>
        <w:t xml:space="preserve">; el geográfico es la zona de su red, porque nadie puede conectarse a la red de la comarca vecina.</w:t>
      </w:r>
    </w:p>
    <w:p>
      <w:pPr>
        <w:numPr>
          <w:ilvl w:val="1"/>
          <w:numId w:val="1023"/>
        </w:numPr>
      </w:pPr>
      <w:r>
        <w:t xml:space="preserve">La</w:t>
      </w:r>
      <w:r>
        <w:t xml:space="preserve"> </w:t>
      </w:r>
      <w:r>
        <w:rPr>
          <w:i/>
          <w:iCs/>
        </w:rPr>
        <w:t xml:space="preserve">comercialización</w:t>
      </w:r>
      <w:r>
        <w:t xml:space="preserve"> </w:t>
      </w:r>
      <w:r>
        <w:t xml:space="preserve">de electricidad es otro mercado: si una comercializadora sube su precio un 5 %, sus clientes se van a otra en pocos días. Es un mercado nacional con muchas empresas. El mercado relevante ya dice qué hay que regular: la red, no la venta.</w:t>
      </w:r>
    </w:p>
    <w:bookmarkStart w:id="50" w:name="fig_ssnip"/>
    <w:p>
      <w:pPr>
        <w:pStyle w:val="ImageCaption"/>
      </w:pPr>
      <w:r>
        <w:t xml:space="preserve">Gráfico 2.–</w:t>
      </w:r>
      <w:r>
        <w:t xml:space="preserve"> </w:t>
      </w:r>
      <w:r>
        <w:t xml:space="preserve">Test del monopolista hipotético: el mercado candidato se amplía hasta que la subida es rentable</w:t>
      </w:r>
    </w:p>
    <w:p>
      <w:pPr>
        <w:pStyle w:val="CaptionedFigure"/>
      </w:pPr>
      <w:r>
        <w:drawing>
          <wp:inline>
            <wp:extent cx="4775200" cy="1524645"/>
            <wp:effectExtent b="0" l="0" r="0" t="0"/>
            <wp:docPr descr="Gráfico 2.– Test del monopolista hipotético: el mercado candidato se amplía hasta que la subida es rentable" title="" id="48" name="Picture"/>
            <a:graphic>
              <a:graphicData uri="http://schemas.openxmlformats.org/drawingml/2006/picture">
                <pic:pic>
                  <pic:nvPicPr>
                    <pic:cNvPr descr="C:\Users\vgutierrez\Documents\src\victorgutierrezmarcos.github.io-revision\oposicion\temario\fuentes\3A20\graficos/ssnip.png" id="49" name="Picture"/>
                    <pic:cNvPicPr>
                      <a:picLocks noChangeArrowheads="1" noChangeAspect="1"/>
                    </pic:cNvPicPr>
                  </pic:nvPicPr>
                  <pic:blipFill>
                    <a:blip r:embed="rId47"/>
                    <a:stretch>
                      <a:fillRect/>
                    </a:stretch>
                  </pic:blipFill>
                  <pic:spPr bwMode="auto">
                    <a:xfrm>
                      <a:off x="0" y="0"/>
                      <a:ext cx="4775200" cy="1524645"/>
                    </a:xfrm>
                    <a:prstGeom prst="rect">
                      <a:avLst/>
                    </a:prstGeom>
                    <a:noFill/>
                    <a:ln w="9525">
                      <a:noFill/>
                      <a:headEnd/>
                      <a:tailEnd/>
                    </a:ln>
                  </pic:spPr>
                </pic:pic>
              </a:graphicData>
            </a:graphic>
          </wp:inline>
        </w:drawing>
      </w:r>
    </w:p>
    <w:bookmarkEnd w:id="50"/>
    <w:p>
      <w:pPr>
        <w:pStyle w:val="Piedeimagen"/>
      </w:pPr>
      <w:r>
        <w:t xml:space="preserve">Fuente: elaboración propia a partir de</w:t>
      </w:r>
      <w:r>
        <w:t xml:space="preserve"> </w:t>
      </w:r>
      <w:r>
        <w:rPr>
          <w:smallCaps/>
        </w:rPr>
        <w:t xml:space="preserve">U.S. Department of Justice</w:t>
      </w:r>
      <w:r>
        <w:t xml:space="preserve"> </w:t>
      </w:r>
      <w:r>
        <w:t xml:space="preserve">(</w:t>
      </w:r>
      <w:hyperlink w:anchor="ref_DOJ1982Merger">
        <w:r>
          <w:rPr>
            <w:rStyle w:val="Hyperlink"/>
          </w:rPr>
          <w:t xml:space="preserve">1982</w:t>
        </w:r>
      </w:hyperlink>
      <w:r>
        <w:t xml:space="preserve">)</w:t>
      </w:r>
      <w:r>
        <w:t xml:space="preserve"> </w:t>
      </w:r>
      <w:r>
        <w:t xml:space="preserve">y</w:t>
      </w:r>
      <w:r>
        <w:t xml:space="preserve"> </w:t>
      </w:r>
      <w:r>
        <w:rPr>
          <w:smallCaps/>
        </w:rPr>
        <w:t xml:space="preserve">Comisión Europea</w:t>
      </w:r>
      <w:r>
        <w:t xml:space="preserve"> </w:t>
      </w:r>
      <w:r>
        <w:t xml:space="preserve">(</w:t>
      </w:r>
      <w:hyperlink w:anchor="ref_CE2024DefinicionMercado">
        <w:r>
          <w:rPr>
            <w:rStyle w:val="Hyperlink"/>
          </w:rPr>
          <w:t xml:space="preserve">2024</w:t>
        </w:r>
      </w:hyperlink>
      <w:r>
        <w:t xml:space="preserve">)</w:t>
      </w:r>
      <w:r>
        <w:t xml:space="preserve">.</w:t>
      </w:r>
    </w:p>
    <w:bookmarkEnd w:id="51"/>
    <w:bookmarkStart w:id="53" w:name="iii_implicaciones"/>
    <w:p>
      <w:pPr>
        <w:pStyle w:val="Heading5"/>
      </w:pPr>
      <w:r>
        <w:t xml:space="preserve">iii) Implicaciones</w:t>
      </w:r>
    </w:p>
    <w:p>
      <w:pPr>
        <w:numPr>
          <w:ilvl w:val="0"/>
          <w:numId w:val="1024"/>
        </w:numPr>
      </w:pPr>
      <w:r>
        <w:rPr>
          <w:b/>
          <w:bCs/>
        </w:rPr>
        <w:t xml:space="preserve">Falacia del celofán</w:t>
      </w:r>
      <w:r>
        <w:t xml:space="preserve">. En 1956, el Tribunal Supremo de Estados Unidos absolvió a du Pont, que vendía cerca del 75 % del celofán del país, porque el celofán competía con los demás envoltorios flexibles</w:t>
      </w:r>
      <w:r>
        <w:t xml:space="preserve"> </w:t>
      </w:r>
      <w:r>
        <w:t xml:space="preserve">(</w:t>
      </w:r>
      <w:hyperlink w:anchor="ref_SupremeCourt1956DuPont">
        <w:r>
          <w:rPr>
            <w:rStyle w:val="Hyperlink"/>
            <w:smallCaps/>
          </w:rPr>
          <w:t xml:space="preserve">Supreme Court of the United States</w:t>
        </w:r>
        <w:r>
          <w:rPr>
            <w:rStyle w:val="Hyperlink"/>
          </w:rPr>
          <w:t xml:space="preserve">, 1956</w:t>
        </w:r>
      </w:hyperlink>
      <w:r>
        <w:t xml:space="preserve">)</w:t>
      </w:r>
      <w:r>
        <w:t xml:space="preserve">. Pero la sustitución que se observaba era la que había a un precio ya de monopolio: el monopolista sube el precio hasta el tramo elástico de la demanda, donde</w:t>
      </w:r>
      <w:r>
        <w:t xml:space="preserve"> </w:t>
      </w:r>
      <m:oMath>
        <m:d>
          <m:dPr>
            <m:begChr m:val="|"/>
            <m:sepChr m:val=""/>
            <m:endChr m:val="|"/>
            <m:grow/>
          </m:dPr>
          <m:e>
            <m:sSub>
              <m:e>
                <m:r>
                  <m:t>ε</m:t>
                </m:r>
              </m:e>
              <m:sub>
                <m:r>
                  <m:t>q</m:t>
                </m:r>
                <m:r>
                  <m:rPr>
                    <m:sty m:val="p"/>
                  </m:rPr>
                  <m:t>,</m:t>
                </m:r>
                <m:r>
                  <m:t>p</m:t>
                </m:r>
              </m:sub>
            </m:sSub>
          </m:e>
        </m:d>
        <m:r>
          <m:rPr>
            <m:sty m:val="p"/>
          </m:rPr>
          <m:t>=</m:t>
        </m:r>
        <m:r>
          <m:t>1</m:t>
        </m:r>
        <m:r>
          <m:rPr>
            <m:sty m:val="p"/>
          </m:rPr>
          <m:t>/</m:t>
        </m:r>
        <m:r>
          <m:rPr>
            <m:sty m:val="p"/>
            <m:scr m:val="script"/>
          </m:rPr>
          <m:t>L</m:t>
        </m:r>
        <m:r>
          <m:rPr>
            <m:sty m:val="p"/>
          </m:rPr>
          <m:t>&gt;</m:t>
        </m:r>
        <m:r>
          <m:t>1</m:t>
        </m:r>
      </m:oMath>
      <w:r>
        <w:t xml:space="preserve"> </w:t>
      </w:r>
      <w:r>
        <w:t xml:space="preserve">(</w:t>
      </w:r>
      <w:hyperlink w:anchor="eq_lerner">
        <w:r>
          <w:rPr>
            <w:rStyle w:val="Hyperlink"/>
          </w:rPr>
          <w:t xml:space="preserve">1</w:t>
        </w:r>
      </w:hyperlink>
      <w:r>
        <w:t xml:space="preserve">), y allí ninguna subida adicional es rentable.</w:t>
      </w:r>
      <w:r>
        <w:rPr>
          <w:rStyle w:val="FootnoteReference"/>
        </w:rPr>
        <w:footnoteReference w:id="52"/>
      </w:r>
      <w:r>
        <w:t xml:space="preserve"> </w:t>
      </w:r>
      <w:r>
        <w:t xml:space="preserve">Si se aplica el test a los precios vigentes de una empresa dominante, el mercado sale más amplio de lo que es y la empresa parece no tener poder</w:t>
      </w:r>
      <w:r>
        <w:t xml:space="preserve"> </w:t>
      </w:r>
      <w:r>
        <w:t xml:space="preserve">(</w:t>
      </w:r>
      <w:hyperlink w:anchor="ref_CE2024DefinicionMercado">
        <w:r>
          <w:rPr>
            <w:rStyle w:val="Hyperlink"/>
            <w:smallCaps/>
          </w:rPr>
          <w:t xml:space="preserve">Comisión Europea</w:t>
        </w:r>
        <w:r>
          <w:rPr>
            <w:rStyle w:val="Hyperlink"/>
          </w:rPr>
          <w:t xml:space="preserve">, 2024, n. 55</w:t>
        </w:r>
      </w:hyperlink>
      <w:r>
        <w:t xml:space="preserve">)</w:t>
      </w:r>
      <w:r>
        <w:t xml:space="preserve">. Por eso, en los casos de abuso la referencia debería ser el precio competitivo; en las concentraciones, que miran al futuro, se usan los precios vigentes.</w:t>
      </w:r>
    </w:p>
    <w:p>
      <w:pPr>
        <w:numPr>
          <w:ilvl w:val="0"/>
          <w:numId w:val="1024"/>
        </w:numPr>
      </w:pPr>
      <w:r>
        <w:t xml:space="preserve">Definir el mercado es el primer paso, no el diagnóstico: dentro de un mercado bien definido puede haber mucha competencia o ninguna.</w:t>
      </w:r>
    </w:p>
    <w:bookmarkEnd w:id="53"/>
    <w:bookmarkEnd w:id="54"/>
    <w:bookmarkStart w:id="55" w:name="c_extensiones"/>
    <w:p>
      <w:pPr>
        <w:pStyle w:val="Heading4"/>
      </w:pPr>
      <w:r>
        <w:t xml:space="preserve">c) Extensiones</w:t>
      </w:r>
    </w:p>
    <w:p>
      <w:pPr>
        <w:numPr>
          <w:ilvl w:val="0"/>
          <w:numId w:val="1025"/>
        </w:numPr>
      </w:pPr>
      <w:r>
        <w:rPr>
          <w:i/>
          <w:iCs/>
        </w:rPr>
        <w:t xml:space="preserve">Herramientas</w:t>
      </w:r>
      <w:r>
        <w:t xml:space="preserve">: las elasticidades propia y cruzada de la demanda y los</w:t>
      </w:r>
      <w:r>
        <w:t xml:space="preserve"> </w:t>
      </w:r>
      <w:r>
        <w:rPr>
          <w:i/>
          <w:iCs/>
        </w:rPr>
        <w:t xml:space="preserve">ratios de desvío</w:t>
      </w:r>
      <w:r>
        <w:t xml:space="preserve"> </w:t>
      </w:r>
      <w:r>
        <w:t xml:space="preserve">(qué parte de las ventas perdidas va a cada rival); la correlación de los precios, que es como mucho una condición necesaria</w:t>
      </w:r>
      <w:r>
        <w:t xml:space="preserve"> </w:t>
      </w:r>
      <w:r>
        <w:t xml:space="preserve">(</w:t>
      </w:r>
      <w:hyperlink w:anchor="ref_StiglerSherwin1985Extent">
        <w:r>
          <w:rPr>
            <w:rStyle w:val="Hyperlink"/>
            <w:smallCaps/>
          </w:rPr>
          <w:t xml:space="preserve">Stigler</w:t>
        </w:r>
        <w:r>
          <w:rPr>
            <w:rStyle w:val="Hyperlink"/>
          </w:rPr>
          <w:t xml:space="preserve"> </w:t>
        </w:r>
        <w:r>
          <w:rPr>
            <w:rStyle w:val="Hyperlink"/>
          </w:rPr>
          <w:t xml:space="preserve">y</w:t>
        </w:r>
        <w:r>
          <w:rPr>
            <w:rStyle w:val="Hyperlink"/>
          </w:rPr>
          <w:t xml:space="preserve"> </w:t>
        </w:r>
        <w:r>
          <w:rPr>
            <w:rStyle w:val="Hyperlink"/>
            <w:smallCaps/>
          </w:rPr>
          <w:t xml:space="preserve">Sherwin</w:t>
        </w:r>
        <w:r>
          <w:rPr>
            <w:rStyle w:val="Hyperlink"/>
          </w:rPr>
          <w:t xml:space="preserve">, 1985</w:t>
        </w:r>
      </w:hyperlink>
      <w:r>
        <w:t xml:space="preserve">)</w:t>
      </w:r>
      <w:r>
        <w:t xml:space="preserve">; los flujos de comercio, para el mercado geográfico</w:t>
      </w:r>
      <w:r>
        <w:t xml:space="preserve"> </w:t>
      </w:r>
      <w:r>
        <w:t xml:space="preserve">(</w:t>
      </w:r>
      <w:hyperlink w:anchor="ref_ElzingaHogarty1973Problem">
        <w:r>
          <w:rPr>
            <w:rStyle w:val="Hyperlink"/>
            <w:smallCaps/>
          </w:rPr>
          <w:t xml:space="preserve">Elzinga</w:t>
        </w:r>
        <w:r>
          <w:rPr>
            <w:rStyle w:val="Hyperlink"/>
          </w:rPr>
          <w:t xml:space="preserve"> </w:t>
        </w:r>
        <w:r>
          <w:rPr>
            <w:rStyle w:val="Hyperlink"/>
          </w:rPr>
          <w:t xml:space="preserve">y</w:t>
        </w:r>
        <w:r>
          <w:rPr>
            <w:rStyle w:val="Hyperlink"/>
          </w:rPr>
          <w:t xml:space="preserve"> </w:t>
        </w:r>
        <w:r>
          <w:rPr>
            <w:rStyle w:val="Hyperlink"/>
            <w:smallCaps/>
          </w:rPr>
          <w:t xml:space="preserve">Hogarty</w:t>
        </w:r>
        <w:r>
          <w:rPr>
            <w:rStyle w:val="Hyperlink"/>
          </w:rPr>
          <w:t xml:space="preserve">, 1973</w:t>
        </w:r>
      </w:hyperlink>
      <w:r>
        <w:t xml:space="preserve">)</w:t>
      </w:r>
      <w:r>
        <w:t xml:space="preserve">; las características y los usos del producto, las encuestas a clientes y los costes de cambiar de proveedor.</w:t>
      </w:r>
    </w:p>
    <w:p>
      <w:pPr>
        <w:numPr>
          <w:ilvl w:val="0"/>
          <w:numId w:val="1025"/>
        </w:numPr>
      </w:pPr>
      <w:r>
        <w:rPr>
          <w:i/>
          <w:iCs/>
        </w:rPr>
        <w:t xml:space="preserve">Productos de precio cero</w:t>
      </w:r>
      <w:r>
        <w:t xml:space="preserve">: cuando el usuario no paga (un buscador, una red social), subir un 5 % un precio nulo carece de sentido. La Comunicación admite entonces medir la reacción a un empeoramiento de la calidad, la</w:t>
      </w:r>
      <w:r>
        <w:t xml:space="preserve"> </w:t>
      </w:r>
      <w:r>
        <w:rPr>
          <w:b/>
          <w:bCs/>
        </w:rPr>
        <w:t xml:space="preserve">SSNDQ</w:t>
      </w:r>
      <w:r>
        <w:t xml:space="preserve"> </w:t>
      </w:r>
      <w:r>
        <w:t xml:space="preserve">(</w:t>
      </w:r>
      <w:r>
        <w:rPr>
          <w:i/>
          <w:iCs/>
        </w:rPr>
        <w:t xml:space="preserve">small but significant non-transitory decrease in quality</w:t>
      </w:r>
      <w:r>
        <w:t xml:space="preserve">), que la Comisión ya aplicó en el caso Google Android</w:t>
      </w:r>
      <w:r>
        <w:t xml:space="preserve"> </w:t>
      </w:r>
      <w:r>
        <w:t xml:space="preserve">(</w:t>
      </w:r>
      <w:hyperlink w:anchor="ref_CE2024DefinicionMercado">
        <w:r>
          <w:rPr>
            <w:rStyle w:val="Hyperlink"/>
            <w:smallCaps/>
          </w:rPr>
          <w:t xml:space="preserve">Comisión Europea</w:t>
        </w:r>
        <w:r>
          <w:rPr>
            <w:rStyle w:val="Hyperlink"/>
          </w:rPr>
          <w:t xml:space="preserve">, 2024</w:t>
        </w:r>
      </w:hyperlink>
      <w:r>
        <w:t xml:space="preserve">, punto 30 y nota 54)</w:t>
      </w:r>
      <w:r>
        <w:t xml:space="preserve">.</w:t>
      </w:r>
    </w:p>
    <w:p>
      <w:pPr>
        <w:numPr>
          <w:ilvl w:val="0"/>
          <w:numId w:val="1025"/>
        </w:numPr>
      </w:pPr>
      <w:r>
        <w:rPr>
          <w:i/>
          <w:iCs/>
        </w:rPr>
        <w:t xml:space="preserve">Mercados de 2 lados</w:t>
      </w:r>
      <w:r>
        <w:t xml:space="preserve">: las plataformas reúnen a 2 grupos (compradores y vendedores, usuarios y anunciantes) que ganan con que el otro sea grande; la Comunicación permite definir un mercado para toda la plataforma o uno para cada lado, según la fuerza de esos efectos cruzados, y el precio cero de un lado no impide que haya mercado</w:t>
      </w:r>
      <w:r>
        <w:t xml:space="preserve"> </w:t>
      </w:r>
      <w:r>
        <w:t xml:space="preserve">(</w:t>
      </w:r>
      <w:hyperlink w:anchor="ref_CE2024DefinicionMercado">
        <w:r>
          <w:rPr>
            <w:rStyle w:val="Hyperlink"/>
            <w:smallCaps/>
          </w:rPr>
          <w:t xml:space="preserve">Comisión Europea</w:t>
        </w:r>
        <w:r>
          <w:rPr>
            <w:rStyle w:val="Hyperlink"/>
          </w:rPr>
          <w:t xml:space="preserve">, 2024</w:t>
        </w:r>
      </w:hyperlink>
      <w:r>
        <w:t xml:space="preserve">, puntos 94-98)</w:t>
      </w:r>
      <w:r>
        <w:t xml:space="preserve"> </w:t>
      </w:r>
      <w:r>
        <w:t xml:space="preserve">(</w:t>
      </w:r>
      <w:hyperlink w:anchor="sec_acceso_red">
        <w:r>
          <w:rPr>
            <w:rStyle w:val="Hyperlink"/>
          </w:rPr>
          <w:t xml:space="preserve">III.3</w:t>
        </w:r>
      </w:hyperlink>
      <w:r>
        <w:t xml:space="preserve">).</w:t>
      </w:r>
    </w:p>
    <w:bookmarkEnd w:id="55"/>
    <w:bookmarkStart w:id="56" w:name="d_valoraci__n"/>
    <w:p>
      <w:pPr>
        <w:pStyle w:val="Heading4"/>
      </w:pPr>
      <w:r>
        <w:t xml:space="preserve">d) Valoración</w:t>
      </w:r>
    </w:p>
    <w:p>
      <w:pPr>
        <w:numPr>
          <w:ilvl w:val="0"/>
          <w:numId w:val="1026"/>
        </w:numPr>
      </w:pPr>
      <w:r>
        <w:t xml:space="preserve">La definición es binaria (un producto está dentro o fuera), y con productos diferenciados exagera o subestima la competencia: 2 marcas pueden estar en el mismo mercado y ser sustitutivos lejanos. Por eso se han propuesto medidas directas de la presión al alza sobre los precios que no necesitan definir el mercado</w:t>
      </w:r>
      <w:r>
        <w:t xml:space="preserve"> </w:t>
      </w:r>
      <w:r>
        <w:t xml:space="preserve">(</w:t>
      </w:r>
      <w:hyperlink w:anchor="ref_FarrellShapiro2010Antitrust">
        <w:r>
          <w:rPr>
            <w:rStyle w:val="Hyperlink"/>
            <w:smallCaps/>
          </w:rPr>
          <w:t xml:space="preserve">Farrell</w:t>
        </w:r>
        <w:r>
          <w:rPr>
            <w:rStyle w:val="Hyperlink"/>
          </w:rPr>
          <w:t xml:space="preserve"> </w:t>
        </w:r>
        <w:r>
          <w:rPr>
            <w:rStyle w:val="Hyperlink"/>
          </w:rPr>
          <w:t xml:space="preserve">y</w:t>
        </w:r>
        <w:r>
          <w:rPr>
            <w:rStyle w:val="Hyperlink"/>
          </w:rPr>
          <w:t xml:space="preserve"> </w:t>
        </w:r>
        <w:r>
          <w:rPr>
            <w:rStyle w:val="Hyperlink"/>
            <w:smallCaps/>
          </w:rPr>
          <w:t xml:space="preserve">Shapiro</w:t>
        </w:r>
        <w:r>
          <w:rPr>
            <w:rStyle w:val="Hyperlink"/>
          </w:rPr>
          <w:t xml:space="preserve">, 2010</w:t>
        </w:r>
      </w:hyperlink>
      <w:r>
        <w:t xml:space="preserve">)</w:t>
      </w:r>
      <w:r>
        <w:t xml:space="preserve">, que las directrices de Estados Unidos de 2023 usan junto al test</w:t>
      </w:r>
      <w:r>
        <w:t xml:space="preserve"> </w:t>
      </w:r>
      <w:r>
        <w:t xml:space="preserve">(</w:t>
      </w:r>
      <w:hyperlink w:anchor="ref_DOJFTC2023Merger">
        <w:r>
          <w:rPr>
            <w:rStyle w:val="Hyperlink"/>
            <w:smallCaps/>
          </w:rPr>
          <w:t xml:space="preserve">U.S. Department of Justice</w:t>
        </w:r>
        <w:r>
          <w:rPr>
            <w:rStyle w:val="Hyperlink"/>
          </w:rPr>
          <w:t xml:space="preserve"> </w:t>
        </w:r>
        <w:r>
          <w:rPr>
            <w:rStyle w:val="Hyperlink"/>
          </w:rPr>
          <w:t xml:space="preserve">y</w:t>
        </w:r>
        <w:r>
          <w:rPr>
            <w:rStyle w:val="Hyperlink"/>
          </w:rPr>
          <w:t xml:space="preserve"> </w:t>
        </w:r>
        <w:r>
          <w:rPr>
            <w:rStyle w:val="Hyperlink"/>
            <w:smallCaps/>
          </w:rPr>
          <w:t xml:space="preserve">Federal Trade Commission</w:t>
        </w:r>
        <w:r>
          <w:rPr>
            <w:rStyle w:val="Hyperlink"/>
          </w:rPr>
          <w:t xml:space="preserve">, 2023</w:t>
        </w:r>
      </w:hyperlink>
      <w:r>
        <w:t xml:space="preserve">)</w:t>
      </w:r>
      <w:r>
        <w:t xml:space="preserve">.</w:t>
      </w:r>
    </w:p>
    <w:p>
      <w:pPr>
        <w:numPr>
          <w:ilvl w:val="0"/>
          <w:numId w:val="1026"/>
        </w:numPr>
      </w:pPr>
      <w:r>
        <w:t xml:space="preserve">Aun así, sigue siendo el punto de partida de la práctica: delimitado el mercado, se mide el poder y se decide si basta la defensa de la competencia o hace falta regular, que es lo que vemos a continuación.</w:t>
      </w:r>
    </w:p>
    <w:bookmarkEnd w:id="56"/>
    <w:bookmarkEnd w:id="57"/>
    <w:bookmarkStart w:id="68" w:name="sec_regulacion_informacion_completa"/>
    <w:p>
      <w:pPr>
        <w:pStyle w:val="Heading2"/>
      </w:pPr>
      <w:r>
        <w:t xml:space="preserve">I.3.</w:t>
      </w:r>
      <w:r>
        <w:t xml:space="preserve"> </w:t>
      </w:r>
      <w:r>
        <w:t xml:space="preserve">Regulación óptima con información completa</w:t>
      </w:r>
    </w:p>
    <w:p>
      <w:pPr>
        <w:numPr>
          <w:ilvl w:val="0"/>
          <w:numId w:val="1027"/>
        </w:numPr>
      </w:pPr>
      <w:r>
        <w:t xml:space="preserve">Una vez definido el mercado y medido el poder, ¿qué haría un regulador</w:t>
      </w:r>
      <w:r>
        <w:t xml:space="preserve"> </w:t>
      </w:r>
      <w:r>
        <w:rPr>
          <w:i/>
          <w:iCs/>
        </w:rPr>
        <w:t xml:space="preserve">benevolente</w:t>
      </w:r>
      <w:r>
        <w:t xml:space="preserve">, que maximiza el excedente total, e</w:t>
      </w:r>
      <w:r>
        <w:t xml:space="preserve"> </w:t>
      </w:r>
      <w:r>
        <w:rPr>
          <w:i/>
          <w:iCs/>
        </w:rPr>
        <w:t xml:space="preserve">informado</w:t>
      </w:r>
      <w:r>
        <w:t xml:space="preserve">, al que no se le escapa ni la tecnología de la empresa ni la disposición a pagar de los clientes? Es la</w:t>
      </w:r>
      <w:r>
        <w:t xml:space="preserve"> </w:t>
      </w:r>
      <w:r>
        <w:rPr>
          <w:b/>
          <w:bCs/>
        </w:rPr>
        <w:t xml:space="preserve">teoría tradicional de la regulación</w:t>
      </w:r>
      <w:r>
        <w:t xml:space="preserve">, pensada para el monopolio natural</w:t>
      </w:r>
      <w:r>
        <w:t xml:space="preserve"> </w:t>
      </w:r>
      <w:hyperlink r:id="rId29">
        <w:r>
          <w:rPr>
            <w:rStyle w:val="Referenciaatema"/>
          </w:rPr>
          <w:t xml:space="preserve">[ver tema 3.A.17]</w:t>
        </w:r>
      </w:hyperlink>
      <w:r>
        <w:t xml:space="preserve">.</w:t>
      </w:r>
    </w:p>
    <w:bookmarkStart w:id="58" w:name="el_monopolio_natural"/>
    <w:p>
      <w:pPr>
        <w:pStyle w:val="Heading4"/>
      </w:pPr>
      <w:r>
        <w:t xml:space="preserve">El monopolio natural</w:t>
      </w:r>
    </w:p>
    <w:p>
      <w:pPr>
        <w:numPr>
          <w:ilvl w:val="0"/>
          <w:numId w:val="1028"/>
        </w:numPr>
      </w:pPr>
      <w:r>
        <w:t xml:space="preserve">Un mercado es un</w:t>
      </w:r>
      <w:r>
        <w:t xml:space="preserve"> </w:t>
      </w:r>
      <w:r>
        <w:rPr>
          <w:b/>
          <w:bCs/>
        </w:rPr>
        <w:t xml:space="preserve">monopolio natural</w:t>
      </w:r>
      <w:r>
        <w:t xml:space="preserve"> </w:t>
      </w:r>
      <w:r>
        <w:t xml:space="preserve">si la función de costes es</w:t>
      </w:r>
      <w:r>
        <w:t xml:space="preserve"> </w:t>
      </w:r>
      <w:r>
        <w:rPr>
          <w:b/>
          <w:bCs/>
        </w:rPr>
        <w:t xml:space="preserve">subaditiva</w:t>
      </w:r>
      <w:r>
        <w:t xml:space="preserve"> </w:t>
      </w:r>
      <w:r>
        <w:t xml:space="preserve">en la producción relevante: producirlo todo en una sola empresa es más barato que repartirlo entre varias,</w:t>
      </w:r>
      <w:r>
        <w:t xml:space="preserve"> </w:t>
      </w:r>
      <m:oMath>
        <m:r>
          <m:t>C</m:t>
        </m:r>
        <m:d>
          <m:dPr>
            <m:begChr m:val="("/>
            <m:sepChr m:val=""/>
            <m:endChr m:val=")"/>
            <m:grow/>
          </m:dPr>
          <m:e>
            <m:nary>
              <m:naryPr>
                <m:chr m:val="∑"/>
                <m:limLoc m:val="undOvr"/>
                <m:subHide m:val="off"/>
                <m:supHide m:val="on"/>
              </m:naryPr>
              <m:sub>
                <m:r>
                  <m:t>j</m:t>
                </m:r>
              </m:sub>
              <m:sup>
                <m:r>
                  <m:t>​</m:t>
                </m:r>
              </m:sup>
              <m:e>
                <m:sSub>
                  <m:e>
                    <m:r>
                      <m:t>q</m:t>
                    </m:r>
                  </m:e>
                  <m:sub>
                    <m:r>
                      <m:t>j</m:t>
                    </m:r>
                  </m:sub>
                </m:sSub>
              </m:e>
            </m:nary>
          </m:e>
        </m:d>
        <m:r>
          <m:rPr>
            <m:sty m:val="p"/>
          </m:rPr>
          <m:t>&lt;</m:t>
        </m:r>
        <m:nary>
          <m:naryPr>
            <m:chr m:val="∑"/>
            <m:limLoc m:val="undOvr"/>
            <m:subHide m:val="off"/>
            <m:supHide m:val="on"/>
          </m:naryPr>
          <m:sub>
            <m:r>
              <m:t>j</m:t>
            </m:r>
          </m:sub>
          <m:sup>
            <m:r>
              <m:t>​</m:t>
            </m:r>
          </m:sup>
          <m:e>
            <m:r>
              <m:t>C</m:t>
            </m:r>
          </m:e>
        </m:nary>
        <m:d>
          <m:dPr>
            <m:begChr m:val="("/>
            <m:sepChr m:val=""/>
            <m:endChr m:val=")"/>
            <m:grow/>
          </m:dPr>
          <m:e>
            <m:sSub>
              <m:e>
                <m:r>
                  <m:t>q</m:t>
                </m:r>
              </m:e>
              <m:sub>
                <m:r>
                  <m:t>j</m:t>
                </m:r>
              </m:sub>
            </m:sSub>
          </m:e>
        </m:d>
      </m:oMath>
      <w:r>
        <w:t xml:space="preserve"> </w:t>
      </w:r>
      <w:r>
        <w:t xml:space="preserve">(</w:t>
      </w:r>
      <w:hyperlink w:anchor="ref_Baumol1977Proper">
        <w:r>
          <w:rPr>
            <w:rStyle w:val="Hyperlink"/>
            <w:smallCaps/>
          </w:rPr>
          <w:t xml:space="preserve">Baumol</w:t>
        </w:r>
        <w:r>
          <w:rPr>
            <w:rStyle w:val="Hyperlink"/>
          </w:rPr>
          <w:t xml:space="preserve">, 1977</w:t>
        </w:r>
      </w:hyperlink>
      <w:r>
        <w:t xml:space="preserve">)</w:t>
      </w:r>
      <w:r>
        <w:t xml:space="preserve">. Las economías de escala en todo el tramo son suficientes, pero no necesarias.</w:t>
      </w:r>
    </w:p>
    <w:p>
      <w:pPr>
        <w:numPr>
          <w:ilvl w:val="0"/>
          <w:numId w:val="1028"/>
        </w:numPr>
      </w:pPr>
      <w:r>
        <w:t xml:space="preserve">Es</w:t>
      </w:r>
      <w:r>
        <w:t xml:space="preserve"> </w:t>
      </w:r>
      <w:r>
        <w:rPr>
          <w:i/>
          <w:iCs/>
        </w:rPr>
        <w:t xml:space="preserve">sostenible</w:t>
      </w:r>
      <w:r>
        <w:t xml:space="preserve"> </w:t>
      </w:r>
      <w:r>
        <w:t xml:space="preserve">si existe un precio que cubre costes atendiendo toda la demanda y al que ningún entrante gana vendiendo una parte; si no lo es, la regulación tiene que ocuparse también de la entrada</w:t>
      </w:r>
      <w:r>
        <w:t xml:space="preserve"> </w:t>
      </w:r>
      <w:r>
        <w:t xml:space="preserve">(</w:t>
      </w:r>
      <w:hyperlink w:anchor="ref_PanzarWillig1977Free">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1977</w:t>
        </w:r>
      </w:hyperlink>
      <w:r>
        <w:t xml:space="preserve">;</w:t>
      </w:r>
      <w:r>
        <w:t xml:space="preserve"> </w:t>
      </w:r>
      <w:hyperlink w:anchor="ref_BaumolBaileyWillig1977Weak">
        <w:r>
          <w:rPr>
            <w:rStyle w:val="Hyperlink"/>
            <w:smallCaps/>
          </w:rPr>
          <w:t xml:space="preserve">Baumol</w:t>
        </w:r>
        <w:r>
          <w:rPr>
            <w:rStyle w:val="Hyperlink"/>
          </w:rPr>
          <w:t xml:space="preserve">,</w:t>
        </w:r>
        <w:r>
          <w:rPr>
            <w:rStyle w:val="Hyperlink"/>
          </w:rPr>
          <w:t xml:space="preserve"> </w:t>
        </w:r>
        <w:r>
          <w:rPr>
            <w:rStyle w:val="Hyperlink"/>
            <w:smallCaps/>
          </w:rPr>
          <w:t xml:space="preserve">Bailey</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1977</w:t>
        </w:r>
      </w:hyperlink>
      <w:r>
        <w:t xml:space="preserve">)</w:t>
      </w:r>
      <w:r>
        <w:t xml:space="preserve">.</w:t>
      </w:r>
    </w:p>
    <w:p>
      <w:pPr>
        <w:numPr>
          <w:ilvl w:val="0"/>
          <w:numId w:val="1028"/>
        </w:numPr>
      </w:pPr>
      <w:r>
        <w:t xml:space="preserve">Aquí está el dilema: dejar un único productor ahorra costes, pero, si nadie lo controla, cobrará como un monopolista. Regular es buscar el punto medio entre la</w:t>
      </w:r>
      <w:r>
        <w:t xml:space="preserve"> </w:t>
      </w:r>
      <w:r>
        <w:rPr>
          <w:i/>
          <w:iCs/>
        </w:rPr>
        <w:t xml:space="preserve">eficiencia asignativa</w:t>
      </w:r>
      <w:r>
        <w:t xml:space="preserve"> </w:t>
      </w:r>
      <w:r>
        <w:t xml:space="preserve">y que la empresa sea</w:t>
      </w:r>
      <w:r>
        <w:t xml:space="preserve"> </w:t>
      </w:r>
      <w:r>
        <w:rPr>
          <w:i/>
          <w:iCs/>
        </w:rPr>
        <w:t xml:space="preserve">financieramente viable</w:t>
      </w:r>
      <w:r>
        <w:t xml:space="preserve">.</w:t>
      </w:r>
    </w:p>
    <w:bookmarkEnd w:id="58"/>
    <w:bookmarkStart w:id="66" w:name="primer___ptimo_y_segundos___ptimos"/>
    <w:p>
      <w:pPr>
        <w:pStyle w:val="Heading4"/>
      </w:pPr>
      <w:r>
        <w:t xml:space="preserve">Primer óptimo y segundos óptimos</w:t>
      </w:r>
    </w:p>
    <w:p>
      <w:pPr>
        <w:numPr>
          <w:ilvl w:val="0"/>
          <w:numId w:val="1029"/>
        </w:numPr>
      </w:pPr>
      <w:r>
        <w:rPr>
          <w:b/>
          <w:bCs/>
        </w:rPr>
        <w:t xml:space="preserve">Primer óptimo</w:t>
      </w:r>
      <w:r>
        <w:t xml:space="preserve"> </w:t>
      </w:r>
      <w:r>
        <w:t xml:space="preserve">(</w:t>
      </w:r>
      <w:r>
        <w:rPr>
          <w:i/>
          <w:iCs/>
        </w:rPr>
        <w:t xml:space="preserve">first best</w:t>
      </w:r>
      <w:r>
        <w:t xml:space="preserve">):</w:t>
      </w:r>
      <w:r>
        <w:t xml:space="preserve"> </w:t>
      </w:r>
      <m:oMath>
        <m:r>
          <m:t>p</m:t>
        </m:r>
        <m:r>
          <m:rPr>
            <m:sty m:val="p"/>
          </m:rPr>
          <m:t>=</m:t>
        </m:r>
        <m:r>
          <m:rPr>
            <m:sty m:val="p"/>
          </m:rPr>
          <m:t>C</m:t>
        </m:r>
        <m:r>
          <m:rPr>
            <m:sty m:val="p"/>
          </m:rPr>
          <m:t>M</m:t>
        </m:r>
        <m:r>
          <m:rPr>
            <m:sty m:val="p"/>
          </m:rPr>
          <m:t>g</m:t>
        </m:r>
      </m:oMath>
      <w:r>
        <w:t xml:space="preserve"> </w:t>
      </w:r>
      <w:r>
        <w:t xml:space="preserve">(</w:t>
      </w:r>
      <w:hyperlink w:anchor="ref_Hotelling1938General">
        <w:r>
          <w:rPr>
            <w:rStyle w:val="Hyperlink"/>
            <w:smallCaps/>
          </w:rPr>
          <w:t xml:space="preserve">Hotelling</w:t>
        </w:r>
        <w:r>
          <w:rPr>
            <w:rStyle w:val="Hyperlink"/>
          </w:rPr>
          <w:t xml:space="preserve">, 1938</w:t>
        </w:r>
      </w:hyperlink>
      <w:r>
        <w:t xml:space="preserve">)</w:t>
      </w:r>
      <w:r>
        <w:t xml:space="preserve">.</w:t>
      </w:r>
      <w:r>
        <w:rPr>
          <w:rStyle w:val="FootnoteReference"/>
        </w:rPr>
        <w:footnoteReference w:id="59"/>
      </w:r>
      <w:r>
        <w:t xml:space="preserve"> </w:t>
      </w:r>
      <w:r>
        <w:t xml:space="preserve">Si la demanda corta en el tramo decreciente del coste medio,</w:t>
      </w:r>
      <w:r>
        <w:t xml:space="preserve"> </w:t>
      </w:r>
      <m:oMath>
        <m:r>
          <m:rPr>
            <m:sty m:val="p"/>
          </m:rPr>
          <m:t>C</m:t>
        </m:r>
        <m:r>
          <m:rPr>
            <m:sty m:val="p"/>
          </m:rPr>
          <m:t>M</m:t>
        </m:r>
        <m:r>
          <m:rPr>
            <m:sty m:val="p"/>
          </m:rPr>
          <m:t>g</m:t>
        </m:r>
        <m:r>
          <m:rPr>
            <m:sty m:val="p"/>
          </m:rPr>
          <m:t>&lt;</m:t>
        </m:r>
        <m:r>
          <m:rPr>
            <m:sty m:val="p"/>
          </m:rPr>
          <m:t>C</m:t>
        </m:r>
        <m:r>
          <m:rPr>
            <m:sty m:val="p"/>
          </m:rPr>
          <m:t>M</m:t>
        </m:r>
        <m:r>
          <m:rPr>
            <m:sty m:val="p"/>
          </m:rPr>
          <m:t>e</m:t>
        </m:r>
      </m:oMath>
      <w:r>
        <w:t xml:space="preserve"> </w:t>
      </w:r>
      <w:r>
        <w:t xml:space="preserve">y la empresa pierde</w:t>
      </w:r>
      <w:r>
        <w:t xml:space="preserve"> </w:t>
      </w:r>
      <m:oMath>
        <m:d>
          <m:dPr>
            <m:begChr m:val="("/>
            <m:sepChr m:val=""/>
            <m:endChr m:val=")"/>
            <m:grow/>
          </m:dPr>
          <m:e>
            <m:r>
              <m:rPr>
                <m:sty m:val="p"/>
              </m:rPr>
              <m:t>C</m:t>
            </m:r>
            <m:r>
              <m:rPr>
                <m:sty m:val="p"/>
              </m:rPr>
              <m:t>M</m:t>
            </m:r>
            <m:r>
              <m:rPr>
                <m:sty m:val="p"/>
              </m:rPr>
              <m:t>e</m:t>
            </m:r>
            <m:r>
              <m:rPr>
                <m:sty m:val="p"/>
              </m:rPr>
              <m:t>−</m:t>
            </m:r>
            <m:r>
              <m:rPr>
                <m:sty m:val="p"/>
              </m:rPr>
              <m:t>C</m:t>
            </m:r>
            <m:r>
              <m:rPr>
                <m:sty m:val="p"/>
              </m:rPr>
              <m:t>M</m:t>
            </m:r>
            <m:r>
              <m:rPr>
                <m:sty m:val="p"/>
              </m:rPr>
              <m:t>g</m:t>
            </m:r>
          </m:e>
        </m:d>
        <m:r>
          <m:t> </m:t>
        </m:r>
        <m:r>
          <m:t>q</m:t>
        </m:r>
      </m:oMath>
      <w:r>
        <w:t xml:space="preserve"> </w:t>
      </w:r>
      <w:r>
        <w:t xml:space="preserve">(gráfico </w:t>
      </w:r>
      <w:hyperlink w:anchor="fig_regulacion_monopolio_natural">
        <w:r>
          <w:rPr>
            <w:rStyle w:val="Hyperlink"/>
          </w:rPr>
          <w:t xml:space="preserve">3</w:t>
        </w:r>
      </w:hyperlink>
      <w:r>
        <w:t xml:space="preserve">), que hay que cubrir con una subvención. Esa subvención sale de impuestos que distorsionan, de modo que cada euro transferido le supone a la sociedad</w:t>
      </w:r>
      <w:r>
        <w:t xml:space="preserve"> </w:t>
      </w:r>
      <m:oMath>
        <m:r>
          <m:t>1</m:t>
        </m:r>
        <m:r>
          <m:rPr>
            <m:sty m:val="p"/>
          </m:rPr>
          <m:t>+</m:t>
        </m:r>
        <m:r>
          <m:t>λ</m:t>
        </m:r>
      </m:oMath>
      <w:r>
        <w:t xml:space="preserve">, con</w:t>
      </w:r>
      <w:r>
        <w:t xml:space="preserve"> </w:t>
      </w:r>
      <m:oMath>
        <m:r>
          <m:t>λ</m:t>
        </m:r>
        <m:r>
          <m:rPr>
            <m:sty m:val="p"/>
          </m:rPr>
          <m:t>&gt;</m:t>
        </m:r>
        <m:r>
          <m:t>0</m:t>
        </m:r>
      </m:oMath>
      <w:r>
        <w:t xml:space="preserve"> </w:t>
      </w:r>
      <w:r>
        <w:t xml:space="preserve">el</w:t>
      </w:r>
      <w:r>
        <w:t xml:space="preserve"> </w:t>
      </w:r>
      <w:r>
        <w:rPr>
          <w:b/>
          <w:bCs/>
        </w:rPr>
        <w:t xml:space="preserve">coste sombra de los fondos públicos</w:t>
      </w:r>
      <w:r>
        <w:t xml:space="preserve">; además, una empresa con las pérdidas cubiertas pierde interés en abaratar.</w:t>
      </w:r>
    </w:p>
    <w:p>
      <w:pPr>
        <w:keepNext/>
        <w:numPr>
          <w:ilvl w:val="0"/>
          <w:numId w:val="1029"/>
        </w:numPr>
      </w:pPr>
      <w:r>
        <w:rPr>
          <w:b/>
          <w:bCs/>
        </w:rPr>
        <w:t xml:space="preserve">Segundos óptimos</w:t>
      </w:r>
      <w:r>
        <w:t xml:space="preserve"> </w:t>
      </w:r>
      <w:r>
        <w:t xml:space="preserve">(</w:t>
      </w:r>
      <w:r>
        <w:rPr>
          <w:i/>
          <w:iCs/>
        </w:rPr>
        <w:t xml:space="preserve">second best</w:t>
      </w:r>
      <w:r>
        <w:t xml:space="preserve">), que cubren los costes sin subvención</w:t>
      </w:r>
      <w:r>
        <w:t xml:space="preserve"> </w:t>
      </w:r>
      <w:hyperlink r:id="rId22">
        <w:r>
          <w:rPr>
            <w:rStyle w:val="Referenciaatema"/>
          </w:rPr>
          <w:t xml:space="preserve">[ver tema 3.A.22]</w:t>
        </w:r>
      </w:hyperlink>
      <w:r>
        <w:t xml:space="preserve">:</w:t>
      </w:r>
    </w:p>
    <w:p>
      <w:pPr>
        <w:numPr>
          <w:ilvl w:val="1"/>
          <w:numId w:val="1030"/>
        </w:numPr>
      </w:pPr>
      <w:r>
        <w:rPr>
          <w:i/>
          <w:iCs/>
        </w:rPr>
        <w:t xml:space="preserve">precio igual al coste medio</w:t>
      </w:r>
      <w:r>
        <w:t xml:space="preserve">: beneficio nulo y la mayor cantidad sin pérdidas, con una pérdida de eficiencia pequeña;</w:t>
      </w:r>
    </w:p>
    <w:p>
      <w:pPr>
        <w:numPr>
          <w:ilvl w:val="1"/>
          <w:numId w:val="1030"/>
        </w:numPr>
      </w:pPr>
      <w:r>
        <w:rPr>
          <w:i/>
          <w:iCs/>
        </w:rPr>
        <w:t xml:space="preserve">tarifa en dos partes</w:t>
      </w:r>
      <w:r>
        <w:t xml:space="preserve">,</w:t>
      </w:r>
      <w:r>
        <w:t xml:space="preserve"> </w:t>
      </w:r>
      <m:oMath>
        <m:r>
          <m:t>T</m:t>
        </m:r>
        <m:d>
          <m:dPr>
            <m:begChr m:val="("/>
            <m:sepChr m:val=""/>
            <m:endChr m:val=")"/>
            <m:grow/>
          </m:dPr>
          <m:e>
            <m:r>
              <m:t>q</m:t>
            </m:r>
          </m:e>
        </m:d>
        <m:r>
          <m:rPr>
            <m:sty m:val="p"/>
          </m:rPr>
          <m:t>=</m:t>
        </m:r>
        <m:r>
          <m:t>A</m:t>
        </m:r>
        <m:r>
          <m:rPr>
            <m:sty m:val="p"/>
          </m:rPr>
          <m:t>+</m:t>
        </m:r>
        <m:r>
          <m:t>p</m:t>
        </m:r>
        <m:r>
          <m:t> </m:t>
        </m:r>
        <m:r>
          <m:t>q</m:t>
        </m:r>
      </m:oMath>
      <w:r>
        <w:t xml:space="preserve"> </w:t>
      </w:r>
      <w:r>
        <w:t xml:space="preserve">con</w:t>
      </w:r>
      <w:r>
        <w:t xml:space="preserve"> </w:t>
      </w:r>
      <m:oMath>
        <m:r>
          <m:t>A</m:t>
        </m:r>
        <m:r>
          <m:rPr>
            <m:sty m:val="p"/>
          </m:rPr>
          <m:t>=</m:t>
        </m:r>
        <m:r>
          <m:rPr>
            <m:sty m:val="p"/>
          </m:rPr>
          <m:t>C</m:t>
        </m:r>
        <m:r>
          <m:rPr>
            <m:sty m:val="p"/>
          </m:rPr>
          <m:t>F</m:t>
        </m:r>
        <m:r>
          <m:rPr>
            <m:sty m:val="p"/>
          </m:rPr>
          <m:t>/</m:t>
        </m:r>
        <m:r>
          <m:t>n</m:t>
        </m:r>
      </m:oMath>
      <w:r>
        <w:t xml:space="preserve"> </w:t>
      </w:r>
      <w:r>
        <w:t xml:space="preserve">y</w:t>
      </w:r>
      <w:r>
        <w:t xml:space="preserve"> </w:t>
      </w:r>
      <m:oMath>
        <m:r>
          <m:t>p</m:t>
        </m:r>
        <m:r>
          <m:rPr>
            <m:sty m:val="p"/>
          </m:rPr>
          <m:t>=</m:t>
        </m:r>
        <m:r>
          <m:rPr>
            <m:sty m:val="p"/>
          </m:rPr>
          <m:t>C</m:t>
        </m:r>
        <m:r>
          <m:rPr>
            <m:sty m:val="p"/>
          </m:rPr>
          <m:t>M</m:t>
        </m:r>
        <m:r>
          <m:rPr>
            <m:sty m:val="p"/>
          </m:rPr>
          <m:t>g</m:t>
        </m:r>
      </m:oMath>
      <w:r>
        <w:t xml:space="preserve"> </w:t>
      </w:r>
      <w:r>
        <w:t xml:space="preserve">(</w:t>
      </w:r>
      <w:hyperlink w:anchor="ref_Coase1946Marginal">
        <w:r>
          <w:rPr>
            <w:rStyle w:val="Hyperlink"/>
            <w:smallCaps/>
          </w:rPr>
          <w:t xml:space="preserve">Coase</w:t>
        </w:r>
        <w:r>
          <w:rPr>
            <w:rStyle w:val="Hyperlink"/>
          </w:rPr>
          <w:t xml:space="preserve">, 1946</w:t>
        </w:r>
      </w:hyperlink>
      <w:r>
        <w:t xml:space="preserve">)</w:t>
      </w:r>
      <w:r>
        <w:t xml:space="preserve">: eficiente en el margen mientras la cuota fija no expulse a nadie</w:t>
      </w:r>
      <w:r>
        <w:t xml:space="preserve"> </w:t>
      </w:r>
      <w:r>
        <w:t xml:space="preserve">(</w:t>
      </w:r>
      <w:hyperlink w:anchor="ref_Oi1971Disneyland">
        <w:r>
          <w:rPr>
            <w:rStyle w:val="Hyperlink"/>
            <w:smallCaps/>
          </w:rPr>
          <w:t xml:space="preserve">Oi</w:t>
        </w:r>
        <w:r>
          <w:rPr>
            <w:rStyle w:val="Hyperlink"/>
          </w:rPr>
          <w:t xml:space="preserve">, 1971</w:t>
        </w:r>
      </w:hyperlink>
      <w:r>
        <w:t xml:space="preserve">)</w:t>
      </w:r>
      <w:r>
        <w:t xml:space="preserve">;</w:t>
      </w:r>
    </w:p>
    <w:p>
      <w:pPr>
        <w:numPr>
          <w:ilvl w:val="1"/>
          <w:numId w:val="1030"/>
        </w:numPr>
      </w:pPr>
      <w:r>
        <w:rPr>
          <w:i/>
          <w:iCs/>
        </w:rPr>
        <w:t xml:space="preserve">tarifas de punta y valle</w:t>
      </w:r>
      <w:r>
        <w:t xml:space="preserve">: quien usa la capacidad en las horas punta paga, además del coste de operación, el coste de la capacidad, que se dimensiona para la punta; en el valle solo se paga el de operación</w:t>
      </w:r>
      <w:r>
        <w:t xml:space="preserve"> </w:t>
      </w:r>
      <w:r>
        <w:t xml:space="preserve">(</w:t>
      </w:r>
      <w:hyperlink w:anchor="ref_Boiteux1949Tarification">
        <w:r>
          <w:rPr>
            <w:rStyle w:val="Hyperlink"/>
            <w:smallCaps/>
          </w:rPr>
          <w:t xml:space="preserve">Boiteux</w:t>
        </w:r>
        <w:r>
          <w:rPr>
            <w:rStyle w:val="Hyperlink"/>
          </w:rPr>
          <w:t xml:space="preserve">, 1949</w:t>
        </w:r>
      </w:hyperlink>
      <w:r>
        <w:t xml:space="preserve">;</w:t>
      </w:r>
      <w:r>
        <w:t xml:space="preserve"> </w:t>
      </w:r>
      <w:hyperlink w:anchor="ref_Steiner1957Peak">
        <w:r>
          <w:rPr>
            <w:rStyle w:val="Hyperlink"/>
            <w:smallCaps/>
          </w:rPr>
          <w:t xml:space="preserve">Steiner</w:t>
        </w:r>
        <w:r>
          <w:rPr>
            <w:rStyle w:val="Hyperlink"/>
          </w:rPr>
          <w:t xml:space="preserve">, 1957</w:t>
        </w:r>
      </w:hyperlink>
      <w:r>
        <w:t xml:space="preserve">)</w:t>
      </w:r>
      <w:r>
        <w:t xml:space="preserve">;</w:t>
      </w:r>
    </w:p>
    <w:p>
      <w:pPr>
        <w:numPr>
          <w:ilvl w:val="1"/>
          <w:numId w:val="1030"/>
        </w:numPr>
      </w:pPr>
      <w:r>
        <w:rPr>
          <w:i/>
          <w:iCs/>
        </w:rPr>
        <w:t xml:space="preserve">precios de</w:t>
      </w:r>
      <w:r>
        <w:rPr>
          <w:i/>
          <w:iCs/>
        </w:rPr>
        <w:t xml:space="preserve"> </w:t>
      </w:r>
      <w:r>
        <w:rPr>
          <w:i/>
          <w:iCs/>
          <w:smallCaps/>
        </w:rPr>
        <w:t xml:space="preserve">Ramsey</w:t>
      </w:r>
      <w:r>
        <w:rPr>
          <w:i/>
          <w:iCs/>
        </w:rPr>
        <w:t xml:space="preserve">-</w:t>
      </w:r>
      <w:r>
        <w:rPr>
          <w:i/>
          <w:iCs/>
          <w:smallCaps/>
        </w:rPr>
        <w:t xml:space="preserve">Boiteux</w:t>
      </w:r>
      <w:r>
        <w:t xml:space="preserve">, para el monopolio natural multiproducto, que maximizan el excedente total con beneficio no negativo</w:t>
      </w:r>
      <w:r>
        <w:t xml:space="preserve"> </w:t>
      </w:r>
      <w:r>
        <w:t xml:space="preserve">(</w:t>
      </w:r>
      <w:hyperlink w:anchor="ref_Ramsey1927Contribution">
        <w:r>
          <w:rPr>
            <w:rStyle w:val="Hyperlink"/>
            <w:smallCaps/>
          </w:rPr>
          <w:t xml:space="preserve">Ramsey</w:t>
        </w:r>
        <w:r>
          <w:rPr>
            <w:rStyle w:val="Hyperlink"/>
          </w:rPr>
          <w:t xml:space="preserve">, 1927</w:t>
        </w:r>
      </w:hyperlink>
      <w:r>
        <w:t xml:space="preserve">;</w:t>
      </w:r>
      <w:r>
        <w:t xml:space="preserve"> </w:t>
      </w:r>
      <w:hyperlink w:anchor="ref_Boiteux1956Gestion">
        <w:r>
          <w:rPr>
            <w:rStyle w:val="Hyperlink"/>
            <w:smallCaps/>
          </w:rPr>
          <w:t xml:space="preserve">Boiteux</w:t>
        </w:r>
        <w:r>
          <w:rPr>
            <w:rStyle w:val="Hyperlink"/>
          </w:rPr>
          <w:t xml:space="preserve">, 1956</w:t>
        </w:r>
      </w:hyperlink>
      <w:r>
        <w:t xml:space="preserve">)</w:t>
      </w:r>
      <w:r>
        <w:t xml:space="preserve">:</w:t>
      </w:r>
      <w:r>
        <w:t xml:space="preserve"> </w:t>
      </w:r>
      <w:bookmarkStart w:id="61" w:name="eq_ramsey_boiteux"/>
      <w:bookmarkEnd w:id="61"/>
    </w:p>
    <w:p>
      <w:pPr>
        <w:pStyle w:val="BodyText"/>
        <w:keepNext/>
      </w:pPr>
      <m:oMathPara>
        <m:oMathParaPr>
          <m:jc m:val="center"/>
        </m:oMathParaPr>
        <m:oMath>
          <m:f>
            <m:fPr>
              <m:type m:val="bar"/>
            </m:fPr>
            <m:num>
              <m:sSub>
                <m:e>
                  <m:r>
                    <m:t>p</m:t>
                  </m:r>
                </m:e>
                <m:sub>
                  <m:r>
                    <m:t>i</m:t>
                  </m:r>
                </m:sub>
              </m:sSub>
              <m:r>
                <m:rPr>
                  <m:sty m:val="p"/>
                </m:rPr>
                <m:t>−</m:t>
              </m:r>
              <m:sSub>
                <m:e>
                  <m:r>
                    <m:rPr>
                      <m:sty m:val="p"/>
                    </m:rPr>
                    <m:t>C</m:t>
                  </m:r>
                  <m:r>
                    <m:rPr>
                      <m:sty m:val="p"/>
                    </m:rPr>
                    <m:t>M</m:t>
                  </m:r>
                  <m:r>
                    <m:rPr>
                      <m:sty m:val="p"/>
                    </m:rPr>
                    <m:t>g</m:t>
                  </m:r>
                </m:e>
                <m:sub>
                  <m:r>
                    <m:t>i</m:t>
                  </m:r>
                </m:sub>
              </m:sSub>
            </m:num>
            <m:den>
              <m:sSub>
                <m:e>
                  <m:r>
                    <m:t>p</m:t>
                  </m:r>
                </m:e>
                <m:sub>
                  <m:r>
                    <m:t>i</m:t>
                  </m:r>
                </m:sub>
              </m:sSub>
            </m:den>
          </m:f>
          <m:r>
            <m:rPr>
              <m:sty m:val="p"/>
            </m:rPr>
            <m:t>=</m:t>
          </m:r>
          <m:f>
            <m:fPr>
              <m:type m:val="bar"/>
            </m:fPr>
            <m:num>
              <m:r>
                <m:t>λ</m:t>
              </m:r>
            </m:num>
            <m:den>
              <m:r>
                <m:t>1</m:t>
              </m:r>
              <m:r>
                <m:rPr>
                  <m:sty m:val="p"/>
                </m:rPr>
                <m:t>+</m:t>
              </m:r>
              <m:r>
                <m:t>λ</m:t>
              </m:r>
            </m:den>
          </m:f>
          <m:r>
            <m:rPr>
              <m:sty m:val="p"/>
            </m:rPr>
            <m:t>⋅</m:t>
          </m:r>
          <m:f>
            <m:fPr>
              <m:type m:val="bar"/>
            </m:fPr>
            <m:num>
              <m:r>
                <m:t>1</m:t>
              </m:r>
            </m:num>
            <m:den>
              <m:d>
                <m:dPr>
                  <m:begChr m:val="|"/>
                  <m:sepChr m:val=""/>
                  <m:endChr m:val="|"/>
                  <m:grow/>
                </m:dPr>
                <m:e>
                  <m:sSub>
                    <m:e>
                      <m:r>
                        <m:t>ε</m:t>
                      </m:r>
                    </m:e>
                    <m:sub>
                      <m:sSub>
                        <m:e>
                          <m:r>
                            <m:t>q</m:t>
                          </m:r>
                        </m:e>
                        <m:sub>
                          <m:r>
                            <m:t>i</m:t>
                          </m:r>
                        </m:sub>
                      </m:sSub>
                      <m:r>
                        <m:rPr>
                          <m:sty m:val="p"/>
                        </m:rPr>
                        <m:t>,</m:t>
                      </m:r>
                      <m:sSub>
                        <m:e>
                          <m:r>
                            <m:t>p</m:t>
                          </m:r>
                        </m:e>
                        <m:sub>
                          <m:r>
                            <m:t>i</m:t>
                          </m:r>
                        </m:sub>
                      </m:sSub>
                    </m:sub>
                  </m:sSub>
                </m:e>
              </m:d>
            </m:den>
          </m:f>
          <m:r>
            <m:t>  </m:t>
          </m:r>
          <m:r>
            <m:rPr>
              <m:sty m:val="p"/>
            </m:rPr>
            <m:t>∀</m:t>
          </m:r>
          <m:r>
            <m:t>i</m:t>
          </m:r>
          <m:r>
            <m:rPr>
              <m:sty m:val="p"/>
            </m:rPr>
            <m:t>.</m:t>
          </m:r>
        </m:oMath>
      </m:oMathPara>
    </w:p>
    <w:p>
      <w:pPr>
        <w:numPr>
          <w:ilvl w:val="1"/>
          <w:numId w:val="1000"/>
        </w:numPr>
      </w:pPr>
      <w:r>
        <w:t xml:space="preserve">Es la regla de</w:t>
      </w:r>
      <w:r>
        <w:t xml:space="preserve"> </w:t>
      </w:r>
      <w:r>
        <w:rPr>
          <w:smallCaps/>
        </w:rPr>
        <w:t xml:space="preserve">Lerner</w:t>
      </w:r>
      <w:r>
        <w:t xml:space="preserve"> </w:t>
      </w:r>
      <w:r>
        <w:t xml:space="preserve">(</w:t>
      </w:r>
      <w:hyperlink w:anchor="eq_lerner">
        <w:r>
          <w:rPr>
            <w:rStyle w:val="Hyperlink"/>
          </w:rPr>
          <w:t xml:space="preserve">1</w:t>
        </w:r>
      </w:hyperlink>
      <w:r>
        <w:t xml:space="preserve">)</w:t>
      </w:r>
      <w:r>
        <w:t xml:space="preserve"> </w:t>
      </w:r>
      <w:r>
        <w:rPr>
          <w:i/>
          <w:iCs/>
        </w:rPr>
        <w:t xml:space="preserve">amortiguada</w:t>
      </w:r>
      <w:r>
        <w:t xml:space="preserve">: el número de</w:t>
      </w:r>
      <w:r>
        <w:t xml:space="preserve"> </w:t>
      </w:r>
      <w:r>
        <w:rPr>
          <w:smallCaps/>
        </w:rPr>
        <w:t xml:space="preserve">Ramsey</w:t>
      </w:r>
      <w:r>
        <w:t xml:space="preserve">,</w:t>
      </w:r>
      <w:r>
        <w:t xml:space="preserve"> </w:t>
      </w:r>
      <m:oMath>
        <m:r>
          <m:t>λ</m:t>
        </m:r>
        <m:r>
          <m:rPr>
            <m:sty m:val="p"/>
          </m:rPr>
          <m:t>/</m:t>
        </m:r>
        <m:d>
          <m:dPr>
            <m:begChr m:val="("/>
            <m:sepChr m:val=""/>
            <m:endChr m:val=")"/>
            <m:grow/>
          </m:dPr>
          <m:e>
            <m:r>
              <m:t>1</m:t>
            </m:r>
            <m:r>
              <m:rPr>
                <m:sty m:val="p"/>
              </m:rPr>
              <m:t>+</m:t>
            </m:r>
            <m:r>
              <m:t>λ</m:t>
            </m:r>
          </m:e>
        </m:d>
        <m:r>
          <m:rPr>
            <m:sty m:val="p"/>
          </m:rPr>
          <m:t>∈</m:t>
        </m:r>
        <m:r>
          <m:rPr>
            <m:sty m:val="p"/>
          </m:rPr>
          <m:t>[</m:t>
        </m:r>
        <m:r>
          <m:t>0</m:t>
        </m:r>
        <m:r>
          <m:rPr>
            <m:sty m:val="p"/>
          </m:rPr>
          <m:t>,</m:t>
        </m:r>
        <m:r>
          <m:t>1</m:t>
        </m:r>
        <m:r>
          <m:rPr>
            <m:sty m:val="p"/>
          </m:rPr>
          <m:t>)</m:t>
        </m:r>
      </m:oMath>
      <w:r>
        <w:t xml:space="preserve">, crece con</w:t>
      </w:r>
      <w:r>
        <w:t xml:space="preserve"> </w:t>
      </w:r>
      <m:oMath>
        <m:r>
          <m:t>λ</m:t>
        </m:r>
      </m:oMath>
      <w:r>
        <w:t xml:space="preserve">, el multiplicador de la restricción presupuestaria; con</w:t>
      </w:r>
      <w:r>
        <w:t xml:space="preserve"> </w:t>
      </w:r>
      <m:oMath>
        <m:r>
          <m:t>λ</m:t>
        </m:r>
        <m:r>
          <m:rPr>
            <m:sty m:val="p"/>
          </m:rPr>
          <m:t>=</m:t>
        </m:r>
        <m:r>
          <m:t>0</m:t>
        </m:r>
      </m:oMath>
      <w:r>
        <w:t xml:space="preserve">,</w:t>
      </w:r>
      <w:r>
        <w:t xml:space="preserve"> </w:t>
      </w:r>
      <m:oMath>
        <m:sSub>
          <m:e>
            <m:r>
              <m:t>p</m:t>
            </m:r>
          </m:e>
          <m:sub>
            <m:r>
              <m:t>i</m:t>
            </m:r>
          </m:sub>
        </m:sSub>
        <m:r>
          <m:rPr>
            <m:sty m:val="p"/>
          </m:rPr>
          <m:t>=</m:t>
        </m:r>
        <m:sSub>
          <m:e>
            <m:r>
              <m:rPr>
                <m:sty m:val="p"/>
              </m:rPr>
              <m:t>C</m:t>
            </m:r>
            <m:r>
              <m:rPr>
                <m:sty m:val="p"/>
              </m:rPr>
              <m:t>M</m:t>
            </m:r>
            <m:r>
              <m:rPr>
                <m:sty m:val="p"/>
              </m:rPr>
              <m:t>g</m:t>
            </m:r>
          </m:e>
          <m:sub>
            <m:r>
              <m:t>i</m:t>
            </m:r>
          </m:sub>
        </m:sSub>
      </m:oMath>
      <w:r>
        <w:t xml:space="preserve">, y si</w:t>
      </w:r>
      <w:r>
        <w:t xml:space="preserve"> </w:t>
      </w:r>
      <m:oMath>
        <m:r>
          <m:t>λ</m:t>
        </m:r>
        <m:r>
          <m:rPr>
            <m:sty m:val="p"/>
          </m:rPr>
          <m:t>→</m:t>
        </m:r>
        <m:r>
          <m:rPr>
            <m:sty m:val="p"/>
          </m:rPr>
          <m:t>∞</m:t>
        </m:r>
      </m:oMath>
      <w:r>
        <w:t xml:space="preserve">, cada precio sería el de monopolio. Se carga más margen donde la demanda es menos elástica.</w:t>
      </w:r>
    </w:p>
    <w:p>
      <w:pPr>
        <w:numPr>
          <w:ilvl w:val="1"/>
          <w:numId w:val="1031"/>
        </w:numPr>
      </w:pPr>
      <w:r>
        <w:t xml:space="preserve">Volvamos a Redes del Valle. Su red cuesta unos 90 millones de euros al año, casi todo fijo, y llevar un kilovatio hora más por un cable ya tendido apenas cuesta: con</w:t>
      </w:r>
      <w:r>
        <w:t xml:space="preserve"> </w:t>
      </w:r>
      <m:oMath>
        <m:r>
          <m:t>p</m:t>
        </m:r>
        <m:r>
          <m:rPr>
            <m:sty m:val="p"/>
          </m:rPr>
          <m:t>=</m:t>
        </m:r>
        <m:r>
          <m:rPr>
            <m:sty m:val="p"/>
          </m:rPr>
          <m:t>C</m:t>
        </m:r>
        <m:r>
          <m:rPr>
            <m:sty m:val="p"/>
          </m:rPr>
          <m:t>M</m:t>
        </m:r>
        <m:r>
          <m:rPr>
            <m:sty m:val="p"/>
          </m:rPr>
          <m:t>g</m:t>
        </m:r>
      </m:oMath>
      <w:r>
        <w:t xml:space="preserve"> </w:t>
      </w:r>
      <w:r>
        <w:t xml:space="preserve">perdería los 90 millones. La factura eléctrica española usa la solución de</w:t>
      </w:r>
      <w:r>
        <w:t xml:space="preserve"> </w:t>
      </w:r>
      <w:r>
        <w:rPr>
          <w:smallCaps/>
        </w:rPr>
        <w:t xml:space="preserve">Coase</w:t>
      </w:r>
      <w:r>
        <w:t xml:space="preserve">: un</w:t>
      </w:r>
      <w:r>
        <w:t xml:space="preserve"> </w:t>
      </w:r>
      <w:r>
        <w:rPr>
          <w:i/>
          <w:iCs/>
        </w:rPr>
        <w:t xml:space="preserve">término de potencia</w:t>
      </w:r>
      <w:r>
        <w:t xml:space="preserve">, fijo según la potencia contratada, y un</w:t>
      </w:r>
      <w:r>
        <w:t xml:space="preserve"> </w:t>
      </w:r>
      <w:r>
        <w:rPr>
          <w:i/>
          <w:iCs/>
        </w:rPr>
        <w:t xml:space="preserve">término de energía</w:t>
      </w:r>
      <w:r>
        <w:t xml:space="preserve"> </w:t>
      </w:r>
      <w:r>
        <w:t xml:space="preserve">por kilovatio hora; y los peajes son más caros en las horas punta, para las que se dimensiona la red</w:t>
      </w:r>
      <w:r>
        <w:t xml:space="preserve"> </w:t>
      </w:r>
      <w:r>
        <w:t xml:space="preserve">(</w:t>
      </w:r>
      <w:hyperlink w:anchor="ref_CNMC2020Circular3">
        <w:r>
          <w:rPr>
            <w:rStyle w:val="Hyperlink"/>
            <w:smallCaps/>
          </w:rPr>
          <w:t xml:space="preserve">Comisión Nacional de los Mercados y la Competencia</w:t>
        </w:r>
        <w:r>
          <w:rPr>
            <w:rStyle w:val="Hyperlink"/>
          </w:rPr>
          <w:t xml:space="preserve">, 2020</w:t>
        </w:r>
      </w:hyperlink>
      <w:r>
        <w:t xml:space="preserve">)</w:t>
      </w:r>
      <w:r>
        <w:t xml:space="preserve">.</w:t>
      </w:r>
    </w:p>
    <w:p>
      <w:pPr>
        <w:numPr>
          <w:ilvl w:val="0"/>
          <w:numId w:val="1029"/>
        </w:numPr>
      </w:pPr>
      <w:r>
        <w:t xml:space="preserve">La lógica de</w:t>
      </w:r>
      <w:r>
        <w:t xml:space="preserve"> </w:t>
      </w:r>
      <w:r>
        <w:rPr>
          <w:smallCaps/>
        </w:rPr>
        <w:t xml:space="preserve">Ramsey</w:t>
      </w:r>
      <w:r>
        <w:t xml:space="preserve"> </w:t>
      </w:r>
      <w:r>
        <w:t xml:space="preserve">está también en los cánones ferroviarios: los de ADIF cubren el coste directamente imputable a cada circulación y añaden recargos, según lo que pueda soportar cada segmento del mercado, hasta recuperar el coste total</w:t>
      </w:r>
      <w:r>
        <w:t xml:space="preserve"> </w:t>
      </w:r>
      <w:r>
        <w:t xml:space="preserve">(</w:t>
      </w:r>
      <w:hyperlink w:anchor="ref_BOE2015LSF">
        <w:r>
          <w:rPr>
            <w:rStyle w:val="Hyperlink"/>
            <w:smallCaps/>
          </w:rPr>
          <w:t xml:space="preserve">Jefatura del Estado</w:t>
        </w:r>
        <w:r>
          <w:rPr>
            <w:rStyle w:val="Hyperlink"/>
          </w:rPr>
          <w:t xml:space="preserve">, 2015b</w:t>
        </w:r>
      </w:hyperlink>
      <w:r>
        <w:t xml:space="preserve">;</w:t>
      </w:r>
      <w:r>
        <w:t xml:space="preserve"> </w:t>
      </w:r>
      <w:hyperlink w:anchor="ref_UE2012Directiva34">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2012</w:t>
        </w:r>
      </w:hyperlink>
      <w:r>
        <w:t xml:space="preserve">)</w:t>
      </w:r>
      <w:r>
        <w:t xml:space="preserve">.</w:t>
      </w:r>
    </w:p>
    <w:bookmarkStart w:id="65" w:name="fig_regulacion_monopolio_natural"/>
    <w:p>
      <w:pPr>
        <w:pStyle w:val="ImageCaption"/>
      </w:pPr>
      <w:r>
        <w:t xml:space="preserve">Gráfico 3.–</w:t>
      </w:r>
      <w:r>
        <w:t xml:space="preserve"> </w:t>
      </w:r>
      <w:r>
        <w:t xml:space="preserve">Regulación del monopolio natural: pérdidas con</w:t>
      </w:r>
      <w:r>
        <w:t xml:space="preserve"> </w:t>
      </w:r>
      <m:oMath>
        <m:r>
          <m:t>p</m:t>
        </m:r>
        <m:r>
          <m:rPr>
            <m:sty m:val="p"/>
          </m:rPr>
          <m:t>=</m:t>
        </m:r>
        <m:r>
          <m:rPr>
            <m:sty m:val="p"/>
          </m:rPr>
          <m:t>C</m:t>
        </m:r>
        <m:r>
          <m:rPr>
            <m:sty m:val="p"/>
          </m:rPr>
          <m:t>M</m:t>
        </m:r>
        <m:r>
          <m:rPr>
            <m:sty m:val="p"/>
          </m:rPr>
          <m:t>g</m:t>
        </m:r>
      </m:oMath>
      <w:r>
        <w:t xml:space="preserve"> </w:t>
      </w:r>
      <w:r>
        <w:t xml:space="preserve">y beneficio nulo con</w:t>
      </w:r>
      <w:r>
        <w:t xml:space="preserve"> </w:t>
      </w:r>
      <m:oMath>
        <m:r>
          <m:t>p</m:t>
        </m:r>
        <m:r>
          <m:rPr>
            <m:sty m:val="p"/>
          </m:rPr>
          <m:t>=</m:t>
        </m:r>
        <m:r>
          <m:rPr>
            <m:sty m:val="p"/>
          </m:rPr>
          <m:t>C</m:t>
        </m:r>
        <m:r>
          <m:rPr>
            <m:sty m:val="p"/>
          </m:rPr>
          <m:t>M</m:t>
        </m:r>
        <m:r>
          <m:rPr>
            <m:sty m:val="p"/>
          </m:rPr>
          <m:t>e</m:t>
        </m:r>
      </m:oMath>
    </w:p>
    <w:p>
      <w:pPr>
        <w:pStyle w:val="CaptionedFigure"/>
      </w:pPr>
      <w:r>
        <w:drawing>
          <wp:inline>
            <wp:extent cx="3581400" cy="2115264"/>
            <wp:effectExtent b="0" l="0" r="0" t="0"/>
            <wp:docPr descr="Gráfico 3.– Regulación del monopolio natural: pérdidas con p=CMg y beneficio nulo con p=CMe" title="" id="63" name="Picture"/>
            <a:graphic>
              <a:graphicData uri="http://schemas.openxmlformats.org/drawingml/2006/picture">
                <pic:pic>
                  <pic:nvPicPr>
                    <pic:cNvPr descr="C:\Users\vgutierrez\Documents\src\victorgutierrezmarcos.github.io-revision\oposicion\temario\fuentes\3A20\graficos/regulacion-monopolio-natural.png" id="64" name="Picture"/>
                    <pic:cNvPicPr>
                      <a:picLocks noChangeArrowheads="1" noChangeAspect="1"/>
                    </pic:cNvPicPr>
                  </pic:nvPicPr>
                  <pic:blipFill>
                    <a:blip r:embed="rId62"/>
                    <a:stretch>
                      <a:fillRect/>
                    </a:stretch>
                  </pic:blipFill>
                  <pic:spPr bwMode="auto">
                    <a:xfrm>
                      <a:off x="0" y="0"/>
                      <a:ext cx="3581400" cy="2115264"/>
                    </a:xfrm>
                    <a:prstGeom prst="rect">
                      <a:avLst/>
                    </a:prstGeom>
                    <a:noFill/>
                    <a:ln w="9525">
                      <a:noFill/>
                      <a:headEnd/>
                      <a:tailEnd/>
                    </a:ln>
                  </pic:spPr>
                </pic:pic>
              </a:graphicData>
            </a:graphic>
          </wp:inline>
        </w:drawing>
      </w:r>
    </w:p>
    <w:bookmarkEnd w:id="65"/>
    <w:p>
      <w:pPr>
        <w:pStyle w:val="Piedeimagen"/>
      </w:pPr>
      <w:r>
        <w:t xml:space="preserve">Fuente: elaboración propia a partir de</w:t>
      </w:r>
      <w:r>
        <w:t xml:space="preserve"> </w:t>
      </w:r>
      <w:r>
        <w:rPr>
          <w:smallCaps/>
        </w:rPr>
        <w:t xml:space="preserve">Braeutigam</w:t>
      </w:r>
      <w:r>
        <w:t xml:space="preserve"> </w:t>
      </w:r>
      <w:r>
        <w:t xml:space="preserve">(</w:t>
      </w:r>
      <w:hyperlink w:anchor="ref_Braeutigam1989Optimal">
        <w:r>
          <w:rPr>
            <w:rStyle w:val="Hyperlink"/>
          </w:rPr>
          <w:t xml:space="preserve">1989</w:t>
        </w:r>
      </w:hyperlink>
      <w:r>
        <w:t xml:space="preserve">)</w:t>
      </w:r>
      <w:r>
        <w:t xml:space="preserve">.</w:t>
      </w:r>
    </w:p>
    <w:bookmarkEnd w:id="66"/>
    <w:bookmarkStart w:id="67" w:name="valoraci__n_lo_que_exige_al_regulador"/>
    <w:p>
      <w:pPr>
        <w:pStyle w:val="Heading4"/>
      </w:pPr>
      <w:r>
        <w:t xml:space="preserve">Valoración: lo que exige al regulador</w:t>
      </w:r>
    </w:p>
    <w:p>
      <w:pPr>
        <w:numPr>
          <w:ilvl w:val="0"/>
          <w:numId w:val="1032"/>
        </w:numPr>
      </w:pPr>
      <w:r>
        <w:t xml:space="preserve">Todas estas reglas suponen que el regulador conoce los costes (y, para</w:t>
      </w:r>
      <w:r>
        <w:t xml:space="preserve"> </w:t>
      </w:r>
      <w:r>
        <w:rPr>
          <w:smallCaps/>
        </w:rPr>
        <w:t xml:space="preserve">Ramsey</w:t>
      </w:r>
      <w:r>
        <w:t xml:space="preserve">-</w:t>
      </w:r>
      <w:r>
        <w:rPr>
          <w:smallCaps/>
        </w:rPr>
        <w:t xml:space="preserve">Boiteux</w:t>
      </w:r>
      <w:r>
        <w:t xml:space="preserve">, las elasticidades) y que solo le mueve el bienestar. Pero la información está en manos de la empresa regulada, que tiene incentivos a declarar costes altos y, si se le cubren, a no reducirlos.</w:t>
      </w:r>
    </w:p>
    <w:p>
      <w:pPr>
        <w:numPr>
          <w:ilvl w:val="0"/>
          <w:numId w:val="1032"/>
        </w:numPr>
      </w:pPr>
      <w:r>
        <w:t xml:space="preserve">Además, con otras distorsiones en la economía, estos precios dejan de ser los segundos óptimos</w:t>
      </w:r>
      <w:r>
        <w:t xml:space="preserve"> </w:t>
      </w:r>
      <w:r>
        <w:t xml:space="preserve">(</w:t>
      </w:r>
      <w:hyperlink w:anchor="ref_LipseyLancaster1956General">
        <w:r>
          <w:rPr>
            <w:rStyle w:val="Hyperlink"/>
            <w:smallCaps/>
          </w:rPr>
          <w:t xml:space="preserve">Lipsey</w:t>
        </w:r>
        <w:r>
          <w:rPr>
            <w:rStyle w:val="Hyperlink"/>
          </w:rPr>
          <w:t xml:space="preserve"> </w:t>
        </w:r>
        <w:r>
          <w:rPr>
            <w:rStyle w:val="Hyperlink"/>
          </w:rPr>
          <w:t xml:space="preserve">y</w:t>
        </w:r>
        <w:r>
          <w:rPr>
            <w:rStyle w:val="Hyperlink"/>
          </w:rPr>
          <w:t xml:space="preserve"> </w:t>
        </w:r>
        <w:r>
          <w:rPr>
            <w:rStyle w:val="Hyperlink"/>
            <w:smallCaps/>
          </w:rPr>
          <w:t xml:space="preserve">Lancaster</w:t>
        </w:r>
        <w:r>
          <w:rPr>
            <w:rStyle w:val="Hyperlink"/>
          </w:rPr>
          <w:t xml:space="preserve">, 1956</w:t>
        </w:r>
      </w:hyperlink>
      <w:r>
        <w:t xml:space="preserve">)</w:t>
      </w:r>
      <w:r>
        <w:t xml:space="preserve"> </w:t>
      </w:r>
      <w:hyperlink r:id="rId22">
        <w:r>
          <w:rPr>
            <w:rStyle w:val="Referenciaatema"/>
          </w:rPr>
          <w:t xml:space="preserve">[ver tema 3.A.22]</w:t>
        </w:r>
      </w:hyperlink>
      <w:r>
        <w:t xml:space="preserve">. Por ejemplo, si el monopolista contamina, romper el monopolio sin gravar la contaminación puede reducir el bienestar: el monopolio, al producir menos, contamina menos</w:t>
      </w:r>
      <w:r>
        <w:t xml:space="preserve"> </w:t>
      </w:r>
      <w:r>
        <w:t xml:space="preserve">(</w:t>
      </w:r>
      <w:hyperlink w:anchor="ref_Buchanan1969External">
        <w:r>
          <w:rPr>
            <w:rStyle w:val="Hyperlink"/>
            <w:smallCaps/>
          </w:rPr>
          <w:t xml:space="preserve">Buchanan</w:t>
        </w:r>
        <w:r>
          <w:rPr>
            <w:rStyle w:val="Hyperlink"/>
          </w:rPr>
          <w:t xml:space="preserve">, 1969</w:t>
        </w:r>
      </w:hyperlink>
      <w:r>
        <w:t xml:space="preserve">)</w:t>
      </w:r>
      <w:r>
        <w:t xml:space="preserve">.</w:t>
      </w:r>
    </w:p>
    <w:p>
      <w:pPr>
        <w:numPr>
          <w:ilvl w:val="0"/>
          <w:numId w:val="1032"/>
        </w:numPr>
      </w:pPr>
      <w:r>
        <w:rPr>
          <w:i/>
          <w:iCs/>
        </w:rPr>
        <w:t xml:space="preserve">Recapitulación</w:t>
      </w:r>
      <w:r>
        <w:t xml:space="preserve">: el poder de mercado aleja al mercado del óptimo; se mide en un mercado relevante que hay que delimitar; y, con información completa, el regulador sabe qué precios fijar. Pasamos al segundo bloque, que levanta el supuesto de información.</w:t>
      </w:r>
    </w:p>
    <w:bookmarkEnd w:id="67"/>
    <w:bookmarkEnd w:id="68"/>
    <w:bookmarkEnd w:id="69"/>
    <w:bookmarkStart w:id="150" w:name="sec_informacion_asimetrica"/>
    <w:p>
      <w:pPr>
        <w:pStyle w:val="Heading1"/>
      </w:pPr>
      <w:r>
        <w:t xml:space="preserve">II.</w:t>
      </w:r>
      <w:r>
        <w:t xml:space="preserve"> </w:t>
      </w:r>
      <w:r>
        <w:t xml:space="preserve">Desarrollos en presencia de información asimétrica</w:t>
      </w:r>
      <w:r>
        <w:t xml:space="preserve"> </w:t>
      </w:r>
      <w:r>
        <w:rPr>
          <w:rStyle w:val="Minutos"/>
        </w:rPr>
        <w:t xml:space="preserve">11′30″</w:t>
      </w:r>
    </w:p>
    <w:p>
      <w:pPr>
        <w:pStyle w:val="Notaalopositor"/>
        <w:keepLines/>
      </w:pPr>
      <w:r>
        <w:rPr>
          <w:b/>
          <w:bCs/>
        </w:rPr>
        <w:t xml:space="preserve">Nota al opositor. </w:t>
      </w:r>
      <w:r>
        <w:t xml:space="preserve">En el cante: el marco de agencia y la tabla de lo que observa el regulador como apoyo, y</w:t>
      </w:r>
      <w:r>
        <w:t xml:space="preserve"> </w:t>
      </w:r>
      <w:r>
        <w:rPr>
          <w:smallCaps/>
        </w:rPr>
        <w:t xml:space="preserve">Averch</w:t>
      </w:r>
      <w:r>
        <w:t xml:space="preserve">-</w:t>
      </w:r>
      <w:r>
        <w:rPr>
          <w:smallCaps/>
        </w:rPr>
        <w:t xml:space="preserve">Johnson</w:t>
      </w:r>
      <w:r>
        <w:t xml:space="preserve"> </w:t>
      </w:r>
      <w:r>
        <w:t xml:space="preserve">con su gráfico (2′);</w:t>
      </w:r>
      <w:r>
        <w:t xml:space="preserve"> </w:t>
      </w:r>
      <w:r>
        <w:rPr>
          <w:smallCaps/>
        </w:rPr>
        <w:t xml:space="preserve">Loeb</w:t>
      </w:r>
      <w:r>
        <w:t xml:space="preserve">-</w:t>
      </w:r>
      <w:r>
        <w:rPr>
          <w:smallCaps/>
        </w:rPr>
        <w:t xml:space="preserve">Magat</w:t>
      </w:r>
      <w:r>
        <w:t xml:space="preserve"> </w:t>
      </w:r>
      <w:r>
        <w:t xml:space="preserve">de palabra y</w:t>
      </w:r>
      <w:r>
        <w:t xml:space="preserve"> </w:t>
      </w:r>
      <w:r>
        <w:rPr>
          <w:smallCaps/>
        </w:rPr>
        <w:t xml:space="preserve">Baron</w:t>
      </w:r>
      <w:r>
        <w:t xml:space="preserve">-</w:t>
      </w:r>
      <w:r>
        <w:rPr>
          <w:smallCaps/>
        </w:rPr>
        <w:t xml:space="preserve">Myerson</w:t>
      </w:r>
      <w:r>
        <w:t xml:space="preserve"> </w:t>
      </w:r>
      <w:r>
        <w:t xml:space="preserve">con su gráfico y el ejemplo (2′);</w:t>
      </w:r>
      <w:r>
        <w:t xml:space="preserve"> </w:t>
      </w:r>
      <w:r>
        <w:rPr>
          <w:smallCaps/>
        </w:rPr>
        <w:t xml:space="preserve">Laffont</w:t>
      </w:r>
      <w:r>
        <w:t xml:space="preserve">-</w:t>
      </w:r>
      <w:r>
        <w:rPr>
          <w:smallCaps/>
        </w:rPr>
        <w:t xml:space="preserve">Tirole</w:t>
      </w:r>
      <w:r>
        <w:t xml:space="preserve"> </w:t>
      </w:r>
      <w:r>
        <w:t xml:space="preserve">con la condición del esfuerzo recuadrada, la tabla del ejemplo como apoyo y el menú a mano (3′30″); la regla del</w:t>
      </w:r>
      <w:r>
        <w:t xml:space="preserve"> </w:t>
      </w:r>
      <w:r>
        <w:rPr>
          <w:i/>
          <w:iCs/>
        </w:rPr>
        <w:t xml:space="preserve">price cap</w:t>
      </w:r>
      <w:r>
        <w:t xml:space="preserve"> </w:t>
      </w:r>
      <w:r>
        <w:t xml:space="preserve">y su senda (2′); y el compromiso y la captura, con la condición de</w:t>
      </w:r>
      <w:r>
        <w:t xml:space="preserve"> </w:t>
      </w:r>
      <w:r>
        <w:rPr>
          <w:smallCaps/>
        </w:rPr>
        <w:t xml:space="preserve">Peltzman</w:t>
      </w:r>
      <w:r>
        <w:t xml:space="preserve"> </w:t>
      </w:r>
      <w:r>
        <w:t xml:space="preserve">(2′). La escala de la potencia (gráfico </w:t>
      </w:r>
      <w:hyperlink w:anchor="fig_escala_potencia">
        <w:r>
          <w:rPr>
            <w:rStyle w:val="Hyperlink"/>
          </w:rPr>
          <w:t xml:space="preserve">8</w:t>
        </w:r>
      </w:hyperlink>
      <w:r>
        <w:t xml:space="preserve">) se va completando en la franja de abajo de la pizarra: cada instrumento se coloca en ella al estudiarlo.</w:t>
      </w:r>
    </w:p>
    <w:p>
      <w:pPr>
        <w:numPr>
          <w:ilvl w:val="0"/>
          <w:numId w:val="1033"/>
        </w:numPr>
      </w:pPr>
      <w:r>
        <w:t xml:space="preserve">Una vez vista la regulación de un regulador que lo sabe todo, pasamos a la de uno que sabe menos que la empresa. La</w:t>
      </w:r>
      <w:r>
        <w:t xml:space="preserve"> </w:t>
      </w:r>
      <w:r>
        <w:rPr>
          <w:i/>
          <w:iCs/>
        </w:rPr>
        <w:t xml:space="preserve">conclusión anticipada</w:t>
      </w:r>
      <w:r>
        <w:t xml:space="preserve"> </w:t>
      </w:r>
      <w:r>
        <w:t xml:space="preserve">del bloque: con información asimétrica no se puede alcanzar el primer óptimo; para que la empresa eficiente no se haga pasar por ineficiente hay que dejarle una renta informativa, y la regulación óptima equilibra los</w:t>
      </w:r>
      <w:r>
        <w:t xml:space="preserve"> </w:t>
      </w:r>
      <w:r>
        <w:rPr>
          <w:i/>
          <w:iCs/>
        </w:rPr>
        <w:t xml:space="preserve">incentivos</w:t>
      </w:r>
      <w:r>
        <w:t xml:space="preserve"> </w:t>
      </w:r>
      <w:r>
        <w:t xml:space="preserve">a reducir costes con la</w:t>
      </w:r>
      <w:r>
        <w:t xml:space="preserve"> </w:t>
      </w:r>
      <w:r>
        <w:rPr>
          <w:i/>
          <w:iCs/>
        </w:rPr>
        <w:t xml:space="preserve">extracción de esas rentas</w:t>
      </w:r>
      <w:r>
        <w:t xml:space="preserve">.</w:t>
      </w:r>
    </w:p>
    <w:p>
      <w:pPr>
        <w:numPr>
          <w:ilvl w:val="0"/>
          <w:numId w:val="1033"/>
        </w:numPr>
      </w:pPr>
      <w:r>
        <w:t xml:space="preserve">«Más sabe el loco en su casa que el cuerdo en la ajena», dice el refrán: la empresa regulada sabe de sus costes más que el regulador más sabio, y toda la regulación con información asimétrica gira en torno a eso.</w:t>
      </w:r>
    </w:p>
    <w:bookmarkStart w:id="85" w:name="sec_coste_servicio"/>
    <w:p>
      <w:pPr>
        <w:pStyle w:val="Heading2"/>
      </w:pPr>
      <w:r>
        <w:t xml:space="preserve">II.1.</w:t>
      </w:r>
      <w:r>
        <w:t xml:space="preserve"> </w:t>
      </w:r>
      <w:r>
        <w:t xml:space="preserve">El problema de información y la regulación por coste del servicio</w:t>
      </w:r>
    </w:p>
    <w:bookmarkStart w:id="72" w:name="el_problema_de_informaci__n"/>
    <w:p>
      <w:pPr>
        <w:pStyle w:val="Heading4"/>
      </w:pPr>
      <w:r>
        <w:t xml:space="preserve">El problema de información</w:t>
      </w:r>
    </w:p>
    <w:p>
      <w:pPr>
        <w:keepNext/>
        <w:numPr>
          <w:ilvl w:val="0"/>
          <w:numId w:val="1034"/>
        </w:numPr>
      </w:pPr>
      <w:r>
        <w:t xml:space="preserve">Se levanta el supuesto 5 (tabla </w:t>
      </w:r>
      <w:hyperlink w:anchor="tab_supuestos_1tfeb">
        <w:r>
          <w:rPr>
            <w:rStyle w:val="Hyperlink"/>
          </w:rPr>
          <w:t xml:space="preserve">1</w:t>
        </w:r>
      </w:hyperlink>
      <w:r>
        <w:t xml:space="preserve">). La</w:t>
      </w:r>
      <w:r>
        <w:t xml:space="preserve"> </w:t>
      </w:r>
      <w:r>
        <w:rPr>
          <w:b/>
          <w:bCs/>
        </w:rPr>
        <w:t xml:space="preserve">nueva economía de la regulación</w:t>
      </w:r>
      <w:r>
        <w:t xml:space="preserve"> </w:t>
      </w:r>
      <w:r>
        <w:t xml:space="preserve">trata la relación como una de</w:t>
      </w:r>
      <w:r>
        <w:t xml:space="preserve"> </w:t>
      </w:r>
      <w:r>
        <w:rPr>
          <w:i/>
          <w:iCs/>
        </w:rPr>
        <w:t xml:space="preserve">agencia</w:t>
      </w:r>
      <w:r>
        <w:t xml:space="preserve">: el regulador es el principal y la empresa, el agente</w:t>
      </w:r>
      <w:r>
        <w:t xml:space="preserve"> </w:t>
      </w:r>
      <w:hyperlink r:id="rId60">
        <w:r>
          <w:rPr>
            <w:rStyle w:val="Referenciaatema"/>
          </w:rPr>
          <w:t xml:space="preserve">[ver tema 3.A.13]</w:t>
        </w:r>
      </w:hyperlink>
      <w:r>
        <w:t xml:space="preserve">. La información asimétrica toma 2 formas:</w:t>
      </w:r>
    </w:p>
    <w:p>
      <w:pPr>
        <w:numPr>
          <w:ilvl w:val="1"/>
          <w:numId w:val="1035"/>
        </w:numPr>
      </w:pPr>
      <w:r>
        <w:rPr>
          <w:b/>
          <w:bCs/>
        </w:rPr>
        <w:t xml:space="preserve">selección adversa</w:t>
      </w:r>
      <w:r>
        <w:t xml:space="preserve">: la empresa conoce su tecnología, su tipo de coste, antes de que se fije la regulación, y puede declarar un coste mayor que el real;</w:t>
      </w:r>
    </w:p>
    <w:p>
      <w:pPr>
        <w:numPr>
          <w:ilvl w:val="1"/>
          <w:numId w:val="1035"/>
        </w:numPr>
      </w:pPr>
      <w:r>
        <w:rPr>
          <w:b/>
          <w:bCs/>
        </w:rPr>
        <w:t xml:space="preserve">riesgo moral</w:t>
      </w:r>
      <w:r>
        <w:t xml:space="preserve">: el esfuerzo de los directivos por abaratar costes no se ve, de modo que un coste elevado puede venir de una tecnología peor o de la desidia.</w:t>
      </w:r>
    </w:p>
    <w:p>
      <w:pPr>
        <w:numPr>
          <w:ilvl w:val="0"/>
          <w:numId w:val="1034"/>
        </w:numPr>
      </w:pPr>
      <w:r>
        <w:t xml:space="preserve">La</w:t>
      </w:r>
      <w:r>
        <w:t xml:space="preserve"> </w:t>
      </w:r>
      <w:r>
        <w:rPr>
          <w:b/>
          <w:bCs/>
        </w:rPr>
        <w:t xml:space="preserve">renta informativa</w:t>
      </w:r>
      <w:r>
        <w:t xml:space="preserve"> </w:t>
      </w:r>
      <w:r>
        <w:t xml:space="preserve">es el pago extra que evita que la empresa eficiente se haga pasar por ineficiente. Responde a la misma lógica que la discriminación de segundo grado</w:t>
      </w:r>
      <w:r>
        <w:t xml:space="preserve"> </w:t>
      </w:r>
      <w:hyperlink r:id="rId29">
        <w:r>
          <w:rPr>
            <w:rStyle w:val="Referenciaatema"/>
          </w:rPr>
          <w:t xml:space="preserve">[ver tema 3.A.17]</w:t>
        </w:r>
      </w:hyperlink>
      <w:r>
        <w:t xml:space="preserve"> </w:t>
      </w:r>
      <w:r>
        <w:t xml:space="preserve">y el diseño de mecanismos: el</w:t>
      </w:r>
      <w:r>
        <w:t xml:space="preserve"> </w:t>
      </w:r>
      <w:r>
        <w:rPr>
          <w:i/>
          <w:iCs/>
        </w:rPr>
        <w:t xml:space="preserve">principio de revelación</w:t>
      </w:r>
      <w:r>
        <w:t xml:space="preserve"> </w:t>
      </w:r>
      <w:r>
        <w:t xml:space="preserve">permite limitarse a contratos en los que cada tipo prefiere decir la verdad, sujetos por tipo a una restricción de participación (</w:t>
      </w:r>
      <m:oMath>
        <m:sSub>
          <m:e>
            <m:r>
              <m:rPr>
                <m:sty m:val="p"/>
              </m:rPr>
              <m:t>P</m:t>
            </m:r>
            <m:r>
              <m:rPr>
                <m:sty m:val="p"/>
              </m:rPr>
              <m:t>C</m:t>
            </m:r>
          </m:e>
          <m:sub>
            <m:r>
              <m:t>i</m:t>
            </m:r>
          </m:sub>
        </m:sSub>
      </m:oMath>
      <w:r>
        <w:t xml:space="preserve">) y a otra de compatibilidad de incentivos (</w:t>
      </w:r>
      <m:oMath>
        <m:sSub>
          <m:e>
            <m:r>
              <m:rPr>
                <m:sty m:val="p"/>
              </m:rPr>
              <m:t>I</m:t>
            </m:r>
            <m:r>
              <m:rPr>
                <m:sty m:val="p"/>
              </m:rPr>
              <m:t>C</m:t>
            </m:r>
          </m:e>
          <m:sub>
            <m:r>
              <m:t>i</m:t>
            </m:r>
          </m:sub>
        </m:sSub>
      </m:oMath>
      <w:r>
        <w:t xml:space="preserve">)</w:t>
      </w:r>
      <w:r>
        <w:t xml:space="preserve"> </w:t>
      </w:r>
      <w:hyperlink r:id="rId70">
        <w:r>
          <w:rPr>
            <w:rStyle w:val="Referenciaatema"/>
          </w:rPr>
          <w:t xml:space="preserve">[ver tema 3.A.14]</w:t>
        </w:r>
      </w:hyperlink>
      <w:r>
        <w:t xml:space="preserve">.</w:t>
      </w:r>
    </w:p>
    <w:p>
      <w:pPr>
        <w:numPr>
          <w:ilvl w:val="0"/>
          <w:numId w:val="1034"/>
        </w:numPr>
      </w:pPr>
      <w:r>
        <w:t xml:space="preserve">Los resultados son</w:t>
      </w:r>
      <w:r>
        <w:t xml:space="preserve"> </w:t>
      </w:r>
      <w:r>
        <w:rPr>
          <w:i/>
          <w:iCs/>
        </w:rPr>
        <w:t xml:space="preserve">terceros óptimos</w:t>
      </w:r>
      <w:r>
        <w:t xml:space="preserve"> </w:t>
      </w:r>
      <w:r>
        <w:t xml:space="preserve">(</w:t>
      </w:r>
      <w:hyperlink w:anchor="sec_regulacion_informacion_completa">
        <w:r>
          <w:rPr>
            <w:rStyle w:val="Hyperlink"/>
          </w:rPr>
          <w:t xml:space="preserve">I.3</w:t>
        </w:r>
      </w:hyperlink>
      <w:r>
        <w:t xml:space="preserve">), y los modelos se ordenan por lo que el regulador observa (tabla </w:t>
      </w:r>
      <w:hyperlink w:anchor="tab_que_observa">
        <w:r>
          <w:rPr>
            <w:rStyle w:val="Hyperlink"/>
          </w:rPr>
          <w:t xml:space="preserve">2</w:t>
        </w:r>
      </w:hyperlink>
      <w:r>
        <w:t xml:space="preserve">).</w:t>
      </w:r>
    </w:p>
    <w:bookmarkStart w:id="71" w:name="tab_que_observa"/>
    <w:p>
      <w:pPr>
        <w:pStyle w:val="TableCaption"/>
      </w:pPr>
      <w:r>
        <w:t xml:space="preserve">Tabla 2.–</w:t>
      </w:r>
      <w:r>
        <w:t xml:space="preserve"> </w:t>
      </w:r>
      <w:r>
        <w:t xml:space="preserve">La regulación con información asimétrica: qué observa el regulador en cada modelo</w:t>
      </w:r>
    </w:p>
    <w:tbl>
      <w:tblPr>
        <w:tblStyle w:val="Table"/>
        <w:tblW w:type="auto" w:w="0"/>
        <w:tblLook w:firstRow="1" w:lastRow="0" w:firstColumn="0" w:lastColumn="0" w:noHBand="0" w:noVBand="0" w:val="0020"/>
        <w:tblCaption w:val="Tabla 2.– La regulación con información asimétrica: qué observa el regulador en cada modelo"/>
      </w:tblPr>
      <w:tblGrid>
        <w:gridCol w:w="1980"/>
        <w:gridCol w:w="1980"/>
        <w:gridCol w:w="1980"/>
        <w:gridCol w:w="1980"/>
      </w:tblGrid>
      <w:tr>
        <w:trPr>
          <w:cantSplit/>
          <w:tblHeader w:val="on"/>
        </w:trPr>
        <w:tc>
          <w:tcPr>
            <w:shd w:val="clear" w:color="auto" w:fill="DDEBF7"/>
          </w:tcPr>
          <w:tcPr/>
          <w:p>
            <w:pPr>
              <w:pStyle w:val="Celdatceeazulpalido"/>
              <w:keepNext/>
              <w:jc w:val="left"/>
            </w:pPr>
            <w:r>
              <w:rPr>
                <w:b/>
                <w:bCs/>
              </w:rPr>
              <w:t xml:space="preserve">Modelo</w:t>
            </w:r>
          </w:p>
        </w:tc>
        <w:tc>
          <w:tcPr>
            <w:shd w:val="clear" w:color="auto" w:fill="DDEBF7"/>
          </w:tcPr>
          <w:tcPr/>
          <w:p>
            <w:pPr>
              <w:pStyle w:val="Celdatceeazulpalido"/>
              <w:keepNext/>
              <w:jc w:val="left"/>
            </w:pPr>
            <w:r>
              <w:rPr>
                <w:b/>
                <w:bCs/>
              </w:rPr>
              <w:t xml:space="preserve">Qué observa el regulador</w:t>
            </w:r>
          </w:p>
        </w:tc>
        <w:tc>
          <w:tcPr>
            <w:shd w:val="clear" w:color="auto" w:fill="DDEBF7"/>
          </w:tcPr>
          <w:tcPr/>
          <w:p>
            <w:pPr>
              <w:pStyle w:val="Celdatceeazulpalido"/>
              <w:keepNext/>
              <w:jc w:val="left"/>
            </w:pPr>
            <w:r>
              <w:rPr>
                <w:b/>
                <w:bCs/>
              </w:rPr>
              <w:t xml:space="preserve">Incentivo a reducir costes</w:t>
            </w:r>
          </w:p>
        </w:tc>
        <w:tc>
          <w:tcPr>
            <w:shd w:val="clear" w:color="auto" w:fill="DDEBF7"/>
          </w:tcPr>
          <w:tcPr/>
          <w:p>
            <w:pPr>
              <w:pStyle w:val="Celdatceeazulpalido"/>
              <w:keepNext/>
              <w:jc w:val="left"/>
            </w:pPr>
            <w:r>
              <w:rPr>
                <w:b/>
                <w:bCs/>
              </w:rPr>
              <w:t xml:space="preserve">Rentas de la empresa</w:t>
            </w:r>
          </w:p>
        </w:tc>
      </w:tr>
      <w:tr>
        <w:trPr>
          <w:cantSplit/>
        </w:trPr>
        <w:tc>
          <w:tcPr/>
          <w:p>
            <w:pPr>
              <w:pStyle w:val="Compact"/>
              <w:jc w:val="left"/>
            </w:pPr>
            <w:r>
              <w:t xml:space="preserve">Tasa de rentabilidad (</w:t>
            </w:r>
            <w:hyperlink w:anchor="sec_coste_servicio">
              <w:r>
                <w:rPr>
                  <w:rStyle w:val="Hyperlink"/>
                </w:rPr>
                <w:t xml:space="preserve">II.1</w:t>
              </w:r>
            </w:hyperlink>
            <w:r>
              <w:t xml:space="preserve">)</w:t>
            </w:r>
          </w:p>
        </w:tc>
        <w:tc>
          <w:tcPr/>
          <w:p>
            <w:pPr>
              <w:pStyle w:val="Compact"/>
              <w:jc w:val="left"/>
            </w:pPr>
            <w:r>
              <w:t xml:space="preserve">beneficio contable y capital</w:t>
            </w:r>
          </w:p>
        </w:tc>
        <w:tc>
          <w:tcPr/>
          <w:p>
            <w:pPr>
              <w:pStyle w:val="Compact"/>
              <w:jc w:val="left"/>
            </w:pPr>
            <w:r>
              <w:t xml:space="preserve">bajo (salvo el desfase)</w:t>
            </w:r>
          </w:p>
        </w:tc>
        <w:tc>
          <w:tcPr/>
          <w:p>
            <w:pPr>
              <w:pStyle w:val="Compact"/>
              <w:jc w:val="left"/>
            </w:pPr>
            <w:r>
              <w:t xml:space="preserve">bajas; sobrecapitaliza</w:t>
            </w:r>
          </w:p>
        </w:tc>
      </w:tr>
      <w:tr>
        <w:trPr>
          <w:cantSplit/>
        </w:trPr>
        <w:tc>
          <w:tcPr/>
          <w:p>
            <w:pPr>
              <w:pStyle w:val="Compact"/>
              <w:jc w:val="left"/>
            </w:pPr>
            <w:r>
              <w:rPr>
                <w:smallCaps/>
              </w:rPr>
              <w:t xml:space="preserve">Loeb</w:t>
            </w:r>
            <w:r>
              <w:t xml:space="preserve">-</w:t>
            </w:r>
            <w:r>
              <w:rPr>
                <w:smallCaps/>
              </w:rPr>
              <w:t xml:space="preserve">Magat</w:t>
            </w:r>
            <w:r>
              <w:t xml:space="preserve"> </w:t>
            </w:r>
            <w:r>
              <w:t xml:space="preserve">(</w:t>
            </w:r>
            <w:hyperlink w:anchor="sec_seleccion_adversa_regulacion">
              <w:r>
                <w:rPr>
                  <w:rStyle w:val="Hyperlink"/>
                </w:rPr>
                <w:t xml:space="preserve">II.2</w:t>
              </w:r>
            </w:hyperlink>
            <w:r>
              <w:t xml:space="preserve">)</w:t>
            </w:r>
          </w:p>
        </w:tc>
        <w:tc>
          <w:tcPr/>
          <w:p>
            <w:pPr>
              <w:pStyle w:val="Compact"/>
              <w:jc w:val="left"/>
            </w:pPr>
            <w:r>
              <w:t xml:space="preserve">la demanda</w:t>
            </w:r>
          </w:p>
        </w:tc>
        <w:tc>
          <w:tcPr/>
          <w:p>
            <w:pPr>
              <w:pStyle w:val="Compact"/>
              <w:jc w:val="left"/>
            </w:pPr>
            <w:r>
              <w:t xml:space="preserve">máximo</w:t>
            </w:r>
          </w:p>
        </w:tc>
        <w:tc>
          <w:tcPr/>
          <w:p>
            <w:pPr>
              <w:pStyle w:val="Compact"/>
              <w:jc w:val="left"/>
            </w:pPr>
            <w:r>
              <w:t xml:space="preserve">todo el excedente</w:t>
            </w:r>
          </w:p>
        </w:tc>
      </w:tr>
      <w:tr>
        <w:trPr>
          <w:cantSplit/>
        </w:trPr>
        <w:tc>
          <w:tcPr/>
          <w:p>
            <w:pPr>
              <w:pStyle w:val="Compact"/>
              <w:jc w:val="left"/>
            </w:pPr>
            <w:r>
              <w:rPr>
                <w:smallCaps/>
              </w:rPr>
              <w:t xml:space="preserve">Baron</w:t>
            </w:r>
            <w:r>
              <w:t xml:space="preserve">-</w:t>
            </w:r>
            <w:r>
              <w:rPr>
                <w:smallCaps/>
              </w:rPr>
              <w:t xml:space="preserve">Myerson</w:t>
            </w:r>
            <w:r>
              <w:t xml:space="preserve"> </w:t>
            </w:r>
            <w:r>
              <w:t xml:space="preserve">(</w:t>
            </w:r>
            <w:hyperlink w:anchor="sec_seleccion_adversa_regulacion">
              <w:r>
                <w:rPr>
                  <w:rStyle w:val="Hyperlink"/>
                </w:rPr>
                <w:t xml:space="preserve">II.2</w:t>
              </w:r>
            </w:hyperlink>
            <w:r>
              <w:t xml:space="preserve">)</w:t>
            </w:r>
          </w:p>
        </w:tc>
        <w:tc>
          <w:tcPr/>
          <w:p>
            <w:pPr>
              <w:pStyle w:val="Compact"/>
              <w:jc w:val="left"/>
            </w:pPr>
            <w:r>
              <w:t xml:space="preserve">la distribución de los costes</w:t>
            </w:r>
          </w:p>
        </w:tc>
        <w:tc>
          <w:tcPr/>
          <w:p>
            <w:pPr>
              <w:pStyle w:val="Compact"/>
              <w:jc w:val="left"/>
            </w:pPr>
            <w:r>
              <w:t xml:space="preserve">no hay esfuerzo</w:t>
            </w:r>
          </w:p>
        </w:tc>
        <w:tc>
          <w:tcPr/>
          <w:p>
            <w:pPr>
              <w:pStyle w:val="Compact"/>
              <w:jc w:val="left"/>
            </w:pPr>
            <w:r>
              <w:t xml:space="preserve">renta informativa</w:t>
            </w:r>
          </w:p>
        </w:tc>
      </w:tr>
      <w:tr>
        <w:trPr>
          <w:cantSplit/>
        </w:trPr>
        <w:tc>
          <w:tcPr/>
          <w:p>
            <w:pPr>
              <w:pStyle w:val="Compact"/>
              <w:jc w:val="left"/>
            </w:pPr>
            <w:r>
              <w:rPr>
                <w:smallCaps/>
              </w:rPr>
              <w:t xml:space="preserve">Laffont</w:t>
            </w:r>
            <w:r>
              <w:t xml:space="preserve">-</w:t>
            </w:r>
            <w:r>
              <w:rPr>
                <w:smallCaps/>
              </w:rPr>
              <w:t xml:space="preserve">Tirole</w:t>
            </w:r>
            <w:r>
              <w:t xml:space="preserve"> </w:t>
            </w:r>
            <w:r>
              <w:t xml:space="preserve">(</w:t>
            </w:r>
            <w:hyperlink w:anchor="sec_laffont_tirole">
              <w:r>
                <w:rPr>
                  <w:rStyle w:val="Hyperlink"/>
                </w:rPr>
                <w:t xml:space="preserve">II.3</w:t>
              </w:r>
            </w:hyperlink>
            <w:r>
              <w:t xml:space="preserve">)</w:t>
            </w:r>
          </w:p>
        </w:tc>
        <w:tc>
          <w:tcPr/>
          <w:p>
            <w:pPr>
              <w:pStyle w:val="Compact"/>
              <w:jc w:val="left"/>
            </w:pPr>
            <w:r>
              <w:t xml:space="preserve">el coste realizado, no el esfuerzo</w:t>
            </w:r>
          </w:p>
        </w:tc>
        <w:tc>
          <w:tcPr/>
          <w:p>
            <w:pPr>
              <w:pStyle w:val="Compact"/>
              <w:jc w:val="left"/>
            </w:pPr>
            <w:r>
              <w:t xml:space="preserve">alto en el eficiente</w:t>
            </w:r>
          </w:p>
        </w:tc>
        <w:tc>
          <w:tcPr/>
          <w:p>
            <w:pPr>
              <w:pStyle w:val="Compact"/>
              <w:jc w:val="left"/>
            </w:pPr>
            <w:r>
              <w:t xml:space="preserve">renta informativa</w:t>
            </w:r>
          </w:p>
        </w:tc>
      </w:tr>
      <w:tr>
        <w:trPr>
          <w:cantSplit/>
        </w:trPr>
        <w:tc>
          <w:tcPr/>
          <w:p>
            <w:pPr>
              <w:pStyle w:val="Compact"/>
              <w:jc w:val="left"/>
            </w:pPr>
            <w:r>
              <w:rPr>
                <w:i/>
                <w:iCs/>
              </w:rPr>
              <w:t xml:space="preserve">Price cap</w:t>
            </w:r>
            <w:r>
              <w:t xml:space="preserve"> </w:t>
            </w:r>
            <w:r>
              <w:t xml:space="preserve">(</w:t>
            </w:r>
            <w:hyperlink w:anchor="sec_price_cap">
              <w:r>
                <w:rPr>
                  <w:rStyle w:val="Hyperlink"/>
                </w:rPr>
                <w:t xml:space="preserve">II.4</w:t>
              </w:r>
            </w:hyperlink>
            <w:r>
              <w:t xml:space="preserve">)</w:t>
            </w:r>
          </w:p>
        </w:tc>
        <w:tc>
          <w:tcPr/>
          <w:p>
            <w:pPr>
              <w:pStyle w:val="Compact"/>
              <w:jc w:val="left"/>
            </w:pPr>
            <w:r>
              <w:t xml:space="preserve">nada del coste durante el periodo</w:t>
            </w:r>
          </w:p>
        </w:tc>
        <w:tc>
          <w:tcPr/>
          <w:p>
            <w:pPr>
              <w:pStyle w:val="Compact"/>
              <w:jc w:val="left"/>
            </w:pPr>
            <w:r>
              <w:t xml:space="preserve">máximo</w:t>
            </w:r>
          </w:p>
        </w:tc>
        <w:tc>
          <w:tcPr/>
          <w:p>
            <w:pPr>
              <w:pStyle w:val="Compact"/>
              <w:jc w:val="left"/>
            </w:pPr>
            <w:r>
              <w:t xml:space="preserve">altas si</w:t>
            </w:r>
            <w:r>
              <w:t xml:space="preserve"> </w:t>
            </w:r>
            <m:oMath>
              <m:r>
                <m:t>X</m:t>
              </m:r>
            </m:oMath>
            <w:r>
              <w:t xml:space="preserve"> </w:t>
            </w:r>
            <w:r>
              <w:t xml:space="preserve">es bajo</w:t>
            </w:r>
          </w:p>
        </w:tc>
      </w:tr>
      <w:tr>
        <w:trPr>
          <w:cantSplit/>
        </w:trPr>
        <w:tc>
          <w:tcPr/>
          <w:p>
            <w:pPr>
              <w:pStyle w:val="Compact"/>
              <w:jc w:val="left"/>
            </w:pPr>
            <w:r>
              <w:rPr>
                <w:i/>
                <w:iCs/>
              </w:rPr>
              <w:t xml:space="preserve">Yardstick</w:t>
            </w:r>
            <w:r>
              <w:t xml:space="preserve"> </w:t>
            </w:r>
            <w:r>
              <w:t xml:space="preserve">(</w:t>
            </w:r>
            <w:hyperlink w:anchor="sec_yardstick">
              <w:r>
                <w:rPr>
                  <w:rStyle w:val="Hyperlink"/>
                </w:rPr>
                <w:t xml:space="preserve">III.1</w:t>
              </w:r>
            </w:hyperlink>
            <w:r>
              <w:t xml:space="preserve">)</w:t>
            </w:r>
          </w:p>
        </w:tc>
        <w:tc>
          <w:tcPr/>
          <w:p>
            <w:pPr>
              <w:pStyle w:val="Compact"/>
              <w:jc w:val="left"/>
            </w:pPr>
            <w:r>
              <w:t xml:space="preserve">los costes de las demás</w:t>
            </w:r>
          </w:p>
        </w:tc>
        <w:tc>
          <w:tcPr/>
          <w:p>
            <w:pPr>
              <w:pStyle w:val="Compact"/>
              <w:jc w:val="left"/>
            </w:pPr>
            <w:r>
              <w:t xml:space="preserve">máximo</w:t>
            </w:r>
          </w:p>
        </w:tc>
        <w:tc>
          <w:tcPr/>
          <w:p>
            <w:pPr>
              <w:pStyle w:val="Compact"/>
              <w:jc w:val="left"/>
            </w:pPr>
            <w:r>
              <w:t xml:space="preserve">bajas</w:t>
            </w:r>
          </w:p>
        </w:tc>
      </w:tr>
    </w:tbl>
    <w:bookmarkEnd w:id="71"/>
    <w:p>
      <w:pPr>
        <w:pStyle w:val="BodyText"/>
      </w:pPr>
      <w:r>
        <w:rPr>
          <w:i/>
          <w:iCs/>
        </w:rPr>
        <w:t xml:space="preserve">Fuente: elaboración propia a partir de</w:t>
      </w:r>
      <w:r>
        <w:rPr>
          <w:i/>
          <w:iCs/>
        </w:rPr>
        <w:t xml:space="preserve"> </w:t>
      </w:r>
      <w:r>
        <w:rPr>
          <w:i/>
          <w:iCs/>
          <w:smallCaps/>
        </w:rPr>
        <w:t xml:space="preserve">Laffont</w:t>
      </w:r>
      <w:r>
        <w:rPr>
          <w:i/>
          <w:iCs/>
        </w:rPr>
        <w:t xml:space="preserve"> </w:t>
      </w:r>
      <w:r>
        <w:rPr>
          <w:i/>
          <w:iCs/>
        </w:rPr>
        <w:t xml:space="preserve">y</w:t>
      </w:r>
      <w:r>
        <w:rPr>
          <w:i/>
          <w:iCs/>
        </w:rPr>
        <w:t xml:space="preserve"> </w:t>
      </w:r>
      <w:r>
        <w:rPr>
          <w:i/>
          <w:iCs/>
          <w:smallCaps/>
        </w:rPr>
        <w:t xml:space="preserve">Tirole</w:t>
      </w:r>
      <w:r>
        <w:rPr>
          <w:i/>
          <w:iCs/>
        </w:rPr>
        <w:t xml:space="preserve"> </w:t>
      </w:r>
      <w:r>
        <w:rPr>
          <w:i/>
          <w:iCs/>
        </w:rPr>
        <w:t xml:space="preserve">(</w:t>
      </w:r>
      <w:hyperlink w:anchor="ref_LaffontTirole1993Theory">
        <w:r>
          <w:rPr>
            <w:rStyle w:val="Hyperlink"/>
            <w:i/>
            <w:iCs/>
          </w:rPr>
          <w:t xml:space="preserve">1993</w:t>
        </w:r>
      </w:hyperlink>
      <w:r>
        <w:rPr>
          <w:i/>
          <w:iCs/>
        </w:rPr>
        <w:t xml:space="preserve">)</w:t>
      </w:r>
      <w:r>
        <w:rPr>
          <w:i/>
          <w:iCs/>
        </w:rPr>
        <w:t xml:space="preserve"> </w:t>
      </w:r>
      <w:r>
        <w:rPr>
          <w:i/>
          <w:iCs/>
        </w:rPr>
        <w:t xml:space="preserve">y</w:t>
      </w:r>
      <w:r>
        <w:rPr>
          <w:i/>
          <w:iCs/>
        </w:rPr>
        <w:t xml:space="preserve"> </w:t>
      </w:r>
      <w:r>
        <w:rPr>
          <w:i/>
          <w:iCs/>
          <w:smallCaps/>
        </w:rPr>
        <w:t xml:space="preserve">Armstrong</w:t>
      </w:r>
      <w:r>
        <w:rPr>
          <w:i/>
          <w:iCs/>
        </w:rPr>
        <w:t xml:space="preserve"> </w:t>
      </w:r>
      <w:r>
        <w:rPr>
          <w:i/>
          <w:iCs/>
        </w:rPr>
        <w:t xml:space="preserve">y</w:t>
      </w:r>
      <w:r>
        <w:rPr>
          <w:i/>
          <w:iCs/>
        </w:rPr>
        <w:t xml:space="preserve"> </w:t>
      </w:r>
      <w:r>
        <w:rPr>
          <w:i/>
          <w:iCs/>
          <w:smallCaps/>
        </w:rPr>
        <w:t xml:space="preserve">Sappington</w:t>
      </w:r>
      <w:r>
        <w:rPr>
          <w:i/>
          <w:iCs/>
        </w:rPr>
        <w:t xml:space="preserve"> </w:t>
      </w:r>
      <w:r>
        <w:rPr>
          <w:i/>
          <w:iCs/>
        </w:rPr>
        <w:t xml:space="preserve">(</w:t>
      </w:r>
      <w:hyperlink w:anchor="ref_ArmstrongSappington2007Recent">
        <w:r>
          <w:rPr>
            <w:rStyle w:val="Hyperlink"/>
            <w:i/>
            <w:iCs/>
          </w:rPr>
          <w:t xml:space="preserve">2007</w:t>
        </w:r>
      </w:hyperlink>
      <w:r>
        <w:rPr>
          <w:i/>
          <w:iCs/>
        </w:rPr>
        <w:t xml:space="preserve">)</w:t>
      </w:r>
      <w:r>
        <w:rPr>
          <w:i/>
          <w:iCs/>
        </w:rPr>
        <w:t xml:space="preserve">.</w:t>
      </w:r>
    </w:p>
    <w:bookmarkEnd w:id="72"/>
    <w:bookmarkStart w:id="84" w:name="regulaci__n_de_la_tasa_de_rentabil_94239"/>
    <w:p>
      <w:pPr>
        <w:pStyle w:val="Heading4"/>
      </w:pPr>
      <w:r>
        <w:t xml:space="preserve">Regulación de la tasa de rentabilidad: efecto</w:t>
      </w:r>
      <w:r>
        <w:t xml:space="preserve"> </w:t>
      </w:r>
      <w:r>
        <w:rPr>
          <w:smallCaps/>
        </w:rPr>
        <w:t xml:space="preserve">Averch</w:t>
      </w:r>
      <w:r>
        <w:t xml:space="preserve">-</w:t>
      </w:r>
      <w:r>
        <w:rPr>
          <w:smallCaps/>
        </w:rPr>
        <w:t xml:space="preserve">Johnson</w:t>
      </w:r>
    </w:p>
    <w:bookmarkStart w:id="73" w:name="a_idea_1"/>
    <w:p>
      <w:pPr>
        <w:pStyle w:val="Heading5"/>
      </w:pPr>
      <w:r>
        <w:t xml:space="preserve">a) Idea</w:t>
      </w:r>
    </w:p>
    <w:p>
      <w:pPr>
        <w:numPr>
          <w:ilvl w:val="0"/>
          <w:numId w:val="1036"/>
        </w:numPr>
      </w:pPr>
      <w:r>
        <w:t xml:space="preserve">La forma más antigua de regular sin conocer los costes eficientes es la</w:t>
      </w:r>
      <w:r>
        <w:t xml:space="preserve"> </w:t>
      </w:r>
      <w:r>
        <w:rPr>
          <w:b/>
          <w:bCs/>
        </w:rPr>
        <w:t xml:space="preserve">regulación por coste del servicio</w:t>
      </w:r>
      <w:r>
        <w:t xml:space="preserve"> </w:t>
      </w:r>
      <w:r>
        <w:t xml:space="preserve">o</w:t>
      </w:r>
      <w:r>
        <w:t xml:space="preserve"> </w:t>
      </w:r>
      <w:r>
        <w:rPr>
          <w:b/>
          <w:bCs/>
        </w:rPr>
        <w:t xml:space="preserve">de la tasa de rentabilidad</w:t>
      </w:r>
      <w:r>
        <w:t xml:space="preserve">: el regulador fija precios que cubren los costes de operación contables y dan al capital invertido (la</w:t>
      </w:r>
      <w:r>
        <w:t xml:space="preserve"> </w:t>
      </w:r>
      <w:r>
        <w:rPr>
          <w:i/>
          <w:iCs/>
        </w:rPr>
        <w:t xml:space="preserve">base de activos</w:t>
      </w:r>
      <w:r>
        <w:t xml:space="preserve">) una rentabilidad «justa». Dominó en Estados Unidos durante buena parte del siglo XX. Su atractivo es informativo: el regulador no conoce los costes eficientes, pero sí datos contables que se auditan con facilidad, el beneficio y el capital.</w:t>
      </w:r>
    </w:p>
    <w:p>
      <w:pPr>
        <w:numPr>
          <w:ilvl w:val="0"/>
          <w:numId w:val="1036"/>
        </w:numPr>
      </w:pPr>
      <w:r>
        <w:t xml:space="preserve">La pregunta de</w:t>
      </w:r>
      <w:r>
        <w:t xml:space="preserve"> </w:t>
      </w:r>
      <w:r>
        <w:rPr>
          <w:smallCaps/>
        </w:rPr>
        <w:t xml:space="preserve">Averch</w:t>
      </w:r>
      <w:r>
        <w:t xml:space="preserve"> </w:t>
      </w:r>
      <w:r>
        <w:t xml:space="preserve">y</w:t>
      </w:r>
      <w:r>
        <w:t xml:space="preserve"> </w:t>
      </w:r>
      <w:r>
        <w:rPr>
          <w:smallCaps/>
        </w:rPr>
        <w:t xml:space="preserve">Johnson</w:t>
      </w:r>
      <w:r>
        <w:t xml:space="preserve"> </w:t>
      </w:r>
      <w:r>
        <w:t xml:space="preserve">(</w:t>
      </w:r>
      <w:hyperlink w:anchor="ref_AverchJohnson1962Behavior">
        <w:r>
          <w:rPr>
            <w:rStyle w:val="Hyperlink"/>
          </w:rPr>
          <w:t xml:space="preserve">1962</w:t>
        </w:r>
      </w:hyperlink>
      <w:r>
        <w:t xml:space="preserve">)</w:t>
      </w:r>
      <w:r>
        <w:t xml:space="preserve">: ¿qué distorsión crea limitar la rentabilidad del capital?</w:t>
      </w:r>
    </w:p>
    <w:bookmarkEnd w:id="73"/>
    <w:bookmarkStart w:id="80" w:name="b_modelo"/>
    <w:p>
      <w:pPr>
        <w:pStyle w:val="Heading5"/>
      </w:pPr>
      <w:r>
        <w:t xml:space="preserve">b) Modelo</w:t>
      </w:r>
    </w:p>
    <w:p>
      <w:pPr>
        <w:pStyle w:val="FirstParagraph"/>
        <w:keepNext/>
      </w:pPr>
      <w:r>
        <w:rPr>
          <w:i/>
          <w:iCs/>
        </w:rPr>
        <w:t xml:space="preserve">i) Supuestos</w:t>
      </w:r>
    </w:p>
    <w:p>
      <w:pPr>
        <w:numPr>
          <w:ilvl w:val="0"/>
          <w:numId w:val="1037"/>
        </w:numPr>
      </w:pPr>
      <w:r>
        <w:t xml:space="preserve">Un monopolista con función de producción</w:t>
      </w:r>
      <w:r>
        <w:t xml:space="preserve"> </w:t>
      </w:r>
      <m:oMath>
        <m:r>
          <m:t>q</m:t>
        </m:r>
        <m:r>
          <m:rPr>
            <m:sty m:val="p"/>
          </m:rPr>
          <m:t>=</m:t>
        </m:r>
        <m:r>
          <m:t>F</m:t>
        </m:r>
        <m:d>
          <m:dPr>
            <m:begChr m:val="("/>
            <m:sepChr m:val=""/>
            <m:endChr m:val=")"/>
            <m:grow/>
          </m:dPr>
          <m:e>
            <m:sSub>
              <m:e>
                <m:r>
                  <m:t>z</m:t>
                </m:r>
              </m:e>
              <m:sub>
                <m:r>
                  <m:t>K</m:t>
                </m:r>
              </m:sub>
            </m:sSub>
            <m:r>
              <m:rPr>
                <m:sty m:val="p"/>
              </m:rPr>
              <m:t>,</m:t>
            </m:r>
            <m:sSub>
              <m:e>
                <m:r>
                  <m:t>z</m:t>
                </m:r>
              </m:e>
              <m:sub>
                <m:r>
                  <m:t>L</m:t>
                </m:r>
              </m:sub>
            </m:sSub>
          </m:e>
        </m:d>
      </m:oMath>
      <w:r>
        <w:t xml:space="preserve">, demanda inversa</w:t>
      </w:r>
      <w:r>
        <w:t xml:space="preserve"> </w:t>
      </w:r>
      <m:oMath>
        <m:r>
          <m:t>p</m:t>
        </m:r>
        <m:d>
          <m:dPr>
            <m:begChr m:val="("/>
            <m:sepChr m:val=""/>
            <m:endChr m:val=")"/>
            <m:grow/>
          </m:dPr>
          <m:e>
            <m:r>
              <m:t>q</m:t>
            </m:r>
          </m:e>
        </m:d>
      </m:oMath>
      <w:r>
        <w:t xml:space="preserve"> </w:t>
      </w:r>
      <w:r>
        <w:t xml:space="preserve">y precios de los factores</w:t>
      </w:r>
      <w:r>
        <w:t xml:space="preserve"> </w:t>
      </w:r>
      <m:oMath>
        <m:sSub>
          <m:e>
            <m:r>
              <m:t>w</m:t>
            </m:r>
          </m:e>
          <m:sub>
            <m:r>
              <m:t>K</m:t>
            </m:r>
          </m:sub>
        </m:sSub>
      </m:oMath>
      <w:r>
        <w:t xml:space="preserve"> </w:t>
      </w:r>
      <w:r>
        <w:t xml:space="preserve">(coste del capital) y</w:t>
      </w:r>
      <w:r>
        <w:t xml:space="preserve"> </w:t>
      </w:r>
      <m:oMath>
        <m:sSub>
          <m:e>
            <m:r>
              <m:t>w</m:t>
            </m:r>
          </m:e>
          <m:sub>
            <m:r>
              <m:t>L</m:t>
            </m:r>
          </m:sub>
        </m:sSub>
      </m:oMath>
      <w:r>
        <w:t xml:space="preserve">.</w:t>
      </w:r>
    </w:p>
    <w:p>
      <w:pPr>
        <w:numPr>
          <w:ilvl w:val="0"/>
          <w:numId w:val="1037"/>
        </w:numPr>
      </w:pPr>
      <w:r>
        <w:t xml:space="preserve">El regulador le permite una rentabilidad máxima</w:t>
      </w:r>
      <w:r>
        <w:t xml:space="preserve"> </w:t>
      </w:r>
      <m:oMath>
        <m:r>
          <m:t>s</m:t>
        </m:r>
      </m:oMath>
      <w:r>
        <w:t xml:space="preserve"> </w:t>
      </w:r>
      <w:r>
        <w:t xml:space="preserve">sobre el capital,</w:t>
      </w:r>
      <w:r>
        <w:rPr>
          <w:rStyle w:val="FootnoteReference"/>
        </w:rPr>
        <w:footnoteReference w:id="74"/>
      </w:r>
      <w:r>
        <w:t xml:space="preserve"> </w:t>
      </w:r>
      <w:r>
        <w:t xml:space="preserve">mayor que su coste,</w:t>
      </w:r>
      <w:r>
        <w:t xml:space="preserve"> </w:t>
      </w:r>
      <m:oMath>
        <m:r>
          <m:t>s</m:t>
        </m:r>
        <m:r>
          <m:rPr>
            <m:sty m:val="p"/>
          </m:rPr>
          <m:t>&gt;</m:t>
        </m:r>
        <m:sSub>
          <m:e>
            <m:r>
              <m:t>w</m:t>
            </m:r>
          </m:e>
          <m:sub>
            <m:r>
              <m:t>K</m:t>
            </m:r>
          </m:sub>
        </m:sSub>
      </m:oMath>
      <w:r>
        <w:t xml:space="preserve"> </w:t>
      </w:r>
      <w:r>
        <w:t xml:space="preserve">(si no, la empresa no invertiría), y menor que la que obtendría sin regular (si no, no sería una restricción).</w:t>
      </w:r>
    </w:p>
    <w:p>
      <w:pPr>
        <w:pStyle w:val="FirstParagraph"/>
        <w:keepNext/>
      </w:pPr>
      <w:r>
        <w:rPr>
          <w:i/>
          <w:iCs/>
        </w:rPr>
        <w:t xml:space="preserve">ii) Desarrollo</w:t>
      </w:r>
    </w:p>
    <w:p>
      <w:pPr>
        <w:numPr>
          <w:ilvl w:val="0"/>
          <w:numId w:val="1038"/>
        </w:numPr>
      </w:pPr>
      <w:r>
        <w:t xml:space="preserve">La empresa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z</m:t>
                        </m:r>
                      </m:e>
                      <m:sub>
                        <m:r>
                          <m:t>K</m:t>
                        </m:r>
                      </m:sub>
                    </m:sSub>
                    <m:r>
                      <m:rPr>
                        <m:sty m:val="p"/>
                      </m:rPr>
                      <m:t>,</m:t>
                    </m:r>
                    <m:sSub>
                      <m:e>
                        <m:r>
                          <m:t>z</m:t>
                        </m:r>
                      </m:e>
                      <m:sub>
                        <m:r>
                          <m:t>L</m:t>
                        </m:r>
                      </m:sub>
                    </m:sSub>
                  </m:lim>
                </m:limLow>
              </m:e>
              <m:e>
                <m:r>
                  <m:t>B</m:t>
                </m:r>
                <m:r>
                  <m:rPr>
                    <m:sty m:val="p"/>
                  </m:rPr>
                  <m:t>=</m:t>
                </m:r>
                <m:r>
                  <m:t>p</m:t>
                </m:r>
                <m:d>
                  <m:dPr>
                    <m:begChr m:val="("/>
                    <m:sepChr m:val=""/>
                    <m:endChr m:val=")"/>
                    <m:grow/>
                  </m:dPr>
                  <m:e>
                    <m:r>
                      <m:t>q</m:t>
                    </m:r>
                  </m:e>
                </m:d>
                <m:r>
                  <m:t> </m:t>
                </m:r>
                <m:r>
                  <m:t>q</m:t>
                </m:r>
                <m:r>
                  <m:rPr>
                    <m:sty m:val="p"/>
                  </m:rPr>
                  <m:t>−</m:t>
                </m:r>
                <m:sSub>
                  <m:e>
                    <m:r>
                      <m:t>w</m:t>
                    </m:r>
                  </m:e>
                  <m:sub>
                    <m:r>
                      <m:t>K</m:t>
                    </m:r>
                  </m:sub>
                </m:sSub>
                <m:sSub>
                  <m:e>
                    <m:r>
                      <m:t>z</m:t>
                    </m:r>
                  </m:e>
                  <m:sub>
                    <m:r>
                      <m:t>K</m:t>
                    </m:r>
                  </m:sub>
                </m:sSub>
                <m:r>
                  <m:rPr>
                    <m:sty m:val="p"/>
                  </m:rPr>
                  <m:t>−</m:t>
                </m:r>
                <m:sSub>
                  <m:e>
                    <m:r>
                      <m:t>w</m:t>
                    </m:r>
                  </m:e>
                  <m:sub>
                    <m:r>
                      <m:t>L</m:t>
                    </m:r>
                  </m:sub>
                </m:sSub>
                <m:sSub>
                  <m:e>
                    <m:r>
                      <m:t>z</m:t>
                    </m:r>
                  </m:e>
                  <m:sub>
                    <m:r>
                      <m:t>L</m:t>
                    </m:r>
                  </m:sub>
                </m:sSub>
              </m:e>
            </m:mr>
            <m:mr>
              <m:e>
                <m:r>
                  <m:rPr>
                    <m:nor/>
                    <m:sty m:val="p"/>
                  </m:rPr>
                  <m:t>s.a.</m:t>
                </m:r>
              </m:e>
              <m:e>
                <m:r>
                  <m:t>q</m:t>
                </m:r>
                <m:r>
                  <m:rPr>
                    <m:sty m:val="p"/>
                  </m:rPr>
                  <m:t>=</m:t>
                </m:r>
                <m:r>
                  <m:t>F</m:t>
                </m:r>
                <m:d>
                  <m:dPr>
                    <m:begChr m:val="("/>
                    <m:sepChr m:val=""/>
                    <m:endChr m:val=")"/>
                    <m:grow/>
                  </m:dPr>
                  <m:e>
                    <m:sSub>
                      <m:e>
                        <m:r>
                          <m:t>z</m:t>
                        </m:r>
                      </m:e>
                      <m:sub>
                        <m:r>
                          <m:t>K</m:t>
                        </m:r>
                      </m:sub>
                    </m:sSub>
                    <m:r>
                      <m:rPr>
                        <m:sty m:val="p"/>
                      </m:rPr>
                      <m:t>,</m:t>
                    </m:r>
                    <m:sSub>
                      <m:e>
                        <m:r>
                          <m:t>z</m:t>
                        </m:r>
                      </m:e>
                      <m:sub>
                        <m:r>
                          <m:t>L</m:t>
                        </m:r>
                      </m:sub>
                    </m:sSub>
                  </m:e>
                </m:d>
              </m:e>
            </m:mr>
            <m:mr>
              <m:e/>
              <m:e>
                <m:f>
                  <m:fPr>
                    <m:type m:val="bar"/>
                  </m:fPr>
                  <m:num>
                    <m:r>
                      <m:t>p</m:t>
                    </m:r>
                    <m:d>
                      <m:dPr>
                        <m:begChr m:val="("/>
                        <m:sepChr m:val=""/>
                        <m:endChr m:val=")"/>
                        <m:grow/>
                      </m:dPr>
                      <m:e>
                        <m:r>
                          <m:t>q</m:t>
                        </m:r>
                      </m:e>
                    </m:d>
                    <m:r>
                      <m:t> </m:t>
                    </m:r>
                    <m:r>
                      <m:t>q</m:t>
                    </m:r>
                    <m:r>
                      <m:rPr>
                        <m:sty m:val="p"/>
                      </m:rPr>
                      <m:t>−</m:t>
                    </m:r>
                    <m:sSub>
                      <m:e>
                        <m:r>
                          <m:t>w</m:t>
                        </m:r>
                      </m:e>
                      <m:sub>
                        <m:r>
                          <m:t>L</m:t>
                        </m:r>
                      </m:sub>
                    </m:sSub>
                    <m:sSub>
                      <m:e>
                        <m:r>
                          <m:t>z</m:t>
                        </m:r>
                      </m:e>
                      <m:sub>
                        <m:r>
                          <m:t>L</m:t>
                        </m:r>
                      </m:sub>
                    </m:sSub>
                  </m:num>
                  <m:den>
                    <m:sSub>
                      <m:e>
                        <m:r>
                          <m:t>z</m:t>
                        </m:r>
                      </m:e>
                      <m:sub>
                        <m:r>
                          <m:t>K</m:t>
                        </m:r>
                      </m:sub>
                    </m:sSub>
                  </m:den>
                </m:f>
                <m:r>
                  <m:rPr>
                    <m:sty m:val="p"/>
                  </m:rPr>
                  <m:t>≤</m:t>
                </m:r>
                <m:r>
                  <m:t>s</m:t>
                </m:r>
              </m:e>
            </m:mr>
          </m:m>
        </m:oMath>
      </m:oMathPara>
    </w:p>
    <w:p>
      <w:pPr>
        <w:numPr>
          <w:ilvl w:val="0"/>
          <w:numId w:val="1000"/>
        </w:numPr>
      </w:pPr>
      <w:r>
        <w:t xml:space="preserve">La restricción equivale a</w:t>
      </w:r>
      <w:r>
        <w:t xml:space="preserve"> </w:t>
      </w:r>
      <m:oMath>
        <m:r>
          <m:t>B</m:t>
        </m:r>
        <m:r>
          <m:rPr>
            <m:sty m:val="p"/>
          </m:rPr>
          <m:t>≤</m:t>
        </m:r>
        <m:d>
          <m:dPr>
            <m:begChr m:val="("/>
            <m:sepChr m:val=""/>
            <m:endChr m:val=")"/>
            <m:grow/>
          </m:dPr>
          <m:e>
            <m:r>
              <m:t>s</m:t>
            </m:r>
            <m:r>
              <m:rPr>
                <m:sty m:val="p"/>
              </m:rPr>
              <m:t>−</m:t>
            </m:r>
            <m:sSub>
              <m:e>
                <m:r>
                  <m:t>w</m:t>
                </m:r>
              </m:e>
              <m:sub>
                <m:r>
                  <m:t>K</m:t>
                </m:r>
              </m:sub>
            </m:sSub>
          </m:e>
        </m:d>
        <m:r>
          <m:t> </m:t>
        </m:r>
        <m:sSub>
          <m:e>
            <m:r>
              <m:t>z</m:t>
            </m:r>
          </m:e>
          <m:sub>
            <m:r>
              <m:t>K</m:t>
            </m:r>
          </m:sub>
        </m:sSub>
      </m:oMath>
      <w:r>
        <w:t xml:space="preserve">:</w:t>
      </w:r>
      <w:r>
        <w:t xml:space="preserve"> </w:t>
      </w:r>
      <w:r>
        <w:rPr>
          <w:i/>
          <w:iCs/>
        </w:rPr>
        <w:t xml:space="preserve">el beneficio permitido crece con el capital</w:t>
      </w:r>
      <w:r>
        <w:t xml:space="preserve">.</w:t>
      </w:r>
    </w:p>
    <w:p>
      <w:pPr>
        <w:numPr>
          <w:ilvl w:val="0"/>
          <w:numId w:val="1038"/>
        </w:numPr>
      </w:pPr>
      <w:r>
        <w:rPr>
          <w:i/>
          <w:iCs/>
        </w:rPr>
        <w:t xml:space="preserve">Gráficamente</w:t>
      </w:r>
      <w:r>
        <w:t xml:space="preserve">, en el plano</w:t>
      </w:r>
      <w:r>
        <w:t xml:space="preserve"> </w:t>
      </w:r>
      <m:oMath>
        <m:d>
          <m:dPr>
            <m:begChr m:val="("/>
            <m:sepChr m:val=""/>
            <m:endChr m:val=")"/>
            <m:grow/>
          </m:dPr>
          <m:e>
            <m:sSub>
              <m:e>
                <m:r>
                  <m:t>z</m:t>
                </m:r>
              </m:e>
              <m:sub>
                <m:r>
                  <m:t>K</m:t>
                </m:r>
              </m:sub>
            </m:sSub>
            <m:r>
              <m:rPr>
                <m:sty m:val="p"/>
              </m:rPr>
              <m:t>,</m:t>
            </m:r>
            <m:r>
              <m:t>B</m:t>
            </m:r>
          </m:e>
        </m:d>
      </m:oMath>
      <w:r>
        <w:t xml:space="preserve"> </w:t>
      </w:r>
      <w:r>
        <w:t xml:space="preserve">(gráfico </w:t>
      </w:r>
      <w:hyperlink w:anchor="fig_averch_johnson">
        <w:r>
          <w:rPr>
            <w:rStyle w:val="Hyperlink"/>
          </w:rPr>
          <w:t xml:space="preserve">4</w:t>
        </w:r>
      </w:hyperlink>
      <w:r>
        <w:t xml:space="preserve">), el beneficio sin restricción tiene forma de U invertida, porque en algún momento la productividad marginal del capital cae mientras su coste sigue constante, con un máximo en</w:t>
      </w:r>
      <w:r>
        <w:t xml:space="preserve"> </w:t>
      </w:r>
      <m:oMath>
        <m:sSubSup>
          <m:e>
            <m:r>
              <m:t>z</m:t>
            </m:r>
          </m:e>
          <m:sub>
            <m:r>
              <m:t>K</m:t>
            </m:r>
          </m:sub>
          <m:sup>
            <m:r>
              <m:rPr>
                <m:sty m:val="p"/>
              </m:rPr>
              <m:t>*</m:t>
            </m:r>
          </m:sup>
        </m:sSubSup>
      </m:oMath>
      <w:r>
        <w:t xml:space="preserve">. El beneficio permitido es la recta</w:t>
      </w:r>
      <w:r>
        <w:t xml:space="preserve"> </w:t>
      </w:r>
      <m:oMath>
        <m:d>
          <m:dPr>
            <m:begChr m:val="("/>
            <m:sepChr m:val=""/>
            <m:endChr m:val=")"/>
            <m:grow/>
          </m:dPr>
          <m:e>
            <m:r>
              <m:t>s</m:t>
            </m:r>
            <m:r>
              <m:rPr>
                <m:sty m:val="p"/>
              </m:rPr>
              <m:t>−</m:t>
            </m:r>
            <m:sSub>
              <m:e>
                <m:r>
                  <m:t>w</m:t>
                </m:r>
              </m:e>
              <m:sub>
                <m:r>
                  <m:t>K</m:t>
                </m:r>
              </m:sub>
            </m:sSub>
          </m:e>
        </m:d>
        <m:r>
          <m:t> </m:t>
        </m:r>
        <m:sSub>
          <m:e>
            <m:r>
              <m:t>z</m:t>
            </m:r>
          </m:e>
          <m:sub>
            <m:r>
              <m:t>K</m:t>
            </m:r>
          </m:sub>
        </m:sSub>
      </m:oMath>
      <w:r>
        <w:t xml:space="preserve">. Si</w:t>
      </w:r>
      <w:r>
        <w:t xml:space="preserve"> </w:t>
      </w:r>
      <m:oMath>
        <m:sSubSup>
          <m:e>
            <m:r>
              <m:t>z</m:t>
            </m:r>
          </m:e>
          <m:sub>
            <m:r>
              <m:t>K</m:t>
            </m:r>
          </m:sub>
          <m:sup>
            <m:r>
              <m:rPr>
                <m:sty m:val="p"/>
              </m:rPr>
              <m:t>*</m:t>
            </m:r>
          </m:sup>
        </m:sSubSup>
      </m:oMath>
      <w:r>
        <w:t xml:space="preserve"> </w:t>
      </w:r>
      <w:r>
        <w:t xml:space="preserve">queda por encima de la recta, no está permitido, y la empresa elige el mayor beneficio permitido, en</w:t>
      </w:r>
      <w:r>
        <w:t xml:space="preserve"> </w:t>
      </w:r>
      <m:oMath>
        <m:sSub>
          <m:e>
            <m:r>
              <m:t>z</m:t>
            </m:r>
          </m:e>
          <m:sub>
            <m:r>
              <m:t>K</m:t>
            </m:r>
          </m:sub>
        </m:sSub>
        <m:r>
          <m:rPr>
            <m:sty m:val="p"/>
          </m:rPr>
          <m:t>′</m:t>
        </m:r>
        <m:r>
          <m:rPr>
            <m:sty m:val="p"/>
          </m:rPr>
          <m:t>&gt;</m:t>
        </m:r>
        <m:sSubSup>
          <m:e>
            <m:r>
              <m:t>z</m:t>
            </m:r>
          </m:e>
          <m:sub>
            <m:r>
              <m:t>K</m:t>
            </m:r>
          </m:sub>
          <m:sup>
            <m:r>
              <m:rPr>
                <m:sty m:val="p"/>
              </m:rPr>
              <m:t>*</m:t>
            </m:r>
          </m:sup>
        </m:sSubSup>
      </m:oMath>
      <w:r>
        <w:t xml:space="preserve">:</w:t>
      </w:r>
      <w:r>
        <w:t xml:space="preserve"> </w:t>
      </w:r>
      <w:r>
        <w:rPr>
          <w:i/>
          <w:iCs/>
        </w:rPr>
        <w:t xml:space="preserve">sobrecapitaliza</w:t>
      </w:r>
      <w:r>
        <w:t xml:space="preserve">.</w:t>
      </w:r>
    </w:p>
    <w:p>
      <w:pPr>
        <w:numPr>
          <w:ilvl w:val="0"/>
          <w:numId w:val="1038"/>
        </w:numPr>
      </w:pPr>
      <w:r>
        <w:rPr>
          <w:i/>
          <w:iCs/>
        </w:rPr>
        <w:t xml:space="preserve">Analíticamente</w:t>
      </w:r>
      <w:r>
        <w:t xml:space="preserve">, con la restricción activa y su multiplicador</w:t>
      </w:r>
      <w:r>
        <w:t xml:space="preserve"> </w:t>
      </w:r>
      <m:oMath>
        <m:r>
          <m:t>0</m:t>
        </m:r>
        <m:r>
          <m:rPr>
            <m:sty m:val="p"/>
          </m:rPr>
          <m:t>&lt;</m:t>
        </m:r>
        <m:r>
          <m:t>μ</m:t>
        </m:r>
        <m:r>
          <m:rPr>
            <m:sty m:val="p"/>
          </m:rPr>
          <m:t>&lt;</m:t>
        </m:r>
        <m:r>
          <m:t>1</m:t>
        </m:r>
      </m:oMath>
      <w:r>
        <w:t xml:space="preserve"> </w:t>
      </w:r>
      <w:r>
        <w:t xml:space="preserve">(anexo </w:t>
      </w:r>
      <w:hyperlink w:anchor="anexo_aj">
        <w:r>
          <w:rPr>
            <w:rStyle w:val="Hyperlink"/>
          </w:rPr>
          <w:t xml:space="preserve">A.1</w:t>
        </w:r>
      </w:hyperlink>
      <w:r>
        <w:t xml:space="preserve">):</w:t>
      </w:r>
      <w:r>
        <w:t xml:space="preserve"> </w:t>
      </w:r>
      <w:bookmarkStart w:id="75" w:name="eq_averch_johnson"/>
      <w:bookmarkEnd w:id="75"/>
    </w:p>
    <w:p>
      <w:pPr>
        <w:pStyle w:val="BodyText"/>
      </w:pPr>
      <m:oMathPara>
        <m:oMathParaPr>
          <m:jc m:val="center"/>
        </m:oMathParaPr>
        <m:oMath>
          <m:sSub>
            <m:e>
              <m:r>
                <m:rPr>
                  <m:sty m:val="p"/>
                </m:rPr>
                <m:t>R</m:t>
              </m:r>
              <m:r>
                <m:rPr>
                  <m:sty m:val="p"/>
                </m:rPr>
                <m:t>M</m:t>
              </m:r>
              <m:r>
                <m:rPr>
                  <m:sty m:val="p"/>
                </m:rPr>
                <m:t>S</m:t>
              </m:r>
              <m:r>
                <m:rPr>
                  <m:sty m:val="p"/>
                </m:rPr>
                <m:t>T</m:t>
              </m:r>
            </m:e>
            <m:sub>
              <m:r>
                <m:t>L</m:t>
              </m:r>
              <m:r>
                <m:t>K</m:t>
              </m:r>
            </m:sub>
          </m:sSub>
          <m:r>
            <m:rPr>
              <m:sty m:val="p"/>
            </m:rPr>
            <m:t>=</m:t>
          </m:r>
          <m:f>
            <m:fPr>
              <m:type m:val="bar"/>
            </m:fPr>
            <m:num>
              <m:sSub>
                <m:e>
                  <m:r>
                    <m:rPr>
                      <m:sty m:val="p"/>
                    </m:rPr>
                    <m:t>P</m:t>
                  </m:r>
                  <m:r>
                    <m:rPr>
                      <m:sty m:val="p"/>
                    </m:rPr>
                    <m:t>M</m:t>
                  </m:r>
                  <m:r>
                    <m:rPr>
                      <m:sty m:val="p"/>
                    </m:rPr>
                    <m:t>g</m:t>
                  </m:r>
                </m:e>
                <m:sub>
                  <m:r>
                    <m:t>L</m:t>
                  </m:r>
                </m:sub>
              </m:sSub>
            </m:num>
            <m:den>
              <m:sSub>
                <m:e>
                  <m:r>
                    <m:rPr>
                      <m:sty m:val="p"/>
                    </m:rPr>
                    <m:t>P</m:t>
                  </m:r>
                  <m:r>
                    <m:rPr>
                      <m:sty m:val="p"/>
                    </m:rPr>
                    <m:t>M</m:t>
                  </m:r>
                  <m:r>
                    <m:rPr>
                      <m:sty m:val="p"/>
                    </m:rPr>
                    <m:t>g</m:t>
                  </m:r>
                </m:e>
                <m:sub>
                  <m:r>
                    <m:t>K</m:t>
                  </m:r>
                </m:sub>
              </m:sSub>
            </m:den>
          </m:f>
          <m:r>
            <m:rPr>
              <m:sty m:val="p"/>
            </m:rPr>
            <m:t>=</m:t>
          </m:r>
          <m:f>
            <m:fPr>
              <m:type m:val="bar"/>
            </m:fPr>
            <m:num>
              <m:sSub>
                <m:e>
                  <m:r>
                    <m:t>w</m:t>
                  </m:r>
                </m:e>
                <m:sub>
                  <m:r>
                    <m:t>L</m:t>
                  </m:r>
                </m:sub>
              </m:sSub>
            </m:num>
            <m:den>
              <m:sSub>
                <m:e>
                  <m:r>
                    <m:t>w</m:t>
                  </m:r>
                </m:e>
                <m:sub>
                  <m:r>
                    <m:t>K</m:t>
                  </m:r>
                </m:sub>
              </m:sSub>
              <m:r>
                <m:rPr>
                  <m:sty m:val="p"/>
                </m:rPr>
                <m:t>−</m:t>
              </m:r>
              <m:f>
                <m:fPr>
                  <m:type m:val="bar"/>
                </m:fPr>
                <m:num>
                  <m:r>
                    <m:t>μ</m:t>
                  </m:r>
                </m:num>
                <m:den>
                  <m:r>
                    <m:t>1</m:t>
                  </m:r>
                  <m:r>
                    <m:rPr>
                      <m:sty m:val="p"/>
                    </m:rPr>
                    <m:t>−</m:t>
                  </m:r>
                  <m:r>
                    <m:t>μ</m:t>
                  </m:r>
                </m:den>
              </m:f>
              <m:r>
                <m:t> </m:t>
              </m:r>
              <m:d>
                <m:dPr>
                  <m:begChr m:val="("/>
                  <m:sepChr m:val=""/>
                  <m:endChr m:val=")"/>
                  <m:grow/>
                </m:dPr>
                <m:e>
                  <m:r>
                    <m:t>s</m:t>
                  </m:r>
                  <m:r>
                    <m:rPr>
                      <m:sty m:val="p"/>
                    </m:rPr>
                    <m:t>−</m:t>
                  </m:r>
                  <m:sSub>
                    <m:e>
                      <m:r>
                        <m:t>w</m:t>
                      </m:r>
                    </m:e>
                    <m:sub>
                      <m:r>
                        <m:t>K</m:t>
                      </m:r>
                    </m:sub>
                  </m:sSub>
                </m:e>
              </m:d>
            </m:den>
          </m:f>
          <m:r>
            <m:rPr>
              <m:sty m:val="p"/>
            </m:rPr>
            <m:t>&gt;</m:t>
          </m:r>
          <m:f>
            <m:fPr>
              <m:type m:val="bar"/>
            </m:fPr>
            <m:num>
              <m:sSub>
                <m:e>
                  <m:r>
                    <m:t>w</m:t>
                  </m:r>
                </m:e>
                <m:sub>
                  <m:r>
                    <m:t>L</m:t>
                  </m:r>
                </m:sub>
              </m:sSub>
            </m:num>
            <m:den>
              <m:sSub>
                <m:e>
                  <m:r>
                    <m:t>w</m:t>
                  </m:r>
                </m:e>
                <m:sub>
                  <m:r>
                    <m:t>K</m:t>
                  </m:r>
                </m:sub>
              </m:sSub>
            </m:den>
          </m:f>
          <m:r>
            <m:rPr>
              <m:sty m:val="p"/>
            </m:rPr>
            <m:t>.</m:t>
          </m:r>
        </m:oMath>
      </m:oMathPara>
    </w:p>
    <w:bookmarkStart w:id="79" w:name="fig_averch_johnson"/>
    <w:p>
      <w:pPr>
        <w:pStyle w:val="ImageCaption"/>
      </w:pPr>
      <w:r>
        <w:t xml:space="preserve">Gráfico 4.–</w:t>
      </w:r>
      <w:r>
        <w:t xml:space="preserve"> </w:t>
      </w:r>
      <w:r>
        <w:t xml:space="preserve">Regulación de la tasa de rentabilidad y efecto</w:t>
      </w:r>
      <w:r>
        <w:t xml:space="preserve"> </w:t>
      </w:r>
      <w:r>
        <w:rPr>
          <w:smallCaps/>
        </w:rPr>
        <w:t xml:space="preserve">Averch</w:t>
      </w:r>
      <w:r>
        <w:t xml:space="preserve">-</w:t>
      </w:r>
      <w:r>
        <w:rPr>
          <w:smallCaps/>
        </w:rPr>
        <w:t xml:space="preserve">Johnson</w:t>
      </w:r>
    </w:p>
    <w:p>
      <w:pPr>
        <w:pStyle w:val="CaptionedFigure"/>
      </w:pPr>
      <w:r>
        <w:drawing>
          <wp:inline>
            <wp:extent cx="2908342" cy="2119328"/>
            <wp:effectExtent b="0" l="0" r="0" t="0"/>
            <wp:docPr descr="Gráfico 4.– Regulación de la tasa de rentabilidad y efecto Averch-Johnson" title="" id="77" name="Picture"/>
            <a:graphic>
              <a:graphicData uri="http://schemas.openxmlformats.org/drawingml/2006/picture">
                <pic:pic>
                  <pic:nvPicPr>
                    <pic:cNvPr descr="C:\Users\vgutierrez\Documents\src\victorgutierrezmarcos.github.io-revision\oposicion\temario\fuentes\3A20\graficos/averch-johnson.png" id="78" name="Picture"/>
                    <pic:cNvPicPr>
                      <a:picLocks noChangeArrowheads="1" noChangeAspect="1"/>
                    </pic:cNvPicPr>
                  </pic:nvPicPr>
                  <pic:blipFill>
                    <a:blip r:embed="rId76"/>
                    <a:stretch>
                      <a:fillRect/>
                    </a:stretch>
                  </pic:blipFill>
                  <pic:spPr bwMode="auto">
                    <a:xfrm>
                      <a:off x="0" y="0"/>
                      <a:ext cx="2908342" cy="2119328"/>
                    </a:xfrm>
                    <a:prstGeom prst="rect">
                      <a:avLst/>
                    </a:prstGeom>
                    <a:noFill/>
                    <a:ln w="9525">
                      <a:noFill/>
                      <a:headEnd/>
                      <a:tailEnd/>
                    </a:ln>
                  </pic:spPr>
                </pic:pic>
              </a:graphicData>
            </a:graphic>
          </wp:inline>
        </w:drawing>
      </w:r>
    </w:p>
    <w:bookmarkEnd w:id="79"/>
    <w:p>
      <w:pPr>
        <w:pStyle w:val="Piedeimagen"/>
      </w:pPr>
      <w:r>
        <w:t xml:space="preserve">Fuente: elaboración propia a partir de</w:t>
      </w:r>
      <w:r>
        <w:t xml:space="preserve"> </w:t>
      </w:r>
      <w:r>
        <w:rPr>
          <w:smallCaps/>
        </w:rPr>
        <w:t xml:space="preserve">Averch</w:t>
      </w:r>
      <w:r>
        <w:t xml:space="preserve"> </w:t>
      </w:r>
      <w:r>
        <w:t xml:space="preserve">y</w:t>
      </w:r>
      <w:r>
        <w:t xml:space="preserve"> </w:t>
      </w:r>
      <w:r>
        <w:rPr>
          <w:smallCaps/>
        </w:rPr>
        <w:t xml:space="preserve">Johnson</w:t>
      </w:r>
      <w:r>
        <w:t xml:space="preserve"> </w:t>
      </w:r>
      <w:r>
        <w:t xml:space="preserve">(</w:t>
      </w:r>
      <w:hyperlink w:anchor="ref_AverchJohnson1962Behavior">
        <w:r>
          <w:rPr>
            <w:rStyle w:val="Hyperlink"/>
          </w:rPr>
          <w:t xml:space="preserve">1962</w:t>
        </w:r>
      </w:hyperlink>
      <w:r>
        <w:t xml:space="preserve">)</w:t>
      </w:r>
      <w:r>
        <w:t xml:space="preserve">.</w:t>
      </w:r>
    </w:p>
    <w:p>
      <w:pPr>
        <w:pStyle w:val="BodyText"/>
        <w:keepNext/>
      </w:pPr>
      <w:r>
        <w:rPr>
          <w:i/>
          <w:iCs/>
        </w:rPr>
        <w:t xml:space="preserve">iii) Implicaciones</w:t>
      </w:r>
    </w:p>
    <w:p>
      <w:pPr>
        <w:numPr>
          <w:ilvl w:val="0"/>
          <w:numId w:val="1039"/>
        </w:numPr>
      </w:pPr>
      <w:r>
        <w:t xml:space="preserve">Es el</w:t>
      </w:r>
      <w:r>
        <w:t xml:space="preserve"> </w:t>
      </w:r>
      <w:r>
        <w:rPr>
          <w:b/>
          <w:bCs/>
        </w:rPr>
        <w:t xml:space="preserve">efecto</w:t>
      </w:r>
      <w:r>
        <w:rPr>
          <w:b/>
          <w:bCs/>
        </w:rPr>
        <w:t xml:space="preserve"> </w:t>
      </w:r>
      <w:r>
        <w:rPr>
          <w:b/>
          <w:bCs/>
          <w:smallCaps/>
        </w:rPr>
        <w:t xml:space="preserve">Averch</w:t>
      </w:r>
      <w:r>
        <w:rPr>
          <w:b/>
          <w:bCs/>
        </w:rPr>
        <w:t xml:space="preserve">-</w:t>
      </w:r>
      <w:r>
        <w:rPr>
          <w:b/>
          <w:bCs/>
          <w:smallCaps/>
        </w:rPr>
        <w:t xml:space="preserve">Johnson</w:t>
      </w:r>
      <w:r>
        <w:t xml:space="preserve">: como cada euro de capital agranda la base sobre la que se le deja ganar, la empresa usa más capital del que minimizaría costes, igual que si el capital le resultara más barato. El resultado es</w:t>
      </w:r>
      <w:r>
        <w:t xml:space="preserve"> </w:t>
      </w:r>
      <w:r>
        <w:rPr>
          <w:i/>
          <w:iCs/>
        </w:rPr>
        <w:t xml:space="preserve">ineficiencia productiva</w:t>
      </w:r>
      <w:r>
        <w:t xml:space="preserve"> </w:t>
      </w:r>
      <w:r>
        <w:t xml:space="preserve">(costes y precios por encima de los de la combinación eficiente), aunque su beneficio esté vigilado y acotado.</w:t>
      </w:r>
    </w:p>
    <w:p>
      <w:pPr>
        <w:keepNext/>
        <w:numPr>
          <w:ilvl w:val="0"/>
          <w:numId w:val="1039"/>
        </w:numPr>
      </w:pPr>
      <w:r>
        <w:t xml:space="preserve">Tampoco le interesa abaratar: cualquier ahorro acabará rebajando su tarifa cuando el regulador la vuelva a calcular. En la escala de la potencia de los incentivos (gráfico </w:t>
      </w:r>
      <w:hyperlink w:anchor="fig_escala_potencia">
        <w:r>
          <w:rPr>
            <w:rStyle w:val="Hyperlink"/>
          </w:rPr>
          <w:t xml:space="preserve">8</w:t>
        </w:r>
      </w:hyperlink>
      <w:r>
        <w:t xml:space="preserve">), la tasa de rentabilidad está en el extremo de la baja potencia.</w:t>
      </w:r>
    </w:p>
    <w:p>
      <w:pPr>
        <w:numPr>
          <w:ilvl w:val="1"/>
          <w:numId w:val="1040"/>
        </w:numPr>
      </w:pPr>
      <w:r>
        <w:t xml:space="preserve">Volvamos a Redes del Valle. Si la CNMC le reconoce un 6,58 % sobre sus activos y su capital le cuesta menos, le conviene cambiar un transformador antes de tiempo (un activo, que se retribuye) en lugar de alargar su vida con más mantenimiento (un gasto, que solo se le reembolsa): el sesgo hacia el capital del modelo.</w:t>
      </w:r>
    </w:p>
    <w:bookmarkEnd w:id="80"/>
    <w:bookmarkStart w:id="81" w:name="c_extensiones_1"/>
    <w:p>
      <w:pPr>
        <w:pStyle w:val="Heading5"/>
      </w:pPr>
      <w:r>
        <w:t xml:space="preserve">c) Extensiones</w:t>
      </w:r>
    </w:p>
    <w:p>
      <w:pPr>
        <w:numPr>
          <w:ilvl w:val="0"/>
          <w:numId w:val="1041"/>
        </w:numPr>
      </w:pPr>
      <w:r>
        <w:rPr>
          <w:i/>
          <w:iCs/>
        </w:rPr>
        <w:t xml:space="preserve">Desfase regulatorio</w:t>
      </w:r>
      <w:r>
        <w:t xml:space="preserve">: si las tarifas se revisan cada pocos años, entre una revisión y otra la empresa se queda con lo que ahorra, y eso le devuelve algo de incentivo a reducir costes</w:t>
      </w:r>
      <w:r>
        <w:t xml:space="preserve"> </w:t>
      </w:r>
      <w:r>
        <w:t xml:space="preserve">(</w:t>
      </w:r>
      <w:hyperlink w:anchor="ref_BaumolKlevorick1970Input">
        <w:r>
          <w:rPr>
            <w:rStyle w:val="Hyperlink"/>
            <w:smallCaps/>
          </w:rPr>
          <w:t xml:space="preserve">Baumol</w:t>
        </w:r>
        <w:r>
          <w:rPr>
            <w:rStyle w:val="Hyperlink"/>
          </w:rPr>
          <w:t xml:space="preserve"> </w:t>
        </w:r>
        <w:r>
          <w:rPr>
            <w:rStyle w:val="Hyperlink"/>
          </w:rPr>
          <w:t xml:space="preserve">y</w:t>
        </w:r>
        <w:r>
          <w:rPr>
            <w:rStyle w:val="Hyperlink"/>
          </w:rPr>
          <w:t xml:space="preserve"> </w:t>
        </w:r>
        <w:r>
          <w:rPr>
            <w:rStyle w:val="Hyperlink"/>
            <w:smallCaps/>
          </w:rPr>
          <w:t xml:space="preserve">Klevorick</w:t>
        </w:r>
        <w:r>
          <w:rPr>
            <w:rStyle w:val="Hyperlink"/>
          </w:rPr>
          <w:t xml:space="preserve">, 1970</w:t>
        </w:r>
      </w:hyperlink>
      <w:r>
        <w:t xml:space="preserve">;</w:t>
      </w:r>
      <w:r>
        <w:t xml:space="preserve"> </w:t>
      </w:r>
      <w:hyperlink w:anchor="ref_Joskow1974Inflation">
        <w:r>
          <w:rPr>
            <w:rStyle w:val="Hyperlink"/>
            <w:smallCaps/>
          </w:rPr>
          <w:t xml:space="preserve">Joskow</w:t>
        </w:r>
        <w:r>
          <w:rPr>
            <w:rStyle w:val="Hyperlink"/>
          </w:rPr>
          <w:t xml:space="preserve">, 1974</w:t>
        </w:r>
      </w:hyperlink>
      <w:r>
        <w:t xml:space="preserve">)</w:t>
      </w:r>
      <w:r>
        <w:t xml:space="preserve">.</w:t>
      </w:r>
    </w:p>
    <w:p>
      <w:pPr>
        <w:numPr>
          <w:ilvl w:val="0"/>
          <w:numId w:val="1041"/>
        </w:numPr>
      </w:pPr>
      <w:r>
        <w:rPr>
          <w:i/>
          <w:iCs/>
        </w:rPr>
        <w:t xml:space="preserve">Calidad</w:t>
      </w:r>
      <w:r>
        <w:t xml:space="preserve">: parte de la sobreinversión puede ser más calidad o seguridad de suministro, que el regulador valora pero no puede exigir directamente.</w:t>
      </w:r>
    </w:p>
    <w:bookmarkEnd w:id="81"/>
    <w:bookmarkStart w:id="82" w:name="d_evidencia_emp__rica"/>
    <w:p>
      <w:pPr>
        <w:pStyle w:val="Heading5"/>
      </w:pPr>
      <w:r>
        <w:t xml:space="preserve">d) Evidencia empírica</w:t>
      </w:r>
    </w:p>
    <w:p>
      <w:pPr>
        <w:numPr>
          <w:ilvl w:val="0"/>
          <w:numId w:val="1042"/>
        </w:numPr>
      </w:pPr>
      <w:r>
        <w:t xml:space="preserve">Los primeros contrastes, con eléctricas de Estados Unidos, confirmaron la sobrecapitalización</w:t>
      </w:r>
      <w:r>
        <w:t xml:space="preserve"> </w:t>
      </w:r>
      <w:r>
        <w:t xml:space="preserve">(</w:t>
      </w:r>
      <w:hyperlink w:anchor="ref_Spann1974Rate">
        <w:r>
          <w:rPr>
            <w:rStyle w:val="Hyperlink"/>
            <w:smallCaps/>
          </w:rPr>
          <w:t xml:space="preserve">Spann</w:t>
        </w:r>
        <w:r>
          <w:rPr>
            <w:rStyle w:val="Hyperlink"/>
          </w:rPr>
          <w:t xml:space="preserve">, 1974</w:t>
        </w:r>
      </w:hyperlink>
      <w:r>
        <w:t xml:space="preserve">;</w:t>
      </w:r>
      <w:r>
        <w:t xml:space="preserve"> </w:t>
      </w:r>
      <w:hyperlink w:anchor="ref_Courville1974Regulation">
        <w:r>
          <w:rPr>
            <w:rStyle w:val="Hyperlink"/>
            <w:smallCaps/>
          </w:rPr>
          <w:t xml:space="preserve">Courville</w:t>
        </w:r>
        <w:r>
          <w:rPr>
            <w:rStyle w:val="Hyperlink"/>
          </w:rPr>
          <w:t xml:space="preserve">, 1974</w:t>
        </w:r>
      </w:hyperlink>
      <w:r>
        <w:t xml:space="preserve">)</w:t>
      </w:r>
      <w:r>
        <w:t xml:space="preserve">; la evidencia posterior es mixta, en parte porque los reguladores vigilaban más el nivel de los precios que la tasa de rentabilidad</w:t>
      </w:r>
      <w:r>
        <w:t xml:space="preserve"> </w:t>
      </w:r>
      <w:r>
        <w:t xml:space="preserve">(</w:t>
      </w:r>
      <w:hyperlink w:anchor="ref_Joskow1974Inflation">
        <w:r>
          <w:rPr>
            <w:rStyle w:val="Hyperlink"/>
            <w:smallCaps/>
          </w:rPr>
          <w:t xml:space="preserve">Joskow</w:t>
        </w:r>
        <w:r>
          <w:rPr>
            <w:rStyle w:val="Hyperlink"/>
          </w:rPr>
          <w:t xml:space="preserve">, 1974</w:t>
        </w:r>
      </w:hyperlink>
      <w:r>
        <w:t xml:space="preserve">)</w:t>
      </w:r>
      <w:r>
        <w:t xml:space="preserve">.</w:t>
      </w:r>
    </w:p>
    <w:p>
      <w:pPr>
        <w:numPr>
          <w:ilvl w:val="0"/>
          <w:numId w:val="1042"/>
        </w:numPr>
      </w:pPr>
      <w:r>
        <w:t xml:space="preserve">En España, la retribución de las redes de electricidad y de gas aplica una</w:t>
      </w:r>
      <w:r>
        <w:t xml:space="preserve"> </w:t>
      </w:r>
      <w:r>
        <w:rPr>
          <w:i/>
          <w:iCs/>
        </w:rPr>
        <w:t xml:space="preserve">tasa de retribución financiera</w:t>
      </w:r>
      <w:r>
        <w:t xml:space="preserve"> </w:t>
      </w:r>
      <w:r>
        <w:t xml:space="preserve">al valor de los activos regulados</w:t>
      </w:r>
      <w:r>
        <w:t xml:space="preserve"> </w:t>
      </w:r>
      <w:r>
        <w:t xml:space="preserve">(</w:t>
      </w:r>
      <w:hyperlink w:anchor="ref_CNMC2019Circular2">
        <w:r>
          <w:rPr>
            <w:rStyle w:val="Hyperlink"/>
            <w:smallCaps/>
          </w:rPr>
          <w:t xml:space="preserve">Comisión Nacional de los Mercados y la Competencia</w:t>
        </w:r>
        <w:r>
          <w:rPr>
            <w:rStyle w:val="Hyperlink"/>
          </w:rPr>
          <w:t xml:space="preserve">, 2019</w:t>
        </w:r>
      </w:hyperlink>
      <w:r>
        <w:t xml:space="preserve">)</w:t>
      </w:r>
      <w:r>
        <w:t xml:space="preserve">: el 6,58 % en la electricidad para 2026-2031</w:t>
      </w:r>
      <w:r>
        <w:t xml:space="preserve"> </w:t>
      </w:r>
      <w:r>
        <w:t xml:space="preserve">(</w:t>
      </w:r>
      <w:hyperlink w:anchor="ref_CNMC2025Circular9">
        <w:r>
          <w:rPr>
            <w:rStyle w:val="Hyperlink"/>
            <w:smallCaps/>
          </w:rPr>
          <w:t xml:space="preserve">Comisión Nacional de los Mercados y la Competencia</w:t>
        </w:r>
        <w:r>
          <w:rPr>
            <w:rStyle w:val="Hyperlink"/>
          </w:rPr>
          <w:t xml:space="preserve">, 2025d</w:t>
        </w:r>
      </w:hyperlink>
      <w:r>
        <w:t xml:space="preserve">)</w:t>
      </w:r>
      <w:r>
        <w:t xml:space="preserve"> </w:t>
      </w:r>
      <w:r>
        <w:t xml:space="preserve">y el 6,46 % en el transporte y la regasificación de gas para 2027-2032</w:t>
      </w:r>
      <w:r>
        <w:t xml:space="preserve"> </w:t>
      </w:r>
      <w:r>
        <w:t xml:space="preserve">(</w:t>
      </w:r>
      <w:hyperlink w:anchor="ref_CNMC2026Circular5">
        <w:r>
          <w:rPr>
            <w:rStyle w:val="Hyperlink"/>
            <w:smallCaps/>
          </w:rPr>
          <w:t xml:space="preserve">Comisión Nacional de los Mercados y la Competencia</w:t>
        </w:r>
        <w:r>
          <w:rPr>
            <w:rStyle w:val="Hyperlink"/>
          </w:rPr>
          <w:t xml:space="preserve">, 2026b</w:t>
        </w:r>
      </w:hyperlink>
      <w:r>
        <w:t xml:space="preserve">)</w:t>
      </w:r>
      <w:r>
        <w:t xml:space="preserve">. Las tarifas de la corriente de tracción que ADIF cobra a las empresas ferroviarias se fijan a partir de sus costes, con supervisión de la CNMC</w:t>
      </w:r>
      <w:r>
        <w:t xml:space="preserve"> </w:t>
      </w:r>
      <w:r>
        <w:t xml:space="preserve">(</w:t>
      </w:r>
      <w:hyperlink w:anchor="ref_CNMC2018TarifasAdif">
        <w:r>
          <w:rPr>
            <w:rStyle w:val="Hyperlink"/>
            <w:smallCaps/>
          </w:rPr>
          <w:t xml:space="preserve">Comisión Nacional de los Mercados y la Competencia</w:t>
        </w:r>
        <w:r>
          <w:rPr>
            <w:rStyle w:val="Hyperlink"/>
          </w:rPr>
          <w:t xml:space="preserve">, 2018b</w:t>
        </w:r>
      </w:hyperlink>
      <w:r>
        <w:t xml:space="preserve">)</w:t>
      </w:r>
      <w:r>
        <w:t xml:space="preserve">.</w:t>
      </w:r>
    </w:p>
    <w:bookmarkEnd w:id="82"/>
    <w:bookmarkStart w:id="83" w:name="e_valoraci__n"/>
    <w:p>
      <w:pPr>
        <w:pStyle w:val="Heading5"/>
      </w:pPr>
      <w:r>
        <w:t xml:space="preserve">e) Valoración</w:t>
      </w:r>
    </w:p>
    <w:p>
      <w:pPr>
        <w:numPr>
          <w:ilvl w:val="0"/>
          <w:numId w:val="1043"/>
        </w:numPr>
      </w:pPr>
      <w:r>
        <w:rPr>
          <w:i/>
          <w:iCs/>
        </w:rPr>
        <w:t xml:space="preserve">Ventajas</w:t>
      </w:r>
      <w:r>
        <w:t xml:space="preserve">: necesita poca información (datos contables auditables) y da a la empresa seguridad de que recuperará sus inversiones hundidas, lo que favorece la inversión en redes.</w:t>
      </w:r>
    </w:p>
    <w:p>
      <w:pPr>
        <w:keepNext/>
        <w:numPr>
          <w:ilvl w:val="0"/>
          <w:numId w:val="1043"/>
        </w:numPr>
      </w:pPr>
      <w:r>
        <w:rPr>
          <w:i/>
          <w:iCs/>
        </w:rPr>
        <w:t xml:space="preserve">Inconvenientes</w:t>
      </w:r>
      <w:r>
        <w:t xml:space="preserve">:</w:t>
      </w:r>
    </w:p>
    <w:p>
      <w:pPr>
        <w:numPr>
          <w:ilvl w:val="1"/>
          <w:numId w:val="1044"/>
        </w:numPr>
      </w:pPr>
      <w:r>
        <w:t xml:space="preserve">la sobrecapitalización;</w:t>
      </w:r>
    </w:p>
    <w:p>
      <w:pPr>
        <w:numPr>
          <w:ilvl w:val="1"/>
          <w:numId w:val="1044"/>
        </w:numPr>
      </w:pPr>
      <w:r>
        <w:t xml:space="preserve">regula la remuneración contable del capital, que no es el beneficio económico;</w:t>
      </w:r>
    </w:p>
    <w:p>
      <w:pPr>
        <w:numPr>
          <w:ilvl w:val="1"/>
          <w:numId w:val="1044"/>
        </w:numPr>
      </w:pPr>
      <w:r>
        <w:t xml:space="preserve">no da incentivos a reducir costes ni a innovar, salvo por el desfase regulatorio;</w:t>
      </w:r>
    </w:p>
    <w:p>
      <w:pPr>
        <w:numPr>
          <w:ilvl w:val="1"/>
          <w:numId w:val="1044"/>
        </w:numPr>
      </w:pPr>
      <w:r>
        <w:t xml:space="preserve">la empresa tiene incentivos a exagerar sus costes en cada revisión.</w:t>
      </w:r>
    </w:p>
    <w:p>
      <w:pPr>
        <w:numPr>
          <w:ilvl w:val="0"/>
          <w:numId w:val="1043"/>
        </w:numPr>
      </w:pPr>
      <w:r>
        <w:t xml:space="preserve">Por eso los reguladores la combinan con incentivos: la nueva metodología de la CNMC para la distribución eléctrica compara de forma conjunta la inversión y los gastos de operación (enfoque TOTEX) con unos costes de referencia, para quitar el sesgo hacia el capital</w:t>
      </w:r>
      <w:r>
        <w:t xml:space="preserve"> </w:t>
      </w:r>
      <w:r>
        <w:t xml:space="preserve">(</w:t>
      </w:r>
      <w:hyperlink w:anchor="ref_CNMC2025Circular8">
        <w:r>
          <w:rPr>
            <w:rStyle w:val="Hyperlink"/>
            <w:smallCaps/>
          </w:rPr>
          <w:t xml:space="preserve">Comisión Nacional de los Mercados y la Competencia</w:t>
        </w:r>
        <w:r>
          <w:rPr>
            <w:rStyle w:val="Hyperlink"/>
          </w:rPr>
          <w:t xml:space="preserve">, 2025b</w:t>
        </w:r>
      </w:hyperlink>
      <w:r>
        <w:t xml:space="preserve">)</w:t>
      </w:r>
      <w:r>
        <w:t xml:space="preserve">. Para ir más allá hay que preguntarse cuál es el mejor contrato cuando el regulador no conoce los costes, que es lo que hacen los modelos que siguen.</w:t>
      </w:r>
    </w:p>
    <w:bookmarkEnd w:id="83"/>
    <w:bookmarkEnd w:id="84"/>
    <w:bookmarkEnd w:id="85"/>
    <w:bookmarkStart w:id="100" w:name="sec_seleccion_adversa_regulacion"/>
    <w:p>
      <w:pPr>
        <w:pStyle w:val="Heading2"/>
      </w:pPr>
      <w:r>
        <w:t xml:space="preserve">II.2.</w:t>
      </w:r>
      <w:r>
        <w:t xml:space="preserve"> </w:t>
      </w:r>
      <w:r>
        <w:t xml:space="preserve">Selección adversa:</w:t>
      </w:r>
      <w:r>
        <w:t xml:space="preserve"> </w:t>
      </w:r>
      <w:r>
        <w:rPr>
          <w:smallCaps/>
        </w:rPr>
        <w:t xml:space="preserve">Loeb</w:t>
      </w:r>
      <w:r>
        <w:t xml:space="preserve">-</w:t>
      </w:r>
      <w:r>
        <w:rPr>
          <w:smallCaps/>
        </w:rPr>
        <w:t xml:space="preserve">Magat</w:t>
      </w:r>
      <w:r>
        <w:t xml:space="preserve"> </w:t>
      </w:r>
      <w:r>
        <w:t xml:space="preserve">y</w:t>
      </w:r>
      <w:r>
        <w:t xml:space="preserve"> </w:t>
      </w:r>
      <w:r>
        <w:rPr>
          <w:smallCaps/>
        </w:rPr>
        <w:t xml:space="preserve">Baron</w:t>
      </w:r>
      <w:r>
        <w:t xml:space="preserve">-</w:t>
      </w:r>
      <w:r>
        <w:rPr>
          <w:smallCaps/>
        </w:rPr>
        <w:t xml:space="preserve">Myerson</w:t>
      </w:r>
    </w:p>
    <w:p>
      <w:pPr>
        <w:numPr>
          <w:ilvl w:val="0"/>
          <w:numId w:val="1045"/>
        </w:numPr>
      </w:pPr>
      <w:r>
        <w:t xml:space="preserve">La tasa de rentabilidad no le pregunta nada a la empresa. Los 2 modelos que siguen son los primeros que tratan la regulación como un problema de información: el regulador no conoce el coste de la empresa y diseña un mecanismo para que lo revele.</w:t>
      </w:r>
    </w:p>
    <w:bookmarkStart w:id="89" w:name="mecanismo_de_loeb_y_magat_1979"/>
    <w:p>
      <w:pPr>
        <w:pStyle w:val="Heading4"/>
      </w:pPr>
      <w:r>
        <w:t xml:space="preserve">Mecanismo de</w:t>
      </w:r>
      <w:r>
        <w:t xml:space="preserve"> </w:t>
      </w:r>
      <w:r>
        <w:rPr>
          <w:smallCaps/>
        </w:rPr>
        <w:t xml:space="preserve">Loeb</w:t>
      </w:r>
      <w:r>
        <w:t xml:space="preserve"> </w:t>
      </w:r>
      <w:r>
        <w:t xml:space="preserve">y</w:t>
      </w:r>
      <w:r>
        <w:t xml:space="preserve"> </w:t>
      </w:r>
      <w:r>
        <w:rPr>
          <w:smallCaps/>
        </w:rPr>
        <w:t xml:space="preserve">Magat</w:t>
      </w:r>
      <w:r>
        <w:t xml:space="preserve"> </w:t>
      </w:r>
      <w:r>
        <w:t xml:space="preserve">(1979)</w:t>
      </w:r>
    </w:p>
    <w:bookmarkStart w:id="86" w:name="a_idea_2"/>
    <w:p>
      <w:pPr>
        <w:pStyle w:val="Heading5"/>
      </w:pPr>
      <w:r>
        <w:t xml:space="preserve">a) Idea</w:t>
      </w:r>
    </w:p>
    <w:p>
      <w:pPr>
        <w:numPr>
          <w:ilvl w:val="0"/>
          <w:numId w:val="1046"/>
        </w:numPr>
      </w:pPr>
      <w:r>
        <w:t xml:space="preserve">Si el problema es que la empresa no quiere revelar su coste, ¿se puede diseñar una regla que no lo necesite?</w:t>
      </w:r>
      <w:r>
        <w:t xml:space="preserve"> </w:t>
      </w:r>
      <w:r>
        <w:rPr>
          <w:smallCaps/>
        </w:rPr>
        <w:t xml:space="preserve">Loeb</w:t>
      </w:r>
      <w:r>
        <w:t xml:space="preserve"> </w:t>
      </w:r>
      <w:r>
        <w:t xml:space="preserve">y</w:t>
      </w:r>
      <w:r>
        <w:t xml:space="preserve"> </w:t>
      </w:r>
      <w:r>
        <w:rPr>
          <w:smallCaps/>
        </w:rPr>
        <w:t xml:space="preserve">Magat</w:t>
      </w:r>
      <w:r>
        <w:t xml:space="preserve"> </w:t>
      </w:r>
      <w:r>
        <w:t xml:space="preserve">(</w:t>
      </w:r>
      <w:hyperlink w:anchor="ref_LoebMagat1979Decentralized">
        <w:r>
          <w:rPr>
            <w:rStyle w:val="Hyperlink"/>
          </w:rPr>
          <w:t xml:space="preserve">1979</w:t>
        </w:r>
      </w:hyperlink>
      <w:r>
        <w:t xml:space="preserve">)</w:t>
      </w:r>
      <w:r>
        <w:t xml:space="preserve"> </w:t>
      </w:r>
      <w:r>
        <w:t xml:space="preserve">responden que sí, si el regulador conoce la demanda.</w:t>
      </w:r>
    </w:p>
    <w:bookmarkEnd w:id="86"/>
    <w:bookmarkStart w:id="87" w:name="b_modelo_1"/>
    <w:p>
      <w:pPr>
        <w:pStyle w:val="Heading5"/>
      </w:pPr>
      <w:r>
        <w:t xml:space="preserve">b) Modelo</w:t>
      </w:r>
    </w:p>
    <w:p>
      <w:pPr>
        <w:pStyle w:val="FirstParagraph"/>
        <w:keepNext/>
      </w:pPr>
      <w:r>
        <w:rPr>
          <w:i/>
          <w:iCs/>
        </w:rPr>
        <w:t xml:space="preserve">i) Supuestos</w:t>
      </w:r>
    </w:p>
    <w:p>
      <w:pPr>
        <w:numPr>
          <w:ilvl w:val="0"/>
          <w:numId w:val="1047"/>
        </w:numPr>
      </w:pPr>
      <w:r>
        <w:t xml:space="preserve">El regulador conoce la demanda inversa</w:t>
      </w:r>
      <w:r>
        <w:t xml:space="preserve"> </w:t>
      </w:r>
      <m:oMath>
        <m:r>
          <m:t>p</m:t>
        </m:r>
        <m:d>
          <m:dPr>
            <m:begChr m:val="("/>
            <m:sepChr m:val=""/>
            <m:endChr m:val=")"/>
            <m:grow/>
          </m:dPr>
          <m:e>
            <m:r>
              <m:t>q</m:t>
            </m:r>
          </m:e>
        </m:d>
      </m:oMath>
      <w:r>
        <w:t xml:space="preserve"> </w:t>
      </w:r>
      <w:r>
        <w:t xml:space="preserve">y, con ella, el valor bruto que los consumidores dan a la cantidad</w:t>
      </w:r>
      <w:r>
        <w:t xml:space="preserve"> </w:t>
      </w:r>
      <m:oMath>
        <m:r>
          <m:t>q</m:t>
        </m:r>
      </m:oMath>
      <w:r>
        <w:t xml:space="preserve">,</w:t>
      </w:r>
      <w:r>
        <w:t xml:space="preserve"> </w:t>
      </w:r>
      <m:oMath>
        <m:r>
          <m:t>S</m:t>
        </m:r>
        <m:d>
          <m:dPr>
            <m:begChr m:val="("/>
            <m:sepChr m:val=""/>
            <m:endChr m:val=")"/>
            <m:grow/>
          </m:dPr>
          <m:e>
            <m:r>
              <m:t>q</m:t>
            </m:r>
          </m:e>
        </m:d>
        <m:r>
          <m:rPr>
            <m:sty m:val="p"/>
          </m:rPr>
          <m:t>≡</m:t>
        </m:r>
        <m:nary>
          <m:naryPr>
            <m:chr m:val="∫"/>
            <m:limLoc m:val="subSup"/>
            <m:subHide m:val="off"/>
            <m:supHide m:val="off"/>
          </m:naryPr>
          <m:sub>
            <m:r>
              <m:t>0</m:t>
            </m:r>
          </m:sub>
          <m:sup>
            <m:r>
              <m:t>q</m:t>
            </m:r>
          </m:sup>
          <m:e>
            <m:r>
              <m:t>p</m:t>
            </m:r>
          </m:e>
        </m:nary>
        <m:d>
          <m:dPr>
            <m:begChr m:val="("/>
            <m:sepChr m:val=""/>
            <m:endChr m:val=")"/>
            <m:grow/>
          </m:dPr>
          <m:e>
            <m:r>
              <m:t>x</m:t>
            </m:r>
          </m:e>
        </m:d>
        <m:r>
          <m:t> </m:t>
        </m:r>
        <m:r>
          <m:t>d</m:t>
        </m:r>
        <m:r>
          <m:t>x</m:t>
        </m:r>
      </m:oMath>
      <w:r>
        <w:t xml:space="preserve">, con</w:t>
      </w:r>
      <w:r>
        <w:t xml:space="preserve"> </w:t>
      </w:r>
      <m:oMath>
        <m:r>
          <m:t>S</m:t>
        </m:r>
        <m:r>
          <m:rPr>
            <m:sty m:val="p"/>
          </m:rPr>
          <m:t>′</m:t>
        </m:r>
        <m:d>
          <m:dPr>
            <m:begChr m:val="("/>
            <m:sepChr m:val=""/>
            <m:endChr m:val=")"/>
            <m:grow/>
          </m:dPr>
          <m:e>
            <m:r>
              <m:t>q</m:t>
            </m:r>
          </m:e>
        </m:d>
        <m:r>
          <m:rPr>
            <m:sty m:val="p"/>
          </m:rPr>
          <m:t>=</m:t>
        </m:r>
        <m:r>
          <m:t>p</m:t>
        </m:r>
        <m:d>
          <m:dPr>
            <m:begChr m:val="("/>
            <m:sepChr m:val=""/>
            <m:endChr m:val=")"/>
            <m:grow/>
          </m:dPr>
          <m:e>
            <m:r>
              <m:t>q</m:t>
            </m:r>
          </m:e>
        </m:d>
      </m:oMath>
      <w:r>
        <w:t xml:space="preserve">; no conoce el coste</w:t>
      </w:r>
      <w:r>
        <w:t xml:space="preserve"> </w:t>
      </w:r>
      <m:oMath>
        <m:r>
          <m:t>C</m:t>
        </m:r>
        <m:d>
          <m:dPr>
            <m:begChr m:val="("/>
            <m:sepChr m:val=""/>
            <m:endChr m:val=")"/>
            <m:grow/>
          </m:dPr>
          <m:e>
            <m:r>
              <m:t>q</m:t>
            </m:r>
          </m:e>
        </m:d>
      </m:oMath>
      <w:r>
        <w:t xml:space="preserve">. Las transferencias no tienen coste social.</w:t>
      </w:r>
    </w:p>
    <w:p>
      <w:pPr>
        <w:pStyle w:val="FirstParagraph"/>
        <w:keepNext/>
      </w:pPr>
      <w:r>
        <w:rPr>
          <w:i/>
          <w:iCs/>
        </w:rPr>
        <w:t xml:space="preserve">ii) Desarrollo</w:t>
      </w:r>
    </w:p>
    <w:p>
      <w:pPr>
        <w:numPr>
          <w:ilvl w:val="0"/>
          <w:numId w:val="1048"/>
        </w:numPr>
      </w:pPr>
      <w:r>
        <w:t xml:space="preserve">La empresa fija libremente el precio y recibe, además de sus ventas, una subvención igual al excedente del consumidor que genera,</w:t>
      </w:r>
      <w:r>
        <w:t xml:space="preserve"> </w:t>
      </w:r>
      <m:oMath>
        <m:r>
          <m:t>S</m:t>
        </m:r>
        <m:d>
          <m:dPr>
            <m:begChr m:val="("/>
            <m:sepChr m:val=""/>
            <m:endChr m:val=")"/>
            <m:grow/>
          </m:dPr>
          <m:e>
            <m:r>
              <m:t>q</m:t>
            </m:r>
          </m:e>
        </m:d>
        <m:r>
          <m:rPr>
            <m:sty m:val="p"/>
          </m:rPr>
          <m:t>−</m:t>
        </m:r>
        <m:r>
          <m:t>p</m:t>
        </m:r>
        <m:d>
          <m:dPr>
            <m:begChr m:val="("/>
            <m:sepChr m:val=""/>
            <m:endChr m:val=")"/>
            <m:grow/>
          </m:dPr>
          <m:e>
            <m:r>
              <m:t>q</m:t>
            </m:r>
          </m:e>
        </m:d>
        <m:r>
          <m:t> </m:t>
        </m:r>
        <m:r>
          <m:t>q</m:t>
        </m:r>
      </m:oMath>
      <w:r>
        <w:t xml:space="preserve">. Su beneficio es entonces</w:t>
      </w:r>
    </w:p>
    <w:p>
      <w:pPr>
        <w:pStyle w:val="BodyText"/>
        <w:keepNext/>
      </w:pPr>
      <m:oMathPara>
        <m:oMathParaPr>
          <m:jc m:val="center"/>
        </m:oMathParaPr>
        <m:oMath>
          <m:r>
            <m:t>p</m:t>
          </m:r>
          <m:d>
            <m:dPr>
              <m:begChr m:val="("/>
              <m:sepChr m:val=""/>
              <m:endChr m:val=")"/>
              <m:grow/>
            </m:dPr>
            <m:e>
              <m:r>
                <m:t>q</m:t>
              </m:r>
            </m:e>
          </m:d>
          <m:r>
            <m:t> </m:t>
          </m:r>
          <m:r>
            <m:t>q</m:t>
          </m:r>
          <m:r>
            <m:rPr>
              <m:sty m:val="p"/>
            </m:rPr>
            <m:t>+</m:t>
          </m:r>
          <m:d>
            <m:dPr>
              <m:begChr m:val="["/>
              <m:sepChr m:val=""/>
              <m:endChr m:val="]"/>
              <m:grow/>
            </m:dPr>
            <m:e>
              <m:r>
                <m:t>S</m:t>
              </m:r>
              <m:d>
                <m:dPr>
                  <m:begChr m:val="("/>
                  <m:sepChr m:val=""/>
                  <m:endChr m:val=")"/>
                  <m:grow/>
                </m:dPr>
                <m:e>
                  <m:r>
                    <m:t>q</m:t>
                  </m:r>
                </m:e>
              </m:d>
              <m:r>
                <m:rPr>
                  <m:sty m:val="p"/>
                </m:rPr>
                <m:t>−</m:t>
              </m:r>
              <m:r>
                <m:t>p</m:t>
              </m:r>
              <m:d>
                <m:dPr>
                  <m:begChr m:val="("/>
                  <m:sepChr m:val=""/>
                  <m:endChr m:val=")"/>
                  <m:grow/>
                </m:dPr>
                <m:e>
                  <m:r>
                    <m:t>q</m:t>
                  </m:r>
                </m:e>
              </m:d>
              <m:r>
                <m:t> </m:t>
              </m:r>
              <m:r>
                <m:t>q</m:t>
              </m:r>
            </m:e>
          </m:d>
          <m:r>
            <m:rPr>
              <m:sty m:val="p"/>
            </m:rPr>
            <m:t>−</m:t>
          </m:r>
          <m:r>
            <m:t>C</m:t>
          </m:r>
          <m:d>
            <m:dPr>
              <m:begChr m:val="("/>
              <m:sepChr m:val=""/>
              <m:endChr m:val=")"/>
              <m:grow/>
            </m:dPr>
            <m:e>
              <m:r>
                <m:t>q</m:t>
              </m:r>
            </m:e>
          </m:d>
          <m:r>
            <m:rPr>
              <m:sty m:val="p"/>
            </m:rPr>
            <m:t>=</m:t>
          </m:r>
          <m:r>
            <m:t>S</m:t>
          </m:r>
          <m:d>
            <m:dPr>
              <m:begChr m:val="("/>
              <m:sepChr m:val=""/>
              <m:endChr m:val=")"/>
              <m:grow/>
            </m:dPr>
            <m:e>
              <m:r>
                <m:t>q</m:t>
              </m:r>
            </m:e>
          </m:d>
          <m:r>
            <m:rPr>
              <m:sty m:val="p"/>
            </m:rPr>
            <m:t>−</m:t>
          </m:r>
          <m:r>
            <m:t>C</m:t>
          </m:r>
          <m:d>
            <m:dPr>
              <m:begChr m:val="("/>
              <m:sepChr m:val=""/>
              <m:endChr m:val=")"/>
              <m:grow/>
            </m:dPr>
            <m:e>
              <m:r>
                <m:t>q</m:t>
              </m:r>
            </m:e>
          </m:d>
          <m:r>
            <m:rPr>
              <m:sty m:val="p"/>
            </m:rPr>
            <m:t>=</m:t>
          </m:r>
          <m:r>
            <m:rPr>
              <m:sty m:val="p"/>
            </m:rPr>
            <m:t>E</m:t>
          </m:r>
          <m:r>
            <m:rPr>
              <m:sty m:val="p"/>
            </m:rPr>
            <m:t>T</m:t>
          </m:r>
          <m:d>
            <m:dPr>
              <m:begChr m:val="("/>
              <m:sepChr m:val=""/>
              <m:endChr m:val=")"/>
              <m:grow/>
            </m:dPr>
            <m:e>
              <m:r>
                <m:t>q</m:t>
              </m:r>
            </m:e>
          </m:d>
          <m:r>
            <m:rPr>
              <m:sty m:val="p"/>
            </m:rPr>
            <m:t>,</m:t>
          </m:r>
        </m:oMath>
      </m:oMathPara>
    </w:p>
    <w:p>
      <w:pPr>
        <w:numPr>
          <w:ilvl w:val="0"/>
          <w:numId w:val="1000"/>
        </w:numPr>
      </w:pPr>
      <w:r>
        <w:t xml:space="preserve">el excedente total: al maximizarlo elige</w:t>
      </w:r>
      <w:r>
        <w:t xml:space="preserve"> </w:t>
      </w:r>
      <m:oMath>
        <m:r>
          <m:t>p</m:t>
        </m:r>
        <m:d>
          <m:dPr>
            <m:begChr m:val="("/>
            <m:sepChr m:val=""/>
            <m:endChr m:val=")"/>
            <m:grow/>
          </m:dPr>
          <m:e>
            <m:r>
              <m:t>q</m:t>
            </m:r>
          </m:e>
        </m:d>
        <m:r>
          <m:rPr>
            <m:sty m:val="p"/>
          </m:rPr>
          <m:t>=</m:t>
        </m:r>
        <m:r>
          <m:rPr>
            <m:sty m:val="p"/>
          </m:rPr>
          <m:t>C</m:t>
        </m:r>
        <m:r>
          <m:rPr>
            <m:sty m:val="p"/>
          </m:rPr>
          <m:t>M</m:t>
        </m:r>
        <m:r>
          <m:rPr>
            <m:sty m:val="p"/>
          </m:rPr>
          <m:t>g</m:t>
        </m:r>
        <m:d>
          <m:dPr>
            <m:begChr m:val="("/>
            <m:sepChr m:val=""/>
            <m:endChr m:val=")"/>
            <m:grow/>
          </m:dPr>
          <m:e>
            <m:r>
              <m:t>q</m:t>
            </m:r>
          </m:e>
        </m:d>
      </m:oMath>
      <w:r>
        <w:t xml:space="preserve">, la cantidad eficiente, cualquiera que sea su coste y sin revelarlo.</w:t>
      </w:r>
    </w:p>
    <w:p>
      <w:pPr>
        <w:pStyle w:val="FirstParagraph"/>
        <w:keepNext/>
      </w:pPr>
      <w:r>
        <w:rPr>
          <w:i/>
          <w:iCs/>
        </w:rPr>
        <w:t xml:space="preserve">iii) Implicaciones</w:t>
      </w:r>
    </w:p>
    <w:p>
      <w:pPr>
        <w:numPr>
          <w:ilvl w:val="0"/>
          <w:numId w:val="1049"/>
        </w:numPr>
      </w:pPr>
      <w:r>
        <w:t xml:space="preserve">Convierte a la empresa en</w:t>
      </w:r>
      <w:r>
        <w:t xml:space="preserve"> </w:t>
      </w:r>
      <w:r>
        <w:rPr>
          <w:i/>
          <w:iCs/>
        </w:rPr>
        <w:t xml:space="preserve">reclamante residual</w:t>
      </w:r>
      <w:r>
        <w:t xml:space="preserve"> </w:t>
      </w:r>
      <w:r>
        <w:t xml:space="preserve">de todo el excedente y así alinea sus intereses con los sociales: es un mecanismo de</w:t>
      </w:r>
      <w:r>
        <w:t xml:space="preserve"> </w:t>
      </w:r>
      <w:r>
        <w:rPr>
          <w:smallCaps/>
        </w:rPr>
        <w:t xml:space="preserve">Groves</w:t>
      </w:r>
      <w:r>
        <w:t xml:space="preserve">, en el que actuar de forma eficiente es una estrategia dominante</w:t>
      </w:r>
      <w:r>
        <w:t xml:space="preserve"> </w:t>
      </w:r>
      <w:r>
        <w:t xml:space="preserve">(</w:t>
      </w:r>
      <w:hyperlink w:anchor="ref_LaffontMartimort2002Theory">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Martimort</w:t>
        </w:r>
        <w:r>
          <w:rPr>
            <w:rStyle w:val="Hyperlink"/>
          </w:rPr>
          <w:t xml:space="preserve">, 2002</w:t>
        </w:r>
      </w:hyperlink>
      <w:r>
        <w:t xml:space="preserve">)</w:t>
      </w:r>
      <w:r>
        <w:t xml:space="preserve"> </w:t>
      </w:r>
      <w:hyperlink r:id="rId70">
        <w:r>
          <w:rPr>
            <w:rStyle w:val="Referenciaatema"/>
          </w:rPr>
          <w:t xml:space="preserve">[ver tema 3.A.14]</w:t>
        </w:r>
      </w:hyperlink>
      <w:r>
        <w:t xml:space="preserve"> </w:t>
      </w:r>
      <w:hyperlink r:id="rId23">
        <w:r>
          <w:rPr>
            <w:rStyle w:val="Referenciaatema"/>
          </w:rPr>
          <w:t xml:space="preserve">[ver tema 3.A.23]</w:t>
        </w:r>
      </w:hyperlink>
      <w:r>
        <w:t xml:space="preserve">.</w:t>
      </w:r>
    </w:p>
    <w:bookmarkEnd w:id="87"/>
    <w:bookmarkStart w:id="88" w:name="c_valoraci__n"/>
    <w:p>
      <w:pPr>
        <w:pStyle w:val="Heading5"/>
      </w:pPr>
      <w:r>
        <w:t xml:space="preserve">c) Valoración</w:t>
      </w:r>
    </w:p>
    <w:p>
      <w:pPr>
        <w:numPr>
          <w:ilvl w:val="0"/>
          <w:numId w:val="1050"/>
        </w:numPr>
      </w:pPr>
      <w:r>
        <w:t xml:space="preserve">Logra la eficiencia, pero a cambio el regulador tiene que conocer la demanda y la empresa se embolsa todo el excedente: solo tiene sentido si financiar transferencias no cuesta nada y el reparto da igual. Se puede corregir subastando el derecho a recibir el esquema, de modo que la puja devuelva la renta al Estado</w:t>
      </w:r>
      <w:r>
        <w:t xml:space="preserve"> </w:t>
      </w:r>
      <w:hyperlink r:id="rId70">
        <w:r>
          <w:rPr>
            <w:rStyle w:val="Referenciaatema"/>
          </w:rPr>
          <w:t xml:space="preserve">[ver tema 3.A.14]</w:t>
        </w:r>
      </w:hyperlink>
      <w:r>
        <w:t xml:space="preserve">.</w:t>
      </w:r>
    </w:p>
    <w:p>
      <w:pPr>
        <w:numPr>
          <w:ilvl w:val="0"/>
          <w:numId w:val="1050"/>
        </w:numPr>
      </w:pPr>
      <w:r>
        <w:t xml:space="preserve">El problema, por tanto, no es la eficiencia, sino las rentas: el monopolista se queda con todo el excedente. El modelo siguiente hace costosas esas rentas y las recorta, a cambio de algo de eficiencia.</w:t>
      </w:r>
    </w:p>
    <w:bookmarkEnd w:id="88"/>
    <w:bookmarkEnd w:id="89"/>
    <w:bookmarkStart w:id="99" w:name="modelo_de_baron_y_myerson_1982"/>
    <w:p>
      <w:pPr>
        <w:pStyle w:val="Heading4"/>
      </w:pPr>
      <w:r>
        <w:t xml:space="preserve">Modelo de</w:t>
      </w:r>
      <w:r>
        <w:t xml:space="preserve"> </w:t>
      </w:r>
      <w:r>
        <w:rPr>
          <w:smallCaps/>
        </w:rPr>
        <w:t xml:space="preserve">Baron</w:t>
      </w:r>
      <w:r>
        <w:t xml:space="preserve"> </w:t>
      </w:r>
      <w:r>
        <w:t xml:space="preserve">y</w:t>
      </w:r>
      <w:r>
        <w:t xml:space="preserve"> </w:t>
      </w:r>
      <w:r>
        <w:rPr>
          <w:smallCaps/>
        </w:rPr>
        <w:t xml:space="preserve">Myerson</w:t>
      </w:r>
      <w:r>
        <w:t xml:space="preserve"> </w:t>
      </w:r>
      <w:r>
        <w:t xml:space="preserve">(1982)</w:t>
      </w:r>
    </w:p>
    <w:bookmarkStart w:id="90" w:name="a_idea_3"/>
    <w:p>
      <w:pPr>
        <w:pStyle w:val="Heading5"/>
      </w:pPr>
      <w:r>
        <w:t xml:space="preserve">a) Idea</w:t>
      </w:r>
    </w:p>
    <w:p>
      <w:pPr>
        <w:numPr>
          <w:ilvl w:val="0"/>
          <w:numId w:val="1051"/>
        </w:numPr>
      </w:pPr>
      <w:r>
        <w:t xml:space="preserve">En</w:t>
      </w:r>
      <w:r>
        <w:t xml:space="preserve"> </w:t>
      </w:r>
      <w:r>
        <w:rPr>
          <w:smallCaps/>
        </w:rPr>
        <w:t xml:space="preserve">Baron</w:t>
      </w:r>
      <w:r>
        <w:t xml:space="preserve"> </w:t>
      </w:r>
      <w:r>
        <w:t xml:space="preserve">y</w:t>
      </w:r>
      <w:r>
        <w:t xml:space="preserve"> </w:t>
      </w:r>
      <w:r>
        <w:rPr>
          <w:smallCaps/>
        </w:rPr>
        <w:t xml:space="preserve">Myerson</w:t>
      </w:r>
      <w:r>
        <w:t xml:space="preserve"> </w:t>
      </w:r>
      <w:r>
        <w:t xml:space="preserve">(</w:t>
      </w:r>
      <w:hyperlink w:anchor="ref_BaronMyerson1982Regulating">
        <w:r>
          <w:rPr>
            <w:rStyle w:val="Hyperlink"/>
          </w:rPr>
          <w:t xml:space="preserve">1982</w:t>
        </w:r>
      </w:hyperlink>
      <w:r>
        <w:t xml:space="preserve">)</w:t>
      </w:r>
      <w:r>
        <w:t xml:space="preserve"> </w:t>
      </w:r>
      <w:r>
        <w:t xml:space="preserve">la regulación es un problema de selección adversa en el que el regulador pondera el beneficio empresarial por debajo del excedente de los consumidores. Ceder rentas tiene, pues, un coste, y hay que decidir cuánta eficiencia se sacrifica para reducirlas.</w:t>
      </w:r>
    </w:p>
    <w:bookmarkEnd w:id="90"/>
    <w:bookmarkStart w:id="96" w:name="b_modelo_2"/>
    <w:p>
      <w:pPr>
        <w:pStyle w:val="Heading5"/>
      </w:pPr>
      <w:r>
        <w:t xml:space="preserve">b) Modelo</w:t>
      </w:r>
    </w:p>
    <w:p>
      <w:pPr>
        <w:pStyle w:val="FirstParagraph"/>
        <w:keepNext/>
      </w:pPr>
      <w:r>
        <w:rPr>
          <w:i/>
          <w:iCs/>
        </w:rPr>
        <w:t xml:space="preserve">i) Supuestos</w:t>
      </w:r>
    </w:p>
    <w:p>
      <w:pPr>
        <w:numPr>
          <w:ilvl w:val="0"/>
          <w:numId w:val="1052"/>
        </w:numPr>
      </w:pPr>
      <w:r>
        <w:t xml:space="preserve">La empresa tiene un coste marginal constante que solo ella conoce: bajo,</w:t>
      </w:r>
      <w:r>
        <w:t xml:space="preserve"> </w:t>
      </w:r>
      <m:oMath>
        <m:bar>
          <m:barPr>
            <m:pos m:val="bot"/>
          </m:barPr>
          <m:e>
            <m:r>
              <m:t>β</m:t>
            </m:r>
          </m:e>
        </m:bar>
      </m:oMath>
      <w:r>
        <w:t xml:space="preserve">, con probabilidad</w:t>
      </w:r>
      <w:r>
        <w:t xml:space="preserve"> </w:t>
      </w:r>
      <m:oMath>
        <m:r>
          <m:t>ν</m:t>
        </m:r>
      </m:oMath>
      <w:r>
        <w:t xml:space="preserve">, o alto,</w:t>
      </w:r>
      <w:r>
        <w:t xml:space="preserve"> </w:t>
      </w:r>
      <m:oMath>
        <m:bar>
          <m:barPr>
            <m:pos m:val="top"/>
          </m:barPr>
          <m:e>
            <m:r>
              <m:t>β</m:t>
            </m:r>
          </m:e>
        </m:bar>
      </m:oMath>
      <w:r>
        <w:t xml:space="preserve">, con probabilidad</w:t>
      </w:r>
      <w:r>
        <w:t xml:space="preserve"> </w:t>
      </w:r>
      <m:oMath>
        <m:r>
          <m:t>1</m:t>
        </m:r>
        <m:r>
          <m:rPr>
            <m:sty m:val="p"/>
          </m:rPr>
          <m:t>−</m:t>
        </m:r>
        <m:r>
          <m:t>ν</m:t>
        </m:r>
      </m:oMath>
      <w:r>
        <w:t xml:space="preserve">, con</w:t>
      </w:r>
      <w:r>
        <w:t xml:space="preserve"> </w:t>
      </w:r>
      <m:oMath>
        <m:r>
          <m:t>Δ</m:t>
        </m:r>
        <m:r>
          <m:t>β</m:t>
        </m:r>
        <m:r>
          <m:rPr>
            <m:sty m:val="p"/>
          </m:rPr>
          <m:t>≡</m:t>
        </m:r>
        <m:bar>
          <m:barPr>
            <m:pos m:val="top"/>
          </m:barPr>
          <m:e>
            <m:r>
              <m:t>β</m:t>
            </m:r>
          </m:e>
        </m:bar>
        <m:r>
          <m:rPr>
            <m:sty m:val="p"/>
          </m:rPr>
          <m:t>−</m:t>
        </m:r>
        <m:bar>
          <m:barPr>
            <m:pos m:val="bot"/>
          </m:barPr>
          <m:e>
            <m:r>
              <m:t>β</m:t>
            </m:r>
          </m:e>
        </m:bar>
        <m:r>
          <m:rPr>
            <m:sty m:val="p"/>
          </m:rPr>
          <m:t>&gt;</m:t>
        </m:r>
        <m:r>
          <m:t>0</m:t>
        </m:r>
      </m:oMath>
      <w:r>
        <w:t xml:space="preserve">. La distribución es conocimiento común.</w:t>
      </w:r>
    </w:p>
    <w:p>
      <w:pPr>
        <w:numPr>
          <w:ilvl w:val="0"/>
          <w:numId w:val="1052"/>
        </w:numPr>
      </w:pPr>
      <w:r>
        <w:t xml:space="preserve">A cada tipo se le propone un par cantidad-pago,</w:t>
      </w:r>
      <w:r>
        <w:t xml:space="preserve"> </w:t>
      </w:r>
      <m:oMath>
        <m:d>
          <m:dPr>
            <m:begChr m:val="("/>
            <m:sepChr m:val=""/>
            <m:endChr m:val=")"/>
            <m:grow/>
          </m:dPr>
          <m:e>
            <m:bar>
              <m:barPr>
                <m:pos m:val="bot"/>
              </m:barPr>
              <m:e>
                <m:r>
                  <m:t>q</m:t>
                </m:r>
              </m:e>
            </m:bar>
            <m:r>
              <m:rPr>
                <m:sty m:val="p"/>
              </m:rPr>
              <m:t>,</m:t>
            </m:r>
            <m:bar>
              <m:barPr>
                <m:pos m:val="bot"/>
              </m:barPr>
              <m:e>
                <m:r>
                  <m:t>t</m:t>
                </m:r>
              </m:e>
            </m:bar>
          </m:e>
        </m:d>
      </m:oMath>
      <w:r>
        <w:t xml:space="preserve"> </w:t>
      </w:r>
      <w:r>
        <w:t xml:space="preserve">y</w:t>
      </w:r>
      <w:r>
        <w:t xml:space="preserve"> </w:t>
      </w:r>
      <m:oMath>
        <m:d>
          <m:dPr>
            <m:begChr m:val="("/>
            <m:sepChr m:val=""/>
            <m:endChr m:val=")"/>
            <m:grow/>
          </m:dPr>
          <m:e>
            <m:bar>
              <m:barPr>
                <m:pos m:val="top"/>
              </m:barPr>
              <m:e>
                <m:r>
                  <m:t>q</m:t>
                </m:r>
              </m:e>
            </m:bar>
            <m:r>
              <m:rPr>
                <m:sty m:val="p"/>
              </m:rPr>
              <m:t>,</m:t>
            </m:r>
            <m:bar>
              <m:barPr>
                <m:pos m:val="top"/>
              </m:barPr>
              <m:e>
                <m:r>
                  <m:t>t</m:t>
                </m:r>
              </m:e>
            </m:bar>
          </m:e>
        </m:d>
      </m:oMath>
      <w:r>
        <w:t xml:space="preserve">, y su renta es lo que cobra menos lo que gasta:</w:t>
      </w:r>
      <w:r>
        <w:t xml:space="preserve"> </w:t>
      </w:r>
      <m:oMath>
        <m:bar>
          <m:barPr>
            <m:pos m:val="bot"/>
          </m:barPr>
          <m:e>
            <m:r>
              <m:t>U</m:t>
            </m:r>
          </m:e>
        </m:bar>
        <m:r>
          <m:rPr>
            <m:sty m:val="p"/>
          </m:rPr>
          <m:t>=</m:t>
        </m:r>
        <m:bar>
          <m:barPr>
            <m:pos m:val="bot"/>
          </m:barPr>
          <m:e>
            <m:r>
              <m:t>t</m:t>
            </m:r>
          </m:e>
        </m:bar>
        <m:r>
          <m:rPr>
            <m:sty m:val="p"/>
          </m:rPr>
          <m:t>−</m:t>
        </m:r>
        <m:bar>
          <m:barPr>
            <m:pos m:val="bot"/>
          </m:barPr>
          <m:e>
            <m:r>
              <m:t>β</m:t>
            </m:r>
          </m:e>
        </m:bar>
        <m:r>
          <m:t> </m:t>
        </m:r>
        <m:bar>
          <m:barPr>
            <m:pos m:val="bot"/>
          </m:barPr>
          <m:e>
            <m:r>
              <m:t>q</m:t>
            </m:r>
          </m:e>
        </m:bar>
      </m:oMath>
      <w:r>
        <w:t xml:space="preserve"> </w:t>
      </w:r>
      <w:r>
        <w:t xml:space="preserve">y</w:t>
      </w:r>
      <w:r>
        <w:t xml:space="preserve"> </w:t>
      </w:r>
      <m:oMath>
        <m:bar>
          <m:barPr>
            <m:pos m:val="top"/>
          </m:barPr>
          <m:e>
            <m:r>
              <m:t>U</m:t>
            </m:r>
          </m:e>
        </m:bar>
        <m:r>
          <m:rPr>
            <m:sty m:val="p"/>
          </m:rPr>
          <m:t>=</m:t>
        </m:r>
        <m:bar>
          <m:barPr>
            <m:pos m:val="top"/>
          </m:barPr>
          <m:e>
            <m:r>
              <m:t>t</m:t>
            </m:r>
          </m:e>
        </m:bar>
        <m:r>
          <m:rPr>
            <m:sty m:val="p"/>
          </m:rPr>
          <m:t>−</m:t>
        </m:r>
        <m:bar>
          <m:barPr>
            <m:pos m:val="top"/>
          </m:barPr>
          <m:e>
            <m:r>
              <m:t>β</m:t>
            </m:r>
          </m:e>
        </m:bar>
        <m:r>
          <m:t> </m:t>
        </m:r>
        <m:bar>
          <m:barPr>
            <m:pos m:val="top"/>
          </m:barPr>
          <m:e>
            <m:r>
              <m:t>q</m:t>
            </m:r>
          </m:e>
        </m:bar>
      </m:oMath>
      <w:r>
        <w:t xml:space="preserve">.</w:t>
      </w:r>
    </w:p>
    <w:p>
      <w:pPr>
        <w:numPr>
          <w:ilvl w:val="0"/>
          <w:numId w:val="1052"/>
        </w:numPr>
      </w:pPr>
      <w:r>
        <w:t xml:space="preserve">El bienestar es</w:t>
      </w:r>
      <w:r>
        <w:t xml:space="preserve"> </w:t>
      </w:r>
      <m:oMath>
        <m:r>
          <m:t>S</m:t>
        </m:r>
        <m:d>
          <m:dPr>
            <m:begChr m:val="("/>
            <m:sepChr m:val=""/>
            <m:endChr m:val=")"/>
            <m:grow/>
          </m:dPr>
          <m:e>
            <m:r>
              <m:t>q</m:t>
            </m:r>
          </m:e>
        </m:d>
        <m:r>
          <m:rPr>
            <m:sty m:val="p"/>
          </m:rPr>
          <m:t>−</m:t>
        </m:r>
        <m:r>
          <m:t>t</m:t>
        </m:r>
        <m:r>
          <m:rPr>
            <m:sty m:val="p"/>
          </m:rPr>
          <m:t>+</m:t>
        </m:r>
        <m:r>
          <m:t>α</m:t>
        </m:r>
        <m:r>
          <m:t> </m:t>
        </m:r>
        <m:r>
          <m:t>U</m:t>
        </m:r>
      </m:oMath>
      <w:r>
        <w:t xml:space="preserve">, con</w:t>
      </w:r>
      <w:r>
        <w:t xml:space="preserve"> </w:t>
      </w:r>
      <m:oMath>
        <m:r>
          <m:t>α</m:t>
        </m:r>
        <m:r>
          <m:rPr>
            <m:sty m:val="p"/>
          </m:rPr>
          <m:t>∈</m:t>
        </m:r>
        <m:r>
          <m:rPr>
            <m:sty m:val="p"/>
          </m:rPr>
          <m:t>[</m:t>
        </m:r>
        <m:r>
          <m:t>0</m:t>
        </m:r>
        <m:r>
          <m:rPr>
            <m:sty m:val="p"/>
          </m:rPr>
          <m:t>,</m:t>
        </m:r>
        <m:r>
          <m:t>1</m:t>
        </m:r>
        <m:r>
          <m:rPr>
            <m:sty m:val="p"/>
          </m:rPr>
          <m:t>)</m:t>
        </m:r>
      </m:oMath>
      <w:r>
        <w:t xml:space="preserve"> </w:t>
      </w:r>
      <w:r>
        <w:t xml:space="preserve">el peso del beneficio de la empresa: un euro de renta resta</w:t>
      </w:r>
      <w:r>
        <w:t xml:space="preserve"> </w:t>
      </w:r>
      <m:oMath>
        <m:r>
          <m:t>1</m:t>
        </m:r>
        <m:r>
          <m:rPr>
            <m:sty m:val="p"/>
          </m:rPr>
          <m:t>−</m:t>
        </m:r>
        <m:r>
          <m:t>α</m:t>
        </m:r>
      </m:oMath>
      <w:r>
        <w:t xml:space="preserve"> </w:t>
      </w:r>
      <w:r>
        <w:t xml:space="preserve">de bienestar.</w:t>
      </w:r>
    </w:p>
    <w:p>
      <w:pPr>
        <w:pStyle w:val="FirstParagraph"/>
        <w:keepNext/>
      </w:pPr>
      <w:r>
        <w:rPr>
          <w:i/>
          <w:iCs/>
        </w:rPr>
        <w:t xml:space="preserve">ii) Desarrollo</w:t>
      </w:r>
    </w:p>
    <w:p>
      <w:pPr>
        <w:numPr>
          <w:ilvl w:val="0"/>
          <w:numId w:val="1053"/>
        </w:numPr>
      </w:pPr>
      <w:r>
        <w:t xml:space="preserve">El regulador maximiza el bienestar esperado con una restricción de participación y otra de compatibilidad de incentivos por tipo:</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bar>
                      <m:barPr>
                        <m:pos m:val="bot"/>
                      </m:barPr>
                      <m:e>
                        <m:r>
                          <m:t>q</m:t>
                        </m:r>
                      </m:e>
                    </m:bar>
                    <m:r>
                      <m:rPr>
                        <m:sty m:val="p"/>
                      </m:rPr>
                      <m:t>,</m:t>
                    </m:r>
                    <m:bar>
                      <m:barPr>
                        <m:pos m:val="top"/>
                      </m:barPr>
                      <m:e>
                        <m:r>
                          <m:t>q</m:t>
                        </m:r>
                      </m:e>
                    </m:bar>
                    <m:r>
                      <m:rPr>
                        <m:sty m:val="p"/>
                      </m:rPr>
                      <m:t>,</m:t>
                    </m:r>
                    <m:bar>
                      <m:barPr>
                        <m:pos m:val="bot"/>
                      </m:barPr>
                      <m:e>
                        <m:r>
                          <m:t>U</m:t>
                        </m:r>
                      </m:e>
                    </m:bar>
                    <m:r>
                      <m:rPr>
                        <m:sty m:val="p"/>
                      </m:rPr>
                      <m:t>,</m:t>
                    </m:r>
                    <m:bar>
                      <m:barPr>
                        <m:pos m:val="top"/>
                      </m:barPr>
                      <m:e>
                        <m:r>
                          <m:t>U</m:t>
                        </m:r>
                      </m:e>
                    </m:bar>
                  </m:lim>
                </m:limLow>
              </m:e>
              <m:e>
                <m:r>
                  <m:t>ν</m:t>
                </m:r>
                <m:d>
                  <m:dPr>
                    <m:begChr m:val="["/>
                    <m:sepChr m:val=""/>
                    <m:endChr m:val="]"/>
                    <m:grow/>
                  </m:dPr>
                  <m:e>
                    <m:r>
                      <m:t>S</m:t>
                    </m:r>
                    <m:d>
                      <m:dPr>
                        <m:begChr m:val="("/>
                        <m:sepChr m:val=""/>
                        <m:endChr m:val=")"/>
                        <m:grow/>
                      </m:dPr>
                      <m:e>
                        <m:bar>
                          <m:barPr>
                            <m:pos m:val="bot"/>
                          </m:barPr>
                          <m:e>
                            <m:r>
                              <m:t>q</m:t>
                            </m:r>
                          </m:e>
                        </m:bar>
                      </m:e>
                    </m:d>
                    <m:r>
                      <m:rPr>
                        <m:sty m:val="p"/>
                      </m:rPr>
                      <m:t>−</m:t>
                    </m:r>
                    <m:bar>
                      <m:barPr>
                        <m:pos m:val="bot"/>
                      </m:barPr>
                      <m:e>
                        <m:r>
                          <m:t>β</m:t>
                        </m:r>
                      </m:e>
                    </m:bar>
                    <m:r>
                      <m:t> </m:t>
                    </m:r>
                    <m:bar>
                      <m:barPr>
                        <m:pos m:val="bot"/>
                      </m:barPr>
                      <m:e>
                        <m:r>
                          <m:t>q</m:t>
                        </m:r>
                      </m:e>
                    </m:bar>
                    <m:r>
                      <m:rPr>
                        <m:sty m:val="p"/>
                      </m:rPr>
                      <m:t>−</m:t>
                    </m:r>
                    <m:d>
                      <m:dPr>
                        <m:begChr m:val="("/>
                        <m:sepChr m:val=""/>
                        <m:endChr m:val=")"/>
                        <m:grow/>
                      </m:dPr>
                      <m:e>
                        <m:r>
                          <m:t>1</m:t>
                        </m:r>
                        <m:r>
                          <m:rPr>
                            <m:sty m:val="p"/>
                          </m:rPr>
                          <m:t>−</m:t>
                        </m:r>
                        <m:r>
                          <m:t>α</m:t>
                        </m:r>
                      </m:e>
                    </m:d>
                    <m:r>
                      <m:t> </m:t>
                    </m:r>
                    <m:bar>
                      <m:barPr>
                        <m:pos m:val="bot"/>
                      </m:barPr>
                      <m:e>
                        <m:r>
                          <m:t>U</m:t>
                        </m:r>
                      </m:e>
                    </m:bar>
                  </m:e>
                </m:d>
                <m:r>
                  <m:rPr>
                    <m:sty m:val="p"/>
                  </m:rPr>
                  <m:t>+</m:t>
                </m:r>
                <m:d>
                  <m:dPr>
                    <m:begChr m:val="("/>
                    <m:sepChr m:val=""/>
                    <m:endChr m:val=")"/>
                    <m:grow/>
                  </m:dPr>
                  <m:e>
                    <m:r>
                      <m:t>1</m:t>
                    </m:r>
                    <m:r>
                      <m:rPr>
                        <m:sty m:val="p"/>
                      </m:rPr>
                      <m:t>−</m:t>
                    </m:r>
                    <m:r>
                      <m:t>ν</m:t>
                    </m:r>
                  </m:e>
                </m:d>
                <m:d>
                  <m:dPr>
                    <m:begChr m:val="["/>
                    <m:sepChr m:val=""/>
                    <m:endChr m:val="]"/>
                    <m:grow/>
                  </m:dPr>
                  <m:e>
                    <m:r>
                      <m:t>S</m:t>
                    </m:r>
                    <m:d>
                      <m:dPr>
                        <m:begChr m:val="("/>
                        <m:sepChr m:val=""/>
                        <m:endChr m:val=")"/>
                        <m:grow/>
                      </m:dPr>
                      <m:e>
                        <m:bar>
                          <m:barPr>
                            <m:pos m:val="top"/>
                          </m:barPr>
                          <m:e>
                            <m:r>
                              <m:t>q</m:t>
                            </m:r>
                          </m:e>
                        </m:bar>
                      </m:e>
                    </m:d>
                    <m:r>
                      <m:rPr>
                        <m:sty m:val="p"/>
                      </m:rPr>
                      <m:t>−</m:t>
                    </m:r>
                    <m:bar>
                      <m:barPr>
                        <m:pos m:val="top"/>
                      </m:barPr>
                      <m:e>
                        <m:r>
                          <m:t>β</m:t>
                        </m:r>
                      </m:e>
                    </m:bar>
                    <m:r>
                      <m:t> </m:t>
                    </m:r>
                    <m:bar>
                      <m:barPr>
                        <m:pos m:val="top"/>
                      </m:barPr>
                      <m:e>
                        <m:r>
                          <m:t>q</m:t>
                        </m:r>
                      </m:e>
                    </m:bar>
                    <m:r>
                      <m:rPr>
                        <m:sty m:val="p"/>
                      </m:rPr>
                      <m:t>−</m:t>
                    </m:r>
                    <m:d>
                      <m:dPr>
                        <m:begChr m:val="("/>
                        <m:sepChr m:val=""/>
                        <m:endChr m:val=")"/>
                        <m:grow/>
                      </m:dPr>
                      <m:e>
                        <m:r>
                          <m:t>1</m:t>
                        </m:r>
                        <m:r>
                          <m:rPr>
                            <m:sty m:val="p"/>
                          </m:rPr>
                          <m:t>−</m:t>
                        </m:r>
                        <m:r>
                          <m:t>α</m:t>
                        </m:r>
                      </m:e>
                    </m:d>
                    <m:r>
                      <m:t> </m:t>
                    </m:r>
                    <m:bar>
                      <m:barPr>
                        <m:pos m:val="top"/>
                      </m:barPr>
                      <m:e>
                        <m:r>
                          <m:t>U</m:t>
                        </m:r>
                      </m:e>
                    </m:bar>
                  </m:e>
                </m:d>
              </m:e>
            </m:mr>
            <m:mr>
              <m:e>
                <m:r>
                  <m:rPr>
                    <m:nor/>
                    <m:sty m:val="p"/>
                  </m:rPr>
                  <m:t>s.a.</m:t>
                </m:r>
              </m:e>
              <m:e>
                <m:bar>
                  <m:barPr>
                    <m:pos m:val="bot"/>
                  </m:barPr>
                  <m:e>
                    <m:r>
                      <m:t>U</m:t>
                    </m:r>
                  </m:e>
                </m:bar>
                <m:r>
                  <m:rPr>
                    <m:sty m:val="p"/>
                  </m:rPr>
                  <m:t>≥</m:t>
                </m:r>
                <m:bar>
                  <m:barPr>
                    <m:pos m:val="top"/>
                  </m:barPr>
                  <m:e>
                    <m:r>
                      <m:t>U</m:t>
                    </m:r>
                  </m:e>
                </m:bar>
                <m:r>
                  <m:rPr>
                    <m:sty m:val="p"/>
                  </m:rPr>
                  <m:t>+</m:t>
                </m:r>
                <m:r>
                  <m:t>Δ</m:t>
                </m:r>
                <m:r>
                  <m:t>β</m:t>
                </m:r>
                <m:r>
                  <m:t> </m:t>
                </m:r>
                <m:bar>
                  <m:barPr>
                    <m:pos m:val="top"/>
                  </m:barPr>
                  <m:e>
                    <m:r>
                      <m:t>q</m:t>
                    </m:r>
                  </m:e>
                </m:bar>
                <m:r>
                  <m:t> </m:t>
                </m:r>
                <m:d>
                  <m:dPr>
                    <m:begChr m:val="("/>
                    <m:sepChr m:val=""/>
                    <m:endChr m:val=")"/>
                    <m:grow/>
                  </m:dPr>
                  <m:e>
                    <m:sSub>
                      <m:e>
                        <m:r>
                          <m:rPr>
                            <m:sty m:val="p"/>
                          </m:rPr>
                          <m:t>I</m:t>
                        </m:r>
                        <m:r>
                          <m:rPr>
                            <m:sty m:val="p"/>
                          </m:rPr>
                          <m:t>C</m:t>
                        </m:r>
                      </m:e>
                      <m:sub>
                        <m:r>
                          <m:t>1</m:t>
                        </m:r>
                      </m:sub>
                    </m:sSub>
                  </m:e>
                </m:d>
              </m:e>
            </m:mr>
            <m:mr>
              <m:e/>
              <m:e>
                <m:bar>
                  <m:barPr>
                    <m:pos m:val="top"/>
                  </m:barPr>
                  <m:e>
                    <m:r>
                      <m:t>U</m:t>
                    </m:r>
                  </m:e>
                </m:bar>
                <m:r>
                  <m:rPr>
                    <m:sty m:val="p"/>
                  </m:rPr>
                  <m:t>≥</m:t>
                </m:r>
                <m:bar>
                  <m:barPr>
                    <m:pos m:val="bot"/>
                  </m:barPr>
                  <m:e>
                    <m:r>
                      <m:t>U</m:t>
                    </m:r>
                  </m:e>
                </m:bar>
                <m:r>
                  <m:rPr>
                    <m:sty m:val="p"/>
                  </m:rPr>
                  <m:t>−</m:t>
                </m:r>
                <m:r>
                  <m:t>Δ</m:t>
                </m:r>
                <m:r>
                  <m:t>β</m:t>
                </m:r>
                <m:r>
                  <m:t> </m:t>
                </m:r>
                <m:bar>
                  <m:barPr>
                    <m:pos m:val="bot"/>
                  </m:barPr>
                  <m:e>
                    <m:r>
                      <m:t>q</m:t>
                    </m:r>
                  </m:e>
                </m:bar>
                <m:r>
                  <m:t> </m:t>
                </m:r>
                <m:d>
                  <m:dPr>
                    <m:begChr m:val="("/>
                    <m:sepChr m:val=""/>
                    <m:endChr m:val=")"/>
                    <m:grow/>
                  </m:dPr>
                  <m:e>
                    <m:sSub>
                      <m:e>
                        <m:r>
                          <m:rPr>
                            <m:sty m:val="p"/>
                          </m:rPr>
                          <m:t>I</m:t>
                        </m:r>
                        <m:r>
                          <m:rPr>
                            <m:sty m:val="p"/>
                          </m:rPr>
                          <m:t>C</m:t>
                        </m:r>
                      </m:e>
                      <m:sub>
                        <m:r>
                          <m:t>2</m:t>
                        </m:r>
                      </m:sub>
                    </m:sSub>
                  </m:e>
                </m:d>
              </m:e>
            </m:mr>
            <m:mr>
              <m:e/>
              <m:e>
                <m:bar>
                  <m:barPr>
                    <m:pos m:val="bot"/>
                  </m:barPr>
                  <m:e>
                    <m:r>
                      <m:t>U</m:t>
                    </m:r>
                  </m:e>
                </m:bar>
                <m:r>
                  <m:rPr>
                    <m:sty m:val="p"/>
                  </m:rPr>
                  <m:t>≥</m:t>
                </m:r>
                <m:r>
                  <m:t>0</m:t>
                </m:r>
                <m:r>
                  <m:rPr>
                    <m:sty m:val="p"/>
                  </m:rPr>
                  <m:t>,</m:t>
                </m:r>
                <m:r>
                  <m:t> </m:t>
                </m:r>
                <m:bar>
                  <m:barPr>
                    <m:pos m:val="top"/>
                  </m:barPr>
                  <m:e>
                    <m:r>
                      <m:t>U</m:t>
                    </m:r>
                  </m:e>
                </m:bar>
                <m:r>
                  <m:rPr>
                    <m:sty m:val="p"/>
                  </m:rPr>
                  <m:t>≥</m:t>
                </m:r>
                <m:r>
                  <m:t>0</m:t>
                </m:r>
                <m:r>
                  <m:t> </m:t>
                </m:r>
                <m:d>
                  <m:dPr>
                    <m:begChr m:val="("/>
                    <m:sepChr m:val=""/>
                    <m:endChr m:val=")"/>
                    <m:grow/>
                  </m:dPr>
                  <m:e>
                    <m:sSub>
                      <m:e>
                        <m:r>
                          <m:rPr>
                            <m:sty m:val="p"/>
                          </m:rPr>
                          <m:t>P</m:t>
                        </m:r>
                        <m:r>
                          <m:rPr>
                            <m:sty m:val="p"/>
                          </m:rPr>
                          <m:t>C</m:t>
                        </m:r>
                      </m:e>
                      <m:sub>
                        <m:r>
                          <m:t>1</m:t>
                        </m:r>
                      </m:sub>
                    </m:sSub>
                    <m:r>
                      <m:rPr>
                        <m:sty m:val="p"/>
                      </m:rPr>
                      <m:t>,</m:t>
                    </m:r>
                    <m:r>
                      <m:t> </m:t>
                    </m:r>
                    <m:sSub>
                      <m:e>
                        <m:r>
                          <m:rPr>
                            <m:sty m:val="p"/>
                          </m:rPr>
                          <m:t>P</m:t>
                        </m:r>
                        <m:r>
                          <m:rPr>
                            <m:sty m:val="p"/>
                          </m:rPr>
                          <m:t>C</m:t>
                        </m:r>
                      </m:e>
                      <m:sub>
                        <m:r>
                          <m:t>2</m:t>
                        </m:r>
                      </m:sub>
                    </m:sSub>
                  </m:e>
                </m:d>
              </m:e>
            </m:mr>
          </m:m>
        </m:oMath>
      </m:oMathPara>
    </w:p>
    <w:p>
      <w:pPr>
        <w:numPr>
          <w:ilvl w:val="0"/>
          <w:numId w:val="1000"/>
        </w:numPr>
      </w:pPr>
      <w:r>
        <w:t xml:space="preserve">La empresa eficiente siempre puede elegir el contrato de la ineficiente y producir</w:t>
      </w:r>
      <w:r>
        <w:t xml:space="preserve"> </w:t>
      </w:r>
      <m:oMath>
        <m:bar>
          <m:barPr>
            <m:pos m:val="top"/>
          </m:barPr>
          <m:e>
            <m:r>
              <m:t>q</m:t>
            </m:r>
          </m:e>
        </m:bar>
      </m:oMath>
      <w:r>
        <w:t xml:space="preserve"> </w:t>
      </w:r>
      <w:r>
        <w:t xml:space="preserve">con un coste</w:t>
      </w:r>
      <w:r>
        <w:t xml:space="preserve"> </w:t>
      </w:r>
      <m:oMath>
        <m:r>
          <m:t>Δ</m:t>
        </m:r>
        <m:r>
          <m:t>β</m:t>
        </m:r>
      </m:oMath>
      <w:r>
        <w:t xml:space="preserve"> </w:t>
      </w:r>
      <w:r>
        <w:t xml:space="preserve">menor por unidad: de ahí</w:t>
      </w:r>
      <w:r>
        <w:t xml:space="preserve"> </w:t>
      </w:r>
      <m:oMath>
        <m:sSub>
          <m:e>
            <m:r>
              <m:rPr>
                <m:sty m:val="p"/>
              </m:rPr>
              <m:t>I</m:t>
            </m:r>
            <m:r>
              <m:rPr>
                <m:sty m:val="p"/>
              </m:rPr>
              <m:t>C</m:t>
            </m:r>
          </m:e>
          <m:sub>
            <m:r>
              <m:t>1</m:t>
            </m:r>
          </m:sub>
        </m:sSub>
      </m:oMath>
      <w:r>
        <w:t xml:space="preserve">.</w:t>
      </w:r>
    </w:p>
    <w:p>
      <w:pPr>
        <w:numPr>
          <w:ilvl w:val="0"/>
          <w:numId w:val="1053"/>
        </w:numPr>
      </w:pPr>
      <w:r>
        <w:t xml:space="preserve">En el óptimo solo aprietan la compatibilidad de incentivos de la eficiente y la participación de la ineficiente (anexo </w:t>
      </w:r>
      <w:hyperlink w:anchor="anexo_baron_myerson">
        <w:r>
          <w:rPr>
            <w:rStyle w:val="Hyperlink"/>
          </w:rPr>
          <w:t xml:space="preserve">A.2</w:t>
        </w:r>
      </w:hyperlink>
      <w:r>
        <w:t xml:space="preserve">):</w:t>
      </w:r>
      <w:r>
        <w:t xml:space="preserve"> </w:t>
      </w:r>
      <w:bookmarkStart w:id="91" w:name="eq_baron_myerson"/>
      <w:bookmarkEnd w:id="91"/>
    </w:p>
    <w:p>
      <w:pPr>
        <w:pStyle w:val="BodyText"/>
      </w:pPr>
      <m:oMathPara>
        <m:oMathParaPr>
          <m:jc m:val="center"/>
        </m:oMathParaPr>
        <m:oMath>
          <m:bar>
            <m:barPr>
              <m:pos m:val="top"/>
            </m:barPr>
            <m:e>
              <m:r>
                <m:t>U</m:t>
              </m:r>
            </m:e>
          </m:bar>
          <m:r>
            <m:rPr>
              <m:sty m:val="p"/>
            </m:rPr>
            <m:t>=</m:t>
          </m:r>
          <m:r>
            <m:t>0</m:t>
          </m:r>
          <m:r>
            <m:rPr>
              <m:sty m:val="p"/>
            </m:rPr>
            <m:t>,</m:t>
          </m:r>
          <m:r>
            <m:t>  </m:t>
          </m:r>
          <m:bar>
            <m:barPr>
              <m:pos m:val="bot"/>
            </m:barPr>
            <m:e>
              <m:r>
                <m:t>U</m:t>
              </m:r>
            </m:e>
          </m:bar>
          <m:r>
            <m:rPr>
              <m:sty m:val="p"/>
            </m:rPr>
            <m:t>=</m:t>
          </m:r>
          <m:r>
            <m:t>Δ</m:t>
          </m:r>
          <m:r>
            <m:t>β</m:t>
          </m:r>
          <m:r>
            <m:t> </m:t>
          </m:r>
          <m:bar>
            <m:barPr>
              <m:pos m:val="top"/>
            </m:barPr>
            <m:e>
              <m:r>
                <m:t>q</m:t>
              </m:r>
            </m:e>
          </m:bar>
          <m:r>
            <m:rPr>
              <m:sty m:val="p"/>
            </m:rPr>
            <m:t>;</m:t>
          </m:r>
          <m:r>
            <m:t>  </m:t>
          </m:r>
          <m:r>
            <m:t>  </m:t>
          </m:r>
          <m:r>
            <m:t>p</m:t>
          </m:r>
          <m:d>
            <m:dPr>
              <m:begChr m:val="("/>
              <m:sepChr m:val=""/>
              <m:endChr m:val=")"/>
              <m:grow/>
            </m:dPr>
            <m:e>
              <m:bar>
                <m:barPr>
                  <m:pos m:val="bot"/>
                </m:barPr>
                <m:e>
                  <m:r>
                    <m:t>q</m:t>
                  </m:r>
                </m:e>
              </m:bar>
            </m:e>
          </m:d>
          <m:r>
            <m:rPr>
              <m:sty m:val="p"/>
            </m:rPr>
            <m:t>=</m:t>
          </m:r>
          <m:bar>
            <m:barPr>
              <m:pos m:val="bot"/>
            </m:barPr>
            <m:e>
              <m:r>
                <m:t>β</m:t>
              </m:r>
            </m:e>
          </m:bar>
          <m:r>
            <m:rPr>
              <m:sty m:val="p"/>
            </m:rPr>
            <m:t>,</m:t>
          </m:r>
          <m:r>
            <m:t>  </m:t>
          </m:r>
          <m:r>
            <m:t>p</m:t>
          </m:r>
          <m:d>
            <m:dPr>
              <m:begChr m:val="("/>
              <m:sepChr m:val=""/>
              <m:endChr m:val=")"/>
              <m:grow/>
            </m:dPr>
            <m:e>
              <m:bar>
                <m:barPr>
                  <m:pos m:val="top"/>
                </m:barPr>
                <m:e>
                  <m:r>
                    <m:t>q</m:t>
                  </m:r>
                </m:e>
              </m:bar>
            </m:e>
          </m:d>
          <m:r>
            <m:rPr>
              <m:sty m:val="p"/>
            </m:rPr>
            <m:t>=</m:t>
          </m:r>
          <m:bar>
            <m:barPr>
              <m:pos m:val="top"/>
            </m:barPr>
            <m:e>
              <m:r>
                <m:t>β</m:t>
              </m:r>
            </m:e>
          </m:bar>
          <m:r>
            <m:rPr>
              <m:sty m:val="p"/>
            </m:rPr>
            <m:t>+</m:t>
          </m:r>
          <m:d>
            <m:dPr>
              <m:begChr m:val="("/>
              <m:sepChr m:val=""/>
              <m:endChr m:val=")"/>
              <m:grow/>
            </m:dPr>
            <m:e>
              <m:r>
                <m:t>1</m:t>
              </m:r>
              <m:r>
                <m:rPr>
                  <m:sty m:val="p"/>
                </m:rPr>
                <m:t>−</m:t>
              </m:r>
              <m:r>
                <m:t>α</m:t>
              </m:r>
            </m:e>
          </m:d>
          <m:r>
            <m:t> </m:t>
          </m:r>
          <m:f>
            <m:fPr>
              <m:type m:val="bar"/>
            </m:fPr>
            <m:num>
              <m:r>
                <m:t>ν</m:t>
              </m:r>
            </m:num>
            <m:den>
              <m:r>
                <m:t>1</m:t>
              </m:r>
              <m:r>
                <m:rPr>
                  <m:sty m:val="p"/>
                </m:rPr>
                <m:t>−</m:t>
              </m:r>
              <m:r>
                <m:t>ν</m:t>
              </m:r>
            </m:den>
          </m:f>
          <m:r>
            <m:t> </m:t>
          </m:r>
          <m:r>
            <m:t>Δ</m:t>
          </m:r>
          <m:r>
            <m:t>β</m:t>
          </m:r>
          <m:r>
            <m:rPr>
              <m:sty m:val="p"/>
            </m:rPr>
            <m:t>&gt;</m:t>
          </m:r>
          <m:bar>
            <m:barPr>
              <m:pos m:val="top"/>
            </m:barPr>
            <m:e>
              <m:r>
                <m:t>β</m:t>
              </m:r>
            </m:e>
          </m:bar>
          <m:r>
            <m:rPr>
              <m:sty m:val="p"/>
            </m:rPr>
            <m:t>.</m:t>
          </m:r>
        </m:oMath>
      </m:oMathPara>
    </w:p>
    <w:p>
      <w:pPr>
        <w:pStyle w:val="FirstParagraph"/>
        <w:keepNext/>
      </w:pPr>
      <w:r>
        <w:rPr>
          <w:i/>
          <w:iCs/>
        </w:rPr>
        <w:t xml:space="preserve">iii) Implicaciones</w:t>
      </w:r>
    </w:p>
    <w:p>
      <w:pPr>
        <w:numPr>
          <w:ilvl w:val="0"/>
          <w:numId w:val="1054"/>
        </w:numPr>
      </w:pPr>
      <w:r>
        <w:rPr>
          <w:i/>
          <w:iCs/>
        </w:rPr>
        <w:t xml:space="preserve">No hay distorsión arriba</w:t>
      </w:r>
      <w:r>
        <w:t xml:space="preserve">: la empresa eficiente produce la cantidad eficiente.</w:t>
      </w:r>
    </w:p>
    <w:p>
      <w:pPr>
        <w:numPr>
          <w:ilvl w:val="0"/>
          <w:numId w:val="1054"/>
        </w:numPr>
      </w:pPr>
      <w:r>
        <w:rPr>
          <w:i/>
          <w:iCs/>
        </w:rPr>
        <w:t xml:space="preserve">Distorsión abajo</w:t>
      </w:r>
      <w:r>
        <w:t xml:space="preserve">: a la ineficiente se le encarga menos cantidad, con un precio superior a su coste marginal, porque cada unidad suya obliga a ceder</w:t>
      </w:r>
      <w:r>
        <w:t xml:space="preserve"> </w:t>
      </w:r>
      <m:oMath>
        <m:r>
          <m:t>Δ</m:t>
        </m:r>
        <m:r>
          <m:t>β</m:t>
        </m:r>
      </m:oMath>
      <w:r>
        <w:t xml:space="preserve"> </w:t>
      </w:r>
      <w:r>
        <w:t xml:space="preserve">más de renta a la eficiente. El recargo sube con la probabilidad de la eficiente (</w:t>
      </w:r>
      <m:oMath>
        <m:r>
          <m:t>ν</m:t>
        </m:r>
      </m:oMath>
      <w:r>
        <w:t xml:space="preserve">), con la diferencia de costes (</w:t>
      </w:r>
      <m:oMath>
        <m:r>
          <m:t>Δ</m:t>
        </m:r>
        <m:r>
          <m:t>β</m:t>
        </m:r>
      </m:oMath>
      <w:r>
        <w:t xml:space="preserve">) y cuanto menos cuenta el beneficio (</w:t>
      </w:r>
      <m:oMath>
        <m:r>
          <m:t>α</m:t>
        </m:r>
      </m:oMath>
      <w:r>
        <w:t xml:space="preserve">); si</w:t>
      </w:r>
      <w:r>
        <w:t xml:space="preserve"> </w:t>
      </w:r>
      <m:oMath>
        <m:r>
          <m:t>α</m:t>
        </m:r>
        <m:r>
          <m:rPr>
            <m:sty m:val="p"/>
          </m:rPr>
          <m:t>=</m:t>
        </m:r>
        <m:r>
          <m:t>1</m:t>
        </m:r>
      </m:oMath>
      <w:r>
        <w:t xml:space="preserve">, las rentas no cuestan nada y la distorsión desaparece.</w:t>
      </w:r>
    </w:p>
    <w:p>
      <w:pPr>
        <w:keepNext/>
        <w:numPr>
          <w:ilvl w:val="0"/>
          <w:numId w:val="1054"/>
        </w:numPr>
      </w:pPr>
      <w:r>
        <w:t xml:space="preserve">La regulación óptima acepta</w:t>
      </w:r>
      <w:r>
        <w:t xml:space="preserve"> </w:t>
      </w:r>
      <w:r>
        <w:rPr>
          <w:i/>
          <w:iCs/>
        </w:rPr>
        <w:t xml:space="preserve">ineficiencia asignativa</w:t>
      </w:r>
      <w:r>
        <w:t xml:space="preserve"> </w:t>
      </w:r>
      <w:r>
        <w:t xml:space="preserve">para</w:t>
      </w:r>
      <w:r>
        <w:t xml:space="preserve"> </w:t>
      </w:r>
      <w:r>
        <w:rPr>
          <w:i/>
          <w:iCs/>
        </w:rPr>
        <w:t xml:space="preserve">extraer rentas</w:t>
      </w:r>
      <w:r>
        <w:t xml:space="preserve">: es el resultado de la discriminación de segundo grado</w:t>
      </w:r>
      <w:r>
        <w:t xml:space="preserve"> </w:t>
      </w:r>
      <w:hyperlink r:id="rId29">
        <w:r>
          <w:rPr>
            <w:rStyle w:val="Referenciaatema"/>
          </w:rPr>
          <w:t xml:space="preserve">[ver tema 3.A.17]</w:t>
        </w:r>
      </w:hyperlink>
      <w:r>
        <w:t xml:space="preserve"> </w:t>
      </w:r>
      <w:r>
        <w:t xml:space="preserve">y de la autoselección</w:t>
      </w:r>
      <w:r>
        <w:t xml:space="preserve"> </w:t>
      </w:r>
      <w:hyperlink r:id="rId60">
        <w:r>
          <w:rPr>
            <w:rStyle w:val="Referenciaatema"/>
          </w:rPr>
          <w:t xml:space="preserve">[ver tema 3.A.13]</w:t>
        </w:r>
      </w:hyperlink>
      <w:r>
        <w:t xml:space="preserve">, ahora con el regulador como principal.</w:t>
      </w:r>
    </w:p>
    <w:p>
      <w:pPr>
        <w:numPr>
          <w:ilvl w:val="1"/>
          <w:numId w:val="1055"/>
        </w:numPr>
      </w:pPr>
      <w:r>
        <w:t xml:space="preserve">Volvamos a Redes del Valle, ahora con un coste por unidad de 20 o de 40 euros (con la misma probabilidad), una demanda</w:t>
      </w:r>
      <w:r>
        <w:t xml:space="preserve"> </w:t>
      </w:r>
      <m:oMath>
        <m:r>
          <m:t>p</m:t>
        </m:r>
        <m:d>
          <m:dPr>
            <m:begChr m:val="("/>
            <m:sepChr m:val=""/>
            <m:endChr m:val=")"/>
            <m:grow/>
          </m:dPr>
          <m:e>
            <m:r>
              <m:t>q</m:t>
            </m:r>
          </m:e>
        </m:d>
        <m:r>
          <m:rPr>
            <m:sty m:val="p"/>
          </m:rPr>
          <m:t>=</m:t>
        </m:r>
        <m:r>
          <m:t>100</m:t>
        </m:r>
        <m:r>
          <m:rPr>
            <m:sty m:val="p"/>
          </m:rPr>
          <m:t>−</m:t>
        </m:r>
        <m:r>
          <m:t>q</m:t>
        </m:r>
      </m:oMath>
      <w:r>
        <w:t xml:space="preserve"> </w:t>
      </w:r>
      <w:r>
        <w:t xml:space="preserve">y un regulador que no valora su beneficio (</w:t>
      </w:r>
      <m:oMath>
        <m:r>
          <m:t>α</m:t>
        </m:r>
        <m:r>
          <m:rPr>
            <m:sty m:val="p"/>
          </m:rPr>
          <m:t>=</m:t>
        </m:r>
        <m:r>
          <m:t>0</m:t>
        </m:r>
      </m:oMath>
      <w:r>
        <w:t xml:space="preserve">). Con información completa produciría 80 si es eficiente y 60 si no. Con información asimétrica, a la ineficiente se le piden 40 al precio de 60 (</w:t>
      </w:r>
      <w:hyperlink w:anchor="eq_baron_myerson">
        <w:r>
          <w:rPr>
            <w:rStyle w:val="Hyperlink"/>
          </w:rPr>
          <w:t xml:space="preserve">7</w:t>
        </w:r>
      </w:hyperlink>
      <w:r>
        <w:t xml:space="preserve">); la eficiente produce 80 y se queda una renta de</w:t>
      </w:r>
      <w:r>
        <w:t xml:space="preserve"> </w:t>
      </w:r>
      <m:oMath>
        <m:r>
          <m:t>20</m:t>
        </m:r>
        <m:r>
          <m:rPr>
            <m:sty m:val="p"/>
          </m:rPr>
          <m:t>×</m:t>
        </m:r>
        <m:r>
          <m:t>40</m:t>
        </m:r>
        <m:r>
          <m:rPr>
            <m:sty m:val="p"/>
          </m:rPr>
          <m:t>=</m:t>
        </m:r>
        <m:r>
          <m:t>800</m:t>
        </m:r>
      </m:oMath>
      <w:r>
        <w:t xml:space="preserve">, en lugar de los</w:t>
      </w:r>
      <w:r>
        <w:t xml:space="preserve"> </w:t>
      </w:r>
      <m:oMath>
        <m:r>
          <m:t>20</m:t>
        </m:r>
        <m:r>
          <m:rPr>
            <m:sty m:val="p"/>
          </m:rPr>
          <m:t>×</m:t>
        </m:r>
        <m:r>
          <m:t>60</m:t>
        </m:r>
        <m:r>
          <m:rPr>
            <m:sty m:val="p"/>
          </m:rPr>
          <m:t>=</m:t>
        </m:r>
        <m:r>
          <m:t>1.200</m:t>
        </m:r>
      </m:oMath>
      <w:r>
        <w:t xml:space="preserve"> </w:t>
      </w:r>
      <w:r>
        <w:t xml:space="preserve">que tendría sin la distorsión (gráfico </w:t>
      </w:r>
      <w:hyperlink w:anchor="fig_baron_myerson">
        <w:r>
          <w:rPr>
            <w:rStyle w:val="Hyperlink"/>
          </w:rPr>
          <w:t xml:space="preserve">5</w:t>
        </w:r>
      </w:hyperlink>
      <w:r>
        <w:t xml:space="preserve">).</w:t>
      </w:r>
    </w:p>
    <w:bookmarkStart w:id="95" w:name="fig_baron_myerson"/>
    <w:p>
      <w:pPr>
        <w:pStyle w:val="ImageCaption"/>
      </w:pPr>
      <w:r>
        <w:t xml:space="preserve">Gráfico 5.–</w:t>
      </w:r>
      <w:r>
        <w:t xml:space="preserve"> </w:t>
      </w:r>
      <w:r>
        <w:rPr>
          <w:smallCaps/>
        </w:rPr>
        <w:t xml:space="preserve">Baron</w:t>
      </w:r>
      <w:r>
        <w:t xml:space="preserve">-</w:t>
      </w:r>
      <w:r>
        <w:rPr>
          <w:smallCaps/>
        </w:rPr>
        <w:t xml:space="preserve">Myerson</w:t>
      </w:r>
      <w:r>
        <w:t xml:space="preserve"> </w:t>
      </w:r>
      <w:r>
        <w:t xml:space="preserve">con 2 tipos: no hay distorsión arriba y la ineficiente produce menos para recortar la renta informativa</w:t>
      </w:r>
    </w:p>
    <w:p>
      <w:pPr>
        <w:pStyle w:val="CaptionedFigure"/>
      </w:pPr>
      <w:r>
        <w:drawing>
          <wp:inline>
            <wp:extent cx="3391537" cy="2354809"/>
            <wp:effectExtent b="0" l="0" r="0" t="0"/>
            <wp:docPr descr="Gráfico 5.– Baron-Myerson con 2 tipos: no hay distorsión arriba y la ineficiente produce menos para recortar la renta informativa" title="" id="93" name="Picture"/>
            <a:graphic>
              <a:graphicData uri="http://schemas.openxmlformats.org/drawingml/2006/picture">
                <pic:pic>
                  <pic:nvPicPr>
                    <pic:cNvPr descr="C:\Users\vgutierrez\Documents\src\victorgutierrezmarcos.github.io-revision\oposicion\temario\fuentes\3A20\graficos/baron-myerson.png" id="94" name="Picture"/>
                    <pic:cNvPicPr>
                      <a:picLocks noChangeArrowheads="1" noChangeAspect="1"/>
                    </pic:cNvPicPr>
                  </pic:nvPicPr>
                  <pic:blipFill>
                    <a:blip r:embed="rId92"/>
                    <a:stretch>
                      <a:fillRect/>
                    </a:stretch>
                  </pic:blipFill>
                  <pic:spPr bwMode="auto">
                    <a:xfrm>
                      <a:off x="0" y="0"/>
                      <a:ext cx="3391537" cy="2354809"/>
                    </a:xfrm>
                    <a:prstGeom prst="rect">
                      <a:avLst/>
                    </a:prstGeom>
                    <a:noFill/>
                    <a:ln w="9525">
                      <a:noFill/>
                      <a:headEnd/>
                      <a:tailEnd/>
                    </a:ln>
                  </pic:spPr>
                </pic:pic>
              </a:graphicData>
            </a:graphic>
          </wp:inline>
        </w:drawing>
      </w:r>
    </w:p>
    <w:bookmarkEnd w:id="95"/>
    <w:p>
      <w:pPr>
        <w:pStyle w:val="Piedeimagen"/>
      </w:pPr>
      <w:r>
        <w:t xml:space="preserve">Fuente: elaboración propia a partir de</w:t>
      </w:r>
      <w:r>
        <w:t xml:space="preserve"> </w:t>
      </w:r>
      <w:r>
        <w:rPr>
          <w:smallCaps/>
        </w:rPr>
        <w:t xml:space="preserve">Baron</w:t>
      </w:r>
      <w:r>
        <w:t xml:space="preserve"> </w:t>
      </w:r>
      <w:r>
        <w:t xml:space="preserve">y</w:t>
      </w:r>
      <w:r>
        <w:t xml:space="preserve"> </w:t>
      </w:r>
      <w:r>
        <w:rPr>
          <w:smallCaps/>
        </w:rPr>
        <w:t xml:space="preserve">Myerson</w:t>
      </w:r>
      <w:r>
        <w:t xml:space="preserve"> </w:t>
      </w:r>
      <w:r>
        <w:t xml:space="preserve">(</w:t>
      </w:r>
      <w:hyperlink w:anchor="ref_BaronMyerson1982Regulating">
        <w:r>
          <w:rPr>
            <w:rStyle w:val="Hyperlink"/>
          </w:rPr>
          <w:t xml:space="preserve">1982</w:t>
        </w:r>
      </w:hyperlink>
      <w:r>
        <w:t xml:space="preserve">)</w:t>
      </w:r>
      <w:r>
        <w:t xml:space="preserve"> </w:t>
      </w:r>
      <w:r>
        <w:t xml:space="preserve">y</w:t>
      </w:r>
      <w:r>
        <w:t xml:space="preserve"> </w:t>
      </w:r>
      <w:r>
        <w:rPr>
          <w:smallCaps/>
        </w:rPr>
        <w:t xml:space="preserve">Laffont</w:t>
      </w:r>
      <w:r>
        <w:t xml:space="preserve"> </w:t>
      </w:r>
      <w:r>
        <w:t xml:space="preserve">y</w:t>
      </w:r>
      <w:r>
        <w:t xml:space="preserve"> </w:t>
      </w:r>
      <w:r>
        <w:rPr>
          <w:smallCaps/>
        </w:rPr>
        <w:t xml:space="preserve">Martimort</w:t>
      </w:r>
      <w:r>
        <w:t xml:space="preserve"> </w:t>
      </w:r>
      <w:r>
        <w:t xml:space="preserve">(</w:t>
      </w:r>
      <w:hyperlink w:anchor="ref_LaffontMartimort2002Theory">
        <w:r>
          <w:rPr>
            <w:rStyle w:val="Hyperlink"/>
          </w:rPr>
          <w:t xml:space="preserve">2002, cap. 2</w:t>
        </w:r>
      </w:hyperlink>
      <w:r>
        <w:t xml:space="preserve">)</w:t>
      </w:r>
      <w:r>
        <w:t xml:space="preserve">.</w:t>
      </w:r>
    </w:p>
    <w:bookmarkEnd w:id="96"/>
    <w:bookmarkStart w:id="97" w:name="c_extensiones_2"/>
    <w:p>
      <w:pPr>
        <w:pStyle w:val="Heading5"/>
      </w:pPr>
      <w:r>
        <w:t xml:space="preserve">c) Extensiones</w:t>
      </w:r>
    </w:p>
    <w:p>
      <w:pPr>
        <w:numPr>
          <w:ilvl w:val="0"/>
          <w:numId w:val="1056"/>
        </w:numPr>
      </w:pPr>
      <w:r>
        <w:t xml:space="preserve">Con un continuo de tipos, el regulador fija el precio igual a un</w:t>
      </w:r>
      <w:r>
        <w:t xml:space="preserve"> </w:t>
      </w:r>
      <w:r>
        <w:rPr>
          <w:i/>
          <w:iCs/>
        </w:rPr>
        <w:t xml:space="preserve">coste virtual</w:t>
      </w:r>
      <w:r>
        <w:t xml:space="preserve">, el coste más un recargo informativo que crece con el peso de los tipos más eficientes</w:t>
      </w:r>
      <w:r>
        <w:t xml:space="preserve"> </w:t>
      </w:r>
      <w:r>
        <w:t xml:space="preserve">(</w:t>
      </w:r>
      <w:hyperlink w:anchor="ref_BaronMyerson1982Regulating">
        <w:r>
          <w:rPr>
            <w:rStyle w:val="Hyperlink"/>
            <w:smallCaps/>
          </w:rPr>
          <w:t xml:space="preserve">Baron</w:t>
        </w:r>
        <w:r>
          <w:rPr>
            <w:rStyle w:val="Hyperlink"/>
          </w:rPr>
          <w:t xml:space="preserve"> </w:t>
        </w:r>
        <w:r>
          <w:rPr>
            <w:rStyle w:val="Hyperlink"/>
          </w:rPr>
          <w:t xml:space="preserve">y</w:t>
        </w:r>
        <w:r>
          <w:rPr>
            <w:rStyle w:val="Hyperlink"/>
          </w:rPr>
          <w:t xml:space="preserve"> </w:t>
        </w:r>
        <w:r>
          <w:rPr>
            <w:rStyle w:val="Hyperlink"/>
            <w:smallCaps/>
          </w:rPr>
          <w:t xml:space="preserve">Myerson</w:t>
        </w:r>
        <w:r>
          <w:rPr>
            <w:rStyle w:val="Hyperlink"/>
          </w:rPr>
          <w:t xml:space="preserve">, 1982</w:t>
        </w:r>
      </w:hyperlink>
      <w:r>
        <w:t xml:space="preserve">)</w:t>
      </w:r>
      <w:r>
        <w:t xml:space="preserve">, como el valor virtual de la subasta óptima</w:t>
      </w:r>
      <w:r>
        <w:t xml:space="preserve"> </w:t>
      </w:r>
      <w:hyperlink r:id="rId70">
        <w:r>
          <w:rPr>
            <w:rStyle w:val="Referenciaatema"/>
          </w:rPr>
          <w:t xml:space="preserve">[ver tema 3.A.14]</w:t>
        </w:r>
      </w:hyperlink>
      <w:r>
        <w:t xml:space="preserve">.</w:t>
      </w:r>
    </w:p>
    <w:p>
      <w:pPr>
        <w:numPr>
          <w:ilvl w:val="0"/>
          <w:numId w:val="1056"/>
        </w:numPr>
      </w:pPr>
      <w:r>
        <w:t xml:space="preserve">Si los tipos eficientes son muy probables, puede convenir</w:t>
      </w:r>
      <w:r>
        <w:t xml:space="preserve"> </w:t>
      </w:r>
      <w:r>
        <w:rPr>
          <w:i/>
          <w:iCs/>
        </w:rPr>
        <w:t xml:space="preserve">cerrar</w:t>
      </w:r>
      <w:r>
        <w:t xml:space="preserve"> </w:t>
      </w:r>
      <w:r>
        <w:t xml:space="preserve">la ineficiente para no dejar renta: en el ejemplo, si</w:t>
      </w:r>
      <w:r>
        <w:t xml:space="preserve"> </w:t>
      </w:r>
      <m:oMath>
        <m:r>
          <m:t>ν</m:t>
        </m:r>
        <m:r>
          <m:rPr>
            <m:sty m:val="p"/>
          </m:rPr>
          <m:t>≥</m:t>
        </m:r>
        <m:r>
          <m:t>3</m:t>
        </m:r>
        <m:r>
          <m:rPr>
            <m:sty m:val="p"/>
          </m:rPr>
          <m:t>/</m:t>
        </m:r>
        <m:r>
          <m:t>4</m:t>
        </m:r>
      </m:oMath>
      <w:r>
        <w:t xml:space="preserve">.</w:t>
      </w:r>
    </w:p>
    <w:bookmarkEnd w:id="97"/>
    <w:bookmarkStart w:id="98" w:name="d_valoraci__n_1"/>
    <w:p>
      <w:pPr>
        <w:pStyle w:val="Heading5"/>
      </w:pPr>
      <w:r>
        <w:t xml:space="preserve">d) Valoración</w:t>
      </w:r>
    </w:p>
    <w:p>
      <w:pPr>
        <w:numPr>
          <w:ilvl w:val="0"/>
          <w:numId w:val="1057"/>
        </w:numPr>
      </w:pPr>
      <w:r>
        <w:t xml:space="preserve">Supone que el regulador puede comprometerse con el contrato y que el coste solo depende de la tecnología: la empresa no puede esforzarse para reducirlo. Si puede, el coste observado mezcla suerte y esfuerzo, que es lo que añaden</w:t>
      </w:r>
      <w:r>
        <w:t xml:space="preserve"> </w:t>
      </w:r>
      <w:r>
        <w:rPr>
          <w:smallCaps/>
        </w:rPr>
        <w:t xml:space="preserve">Laffont</w:t>
      </w:r>
      <w:r>
        <w:t xml:space="preserve"> </w:t>
      </w:r>
      <w:r>
        <w:t xml:space="preserve">y</w:t>
      </w:r>
      <w:r>
        <w:t xml:space="preserve"> </w:t>
      </w:r>
      <w:r>
        <w:rPr>
          <w:smallCaps/>
        </w:rPr>
        <w:t xml:space="preserve">Tirole</w:t>
      </w:r>
      <w:r>
        <w:t xml:space="preserve">.</w:t>
      </w:r>
    </w:p>
    <w:bookmarkEnd w:id="98"/>
    <w:bookmarkEnd w:id="99"/>
    <w:bookmarkEnd w:id="100"/>
    <w:bookmarkStart w:id="118" w:name="sec_laffont_tirole"/>
    <w:p>
      <w:pPr>
        <w:pStyle w:val="Heading2"/>
      </w:pPr>
      <w:r>
        <w:t xml:space="preserve">II.3.</w:t>
      </w:r>
      <w:r>
        <w:t xml:space="preserve"> </w:t>
      </w:r>
      <w:r>
        <w:t xml:space="preserve">Selección adversa y riesgo moral: el menú de contratos de</w:t>
      </w:r>
      <w:r>
        <w:t xml:space="preserve"> </w:t>
      </w:r>
      <w:r>
        <w:rPr>
          <w:smallCaps/>
        </w:rPr>
        <w:t xml:space="preserve">Laffont</w:t>
      </w:r>
      <w:r>
        <w:t xml:space="preserve"> </w:t>
      </w:r>
      <w:r>
        <w:t xml:space="preserve">y</w:t>
      </w:r>
      <w:r>
        <w:t xml:space="preserve"> </w:t>
      </w:r>
      <w:r>
        <w:rPr>
          <w:smallCaps/>
        </w:rPr>
        <w:t xml:space="preserve">Tirole</w:t>
      </w:r>
    </w:p>
    <w:bookmarkStart w:id="101" w:name="a_idea_4"/>
    <w:p>
      <w:pPr>
        <w:pStyle w:val="Heading4"/>
      </w:pPr>
      <w:r>
        <w:t xml:space="preserve">a) Idea</w:t>
      </w:r>
    </w:p>
    <w:p>
      <w:pPr>
        <w:numPr>
          <w:ilvl w:val="0"/>
          <w:numId w:val="1058"/>
        </w:numPr>
      </w:pPr>
      <w:r>
        <w:rPr>
          <w:smallCaps/>
        </w:rPr>
        <w:t xml:space="preserve">Laffont</w:t>
      </w:r>
      <w:r>
        <w:t xml:space="preserve"> </w:t>
      </w:r>
      <w:r>
        <w:t xml:space="preserve">y</w:t>
      </w:r>
      <w:r>
        <w:t xml:space="preserve"> </w:t>
      </w:r>
      <w:r>
        <w:rPr>
          <w:smallCaps/>
        </w:rPr>
        <w:t xml:space="preserve">Tirole</w:t>
      </w:r>
      <w:r>
        <w:t xml:space="preserve"> </w:t>
      </w:r>
      <w:r>
        <w:t xml:space="preserve">(</w:t>
      </w:r>
      <w:hyperlink w:anchor="ref_LaffontTirole1986Using">
        <w:r>
          <w:rPr>
            <w:rStyle w:val="Hyperlink"/>
          </w:rPr>
          <w:t xml:space="preserve">1986</w:t>
        </w:r>
      </w:hyperlink>
      <w:r>
        <w:t xml:space="preserve">)</w:t>
      </w:r>
      <w:r>
        <w:t xml:space="preserve"> </w:t>
      </w:r>
      <w:r>
        <w:t xml:space="preserve">aplican la teoría de la agencia a la regulación y a la contratación pública: el regulador (principal) contrata con una empresa (agente) que sabe más que él sobre su eficiencia</w:t>
      </w:r>
      <w:r>
        <w:t xml:space="preserve"> </w:t>
      </w:r>
      <w:r>
        <w:rPr>
          <w:i/>
          <w:iCs/>
        </w:rPr>
        <w:t xml:space="preserve">y</w:t>
      </w:r>
      <w:r>
        <w:t xml:space="preserve"> </w:t>
      </w:r>
      <w:r>
        <w:t xml:space="preserve">cuyo esfuerzo no ve</w:t>
      </w:r>
      <w:r>
        <w:t xml:space="preserve"> </w:t>
      </w:r>
      <w:r>
        <w:t xml:space="preserve">(</w:t>
      </w:r>
      <w:hyperlink w:anchor="ref_LaffontTirole1993Theory">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1993</w:t>
        </w:r>
      </w:hyperlink>
      <w:r>
        <w:t xml:space="preserve">)</w:t>
      </w:r>
      <w:r>
        <w:t xml:space="preserve">. Es el modelo canónico de la nueva economía de la regulación.</w:t>
      </w:r>
    </w:p>
    <w:p>
      <w:pPr>
        <w:numPr>
          <w:ilvl w:val="0"/>
          <w:numId w:val="1058"/>
        </w:numPr>
      </w:pPr>
      <w:r>
        <w:t xml:space="preserve">Añade a</w:t>
      </w:r>
      <w:r>
        <w:t xml:space="preserve"> </w:t>
      </w:r>
      <w:r>
        <w:rPr>
          <w:smallCaps/>
        </w:rPr>
        <w:t xml:space="preserve">Baron</w:t>
      </w:r>
      <w:r>
        <w:t xml:space="preserve"> </w:t>
      </w:r>
      <w:r>
        <w:t xml:space="preserve">y</w:t>
      </w:r>
      <w:r>
        <w:t xml:space="preserve"> </w:t>
      </w:r>
      <w:r>
        <w:rPr>
          <w:smallCaps/>
        </w:rPr>
        <w:t xml:space="preserve">Myerson</w:t>
      </w:r>
      <w:r>
        <w:t xml:space="preserve"> </w:t>
      </w:r>
      <w:r>
        <w:t xml:space="preserve">2 cosas: el</w:t>
      </w:r>
      <w:r>
        <w:t xml:space="preserve"> </w:t>
      </w:r>
      <w:r>
        <w:rPr>
          <w:i/>
          <w:iCs/>
        </w:rPr>
        <w:t xml:space="preserve">riesgo moral</w:t>
      </w:r>
      <w:r>
        <w:t xml:space="preserve"> </w:t>
      </w:r>
      <w:r>
        <w:t xml:space="preserve">(la empresa puede bajar su coste esforzándose) y una razón para que las rentas cuesten: cada euro transferido se financia con impuestos que distorsionan.</w:t>
      </w:r>
    </w:p>
    <w:bookmarkEnd w:id="101"/>
    <w:bookmarkStart w:id="108" w:name="b_modelo_3"/>
    <w:p>
      <w:pPr>
        <w:pStyle w:val="Heading4"/>
      </w:pPr>
      <w:r>
        <w:t xml:space="preserve">b) Modelo</w:t>
      </w:r>
    </w:p>
    <w:bookmarkStart w:id="103" w:name="i_supuestos_1"/>
    <w:p>
      <w:pPr>
        <w:pStyle w:val="Heading5"/>
      </w:pPr>
      <w:r>
        <w:t xml:space="preserve">i) Supuestos</w:t>
      </w:r>
    </w:p>
    <w:p>
      <w:pPr>
        <w:numPr>
          <w:ilvl w:val="0"/>
          <w:numId w:val="1059"/>
        </w:numPr>
      </w:pPr>
      <w:r>
        <w:t xml:space="preserve">Un proyecto de tamaño dado (la red que hay que mantener) de valor social</w:t>
      </w:r>
      <w:r>
        <w:t xml:space="preserve"> </w:t>
      </w:r>
      <m:oMath>
        <m:r>
          <m:t>S</m:t>
        </m:r>
      </m:oMath>
      <w:r>
        <w:t xml:space="preserve">. El coste observado es</w:t>
      </w:r>
      <w:r>
        <w:t xml:space="preserve"> </w:t>
      </w:r>
      <m:oMath>
        <m:r>
          <m:t>C</m:t>
        </m:r>
        <m:r>
          <m:rPr>
            <m:sty m:val="p"/>
          </m:rPr>
          <m:t>=</m:t>
        </m:r>
        <m:r>
          <m:t>β</m:t>
        </m:r>
        <m:r>
          <m:rPr>
            <m:sty m:val="p"/>
          </m:rPr>
          <m:t>−</m:t>
        </m:r>
        <m:r>
          <m:t>e</m:t>
        </m:r>
      </m:oMath>
      <w:r>
        <w:t xml:space="preserve">, con</w:t>
      </w:r>
      <w:r>
        <w:t xml:space="preserve"> </w:t>
      </w:r>
      <m:oMath>
        <m:r>
          <m:t>β</m:t>
        </m:r>
      </m:oMath>
      <w:r>
        <w:t xml:space="preserve"> </w:t>
      </w:r>
      <w:r>
        <w:t xml:space="preserve">la eficiencia intrínseca de la empresa (</w:t>
      </w:r>
      <w:r>
        <w:rPr>
          <w:i/>
          <w:iCs/>
        </w:rPr>
        <w:t xml:space="preserve">información oculta</w:t>
      </w:r>
      <w:r>
        <w:t xml:space="preserve">: baja,</w:t>
      </w:r>
      <w:r>
        <w:t xml:space="preserve"> </w:t>
      </w:r>
      <m:oMath>
        <m:bar>
          <m:barPr>
            <m:pos m:val="bot"/>
          </m:barPr>
          <m:e>
            <m:r>
              <m:t>β</m:t>
            </m:r>
          </m:e>
        </m:bar>
      </m:oMath>
      <w:r>
        <w:t xml:space="preserve">, con probabilidad</w:t>
      </w:r>
      <w:r>
        <w:t xml:space="preserve"> </w:t>
      </w:r>
      <m:oMath>
        <m:r>
          <m:t>ν</m:t>
        </m:r>
      </m:oMath>
      <w:r>
        <w:t xml:space="preserve">, o alta,</w:t>
      </w:r>
      <w:r>
        <w:t xml:space="preserve"> </w:t>
      </w:r>
      <m:oMath>
        <m:bar>
          <m:barPr>
            <m:pos m:val="top"/>
          </m:barPr>
          <m:e>
            <m:r>
              <m:t>β</m:t>
            </m:r>
          </m:e>
        </m:bar>
      </m:oMath>
      <w:r>
        <w:t xml:space="preserve">;</w:t>
      </w:r>
      <w:r>
        <w:t xml:space="preserve"> </w:t>
      </w:r>
      <m:oMath>
        <m:r>
          <m:t>Δ</m:t>
        </m:r>
        <m:r>
          <m:t>β</m:t>
        </m:r>
        <m:r>
          <m:rPr>
            <m:sty m:val="p"/>
          </m:rPr>
          <m:t>≡</m:t>
        </m:r>
        <m:bar>
          <m:barPr>
            <m:pos m:val="top"/>
          </m:barPr>
          <m:e>
            <m:r>
              <m:t>β</m:t>
            </m:r>
          </m:e>
        </m:bar>
        <m:r>
          <m:rPr>
            <m:sty m:val="p"/>
          </m:rPr>
          <m:t>−</m:t>
        </m:r>
        <m:bar>
          <m:barPr>
            <m:pos m:val="bot"/>
          </m:barPr>
          <m:e>
            <m:r>
              <m:t>β</m:t>
            </m:r>
          </m:e>
        </m:bar>
      </m:oMath>
      <w:r>
        <w:t xml:space="preserve">) y</w:t>
      </w:r>
      <w:r>
        <w:t xml:space="preserve"> </w:t>
      </w:r>
      <m:oMath>
        <m:r>
          <m:t>e</m:t>
        </m:r>
      </m:oMath>
      <w:r>
        <w:t xml:space="preserve"> </w:t>
      </w:r>
      <w:r>
        <w:t xml:space="preserve">el esfuerzo de sus gestores en reducir costes (</w:t>
      </w:r>
      <w:r>
        <w:rPr>
          <w:i/>
          <w:iCs/>
        </w:rPr>
        <w:t xml:space="preserve">acción oculta</w:t>
      </w:r>
      <w:r>
        <w:t xml:space="preserve">), que les cuesta</w:t>
      </w:r>
      <w:r>
        <w:t xml:space="preserve"> </w:t>
      </w:r>
      <m:oMath>
        <m:r>
          <m:t>ψ</m:t>
        </m:r>
        <m:d>
          <m:dPr>
            <m:begChr m:val="("/>
            <m:sepChr m:val=""/>
            <m:endChr m:val=")"/>
            <m:grow/>
          </m:dPr>
          <m:e>
            <m:r>
              <m:t>e</m:t>
            </m:r>
          </m:e>
        </m:d>
      </m:oMath>
      <w:r>
        <w:t xml:space="preserve">, creciente y convexa (</w:t>
      </w:r>
      <m:oMath>
        <m:r>
          <m:t>ψ</m:t>
        </m:r>
        <m:r>
          <m:rPr>
            <m:sty m:val="p"/>
          </m:rPr>
          <m:t>′</m:t>
        </m:r>
        <m:r>
          <m:rPr>
            <m:sty m:val="p"/>
          </m:rPr>
          <m:t>&gt;</m:t>
        </m:r>
        <m:r>
          <m:t>0</m:t>
        </m:r>
      </m:oMath>
      <w:r>
        <w:t xml:space="preserve">,</w:t>
      </w:r>
      <w:r>
        <w:t xml:space="preserve"> </w:t>
      </w:r>
      <m:oMath>
        <m:r>
          <m:t>ψ</m:t>
        </m:r>
        <m:r>
          <m:rPr>
            <m:sty m:val="p"/>
          </m:rPr>
          <m:t>″</m:t>
        </m:r>
        <m:r>
          <m:rPr>
            <m:sty m:val="p"/>
          </m:rPr>
          <m:t>&gt;</m:t>
        </m:r>
        <m:r>
          <m:t>0</m:t>
        </m:r>
      </m:oMath>
      <w:r>
        <w:t xml:space="preserve">).</w:t>
      </w:r>
    </w:p>
    <w:p>
      <w:pPr>
        <w:numPr>
          <w:ilvl w:val="0"/>
          <w:numId w:val="1059"/>
        </w:numPr>
      </w:pPr>
      <w:r>
        <w:t xml:space="preserve">El regulador observa</w:t>
      </w:r>
      <w:r>
        <w:t xml:space="preserve"> </w:t>
      </w:r>
      <m:oMath>
        <m:r>
          <m:t>C</m:t>
        </m:r>
      </m:oMath>
      <w:r>
        <w:t xml:space="preserve">, pero no</w:t>
      </w:r>
      <w:r>
        <w:t xml:space="preserve"> </w:t>
      </w:r>
      <m:oMath>
        <m:r>
          <m:t>β</m:t>
        </m:r>
      </m:oMath>
      <w:r>
        <w:t xml:space="preserve"> </w:t>
      </w:r>
      <w:r>
        <w:t xml:space="preserve">ni</w:t>
      </w:r>
      <w:r>
        <w:t xml:space="preserve"> </w:t>
      </w:r>
      <m:oMath>
        <m:r>
          <m:t>e</m:t>
        </m:r>
      </m:oMath>
      <w:r>
        <w:t xml:space="preserve">: no sabe si un coste bajo se debe a la suerte de ser eficiente o al esfuerzo. Reembolsa el coste y paga una transferencia neta</w:t>
      </w:r>
      <w:r>
        <w:t xml:space="preserve"> </w:t>
      </w:r>
      <m:oMath>
        <m:r>
          <m:t>t</m:t>
        </m:r>
      </m:oMath>
      <w:r>
        <w:t xml:space="preserve">, que cuesta a la sociedad</w:t>
      </w:r>
      <w:r>
        <w:t xml:space="preserve"> </w:t>
      </w:r>
      <m:oMath>
        <m:r>
          <m:t>1</m:t>
        </m:r>
        <m:r>
          <m:rPr>
            <m:sty m:val="p"/>
          </m:rPr>
          <m:t>+</m:t>
        </m:r>
        <m:r>
          <m:t>λ</m:t>
        </m:r>
      </m:oMath>
      <w:r>
        <w:t xml:space="preserve"> </w:t>
      </w:r>
      <w:r>
        <w:t xml:space="preserve">por euro, con</w:t>
      </w:r>
      <w:r>
        <w:t xml:space="preserve"> </w:t>
      </w:r>
      <m:oMath>
        <m:r>
          <m:t>λ</m:t>
        </m:r>
        <m:r>
          <m:rPr>
            <m:sty m:val="p"/>
          </m:rPr>
          <m:t>&gt;</m:t>
        </m:r>
        <m:r>
          <m:t>0</m:t>
        </m:r>
      </m:oMath>
      <w:r>
        <w:t xml:space="preserve"> </w:t>
      </w:r>
      <w:r>
        <w:t xml:space="preserve">el coste sombra de los fondos públicos.</w:t>
      </w:r>
      <w:r>
        <w:rPr>
          <w:rStyle w:val="FootnoteReference"/>
        </w:rPr>
        <w:footnoteReference w:id="102"/>
      </w:r>
    </w:p>
    <w:p>
      <w:pPr>
        <w:numPr>
          <w:ilvl w:val="0"/>
          <w:numId w:val="1059"/>
        </w:numPr>
      </w:pPr>
      <w:r>
        <w:t xml:space="preserve">La empresa obtiene</w:t>
      </w:r>
      <w:r>
        <w:t xml:space="preserve"> </w:t>
      </w:r>
      <m:oMath>
        <m:r>
          <m:t>U</m:t>
        </m:r>
        <m:r>
          <m:rPr>
            <m:sty m:val="p"/>
          </m:rPr>
          <m:t>=</m:t>
        </m:r>
        <m:r>
          <m:t>t</m:t>
        </m:r>
        <m:r>
          <m:rPr>
            <m:sty m:val="p"/>
          </m:rPr>
          <m:t>−</m:t>
        </m:r>
        <m:r>
          <m:t>ψ</m:t>
        </m:r>
        <m:d>
          <m:dPr>
            <m:begChr m:val="("/>
            <m:sepChr m:val=""/>
            <m:endChr m:val=")"/>
            <m:grow/>
          </m:dPr>
          <m:e>
            <m:r>
              <m:t>e</m:t>
            </m:r>
          </m:e>
        </m:d>
      </m:oMath>
      <w:r>
        <w:t xml:space="preserve"> </w:t>
      </w:r>
      <w:r>
        <w:t xml:space="preserve">y acepta el contrato si</w:t>
      </w:r>
      <w:r>
        <w:t xml:space="preserve"> </w:t>
      </w:r>
      <m:oMath>
        <m:r>
          <m:t>U</m:t>
        </m:r>
        <m:r>
          <m:rPr>
            <m:sty m:val="p"/>
          </m:rPr>
          <m:t>≥</m:t>
        </m:r>
        <m:r>
          <m:t>0</m:t>
        </m:r>
      </m:oMath>
      <w:r>
        <w:t xml:space="preserve">. El bienestar es el valor del proyecto menos su coste social, más la renta de la empresa; cada euro de renta cuesta</w:t>
      </w:r>
      <w:r>
        <w:t xml:space="preserve"> </w:t>
      </w:r>
      <m:oMath>
        <m:r>
          <m:t>λ</m:t>
        </m:r>
      </m:oMath>
      <w:r>
        <w:t xml:space="preserve">, así que el regulador quiere dejar la menor posible:</w:t>
      </w:r>
    </w:p>
    <w:p>
      <w:pPr>
        <w:pStyle w:val="BodyText"/>
      </w:pPr>
      <m:oMathPara>
        <m:oMathParaPr>
          <m:jc m:val="center"/>
        </m:oMathParaPr>
        <m:oMath>
          <m:r>
            <m:t>W</m:t>
          </m:r>
          <m:r>
            <m:rPr>
              <m:sty m:val="p"/>
            </m:rPr>
            <m:t>=</m:t>
          </m:r>
          <m:r>
            <m:t>S</m:t>
          </m:r>
          <m:r>
            <m:rPr>
              <m:sty m:val="p"/>
            </m:rPr>
            <m:t>−</m:t>
          </m:r>
          <m:d>
            <m:dPr>
              <m:begChr m:val="("/>
              <m:sepChr m:val=""/>
              <m:endChr m:val=")"/>
              <m:grow/>
            </m:dPr>
            <m:e>
              <m:r>
                <m:t>1</m:t>
              </m:r>
              <m:r>
                <m:rPr>
                  <m:sty m:val="p"/>
                </m:rPr>
                <m:t>+</m:t>
              </m:r>
              <m:r>
                <m:t>λ</m:t>
              </m:r>
            </m:e>
          </m:d>
          <m:r>
            <m:t> </m:t>
          </m:r>
          <m:d>
            <m:dPr>
              <m:begChr m:val="("/>
              <m:sepChr m:val=""/>
              <m:endChr m:val=")"/>
              <m:grow/>
            </m:dPr>
            <m:e>
              <m:r>
                <m:t>C</m:t>
              </m:r>
              <m:r>
                <m:rPr>
                  <m:sty m:val="p"/>
                </m:rPr>
                <m:t>+</m:t>
              </m:r>
              <m:r>
                <m:t>t</m:t>
              </m:r>
            </m:e>
          </m:d>
          <m:r>
            <m:rPr>
              <m:sty m:val="p"/>
            </m:rPr>
            <m:t>+</m:t>
          </m:r>
          <m:r>
            <m:t>U</m:t>
          </m:r>
          <m:r>
            <m:rPr>
              <m:sty m:val="p"/>
            </m:rPr>
            <m:t>=</m:t>
          </m:r>
          <m:r>
            <m:t>S</m:t>
          </m:r>
          <m:r>
            <m:rPr>
              <m:sty m:val="p"/>
            </m:rPr>
            <m:t>−</m:t>
          </m:r>
          <m:d>
            <m:dPr>
              <m:begChr m:val="("/>
              <m:sepChr m:val=""/>
              <m:endChr m:val=")"/>
              <m:grow/>
            </m:dPr>
            <m:e>
              <m:r>
                <m:t>1</m:t>
              </m:r>
              <m:r>
                <m:rPr>
                  <m:sty m:val="p"/>
                </m:rPr>
                <m:t>+</m:t>
              </m:r>
              <m:r>
                <m:t>λ</m:t>
              </m:r>
            </m:e>
          </m:d>
          <m:d>
            <m:dPr>
              <m:begChr m:val="["/>
              <m:sepChr m:val=""/>
              <m:endChr m:val="]"/>
              <m:grow/>
            </m:dPr>
            <m:e>
              <m:r>
                <m:t>β</m:t>
              </m:r>
              <m:r>
                <m:rPr>
                  <m:sty m:val="p"/>
                </m:rPr>
                <m:t>−</m:t>
              </m:r>
              <m:r>
                <m:t>e</m:t>
              </m:r>
              <m:r>
                <m:rPr>
                  <m:sty m:val="p"/>
                </m:rPr>
                <m:t>+</m:t>
              </m:r>
              <m:r>
                <m:t>ψ</m:t>
              </m:r>
              <m:d>
                <m:dPr>
                  <m:begChr m:val="("/>
                  <m:sepChr m:val=""/>
                  <m:endChr m:val=")"/>
                  <m:grow/>
                </m:dPr>
                <m:e>
                  <m:r>
                    <m:t>e</m:t>
                  </m:r>
                </m:e>
              </m:d>
            </m:e>
          </m:d>
          <m:r>
            <m:rPr>
              <m:sty m:val="p"/>
            </m:rPr>
            <m:t>−</m:t>
          </m:r>
          <m:r>
            <m:t>λ</m:t>
          </m:r>
          <m:r>
            <m:t> </m:t>
          </m:r>
          <m:r>
            <m:t>U</m:t>
          </m:r>
          <m:r>
            <m:rPr>
              <m:sty m:val="p"/>
            </m:rPr>
            <m:t>.</m:t>
          </m:r>
        </m:oMath>
      </m:oMathPara>
    </w:p>
    <w:bookmarkEnd w:id="103"/>
    <w:bookmarkStart w:id="105" w:name="ii_desarrollo_1"/>
    <w:p>
      <w:pPr>
        <w:pStyle w:val="Heading5"/>
      </w:pPr>
      <w:r>
        <w:t xml:space="preserve">ii) Desarrollo</w:t>
      </w:r>
    </w:p>
    <w:p>
      <w:pPr>
        <w:numPr>
          <w:ilvl w:val="0"/>
          <w:numId w:val="1060"/>
        </w:numPr>
      </w:pPr>
      <w:r>
        <w:rPr>
          <w:i/>
          <w:iCs/>
        </w:rPr>
        <w:t xml:space="preserve">Información completa</w:t>
      </w:r>
      <w:r>
        <w:t xml:space="preserve">: el regulador exige a cada tipo el esfuerzo que minimiza</w:t>
      </w:r>
      <w:r>
        <w:t xml:space="preserve"> </w:t>
      </w:r>
      <m:oMath>
        <m:r>
          <m:t>β</m:t>
        </m:r>
        <m:r>
          <m:rPr>
            <m:sty m:val="p"/>
          </m:rPr>
          <m:t>−</m:t>
        </m:r>
        <m:r>
          <m:t>e</m:t>
        </m:r>
        <m:r>
          <m:rPr>
            <m:sty m:val="p"/>
          </m:rPr>
          <m:t>+</m:t>
        </m:r>
        <m:r>
          <m:t>ψ</m:t>
        </m:r>
        <m:d>
          <m:dPr>
            <m:begChr m:val="("/>
            <m:sepChr m:val=""/>
            <m:endChr m:val=")"/>
            <m:grow/>
          </m:dPr>
          <m:e>
            <m:r>
              <m:t>e</m:t>
            </m:r>
          </m:e>
        </m:d>
      </m:oMath>
      <w:r>
        <w:t xml:space="preserve">,</w:t>
      </w:r>
      <w:r>
        <w:t xml:space="preserve"> </w:t>
      </w:r>
      <m:oMath>
        <m:r>
          <m:t>ψ</m:t>
        </m:r>
        <m:r>
          <m:rPr>
            <m:sty m:val="p"/>
          </m:rPr>
          <m:t>′</m:t>
        </m:r>
        <m:d>
          <m:dPr>
            <m:begChr m:val="("/>
            <m:sepChr m:val=""/>
            <m:endChr m:val=")"/>
            <m:grow/>
          </m:dPr>
          <m:e>
            <m:sSup>
              <m:e>
                <m:r>
                  <m:t>e</m:t>
                </m:r>
              </m:e>
              <m:sup>
                <m:r>
                  <m:rPr>
                    <m:sty m:val="p"/>
                  </m:rPr>
                  <m:t>*</m:t>
                </m:r>
              </m:sup>
            </m:sSup>
          </m:e>
        </m:d>
        <m:r>
          <m:rPr>
            <m:sty m:val="p"/>
          </m:rPr>
          <m:t>=</m:t>
        </m:r>
        <m:r>
          <m:t>1</m:t>
        </m:r>
      </m:oMath>
      <w:r>
        <w:t xml:space="preserve"> </w:t>
      </w:r>
      <w:r>
        <w:t xml:space="preserve">(el último euro de desutilidad del esfuerzo ahorra un euro de coste), y no deja rentas:</w:t>
      </w:r>
      <w:r>
        <w:t xml:space="preserve"> </w:t>
      </w:r>
      <m:oMath>
        <m:r>
          <m:t>U</m:t>
        </m:r>
        <m:r>
          <m:rPr>
            <m:sty m:val="p"/>
          </m:rPr>
          <m:t>=</m:t>
        </m:r>
        <m:r>
          <m:t>0</m:t>
        </m:r>
      </m:oMath>
      <w:r>
        <w:t xml:space="preserve">.</w:t>
      </w:r>
    </w:p>
    <w:p>
      <w:pPr>
        <w:numPr>
          <w:ilvl w:val="0"/>
          <w:numId w:val="1060"/>
        </w:numPr>
      </w:pPr>
      <w:r>
        <w:rPr>
          <w:i/>
          <w:iCs/>
        </w:rPr>
        <w:t xml:space="preserve">Información asimétrica</w:t>
      </w:r>
      <w:r>
        <w:t xml:space="preserve">: la empresa eficiente puede llegar al coste de la ineficiente,</w:t>
      </w:r>
      <w:r>
        <w:t xml:space="preserve"> </w:t>
      </w:r>
      <m:oMath>
        <m:bar>
          <m:barPr>
            <m:pos m:val="top"/>
          </m:barPr>
          <m:e>
            <m:r>
              <m:t>C</m:t>
            </m:r>
          </m:e>
        </m:bar>
        <m:r>
          <m:rPr>
            <m:sty m:val="p"/>
          </m:rPr>
          <m:t>=</m:t>
        </m:r>
        <m:bar>
          <m:barPr>
            <m:pos m:val="top"/>
          </m:barPr>
          <m:e>
            <m:r>
              <m:t>β</m:t>
            </m:r>
          </m:e>
        </m:bar>
        <m:r>
          <m:rPr>
            <m:sty m:val="p"/>
          </m:rPr>
          <m:t>−</m:t>
        </m:r>
        <m:bar>
          <m:barPr>
            <m:pos m:val="top"/>
          </m:barPr>
          <m:e>
            <m:r>
              <m:t>e</m:t>
            </m:r>
          </m:e>
        </m:bar>
      </m:oMath>
      <w:r>
        <w:t xml:space="preserve">, esforzándose</w:t>
      </w:r>
      <w:r>
        <w:t xml:space="preserve"> </w:t>
      </w:r>
      <m:oMath>
        <m:r>
          <m:t>Δ</m:t>
        </m:r>
        <m:r>
          <m:t>β</m:t>
        </m:r>
      </m:oMath>
      <w:r>
        <w:t xml:space="preserve"> </w:t>
      </w:r>
      <w:r>
        <w:t xml:space="preserve">menos. Para que no lo haga, hay que dejarle la</w:t>
      </w:r>
      <w:r>
        <w:t xml:space="preserve"> </w:t>
      </w:r>
      <w:r>
        <w:rPr>
          <w:b/>
          <w:bCs/>
        </w:rPr>
        <w:t xml:space="preserve">renta informativa</w:t>
      </w:r>
      <w:r>
        <w:t xml:space="preserve">, que</w:t>
      </w:r>
      <w:r>
        <w:t xml:space="preserve"> </w:t>
      </w:r>
      <w:r>
        <w:rPr>
          <w:i/>
          <w:iCs/>
        </w:rPr>
        <w:t xml:space="preserve">crece con el esfuerzo que se pide a la ineficiente</w:t>
      </w:r>
      <w:r>
        <w:t xml:space="preserve">:</w:t>
      </w:r>
    </w:p>
    <w:p>
      <w:pPr>
        <w:pStyle w:val="BodyText"/>
        <w:keepNext/>
      </w:pPr>
      <m:oMathPara>
        <m:oMathParaPr>
          <m:jc m:val="center"/>
        </m:oMathParaPr>
        <m:oMath>
          <m:r>
            <m:t>Φ</m:t>
          </m:r>
          <m:d>
            <m:dPr>
              <m:begChr m:val="("/>
              <m:sepChr m:val=""/>
              <m:endChr m:val=")"/>
              <m:grow/>
            </m:dPr>
            <m:e>
              <m:bar>
                <m:barPr>
                  <m:pos m:val="top"/>
                </m:barPr>
                <m:e>
                  <m:r>
                    <m:t>e</m:t>
                  </m:r>
                </m:e>
              </m:bar>
            </m:e>
          </m:d>
          <m:r>
            <m:rPr>
              <m:sty m:val="p"/>
            </m:rPr>
            <m:t>≡</m:t>
          </m:r>
          <m:r>
            <m:t>ψ</m:t>
          </m:r>
          <m:d>
            <m:dPr>
              <m:begChr m:val="("/>
              <m:sepChr m:val=""/>
              <m:endChr m:val=")"/>
              <m:grow/>
            </m:dPr>
            <m:e>
              <m:bar>
                <m:barPr>
                  <m:pos m:val="top"/>
                </m:barPr>
                <m:e>
                  <m:r>
                    <m:t>e</m:t>
                  </m:r>
                </m:e>
              </m:bar>
            </m:e>
          </m:d>
          <m:r>
            <m:rPr>
              <m:sty m:val="p"/>
            </m:rPr>
            <m:t>−</m:t>
          </m:r>
          <m:r>
            <m:t>ψ</m:t>
          </m:r>
          <m:d>
            <m:dPr>
              <m:begChr m:val="("/>
              <m:sepChr m:val=""/>
              <m:endChr m:val=")"/>
              <m:grow/>
            </m:dPr>
            <m:e>
              <m:bar>
                <m:barPr>
                  <m:pos m:val="top"/>
                </m:barPr>
                <m:e>
                  <m:r>
                    <m:t>e</m:t>
                  </m:r>
                </m:e>
              </m:bar>
              <m:r>
                <m:rPr>
                  <m:sty m:val="p"/>
                </m:rPr>
                <m:t>−</m:t>
              </m:r>
              <m:r>
                <m:t>Δ</m:t>
              </m:r>
              <m:r>
                <m:t>β</m:t>
              </m:r>
            </m:e>
          </m:d>
          <m:r>
            <m:rPr>
              <m:sty m:val="p"/>
            </m:rPr>
            <m:t>,</m:t>
          </m:r>
          <m:r>
            <m:t>  </m:t>
          </m:r>
          <m:r>
            <m:t>Φ</m:t>
          </m:r>
          <m:r>
            <m:rPr>
              <m:sty m:val="p"/>
            </m:rPr>
            <m:t>′</m:t>
          </m:r>
          <m:d>
            <m:dPr>
              <m:begChr m:val="("/>
              <m:sepChr m:val=""/>
              <m:endChr m:val=")"/>
              <m:grow/>
            </m:dPr>
            <m:e>
              <m:r>
                <m:t>e</m:t>
              </m:r>
            </m:e>
          </m:d>
          <m:r>
            <m:rPr>
              <m:sty m:val="p"/>
            </m:rPr>
            <m:t>=</m:t>
          </m:r>
          <m:r>
            <m:t>ψ</m:t>
          </m:r>
          <m:r>
            <m:rPr>
              <m:sty m:val="p"/>
            </m:rPr>
            <m:t>′</m:t>
          </m:r>
          <m:d>
            <m:dPr>
              <m:begChr m:val="("/>
              <m:sepChr m:val=""/>
              <m:endChr m:val=")"/>
              <m:grow/>
            </m:dPr>
            <m:e>
              <m:r>
                <m:t>e</m:t>
              </m:r>
            </m:e>
          </m:d>
          <m:r>
            <m:rPr>
              <m:sty m:val="p"/>
            </m:rPr>
            <m:t>−</m:t>
          </m:r>
          <m:r>
            <m:t>ψ</m:t>
          </m:r>
          <m:r>
            <m:rPr>
              <m:sty m:val="p"/>
            </m:rPr>
            <m:t>′</m:t>
          </m:r>
          <m:d>
            <m:dPr>
              <m:begChr m:val="("/>
              <m:sepChr m:val=""/>
              <m:endChr m:val=")"/>
              <m:grow/>
            </m:dPr>
            <m:e>
              <m:r>
                <m:t>e</m:t>
              </m:r>
              <m:r>
                <m:rPr>
                  <m:sty m:val="p"/>
                </m:rPr>
                <m:t>−</m:t>
              </m:r>
              <m:r>
                <m:t>Δ</m:t>
              </m:r>
              <m:r>
                <m:t>β</m:t>
              </m:r>
            </m:e>
          </m:d>
          <m:r>
            <m:rPr>
              <m:sty m:val="p"/>
            </m:rPr>
            <m:t>&gt;</m:t>
          </m:r>
          <m:r>
            <m:t>0</m:t>
          </m:r>
          <m:r>
            <m:rPr>
              <m:sty m:val="p"/>
            </m:rPr>
            <m:t>.</m:t>
          </m:r>
        </m:oMath>
      </m:oMathPara>
    </w:p>
    <w:p>
      <w:pPr>
        <w:numPr>
          <w:ilvl w:val="0"/>
          <w:numId w:val="1060"/>
        </w:numPr>
      </w:pPr>
      <w:r>
        <w:t xml:space="preserve">El regulador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bar>
                      <m:barPr>
                        <m:pos m:val="bot"/>
                      </m:barPr>
                      <m:e>
                        <m:r>
                          <m:t>e</m:t>
                        </m:r>
                      </m:e>
                    </m:bar>
                    <m:r>
                      <m:rPr>
                        <m:sty m:val="p"/>
                      </m:rPr>
                      <m:t>,</m:t>
                    </m:r>
                    <m:bar>
                      <m:barPr>
                        <m:pos m:val="top"/>
                      </m:barPr>
                      <m:e>
                        <m:r>
                          <m:t>e</m:t>
                        </m:r>
                      </m:e>
                    </m:bar>
                    <m:r>
                      <m:rPr>
                        <m:sty m:val="p"/>
                      </m:rPr>
                      <m:t>,</m:t>
                    </m:r>
                    <m:bar>
                      <m:barPr>
                        <m:pos m:val="bot"/>
                      </m:barPr>
                      <m:e>
                        <m:r>
                          <m:t>U</m:t>
                        </m:r>
                      </m:e>
                    </m:bar>
                    <m:r>
                      <m:rPr>
                        <m:sty m:val="p"/>
                      </m:rPr>
                      <m:t>,</m:t>
                    </m:r>
                    <m:bar>
                      <m:barPr>
                        <m:pos m:val="top"/>
                      </m:barPr>
                      <m:e>
                        <m:r>
                          <m:t>U</m:t>
                        </m:r>
                      </m:e>
                    </m:bar>
                  </m:lim>
                </m:limLow>
              </m:e>
              <m:e>
                <m:r>
                  <m:t>ν</m:t>
                </m:r>
                <m:d>
                  <m:dPr>
                    <m:begChr m:val="["/>
                    <m:sepChr m:val=""/>
                    <m:endChr m:val="]"/>
                    <m:grow/>
                  </m:dPr>
                  <m:e>
                    <m:r>
                      <m:t>S</m:t>
                    </m:r>
                    <m:r>
                      <m:rPr>
                        <m:sty m:val="p"/>
                      </m:rPr>
                      <m:t>−</m:t>
                    </m:r>
                    <m:d>
                      <m:dPr>
                        <m:begChr m:val="("/>
                        <m:sepChr m:val=""/>
                        <m:endChr m:val=")"/>
                        <m:grow/>
                      </m:dPr>
                      <m:e>
                        <m:r>
                          <m:t>1</m:t>
                        </m:r>
                        <m:r>
                          <m:rPr>
                            <m:sty m:val="p"/>
                          </m:rPr>
                          <m:t>+</m:t>
                        </m:r>
                        <m:r>
                          <m:t>λ</m:t>
                        </m:r>
                      </m:e>
                    </m:d>
                    <m:d>
                      <m:dPr>
                        <m:begChr m:val="("/>
                        <m:sepChr m:val=""/>
                        <m:endChr m:val=")"/>
                        <m:grow/>
                      </m:dPr>
                      <m:e>
                        <m:bar>
                          <m:barPr>
                            <m:pos m:val="bot"/>
                          </m:barPr>
                          <m:e>
                            <m:r>
                              <m:t>β</m:t>
                            </m:r>
                          </m:e>
                        </m:bar>
                        <m:r>
                          <m:rPr>
                            <m:sty m:val="p"/>
                          </m:rPr>
                          <m:t>−</m:t>
                        </m:r>
                        <m:bar>
                          <m:barPr>
                            <m:pos m:val="bot"/>
                          </m:barPr>
                          <m:e>
                            <m:r>
                              <m:t>e</m:t>
                            </m:r>
                          </m:e>
                        </m:bar>
                        <m:r>
                          <m:rPr>
                            <m:sty m:val="p"/>
                          </m:rPr>
                          <m:t>+</m:t>
                        </m:r>
                        <m:r>
                          <m:t>ψ</m:t>
                        </m:r>
                        <m:d>
                          <m:dPr>
                            <m:begChr m:val="("/>
                            <m:sepChr m:val=""/>
                            <m:endChr m:val=")"/>
                            <m:grow/>
                          </m:dPr>
                          <m:e>
                            <m:bar>
                              <m:barPr>
                                <m:pos m:val="bot"/>
                              </m:barPr>
                              <m:e>
                                <m:r>
                                  <m:t>e</m:t>
                                </m:r>
                              </m:e>
                            </m:bar>
                          </m:e>
                        </m:d>
                      </m:e>
                    </m:d>
                    <m:r>
                      <m:rPr>
                        <m:sty m:val="p"/>
                      </m:rPr>
                      <m:t>−</m:t>
                    </m:r>
                    <m:r>
                      <m:t>λ</m:t>
                    </m:r>
                    <m:bar>
                      <m:barPr>
                        <m:pos m:val="bot"/>
                      </m:barPr>
                      <m:e>
                        <m:r>
                          <m:t>U</m:t>
                        </m:r>
                      </m:e>
                    </m:bar>
                  </m:e>
                </m:d>
                <m:r>
                  <m:rPr>
                    <m:sty m:val="p"/>
                  </m:rPr>
                  <m:t>+</m:t>
                </m:r>
                <m:d>
                  <m:dPr>
                    <m:begChr m:val="("/>
                    <m:sepChr m:val=""/>
                    <m:endChr m:val=")"/>
                    <m:grow/>
                  </m:dPr>
                  <m:e>
                    <m:r>
                      <m:t>1</m:t>
                    </m:r>
                    <m:r>
                      <m:rPr>
                        <m:sty m:val="p"/>
                      </m:rPr>
                      <m:t>−</m:t>
                    </m:r>
                    <m:r>
                      <m:t>ν</m:t>
                    </m:r>
                  </m:e>
                </m:d>
                <m:d>
                  <m:dPr>
                    <m:begChr m:val="["/>
                    <m:sepChr m:val=""/>
                    <m:endChr m:val="]"/>
                    <m:grow/>
                  </m:dPr>
                  <m:e>
                    <m:r>
                      <m:t>S</m:t>
                    </m:r>
                    <m:r>
                      <m:rPr>
                        <m:sty m:val="p"/>
                      </m:rPr>
                      <m:t>−</m:t>
                    </m:r>
                    <m:d>
                      <m:dPr>
                        <m:begChr m:val="("/>
                        <m:sepChr m:val=""/>
                        <m:endChr m:val=")"/>
                        <m:grow/>
                      </m:dPr>
                      <m:e>
                        <m:r>
                          <m:t>1</m:t>
                        </m:r>
                        <m:r>
                          <m:rPr>
                            <m:sty m:val="p"/>
                          </m:rPr>
                          <m:t>+</m:t>
                        </m:r>
                        <m:r>
                          <m:t>λ</m:t>
                        </m:r>
                      </m:e>
                    </m:d>
                    <m:d>
                      <m:dPr>
                        <m:begChr m:val="("/>
                        <m:sepChr m:val=""/>
                        <m:endChr m:val=")"/>
                        <m:grow/>
                      </m:dPr>
                      <m:e>
                        <m:bar>
                          <m:barPr>
                            <m:pos m:val="top"/>
                          </m:barPr>
                          <m:e>
                            <m:r>
                              <m:t>β</m:t>
                            </m:r>
                          </m:e>
                        </m:bar>
                        <m:r>
                          <m:rPr>
                            <m:sty m:val="p"/>
                          </m:rPr>
                          <m:t>−</m:t>
                        </m:r>
                        <m:bar>
                          <m:barPr>
                            <m:pos m:val="top"/>
                          </m:barPr>
                          <m:e>
                            <m:r>
                              <m:t>e</m:t>
                            </m:r>
                          </m:e>
                        </m:bar>
                        <m:r>
                          <m:rPr>
                            <m:sty m:val="p"/>
                          </m:rPr>
                          <m:t>+</m:t>
                        </m:r>
                        <m:r>
                          <m:t>ψ</m:t>
                        </m:r>
                        <m:d>
                          <m:dPr>
                            <m:begChr m:val="("/>
                            <m:sepChr m:val=""/>
                            <m:endChr m:val=")"/>
                            <m:grow/>
                          </m:dPr>
                          <m:e>
                            <m:bar>
                              <m:barPr>
                                <m:pos m:val="top"/>
                              </m:barPr>
                              <m:e>
                                <m:r>
                                  <m:t>e</m:t>
                                </m:r>
                              </m:e>
                            </m:bar>
                          </m:e>
                        </m:d>
                      </m:e>
                    </m:d>
                    <m:r>
                      <m:rPr>
                        <m:sty m:val="p"/>
                      </m:rPr>
                      <m:t>−</m:t>
                    </m:r>
                    <m:r>
                      <m:t>λ</m:t>
                    </m:r>
                    <m:bar>
                      <m:barPr>
                        <m:pos m:val="top"/>
                      </m:barPr>
                      <m:e>
                        <m:r>
                          <m:t>U</m:t>
                        </m:r>
                      </m:e>
                    </m:bar>
                  </m:e>
                </m:d>
              </m:e>
            </m:mr>
            <m:mr>
              <m:e>
                <m:r>
                  <m:rPr>
                    <m:nor/>
                    <m:sty m:val="p"/>
                  </m:rPr>
                  <m:t>s.a.</m:t>
                </m:r>
              </m:e>
              <m:e>
                <m:bar>
                  <m:barPr>
                    <m:pos m:val="bot"/>
                  </m:barPr>
                  <m:e>
                    <m:r>
                      <m:t>U</m:t>
                    </m:r>
                  </m:e>
                </m:bar>
                <m:r>
                  <m:rPr>
                    <m:sty m:val="p"/>
                  </m:rPr>
                  <m:t>≥</m:t>
                </m:r>
                <m:bar>
                  <m:barPr>
                    <m:pos m:val="top"/>
                  </m:barPr>
                  <m:e>
                    <m:r>
                      <m:t>U</m:t>
                    </m:r>
                  </m:e>
                </m:bar>
                <m:r>
                  <m:rPr>
                    <m:sty m:val="p"/>
                  </m:rPr>
                  <m:t>+</m:t>
                </m:r>
                <m:r>
                  <m:t>Φ</m:t>
                </m:r>
                <m:d>
                  <m:dPr>
                    <m:begChr m:val="("/>
                    <m:sepChr m:val=""/>
                    <m:endChr m:val=")"/>
                    <m:grow/>
                  </m:dPr>
                  <m:e>
                    <m:bar>
                      <m:barPr>
                        <m:pos m:val="top"/>
                      </m:barPr>
                      <m:e>
                        <m:r>
                          <m:t>e</m:t>
                        </m:r>
                      </m:e>
                    </m:bar>
                  </m:e>
                </m:d>
                <m:r>
                  <m:t> </m:t>
                </m:r>
                <m:d>
                  <m:dPr>
                    <m:begChr m:val="("/>
                    <m:sepChr m:val=""/>
                    <m:endChr m:val=")"/>
                    <m:grow/>
                  </m:dPr>
                  <m:e>
                    <m:sSub>
                      <m:e>
                        <m:r>
                          <m:rPr>
                            <m:sty m:val="p"/>
                          </m:rPr>
                          <m:t>I</m:t>
                        </m:r>
                        <m:r>
                          <m:rPr>
                            <m:sty m:val="p"/>
                          </m:rPr>
                          <m:t>C</m:t>
                        </m:r>
                      </m:e>
                      <m:sub>
                        <m:r>
                          <m:t>1</m:t>
                        </m:r>
                      </m:sub>
                    </m:sSub>
                  </m:e>
                </m:d>
              </m:e>
            </m:mr>
            <m:mr>
              <m:e/>
              <m:e>
                <m:bar>
                  <m:barPr>
                    <m:pos m:val="top"/>
                  </m:barPr>
                  <m:e>
                    <m:r>
                      <m:t>U</m:t>
                    </m:r>
                  </m:e>
                </m:bar>
                <m:r>
                  <m:rPr>
                    <m:sty m:val="p"/>
                  </m:rPr>
                  <m:t>≥</m:t>
                </m:r>
                <m:r>
                  <m:t>0</m:t>
                </m:r>
                <m:r>
                  <m:t> </m:t>
                </m:r>
                <m:d>
                  <m:dPr>
                    <m:begChr m:val="("/>
                    <m:sepChr m:val=""/>
                    <m:endChr m:val=")"/>
                    <m:grow/>
                  </m:dPr>
                  <m:e>
                    <m:sSub>
                      <m:e>
                        <m:r>
                          <m:rPr>
                            <m:sty m:val="p"/>
                          </m:rPr>
                          <m:t>P</m:t>
                        </m:r>
                        <m:r>
                          <m:rPr>
                            <m:sty m:val="p"/>
                          </m:rPr>
                          <m:t>C</m:t>
                        </m:r>
                      </m:e>
                      <m:sub>
                        <m:r>
                          <m:t>2</m:t>
                        </m:r>
                      </m:sub>
                    </m:sSub>
                  </m:e>
                </m:d>
              </m:e>
            </m:mr>
          </m:m>
        </m:oMath>
      </m:oMathPara>
    </w:p>
    <w:p>
      <w:pPr>
        <w:numPr>
          <w:ilvl w:val="0"/>
          <w:numId w:val="1000"/>
        </w:numPr>
      </w:pPr>
      <w:r>
        <w:t xml:space="preserve">En el óptimo,</w:t>
      </w:r>
      <w:r>
        <w:t xml:space="preserve"> </w:t>
      </w:r>
      <m:oMath>
        <m:bar>
          <m:barPr>
            <m:pos m:val="top"/>
          </m:barPr>
          <m:e>
            <m:r>
              <m:t>U</m:t>
            </m:r>
          </m:e>
        </m:bar>
        <m:r>
          <m:rPr>
            <m:sty m:val="p"/>
          </m:rPr>
          <m:t>=</m:t>
        </m:r>
        <m:r>
          <m:t>0</m:t>
        </m:r>
      </m:oMath>
      <w:r>
        <w:t xml:space="preserve"> </w:t>
      </w:r>
      <w:r>
        <w:t xml:space="preserve">y</w:t>
      </w:r>
      <w:r>
        <w:t xml:space="preserve"> </w:t>
      </w:r>
      <m:oMath>
        <m:bar>
          <m:barPr>
            <m:pos m:val="bot"/>
          </m:barPr>
          <m:e>
            <m:r>
              <m:t>U</m:t>
            </m:r>
          </m:e>
        </m:bar>
        <m:r>
          <m:rPr>
            <m:sty m:val="p"/>
          </m:rPr>
          <m:t>=</m:t>
        </m:r>
        <m:r>
          <m:t>Φ</m:t>
        </m:r>
        <m:d>
          <m:dPr>
            <m:begChr m:val="("/>
            <m:sepChr m:val=""/>
            <m:endChr m:val=")"/>
            <m:grow/>
          </m:dPr>
          <m:e>
            <m:bar>
              <m:barPr>
                <m:pos m:val="top"/>
              </m:barPr>
              <m:e>
                <m:r>
                  <m:t>e</m:t>
                </m:r>
              </m:e>
            </m:bar>
          </m:e>
        </m:d>
      </m:oMath>
      <w:r>
        <w:t xml:space="preserve">, y (anexo </w:t>
      </w:r>
      <w:hyperlink w:anchor="anexo_laffont_tirole">
        <w:r>
          <w:rPr>
            <w:rStyle w:val="Hyperlink"/>
          </w:rPr>
          <w:t xml:space="preserve">A.3</w:t>
        </w:r>
      </w:hyperlink>
      <w:r>
        <w:t xml:space="preserve">)</w:t>
      </w:r>
    </w:p>
    <w:bookmarkStart w:id="104" w:name="eq_laffont_tirole"/>
    <w:bookmarkEnd w:id="104"/>
    <w:p>
      <w:pPr>
        <w:pStyle w:val="Funcionclave"/>
        <w:keepLines/>
      </w:pPr>
      <m:oMathPara>
        <m:oMathParaPr>
          <m:jc m:val="center"/>
        </m:oMathParaPr>
        <m:oMath>
          <m:r>
            <m:t>ψ</m:t>
          </m:r>
          <m:r>
            <m:rPr>
              <m:sty m:val="p"/>
            </m:rPr>
            <m:t>′</m:t>
          </m:r>
          <m:d>
            <m:dPr>
              <m:begChr m:val="("/>
              <m:sepChr m:val=""/>
              <m:endChr m:val=")"/>
              <m:grow/>
            </m:dPr>
            <m:e>
              <m:bar>
                <m:barPr>
                  <m:pos m:val="bot"/>
                </m:barPr>
                <m:e>
                  <m:r>
                    <m:t>e</m:t>
                  </m:r>
                </m:e>
              </m:bar>
            </m:e>
          </m:d>
          <m:r>
            <m:rPr>
              <m:sty m:val="p"/>
            </m:rPr>
            <m:t>=</m:t>
          </m:r>
          <m:r>
            <m:t>1</m:t>
          </m:r>
          <m:r>
            <m:rPr>
              <m:sty m:val="p"/>
            </m:rPr>
            <m:t>,</m:t>
          </m:r>
          <m:r>
            <m:t>  </m:t>
          </m:r>
          <m:r>
            <m:t>ψ</m:t>
          </m:r>
          <m:r>
            <m:rPr>
              <m:sty m:val="p"/>
            </m:rPr>
            <m:t>′</m:t>
          </m:r>
          <m:d>
            <m:dPr>
              <m:begChr m:val="("/>
              <m:sepChr m:val=""/>
              <m:endChr m:val=")"/>
              <m:grow/>
            </m:dPr>
            <m:e>
              <m:bar>
                <m:barPr>
                  <m:pos m:val="top"/>
                </m:barPr>
                <m:e>
                  <m:r>
                    <m:t>e</m:t>
                  </m:r>
                </m:e>
              </m:bar>
            </m:e>
          </m:d>
          <m:r>
            <m:rPr>
              <m:sty m:val="p"/>
            </m:rPr>
            <m:t>=</m:t>
          </m:r>
          <m:r>
            <m:t>1</m:t>
          </m:r>
          <m:r>
            <m:rPr>
              <m:sty m:val="p"/>
            </m:rPr>
            <m:t>−</m:t>
          </m:r>
          <m:f>
            <m:fPr>
              <m:type m:val="bar"/>
            </m:fPr>
            <m:num>
              <m:r>
                <m:t>λ</m:t>
              </m:r>
            </m:num>
            <m:den>
              <m:r>
                <m:t>1</m:t>
              </m:r>
              <m:r>
                <m:rPr>
                  <m:sty m:val="p"/>
                </m:rPr>
                <m:t>+</m:t>
              </m:r>
              <m:r>
                <m:t>λ</m:t>
              </m:r>
            </m:den>
          </m:f>
          <m:r>
            <m:rPr>
              <m:sty m:val="p"/>
            </m:rPr>
            <m:t>⋅</m:t>
          </m:r>
          <m:f>
            <m:fPr>
              <m:type m:val="bar"/>
            </m:fPr>
            <m:num>
              <m:r>
                <m:t>ν</m:t>
              </m:r>
            </m:num>
            <m:den>
              <m:r>
                <m:t>1</m:t>
              </m:r>
              <m:r>
                <m:rPr>
                  <m:sty m:val="p"/>
                </m:rPr>
                <m:t>−</m:t>
              </m:r>
              <m:r>
                <m:t>ν</m:t>
              </m:r>
            </m:den>
          </m:f>
          <m:r>
            <m:rPr>
              <m:sty m:val="p"/>
            </m:rPr>
            <m:t>⋅</m:t>
          </m:r>
          <m:r>
            <m:t>Φ</m:t>
          </m:r>
          <m:r>
            <m:rPr>
              <m:sty m:val="p"/>
            </m:rPr>
            <m:t>′</m:t>
          </m:r>
          <m:d>
            <m:dPr>
              <m:begChr m:val="("/>
              <m:sepChr m:val=""/>
              <m:endChr m:val=")"/>
              <m:grow/>
            </m:dPr>
            <m:e>
              <m:bar>
                <m:barPr>
                  <m:pos m:val="top"/>
                </m:barPr>
                <m:e>
                  <m:r>
                    <m:t>e</m:t>
                  </m:r>
                </m:e>
              </m:bar>
            </m:e>
          </m:d>
          <m:r>
            <m:rPr>
              <m:sty m:val="p"/>
            </m:rPr>
            <m:t>&lt;</m:t>
          </m:r>
          <m:r>
            <m:t>1</m:t>
          </m:r>
        </m:oMath>
      </m:oMathPara>
    </w:p>
    <w:bookmarkEnd w:id="105"/>
    <w:bookmarkStart w:id="107" w:name="iii_implicaciones_1"/>
    <w:p>
      <w:pPr>
        <w:pStyle w:val="Heading5"/>
      </w:pPr>
      <w:r>
        <w:t xml:space="preserve">iii) Implicaciones</w:t>
      </w:r>
    </w:p>
    <w:p>
      <w:pPr>
        <w:numPr>
          <w:ilvl w:val="0"/>
          <w:numId w:val="1061"/>
        </w:numPr>
      </w:pPr>
      <w:r>
        <w:rPr>
          <w:i/>
          <w:iCs/>
        </w:rPr>
        <w:t xml:space="preserve">No hay distorsión arriba</w:t>
      </w:r>
      <w:r>
        <w:t xml:space="preserve">: la eficiente hace el esfuerzo óptimo y se queda una renta informativa.</w:t>
      </w:r>
    </w:p>
    <w:p>
      <w:pPr>
        <w:numPr>
          <w:ilvl w:val="0"/>
          <w:numId w:val="1061"/>
        </w:numPr>
      </w:pPr>
      <w:r>
        <w:rPr>
          <w:i/>
          <w:iCs/>
        </w:rPr>
        <w:t xml:space="preserve">Distorsión abajo</w:t>
      </w:r>
      <w:r>
        <w:t xml:space="preserve">: a la ineficiente se le pide</w:t>
      </w:r>
      <w:r>
        <w:t xml:space="preserve"> </w:t>
      </w:r>
      <w:r>
        <w:rPr>
          <w:i/>
          <w:iCs/>
        </w:rPr>
        <w:t xml:space="preserve">menos</w:t>
      </w:r>
      <w:r>
        <w:t xml:space="preserve"> </w:t>
      </w:r>
      <w:r>
        <w:t xml:space="preserve">esfuerzo del óptimo, y por eso tiene más coste, porque cada unidad de esfuerzo que se le exige aumenta la renta de la eficiente. Cuanto mayores son</w:t>
      </w:r>
      <w:r>
        <w:t xml:space="preserve"> </w:t>
      </w:r>
      <m:oMath>
        <m:r>
          <m:t>λ</m:t>
        </m:r>
      </m:oMath>
      <w:r>
        <w:t xml:space="preserve"> </w:t>
      </w:r>
      <w:r>
        <w:t xml:space="preserve">y</w:t>
      </w:r>
      <w:r>
        <w:t xml:space="preserve"> </w:t>
      </w:r>
      <m:oMath>
        <m:r>
          <m:t>ν</m:t>
        </m:r>
      </m:oMath>
      <w:r>
        <w:t xml:space="preserve">, mayor es la distorsión; con</w:t>
      </w:r>
      <w:r>
        <w:t xml:space="preserve"> </w:t>
      </w:r>
      <m:oMath>
        <m:r>
          <m:t>λ</m:t>
        </m:r>
        <m:r>
          <m:rPr>
            <m:sty m:val="p"/>
          </m:rPr>
          <m:t>=</m:t>
        </m:r>
        <m:r>
          <m:t>0</m:t>
        </m:r>
      </m:oMath>
      <w:r>
        <w:t xml:space="preserve"> </w:t>
      </w:r>
      <w:r>
        <w:t xml:space="preserve">desaparece.</w:t>
      </w:r>
    </w:p>
    <w:p>
      <w:pPr>
        <w:numPr>
          <w:ilvl w:val="0"/>
          <w:numId w:val="1061"/>
        </w:numPr>
      </w:pPr>
      <w:r>
        <w:t xml:space="preserve">El dilema de la regulación con información asimétrica es entre</w:t>
      </w:r>
      <w:r>
        <w:t xml:space="preserve"> </w:t>
      </w:r>
      <w:r>
        <w:rPr>
          <w:b/>
          <w:bCs/>
        </w:rPr>
        <w:t xml:space="preserve">incentivos y extracción de rentas</w:t>
      </w:r>
      <w:r>
        <w:t xml:space="preserve">: dar más incentivos al esfuerzo deja más renta, y recortar la renta exige sacrificar eficiencia productiva. Es el mismo resultado que</w:t>
      </w:r>
      <w:r>
        <w:t xml:space="preserve"> </w:t>
      </w:r>
      <w:r>
        <w:rPr>
          <w:smallCaps/>
        </w:rPr>
        <w:t xml:space="preserve">Baron</w:t>
      </w:r>
      <w:r>
        <w:t xml:space="preserve"> </w:t>
      </w:r>
      <w:r>
        <w:t xml:space="preserve">y</w:t>
      </w:r>
      <w:r>
        <w:t xml:space="preserve"> </w:t>
      </w:r>
      <w:r>
        <w:rPr>
          <w:smallCaps/>
        </w:rPr>
        <w:t xml:space="preserve">Myerson</w:t>
      </w:r>
      <w:r>
        <w:t xml:space="preserve"> </w:t>
      </w:r>
      <w:r>
        <w:t xml:space="preserve">(</w:t>
      </w:r>
      <w:hyperlink w:anchor="eq_baron_myerson">
        <w:r>
          <w:rPr>
            <w:rStyle w:val="Hyperlink"/>
          </w:rPr>
          <w:t xml:space="preserve">7</w:t>
        </w:r>
      </w:hyperlink>
      <w:r>
        <w:t xml:space="preserve">) y que la discriminación de segundo grado</w:t>
      </w:r>
      <w:r>
        <w:t xml:space="preserve"> </w:t>
      </w:r>
      <w:hyperlink r:id="rId29">
        <w:r>
          <w:rPr>
            <w:rStyle w:val="Referenciaatema"/>
          </w:rPr>
          <w:t xml:space="preserve">[ver tema 3.A.17]</w:t>
        </w:r>
      </w:hyperlink>
      <w:r>
        <w:t xml:space="preserve">.</w:t>
      </w:r>
    </w:p>
    <w:p>
      <w:pPr>
        <w:keepNext/>
        <w:numPr>
          <w:ilvl w:val="0"/>
          <w:numId w:val="1061"/>
        </w:numPr>
      </w:pPr>
      <w:r>
        <w:t xml:space="preserve">«El que algo quiere, algo le cuesta», dice el refrán: si el regulador quiere que la empresa eficiente se esfuerce y no se haga pasar por ineficiente, tiene que pagarle una renta.</w:t>
      </w:r>
    </w:p>
    <w:p>
      <w:pPr>
        <w:numPr>
          <w:ilvl w:val="1"/>
          <w:numId w:val="1062"/>
        </w:numPr>
      </w:pPr>
      <w:r>
        <w:t xml:space="preserve">Sigamos con Redes del Valle, ahora con su coste anual de mantener la red: 100 millones de euros si es eficiente o 110 si no, con la misma probabilidad (</w:t>
      </w:r>
      <m:oMath>
        <m:r>
          <m:t>ν</m:t>
        </m:r>
        <m:r>
          <m:rPr>
            <m:sty m:val="p"/>
          </m:rPr>
          <m:t>=</m:t>
        </m:r>
        <m:f>
          <m:fPr>
            <m:type m:val="lin"/>
          </m:fPr>
          <m:num>
            <m:r>
              <m:t>1</m:t>
            </m:r>
          </m:num>
          <m:den>
            <m:r>
              <m:t>2</m:t>
            </m:r>
          </m:den>
        </m:f>
      </m:oMath>
      <w:r>
        <w:t xml:space="preserve">),</w:t>
      </w:r>
      <w:r>
        <w:t xml:space="preserve"> </w:t>
      </w:r>
      <m:oMath>
        <m:r>
          <m:t>ψ</m:t>
        </m:r>
        <m:d>
          <m:dPr>
            <m:begChr m:val="("/>
            <m:sepChr m:val=""/>
            <m:endChr m:val=")"/>
            <m:grow/>
          </m:dPr>
          <m:e>
            <m:r>
              <m:t>e</m:t>
            </m:r>
          </m:e>
        </m:d>
        <m:r>
          <m:rPr>
            <m:sty m:val="p"/>
          </m:rPr>
          <m:t>=</m:t>
        </m:r>
        <m:sSup>
          <m:e>
            <m:r>
              <m:t>e</m:t>
            </m:r>
          </m:e>
          <m:sup>
            <m:r>
              <m:t>2</m:t>
            </m:r>
          </m:sup>
        </m:sSup>
        <m:r>
          <m:rPr>
            <m:sty m:val="p"/>
          </m:rPr>
          <m:t>/</m:t>
        </m:r>
        <m:r>
          <m:t>40</m:t>
        </m:r>
      </m:oMath>
      <w:r>
        <w:t xml:space="preserve"> </w:t>
      </w:r>
      <w:r>
        <w:t xml:space="preserve">y</w:t>
      </w:r>
      <w:r>
        <w:t xml:space="preserve"> </w:t>
      </w:r>
      <m:oMath>
        <m:r>
          <m:t>λ</m:t>
        </m:r>
        <m:r>
          <m:rPr>
            <m:sty m:val="p"/>
          </m:rPr>
          <m:t>=</m:t>
        </m:r>
        <m:r>
          <m:t>0</m:t>
        </m:r>
        <m:r>
          <m:rPr>
            <m:sty m:val="p"/>
          </m:rPr>
          <m:t>,</m:t>
        </m:r>
        <m:r>
          <m:t>25</m:t>
        </m:r>
      </m:oMath>
      <w:r>
        <w:t xml:space="preserve">. Con información completa,</w:t>
      </w:r>
      <w:r>
        <w:t xml:space="preserve"> </w:t>
      </w:r>
      <m:oMath>
        <m:r>
          <m:t>ψ</m:t>
        </m:r>
        <m:r>
          <m:rPr>
            <m:sty m:val="p"/>
          </m:rPr>
          <m:t>′</m:t>
        </m:r>
        <m:d>
          <m:dPr>
            <m:begChr m:val="("/>
            <m:sepChr m:val=""/>
            <m:endChr m:val=")"/>
            <m:grow/>
          </m:dPr>
          <m:e>
            <m:r>
              <m:t>e</m:t>
            </m:r>
          </m:e>
        </m:d>
        <m:r>
          <m:rPr>
            <m:sty m:val="p"/>
          </m:rPr>
          <m:t>=</m:t>
        </m:r>
        <m:r>
          <m:t>e</m:t>
        </m:r>
        <m:r>
          <m:rPr>
            <m:sty m:val="p"/>
          </m:rPr>
          <m:t>/</m:t>
        </m:r>
        <m:r>
          <m:t>20</m:t>
        </m:r>
        <m:r>
          <m:rPr>
            <m:sty m:val="p"/>
          </m:rPr>
          <m:t>=</m:t>
        </m:r>
        <m:r>
          <m:t>1</m:t>
        </m:r>
      </m:oMath>
      <w:r>
        <w:t xml:space="preserve">: cada tipo se esfuerza</w:t>
      </w:r>
      <w:r>
        <w:t xml:space="preserve"> </w:t>
      </w:r>
      <m:oMath>
        <m:sSup>
          <m:e>
            <m:r>
              <m:t>e</m:t>
            </m:r>
          </m:e>
          <m:sup>
            <m:r>
              <m:rPr>
                <m:sty m:val="p"/>
              </m:rPr>
              <m:t>*</m:t>
            </m:r>
          </m:sup>
        </m:sSup>
        <m:r>
          <m:rPr>
            <m:sty m:val="p"/>
          </m:rPr>
          <m:t>=</m:t>
        </m:r>
        <m:r>
          <m:t>20</m:t>
        </m:r>
      </m:oMath>
      <w:r>
        <w:t xml:space="preserve">, la eficiente cuesta 80 y la ineficiente 90, y a las 2 se les paga</w:t>
      </w:r>
      <w:r>
        <w:t xml:space="preserve"> </w:t>
      </w:r>
      <m:oMath>
        <m:r>
          <m:t>ψ</m:t>
        </m:r>
        <m:d>
          <m:dPr>
            <m:begChr m:val="("/>
            <m:sepChr m:val=""/>
            <m:endChr m:val=")"/>
            <m:grow/>
          </m:dPr>
          <m:e>
            <m:r>
              <m:t>20</m:t>
            </m:r>
          </m:e>
        </m:d>
        <m:r>
          <m:rPr>
            <m:sty m:val="p"/>
          </m:rPr>
          <m:t>=</m:t>
        </m:r>
        <m:r>
          <m:t>10</m:t>
        </m:r>
      </m:oMath>
      <w:r>
        <w:t xml:space="preserve"> </w:t>
      </w:r>
      <w:r>
        <w:t xml:space="preserve">por el esfuerzo. Con información asimétrica,</w:t>
      </w:r>
      <w:r>
        <w:t xml:space="preserve"> </w:t>
      </w:r>
      <m:oMath>
        <m:r>
          <m:t>Φ</m:t>
        </m:r>
        <m:d>
          <m:dPr>
            <m:begChr m:val="("/>
            <m:sepChr m:val=""/>
            <m:endChr m:val=")"/>
            <m:grow/>
          </m:dPr>
          <m:e>
            <m:r>
              <m:t>e</m:t>
            </m:r>
          </m:e>
        </m:d>
        <m:r>
          <m:rPr>
            <m:sty m:val="p"/>
          </m:rPr>
          <m:t>=</m:t>
        </m:r>
        <m:r>
          <m:t>e</m:t>
        </m:r>
        <m:r>
          <m:rPr>
            <m:sty m:val="p"/>
          </m:rPr>
          <m:t>/</m:t>
        </m:r>
        <m:r>
          <m:t>2</m:t>
        </m:r>
        <m:r>
          <m:rPr>
            <m:sty m:val="p"/>
          </m:rPr>
          <m:t>−</m:t>
        </m:r>
        <m:r>
          <m:t>2</m:t>
        </m:r>
        <m:r>
          <m:rPr>
            <m:sty m:val="p"/>
          </m:rPr>
          <m:t>,</m:t>
        </m:r>
        <m:r>
          <m:t>5</m:t>
        </m:r>
      </m:oMath>
      <w:r>
        <w:t xml:space="preserve">,</w:t>
      </w:r>
      <w:r>
        <w:t xml:space="preserve"> </w:t>
      </w:r>
      <m:oMath>
        <m:r>
          <m:t>Φ</m:t>
        </m:r>
        <m:r>
          <m:rPr>
            <m:sty m:val="p"/>
          </m:rPr>
          <m:t>′</m:t>
        </m:r>
        <m:r>
          <m:rPr>
            <m:sty m:val="p"/>
          </m:rPr>
          <m:t>=</m:t>
        </m:r>
        <m:f>
          <m:fPr>
            <m:type m:val="lin"/>
          </m:fPr>
          <m:num>
            <m:r>
              <m:t>1</m:t>
            </m:r>
          </m:num>
          <m:den>
            <m:r>
              <m:t>2</m:t>
            </m:r>
          </m:den>
        </m:f>
      </m:oMath>
      <w:r>
        <w:t xml:space="preserve"> </w:t>
      </w:r>
      <w:r>
        <w:t xml:space="preserve">y</w:t>
      </w:r>
      <w:r>
        <w:t xml:space="preserve"> </w:t>
      </w:r>
      <m:oMath>
        <m:r>
          <m:t>ψ</m:t>
        </m:r>
        <m:r>
          <m:rPr>
            <m:sty m:val="p"/>
          </m:rPr>
          <m:t>′</m:t>
        </m:r>
        <m:d>
          <m:dPr>
            <m:begChr m:val="("/>
            <m:sepChr m:val=""/>
            <m:endChr m:val=")"/>
            <m:grow/>
          </m:dPr>
          <m:e>
            <m:bar>
              <m:barPr>
                <m:pos m:val="top"/>
              </m:barPr>
              <m:e>
                <m:r>
                  <m:t>e</m:t>
                </m:r>
              </m:e>
            </m:bar>
          </m:e>
        </m:d>
        <m:r>
          <m:rPr>
            <m:sty m:val="p"/>
          </m:rPr>
          <m:t>=</m:t>
        </m:r>
        <m:r>
          <m:t>1</m:t>
        </m:r>
        <m:r>
          <m:rPr>
            <m:sty m:val="p"/>
          </m:rPr>
          <m:t>−</m:t>
        </m:r>
        <m:r>
          <m:t>0</m:t>
        </m:r>
        <m:r>
          <m:rPr>
            <m:sty m:val="p"/>
          </m:rPr>
          <m:t>,</m:t>
        </m:r>
        <m:r>
          <m:t>2</m:t>
        </m:r>
        <m:r>
          <m:rPr>
            <m:sty m:val="p"/>
          </m:rPr>
          <m:t>⋅</m:t>
        </m:r>
        <m:r>
          <m:t>1</m:t>
        </m:r>
        <m:r>
          <m:rPr>
            <m:sty m:val="p"/>
          </m:rPr>
          <m:t>⋅</m:t>
        </m:r>
        <m:r>
          <m:t>0</m:t>
        </m:r>
        <m:r>
          <m:rPr>
            <m:sty m:val="p"/>
          </m:rPr>
          <m:t>,</m:t>
        </m:r>
        <m:r>
          <m:t>5</m:t>
        </m:r>
        <m:r>
          <m:rPr>
            <m:sty m:val="p"/>
          </m:rPr>
          <m:t>=</m:t>
        </m:r>
        <m:r>
          <m:t>0</m:t>
        </m:r>
        <m:r>
          <m:rPr>
            <m:sty m:val="p"/>
          </m:rPr>
          <m:t>,</m:t>
        </m:r>
        <m:r>
          <m:t>9</m:t>
        </m:r>
      </m:oMath>
      <w:r>
        <w:t xml:space="preserve">: se pide</w:t>
      </w:r>
      <w:r>
        <w:t xml:space="preserve"> </w:t>
      </w:r>
      <m:oMath>
        <m:bar>
          <m:barPr>
            <m:pos m:val="top"/>
          </m:barPr>
          <m:e>
            <m:r>
              <m:t>e</m:t>
            </m:r>
          </m:e>
        </m:bar>
        <m:r>
          <m:rPr>
            <m:sty m:val="p"/>
          </m:rPr>
          <m:t>=</m:t>
        </m:r>
        <m:r>
          <m:t>18</m:t>
        </m:r>
      </m:oMath>
      <w:r>
        <w:t xml:space="preserve"> </w:t>
      </w:r>
      <w:r>
        <w:t xml:space="preserve">a la ineficiente, que cuesta 92, y la eficiente se queda una renta de</w:t>
      </w:r>
      <w:r>
        <w:t xml:space="preserve"> </w:t>
      </w:r>
      <m:oMath>
        <m:r>
          <m:t>Φ</m:t>
        </m:r>
        <m:d>
          <m:dPr>
            <m:begChr m:val="("/>
            <m:sepChr m:val=""/>
            <m:endChr m:val=")"/>
            <m:grow/>
          </m:dPr>
          <m:e>
            <m:r>
              <m:t>18</m:t>
            </m:r>
          </m:e>
        </m:d>
        <m:r>
          <m:rPr>
            <m:sty m:val="p"/>
          </m:rPr>
          <m:t>=</m:t>
        </m:r>
        <m:r>
          <m:t>6</m:t>
        </m:r>
        <m:r>
          <m:rPr>
            <m:sty m:val="p"/>
          </m:rPr>
          <m:t>,</m:t>
        </m:r>
        <m:r>
          <m:t>5</m:t>
        </m:r>
      </m:oMath>
      <w:r>
        <w:t xml:space="preserve"> </w:t>
      </w:r>
      <w:r>
        <w:t xml:space="preserve">millones (tabla </w:t>
      </w:r>
      <w:hyperlink w:anchor="tab_ejemplo_laffont_tirole">
        <w:r>
          <w:rPr>
            <w:rStyle w:val="Hyperlink"/>
          </w:rPr>
          <w:t xml:space="preserve">3</w:t>
        </w:r>
      </w:hyperlink>
      <w:r>
        <w:t xml:space="preserve">).</w:t>
      </w:r>
    </w:p>
    <w:bookmarkStart w:id="106" w:name="tab_ejemplo_laffont_tirole"/>
    <w:p>
      <w:pPr>
        <w:pStyle w:val="TableCaption"/>
      </w:pPr>
      <w:r>
        <w:t xml:space="preserve">Tabla 3.–</w:t>
      </w:r>
      <w:r>
        <w:t xml:space="preserve"> </w:t>
      </w:r>
      <w:r>
        <w:t xml:space="preserve">Redes del Valle con el modelo de</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(millones de euros al año)</w:t>
      </w:r>
    </w:p>
    <w:tbl>
      <w:tblPr>
        <w:tblStyle w:val="Table"/>
        <w:tblW w:type="auto" w:w="0"/>
        <w:tblLook w:firstRow="0" w:lastRow="0" w:firstColumn="0" w:lastColumn="0" w:noHBand="0" w:noVBand="0" w:val="0000"/>
        <w:tblCaption w:val="Tabla 3.– Redes del Valle con el modelo de Laffont y Tirole (millones de euros al año)"/>
      </w:tblPr>
      <w:tblGrid>
        <w:gridCol w:w="1584"/>
        <w:gridCol w:w="1584"/>
        <w:gridCol w:w="1584"/>
        <w:gridCol w:w="1584"/>
        <w:gridCol w:w="1584"/>
      </w:tblGrid>
      <w:tr>
        <w:trPr>
          <w:cantSplit/>
        </w:trPr>
        <w:tc>
          <w:tcPr>
            <w:shd w:val="clear" w:color="auto" w:fill="DDEBF7"/>
            <w:vAlign w:val="center"/>
          </w:tcPr>
          <w:p>
            <w:pPr>
              <w:pStyle w:val="Celdatceeazulpalido"/>
              <w:keepNext/>
              <w:jc w:val="left"/>
            </w:pPr>
            <w:r>
              <w:t/>
            </w:r>
          </w:p>
        </w:tc>
        <w:tc>
          <w:tcPr>
            <w:gridSpan w:val="2"/>
            <w:shd w:val="clear" w:color="auto" w:fill="DDEBF7"/>
            <w:vAlign w:val="center"/>
          </w:tcPr>
          <w:p>
            <w:pPr>
              <w:pStyle w:val="Celdatceeazulpalido"/>
              <w:keepNext/>
              <w:jc w:val="center"/>
            </w:pPr>
            <w:r>
              <w:rPr>
                <w:b/>
                <w:bCs/>
              </w:rPr>
              <w:t xml:space="preserve">Información completa</w:t>
            </w:r>
          </w:p>
        </w:tc>
        <w:tc>
          <w:tcPr>
            <w:gridSpan w:val="2"/>
            <w:shd w:val="clear" w:color="auto" w:fill="DDEBF7"/>
            <w:vAlign w:val="center"/>
          </w:tcPr>
          <w:p>
            <w:pPr>
              <w:pStyle w:val="Celdatceeazulpalido"/>
              <w:keepNext/>
              <w:jc w:val="center"/>
            </w:pPr>
            <w:r>
              <w:rPr>
                <w:b/>
                <w:bCs/>
              </w:rPr>
              <w:t xml:space="preserve">Información asimétrica</w:t>
            </w:r>
          </w:p>
        </w:tc>
      </w:tr>
      <w:tr>
        <w:trPr>
          <w:cantSplit/>
        </w:trPr>
        <w:tc>
          <w:tcPr>
            <w:shd w:val="clear" w:color="auto" w:fill="DDEBF7"/>
            <w:vAlign w:val="center"/>
          </w:tcPr>
          <w:p>
            <w:pPr>
              <w:pStyle w:val="Celdatceeazulpalido"/>
              <w:jc w:val="left"/>
            </w:pPr>
            <w:r>
              <w:t/>
            </w:r>
          </w:p>
        </w:tc>
        <w:tc>
          <w:tcPr>
            <w:shd w:val="clear" w:color="auto" w:fill="DDEBF7"/>
            <w:vAlign w:val="center"/>
          </w:tcPr>
          <w:p>
            <w:pPr>
              <w:pStyle w:val="Celdatceeazulpalido"/>
              <w:jc w:val="center"/>
            </w:pPr>
            <w:r>
              <w:rPr>
                <w:b/>
                <w:bCs/>
              </w:rPr>
              <w:t xml:space="preserve">Eficiente</w:t>
            </w:r>
          </w:p>
        </w:tc>
        <w:tc>
          <w:tcPr>
            <w:shd w:val="clear" w:color="auto" w:fill="DDEBF7"/>
            <w:vAlign w:val="center"/>
          </w:tcPr>
          <w:p>
            <w:pPr>
              <w:pStyle w:val="Celdatceeazulpalido"/>
              <w:jc w:val="center"/>
            </w:pPr>
            <w:r>
              <w:rPr>
                <w:b/>
                <w:bCs/>
              </w:rPr>
              <w:t xml:space="preserve">Ineficiente</w:t>
            </w:r>
          </w:p>
        </w:tc>
        <w:tc>
          <w:tcPr>
            <w:shd w:val="clear" w:color="auto" w:fill="DDEBF7"/>
            <w:vAlign w:val="center"/>
          </w:tcPr>
          <w:p>
            <w:pPr>
              <w:pStyle w:val="Celdatceeazulpalido"/>
              <w:jc w:val="center"/>
            </w:pPr>
            <w:r>
              <w:rPr>
                <w:b/>
                <w:bCs/>
              </w:rPr>
              <w:t xml:space="preserve">Eficiente</w:t>
            </w:r>
          </w:p>
        </w:tc>
        <w:tc>
          <w:tcPr>
            <w:shd w:val="clear" w:color="auto" w:fill="DDEBF7"/>
            <w:vAlign w:val="center"/>
          </w:tcPr>
          <w:p>
            <w:pPr>
              <w:pStyle w:val="Celdatceeazulpalido"/>
              <w:jc w:val="center"/>
            </w:pPr>
            <w:r>
              <w:rPr>
                <w:b/>
                <w:bCs/>
              </w:rPr>
              <w:t xml:space="preserve">Ineficiente</w:t>
            </w:r>
          </w:p>
        </w:tc>
      </w:tr>
      <w:tr>
        <w:trPr>
          <w:cantSplit/>
        </w:trPr>
        <w:tc>
          <w:tcPr>
            <w:vAlign w:val="center"/>
          </w:tcPr>
          <w:p>
            <w:pPr>
              <w:pStyle w:val="Compact"/>
              <w:jc w:val="left"/>
            </w:pPr>
            <w:r>
              <w:t xml:space="preserve">Esfuerzo,</w:t>
            </w:r>
            <w:r>
              <w:t xml:space="preserve"> </w:t>
            </w:r>
            <m:oMath>
              <m:r>
                <m:t>e</m:t>
              </m:r>
            </m:oMath>
          </w:p>
        </w:tc>
        <w:tc>
          <w:tcPr>
            <w:vAlign w:val="center"/>
          </w:tcPr>
          <w:p>
            <w:pPr>
              <w:pStyle w:val="Compact"/>
              <w:jc w:val="center"/>
            </w:pPr>
            <w:r>
              <w:t xml:space="preserve">20</w:t>
            </w:r>
          </w:p>
        </w:tc>
        <w:tc>
          <w:tcPr>
            <w:vAlign w:val="center"/>
          </w:tcPr>
          <w:p>
            <w:pPr>
              <w:pStyle w:val="Compact"/>
              <w:jc w:val="center"/>
            </w:pPr>
            <w:r>
              <w:t xml:space="preserve">20</w:t>
            </w:r>
          </w:p>
        </w:tc>
        <w:tc>
          <w:tcPr>
            <w:vAlign w:val="center"/>
          </w:tcPr>
          <w:p>
            <w:pPr>
              <w:pStyle w:val="Compact"/>
              <w:jc w:val="center"/>
            </w:pPr>
            <w:r>
              <w:t xml:space="preserve">20</w:t>
            </w:r>
          </w:p>
        </w:tc>
        <w:tc>
          <w:tcPr>
            <w:vAlign w:val="center"/>
          </w:tcPr>
          <w:p>
            <w:pPr>
              <w:pStyle w:val="Compact"/>
              <w:jc w:val="center"/>
            </w:pPr>
            <w:r>
              <w:rPr>
                <w:rStyle w:val="Textorojo"/>
              </w:rPr>
              <w:t xml:space="preserve">18</w:t>
            </w:r>
          </w:p>
        </w:tc>
      </w:tr>
      <w:tr>
        <w:trPr>
          <w:cantSplit/>
        </w:trPr>
        <w:tc>
          <w:tcPr>
            <w:vAlign w:val="center"/>
          </w:tcPr>
          <w:p>
            <w:pPr>
              <w:pStyle w:val="Compact"/>
              <w:jc w:val="left"/>
            </w:pPr>
            <w:r>
              <w:t xml:space="preserve">Coste,</w:t>
            </w:r>
            <w:r>
              <w:t xml:space="preserve"> </w:t>
            </w:r>
            <m:oMath>
              <m:r>
                <m:t>C</m:t>
              </m:r>
              <m:r>
                <m:rPr>
                  <m:sty m:val="p"/>
                </m:rPr>
                <m:t>=</m:t>
              </m:r>
              <m:r>
                <m:t>β</m:t>
              </m:r>
              <m:r>
                <m:rPr>
                  <m:sty m:val="p"/>
                </m:rPr>
                <m:t>−</m:t>
              </m:r>
              <m:r>
                <m:t>e</m:t>
              </m:r>
            </m:oMath>
          </w:p>
        </w:tc>
        <w:tc>
          <w:tcPr>
            <w:vAlign w:val="center"/>
          </w:tcPr>
          <w:p>
            <w:pPr>
              <w:pStyle w:val="Compact"/>
              <w:jc w:val="center"/>
            </w:pPr>
            <w:r>
              <w:t xml:space="preserve">80</w:t>
            </w:r>
          </w:p>
        </w:tc>
        <w:tc>
          <w:tcPr>
            <w:vAlign w:val="center"/>
          </w:tcPr>
          <w:p>
            <w:pPr>
              <w:pStyle w:val="Compact"/>
              <w:jc w:val="center"/>
            </w:pPr>
            <w:r>
              <w:t xml:space="preserve">90</w:t>
            </w:r>
          </w:p>
        </w:tc>
        <w:tc>
          <w:tcPr>
            <w:vAlign w:val="center"/>
          </w:tcPr>
          <w:p>
            <w:pPr>
              <w:pStyle w:val="Compact"/>
              <w:jc w:val="center"/>
            </w:pPr>
            <w:r>
              <w:t xml:space="preserve">80</w:t>
            </w:r>
          </w:p>
        </w:tc>
        <w:tc>
          <w:tcPr>
            <w:vAlign w:val="center"/>
          </w:tcPr>
          <w:p>
            <w:pPr>
              <w:pStyle w:val="Compact"/>
              <w:jc w:val="center"/>
            </w:pPr>
            <w:r>
              <w:rPr>
                <w:rStyle w:val="Textorojo"/>
              </w:rPr>
              <w:t xml:space="preserve">92</w:t>
            </w:r>
          </w:p>
        </w:tc>
      </w:tr>
      <w:tr>
        <w:trPr>
          <w:cantSplit/>
        </w:trPr>
        <w:tc>
          <w:tcPr>
            <w:vAlign w:val="center"/>
          </w:tcPr>
          <w:p>
            <w:pPr>
              <w:pStyle w:val="Compact"/>
              <w:jc w:val="left"/>
            </w:pPr>
            <w:r>
              <w:t xml:space="preserve">Transferencia,</w:t>
            </w:r>
            <w:r>
              <w:t xml:space="preserve"> </w:t>
            </w:r>
            <m:oMath>
              <m:r>
                <m:t>t</m:t>
              </m:r>
            </m:oMath>
          </w:p>
        </w:tc>
        <w:tc>
          <w:tcPr>
            <w:vAlign w:val="center"/>
          </w:tcPr>
          <w:p>
            <w:pPr>
              <w:pStyle w:val="Compact"/>
              <w:jc w:val="center"/>
            </w:pPr>
            <w:r>
              <w:t xml:space="preserve">10</w:t>
            </w:r>
          </w:p>
        </w:tc>
        <w:tc>
          <w:tcPr>
            <w:vAlign w:val="center"/>
          </w:tcPr>
          <w:p>
            <w:pPr>
              <w:pStyle w:val="Compact"/>
              <w:jc w:val="center"/>
            </w:pPr>
            <w:r>
              <w:t xml:space="preserve">10</w:t>
            </w:r>
          </w:p>
        </w:tc>
        <w:tc>
          <w:tcPr>
            <w:vAlign w:val="center"/>
          </w:tcPr>
          <w:p>
            <w:pPr>
              <w:pStyle w:val="Compact"/>
              <w:jc w:val="center"/>
            </w:pPr>
            <w:r>
              <w:t xml:space="preserve">16,5</w:t>
            </w:r>
          </w:p>
        </w:tc>
        <w:tc>
          <w:tcPr>
            <w:vAlign w:val="center"/>
          </w:tcPr>
          <w:p>
            <w:pPr>
              <w:pStyle w:val="Compact"/>
              <w:jc w:val="center"/>
            </w:pPr>
            <w:r>
              <w:t xml:space="preserve">8,1</w:t>
            </w:r>
          </w:p>
        </w:tc>
      </w:tr>
      <w:tr>
        <w:trPr>
          <w:cantSplit/>
        </w:trPr>
        <w:tc>
          <w:tcPr>
            <w:vAlign w:val="center"/>
          </w:tcPr>
          <w:p>
            <w:pPr>
              <w:pStyle w:val="Compact"/>
              <w:jc w:val="left"/>
            </w:pPr>
            <w:r>
              <w:t xml:space="preserve">Renta,</w:t>
            </w:r>
            <w:r>
              <w:t xml:space="preserve"> </w:t>
            </w:r>
            <m:oMath>
              <m:r>
                <m:t>U</m:t>
              </m:r>
              <m:r>
                <m:rPr>
                  <m:sty m:val="p"/>
                </m:rPr>
                <m:t>=</m:t>
              </m:r>
              <m:r>
                <m:t>t</m:t>
              </m:r>
              <m:r>
                <m:rPr>
                  <m:sty m:val="p"/>
                </m:rPr>
                <m:t>−</m:t>
              </m:r>
              <m:r>
                <m:t>ψ</m:t>
              </m:r>
              <m:d>
                <m:dPr>
                  <m:begChr m:val="("/>
                  <m:sepChr m:val=""/>
                  <m:endChr m:val=")"/>
                  <m:grow/>
                </m:dPr>
                <m:e>
                  <m:r>
                    <m:t>e</m:t>
                  </m:r>
                </m:e>
              </m:d>
            </m:oMath>
          </w:p>
        </w:tc>
        <w:tc>
          <w:tcPr>
            <w:vAlign w:val="center"/>
          </w:tcPr>
          <w:p>
            <w:pPr>
              <w:pStyle w:val="Compact"/>
              <w:jc w:val="center"/>
            </w:pPr>
            <w:r>
              <w:t xml:space="preserve">0</w:t>
            </w:r>
          </w:p>
        </w:tc>
        <w:tc>
          <w:tcPr>
            <w:vAlign w:val="center"/>
          </w:tcPr>
          <w:p>
            <w:pPr>
              <w:pStyle w:val="Compact"/>
              <w:jc w:val="center"/>
            </w:pPr>
            <w:r>
              <w:t xml:space="preserve">0</w:t>
            </w:r>
          </w:p>
        </w:tc>
        <w:tc>
          <w:tcPr>
            <w:vAlign w:val="center"/>
          </w:tcPr>
          <w:p>
            <w:pPr>
              <w:pStyle w:val="Compact"/>
              <w:jc w:val="center"/>
            </w:pPr>
            <w:r>
              <w:rPr>
                <w:rStyle w:val="Textorojo"/>
              </w:rPr>
              <w:t xml:space="preserve">6,5</w:t>
            </w:r>
          </w:p>
        </w:tc>
        <w:tc>
          <w:tcPr>
            <w:vAlign w:val="center"/>
          </w:tcPr>
          <w:p>
            <w:pPr>
              <w:pStyle w:val="Compact"/>
              <w:jc w:val="center"/>
            </w:pPr>
            <w:r>
              <w:t xml:space="preserve">0</w:t>
            </w:r>
          </w:p>
        </w:tc>
      </w:tr>
      <w:tr>
        <w:trPr>
          <w:cantSplit/>
        </w:trPr>
        <w:tc>
          <w:tcPr>
            <w:vAlign w:val="center"/>
          </w:tcPr>
          <w:p>
            <w:pPr>
              <w:pStyle w:val="Compact"/>
              <w:jc w:val="left"/>
            </w:pPr>
            <w:r>
              <w:t xml:space="preserve">Pago total,</w:t>
            </w:r>
            <w:r>
              <w:t xml:space="preserve"> </w:t>
            </w:r>
            <m:oMath>
              <m:r>
                <m:t>C</m:t>
              </m:r>
              <m:r>
                <m:rPr>
                  <m:sty m:val="p"/>
                </m:rPr>
                <m:t>+</m:t>
              </m:r>
              <m:r>
                <m:t>t</m:t>
              </m:r>
            </m:oMath>
          </w:p>
        </w:tc>
        <w:tc>
          <w:tcPr>
            <w:vAlign w:val="center"/>
          </w:tcPr>
          <w:p>
            <w:pPr>
              <w:pStyle w:val="Compact"/>
              <w:jc w:val="center"/>
            </w:pPr>
            <w:r>
              <w:t xml:space="preserve">90</w:t>
            </w:r>
          </w:p>
        </w:tc>
        <w:tc>
          <w:tcPr>
            <w:vAlign w:val="center"/>
          </w:tcPr>
          <w:p>
            <w:pPr>
              <w:pStyle w:val="Compact"/>
              <w:jc w:val="center"/>
            </w:pPr>
            <w:r>
              <w:t xml:space="preserve">100</w:t>
            </w:r>
          </w:p>
        </w:tc>
        <w:tc>
          <w:tcPr>
            <w:vAlign w:val="center"/>
          </w:tcPr>
          <w:p>
            <w:pPr>
              <w:pStyle w:val="Compact"/>
              <w:jc w:val="center"/>
            </w:pPr>
            <w:r>
              <w:t xml:space="preserve">96,5</w:t>
            </w:r>
          </w:p>
        </w:tc>
        <w:tc>
          <w:tcPr>
            <w:vAlign w:val="center"/>
          </w:tcPr>
          <w:p>
            <w:pPr>
              <w:pStyle w:val="Compact"/>
              <w:jc w:val="center"/>
            </w:pPr>
            <w:r>
              <w:t xml:space="preserve">100,1</w:t>
            </w:r>
          </w:p>
        </w:tc>
      </w:tr>
    </w:tbl>
    <w:bookmarkEnd w:id="106"/>
    <w:p>
      <w:pPr>
        <w:pStyle w:val="BodyText"/>
      </w:pPr>
      <w:r>
        <w:rPr>
          <w:i/>
          <w:iCs/>
        </w:rPr>
        <w:t xml:space="preserve">Fuente: elaboración propia a partir de</w:t>
      </w:r>
      <w:r>
        <w:rPr>
          <w:i/>
          <w:iCs/>
        </w:rPr>
        <w:t xml:space="preserve"> </w:t>
      </w:r>
      <w:r>
        <w:rPr>
          <w:i/>
          <w:iCs/>
          <w:smallCaps/>
        </w:rPr>
        <w:t xml:space="preserve">Laffont</w:t>
      </w:r>
      <w:r>
        <w:rPr>
          <w:i/>
          <w:iCs/>
        </w:rPr>
        <w:t xml:space="preserve"> </w:t>
      </w:r>
      <w:r>
        <w:rPr>
          <w:i/>
          <w:iCs/>
        </w:rPr>
        <w:t xml:space="preserve">y</w:t>
      </w:r>
      <w:r>
        <w:rPr>
          <w:i/>
          <w:iCs/>
        </w:rPr>
        <w:t xml:space="preserve"> </w:t>
      </w:r>
      <w:r>
        <w:rPr>
          <w:i/>
          <w:iCs/>
          <w:smallCaps/>
        </w:rPr>
        <w:t xml:space="preserve">Tirole</w:t>
      </w:r>
      <w:r>
        <w:rPr>
          <w:i/>
          <w:iCs/>
        </w:rPr>
        <w:t xml:space="preserve"> </w:t>
      </w:r>
      <w:r>
        <w:rPr>
          <w:i/>
          <w:iCs/>
        </w:rPr>
        <w:t xml:space="preserve">(</w:t>
      </w:r>
      <w:hyperlink w:anchor="ref_LaffontTirole1993Theory">
        <w:r>
          <w:rPr>
            <w:rStyle w:val="Hyperlink"/>
            <w:i/>
            <w:iCs/>
          </w:rPr>
          <w:t xml:space="preserve">1993, cap. 1</w:t>
        </w:r>
      </w:hyperlink>
      <w:r>
        <w:rPr>
          <w:i/>
          <w:iCs/>
        </w:rPr>
        <w:t xml:space="preserve">)</w:t>
      </w:r>
      <w:r>
        <w:rPr>
          <w:i/>
          <w:iCs/>
        </w:rPr>
        <w:t xml:space="preserve">.</w:t>
      </w:r>
    </w:p>
    <w:bookmarkEnd w:id="107"/>
    <w:bookmarkEnd w:id="108"/>
    <w:bookmarkStart w:id="115" w:name="c_extensiones_3"/>
    <w:p>
      <w:pPr>
        <w:pStyle w:val="Heading4"/>
      </w:pPr>
      <w:r>
        <w:t xml:space="preserve">c) Extensiones</w:t>
      </w:r>
    </w:p>
    <w:p>
      <w:pPr>
        <w:numPr>
          <w:ilvl w:val="0"/>
          <w:numId w:val="1063"/>
        </w:numPr>
      </w:pPr>
      <w:r>
        <w:rPr>
          <w:i/>
          <w:iCs/>
        </w:rPr>
        <w:t xml:space="preserve">Puesta en práctica: un menú de contratos lineales</w:t>
      </w:r>
      <w:r>
        <w:t xml:space="preserve">. Con muchos tipos, y bajo condiciones de regularidad, el óptimo se alcanza dejando que la empresa elija entre contratos lineales en el coste</w:t>
      </w:r>
      <w:r>
        <w:t xml:space="preserve"> </w:t>
      </w:r>
      <w:r>
        <w:t xml:space="preserve">(</w:t>
      </w:r>
      <w:hyperlink w:anchor="ref_LaffontTirole1986Using">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1986</w:t>
        </w:r>
      </w:hyperlink>
      <w:r>
        <w:t xml:space="preserve">;</w:t>
      </w:r>
      <w:r>
        <w:t xml:space="preserve"> </w:t>
      </w:r>
      <w:hyperlink w:anchor="ref_LaffontTirole1993Theory">
        <w:r>
          <w:rPr>
            <w:rStyle w:val="Hyperlink"/>
          </w:rPr>
          <w:t xml:space="preserve">1993, cap. 1</w:t>
        </w:r>
      </w:hyperlink>
      <w:r>
        <w:t xml:space="preserve">)</w:t>
      </w:r>
      <w:r>
        <w:t xml:space="preserve">, con</w:t>
      </w:r>
      <w:r>
        <w:t xml:space="preserve"> </w:t>
      </w:r>
      <m:oMath>
        <m:sSup>
          <m:e>
            <m:r>
              <m:t>C</m:t>
            </m:r>
          </m:e>
          <m:sup>
            <m:r>
              <m:t>a</m:t>
            </m:r>
          </m:sup>
        </m:sSup>
      </m:oMath>
      <w:r>
        <w:t xml:space="preserve"> </w:t>
      </w:r>
      <w:r>
        <w:t xml:space="preserve">el coste que anuncia y</w:t>
      </w:r>
      <w:r>
        <w:t xml:space="preserve"> </w:t>
      </w:r>
      <m:oMath>
        <m:r>
          <m:t>b</m:t>
        </m:r>
        <m:r>
          <m:rPr>
            <m:sty m:val="p"/>
          </m:rPr>
          <m:t>∈</m:t>
        </m:r>
        <m:d>
          <m:dPr>
            <m:begChr m:val="["/>
            <m:sepChr m:val=""/>
            <m:endChr m:val="]"/>
            <m:grow/>
          </m:dPr>
          <m:e>
            <m:r>
              <m:t>0</m:t>
            </m:r>
            <m:r>
              <m:rPr>
                <m:sty m:val="p"/>
              </m:rPr>
              <m:t>,</m:t>
            </m:r>
            <m:r>
              <m:t>1</m:t>
            </m:r>
          </m:e>
        </m:d>
      </m:oMath>
      <w:r>
        <w:t xml:space="preserve"> </w:t>
      </w:r>
      <w:r>
        <w:t xml:space="preserve">la</w:t>
      </w:r>
      <w:r>
        <w:t xml:space="preserve"> </w:t>
      </w:r>
      <w:r>
        <w:rPr>
          <w:b/>
          <w:bCs/>
        </w:rPr>
        <w:t xml:space="preserve">potencia</w:t>
      </w:r>
      <w:r>
        <w:t xml:space="preserve"> </w:t>
      </w:r>
      <w:r>
        <w:t xml:space="preserve">del incentivo, la parte del sobrecoste que paga la empresa (gráfico </w:t>
      </w:r>
      <w:hyperlink w:anchor="fig_menu_contratos">
        <w:r>
          <w:rPr>
            <w:rStyle w:val="Hyperlink"/>
          </w:rPr>
          <w:t xml:space="preserve">6</w:t>
        </w:r>
      </w:hyperlink>
      <w:r>
        <w:t xml:space="preserve">):</w:t>
      </w:r>
      <w:r>
        <w:t xml:space="preserve"> </w:t>
      </w:r>
      <w:bookmarkStart w:id="109" w:name="eq_menu"/>
      <w:bookmarkEnd w:id="109"/>
    </w:p>
    <w:p>
      <w:pPr>
        <w:pStyle w:val="BodyText"/>
        <w:keepNext/>
      </w:pPr>
      <m:oMathPara>
        <m:oMathParaPr>
          <m:jc m:val="center"/>
        </m:oMathParaPr>
        <m:oMath>
          <m:r>
            <m:t>t</m:t>
          </m:r>
          <m:d>
            <m:dPr>
              <m:begChr m:val="("/>
              <m:sepChr m:val=""/>
              <m:endChr m:val=")"/>
              <m:grow/>
            </m:dPr>
            <m:e>
              <m:r>
                <m:t>C</m:t>
              </m:r>
            </m:e>
          </m:d>
          <m:r>
            <m:rPr>
              <m:sty m:val="p"/>
            </m:rPr>
            <m:t>=</m:t>
          </m:r>
          <m:r>
            <m:t>a</m:t>
          </m:r>
          <m:r>
            <m:rPr>
              <m:sty m:val="p"/>
            </m:rPr>
            <m:t>−</m:t>
          </m:r>
          <m:r>
            <m:t>b</m:t>
          </m:r>
          <m:r>
            <m:t> </m:t>
          </m:r>
          <m:d>
            <m:dPr>
              <m:begChr m:val="("/>
              <m:sepChr m:val=""/>
              <m:endChr m:val=")"/>
              <m:grow/>
            </m:dPr>
            <m:e>
              <m:r>
                <m:t>C</m:t>
              </m:r>
              <m:r>
                <m:rPr>
                  <m:sty m:val="p"/>
                </m:rPr>
                <m:t>−</m:t>
              </m:r>
              <m:sSup>
                <m:e>
                  <m:r>
                    <m:t>C</m:t>
                  </m:r>
                </m:e>
                <m:sup>
                  <m:r>
                    <m:t>a</m:t>
                  </m:r>
                </m:sup>
              </m:sSup>
            </m:e>
          </m:d>
          <m:r>
            <m:rPr>
              <m:sty m:val="p"/>
            </m:rPr>
            <m:t>.</m:t>
          </m:r>
        </m:oMath>
      </m:oMathPara>
    </w:p>
    <w:p>
      <w:pPr>
        <w:numPr>
          <w:ilvl w:val="1"/>
          <w:numId w:val="1064"/>
        </w:numPr>
      </w:pPr>
      <m:oMath>
        <m:r>
          <m:t>b</m:t>
        </m:r>
        <m:r>
          <m:rPr>
            <m:sty m:val="p"/>
          </m:rPr>
          <m:t>=</m:t>
        </m:r>
        <m:r>
          <m:t>1</m:t>
        </m:r>
      </m:oMath>
      <w:r>
        <w:t xml:space="preserve">, contrato de</w:t>
      </w:r>
      <w:r>
        <w:t xml:space="preserve"> </w:t>
      </w:r>
      <w:r>
        <w:rPr>
          <w:b/>
          <w:bCs/>
        </w:rPr>
        <w:t xml:space="preserve">precio fijo</w:t>
      </w:r>
      <w:r>
        <w:t xml:space="preserve"> </w:t>
      </w:r>
      <w:r>
        <w:t xml:space="preserve">(</w:t>
      </w:r>
      <w:r>
        <w:rPr>
          <w:i/>
          <w:iCs/>
        </w:rPr>
        <w:t xml:space="preserve">fixed price</w:t>
      </w:r>
      <w:r>
        <w:t xml:space="preserve">): la empresa recibe en total</w:t>
      </w:r>
      <w:r>
        <w:t xml:space="preserve"> </w:t>
      </w:r>
      <m:oMath>
        <m:r>
          <m:t>C</m:t>
        </m:r>
        <m:r>
          <m:rPr>
            <m:sty m:val="p"/>
          </m:rPr>
          <m:t>+</m:t>
        </m:r>
        <m:r>
          <m:t>t</m:t>
        </m:r>
        <m:r>
          <m:rPr>
            <m:sty m:val="p"/>
          </m:rPr>
          <m:t>=</m:t>
        </m:r>
        <m:r>
          <m:t>a</m:t>
        </m:r>
        <m:r>
          <m:rPr>
            <m:sty m:val="p"/>
          </m:rPr>
          <m:t>+</m:t>
        </m:r>
        <m:sSup>
          <m:e>
            <m:r>
              <m:t>C</m:t>
            </m:r>
          </m:e>
          <m:sup>
            <m:r>
              <m:t>a</m:t>
            </m:r>
          </m:sup>
        </m:sSup>
      </m:oMath>
      <w:r>
        <w:t xml:space="preserve"> </w:t>
      </w:r>
      <w:r>
        <w:t xml:space="preserve">cueste lo que cueste, se queda con todo lo que ahorre y se esfuerza como en el óptimo; lo elige la eficiente;</w:t>
      </w:r>
    </w:p>
    <w:p>
      <w:pPr>
        <w:numPr>
          <w:ilvl w:val="1"/>
          <w:numId w:val="1064"/>
        </w:numPr>
      </w:pPr>
      <m:oMath>
        <m:r>
          <m:t>b</m:t>
        </m:r>
        <m:r>
          <m:rPr>
            <m:sty m:val="p"/>
          </m:rPr>
          <m:t>→</m:t>
        </m:r>
        <m:r>
          <m:t>0</m:t>
        </m:r>
      </m:oMath>
      <w:r>
        <w:t xml:space="preserve">, contrato de</w:t>
      </w:r>
      <w:r>
        <w:t xml:space="preserve"> </w:t>
      </w:r>
      <w:r>
        <w:rPr>
          <w:b/>
          <w:bCs/>
        </w:rPr>
        <w:t xml:space="preserve">coste incrementado</w:t>
      </w:r>
      <w:r>
        <w:t xml:space="preserve"> </w:t>
      </w:r>
      <w:r>
        <w:t xml:space="preserve">(</w:t>
      </w:r>
      <w:r>
        <w:rPr>
          <w:i/>
          <w:iCs/>
        </w:rPr>
        <w:t xml:space="preserve">cost plus</w:t>
      </w:r>
      <w:r>
        <w:t xml:space="preserve">): se le reembolsa casi todo el coste; no tiene incentivos al esfuerzo, pero tampoco renta; lo eligen los tipos menos eficientes.</w:t>
      </w:r>
    </w:p>
    <w:p>
      <w:pPr>
        <w:numPr>
          <w:ilvl w:val="0"/>
          <w:numId w:val="1000"/>
        </w:numPr>
      </w:pPr>
      <w:r>
        <w:t xml:space="preserve">Con un contrato de potencia</w:t>
      </w:r>
      <w:r>
        <w:t xml:space="preserve"> </w:t>
      </w:r>
      <m:oMath>
        <m:r>
          <m:t>b</m:t>
        </m:r>
      </m:oMath>
      <w:r>
        <w:t xml:space="preserve"> </w:t>
      </w:r>
      <w:r>
        <w:t xml:space="preserve">la empresa se esfuerza hasta</w:t>
      </w:r>
      <w:r>
        <w:t xml:space="preserve"> </w:t>
      </w:r>
      <m:oMath>
        <m:r>
          <m:t>ψ</m:t>
        </m:r>
        <m:r>
          <m:rPr>
            <m:sty m:val="p"/>
          </m:rPr>
          <m:t>′</m:t>
        </m:r>
        <m:d>
          <m:dPr>
            <m:begChr m:val="("/>
            <m:sepChr m:val=""/>
            <m:endChr m:val=")"/>
            <m:grow/>
          </m:dPr>
          <m:e>
            <m:r>
              <m:t>e</m:t>
            </m:r>
          </m:e>
        </m:d>
        <m:r>
          <m:rPr>
            <m:sty m:val="p"/>
          </m:rPr>
          <m:t>=</m:t>
        </m:r>
        <m:r>
          <m:t>b</m:t>
        </m:r>
      </m:oMath>
      <w:r>
        <w:t xml:space="preserve">; por eso la potencia que se ofrece a cada tipo baja con su ineficiencia, y cada tipo ocupa su lugar en la escala de la potencia (gráfico </w:t>
      </w:r>
      <w:hyperlink w:anchor="fig_escala_potencia">
        <w:r>
          <w:rPr>
            <w:rStyle w:val="Hyperlink"/>
          </w:rPr>
          <w:t xml:space="preserve">8</w:t>
        </w:r>
      </w:hyperlink>
      <w:r>
        <w:t xml:space="preserve">).</w:t>
      </w:r>
      <w:r>
        <w:rPr>
          <w:rStyle w:val="FootnoteReference"/>
        </w:rPr>
        <w:footnoteReference w:id="110"/>
      </w:r>
    </w:p>
    <w:p>
      <w:pPr>
        <w:numPr>
          <w:ilvl w:val="0"/>
          <w:numId w:val="1063"/>
        </w:numPr>
      </w:pPr>
      <w:r>
        <w:rPr>
          <w:i/>
          <w:iCs/>
        </w:rPr>
        <w:t xml:space="preserve">Dicotomía precios-incentivos</w:t>
      </w:r>
      <w:r>
        <w:t xml:space="preserve">: si la empresa además vende al público, bajo ciertas condiciones los precios obedecen a la regla de</w:t>
      </w:r>
      <w:r>
        <w:t xml:space="preserve"> </w:t>
      </w:r>
      <w:r>
        <w:rPr>
          <w:smallCaps/>
        </w:rPr>
        <w:t xml:space="preserve">Ramsey</w:t>
      </w:r>
      <w:r>
        <w:t xml:space="preserve">-</w:t>
      </w:r>
      <w:r>
        <w:rPr>
          <w:smallCaps/>
        </w:rPr>
        <w:t xml:space="preserve">Boiteux</w:t>
      </w:r>
      <w:r>
        <w:t xml:space="preserve"> </w:t>
      </w:r>
      <w:r>
        <w:t xml:space="preserve">(</w:t>
      </w:r>
      <w:hyperlink w:anchor="eq_ramsey_boiteux">
        <w:r>
          <w:rPr>
            <w:rStyle w:val="Hyperlink"/>
          </w:rPr>
          <w:t xml:space="preserve">3</w:t>
        </w:r>
      </w:hyperlink>
      <w:r>
        <w:t xml:space="preserve">), con</w:t>
      </w:r>
      <w:r>
        <w:t xml:space="preserve"> </w:t>
      </w:r>
      <m:oMath>
        <m:r>
          <m:t>λ</m:t>
        </m:r>
      </m:oMath>
      <w:r>
        <w:t xml:space="preserve"> </w:t>
      </w:r>
      <w:r>
        <w:t xml:space="preserve">el coste de los fondos públicos, mientras que las transferencias se encargan por separado de limitar las rentas</w:t>
      </w:r>
      <w:r>
        <w:t xml:space="preserve"> </w:t>
      </w:r>
      <w:r>
        <w:t xml:space="preserve">(</w:t>
      </w:r>
      <w:hyperlink w:anchor="ref_LaffontTirole1993Theory">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1993, cap. 3</w:t>
        </w:r>
      </w:hyperlink>
      <w:r>
        <w:t xml:space="preserve">)</w:t>
      </w:r>
      <w:r>
        <w:t xml:space="preserve">.</w:t>
      </w:r>
    </w:p>
    <w:p>
      <w:pPr>
        <w:numPr>
          <w:ilvl w:val="0"/>
          <w:numId w:val="1063"/>
        </w:numPr>
      </w:pPr>
      <w:r>
        <w:rPr>
          <w:i/>
          <w:iCs/>
        </w:rPr>
        <w:t xml:space="preserve">Más información</w:t>
      </w:r>
      <w:r>
        <w:t xml:space="preserve">: si una auditoría hace más probable que la empresa sea eficiente (sube</w:t>
      </w:r>
      <w:r>
        <w:t xml:space="preserve"> </w:t>
      </w:r>
      <m:oMath>
        <m:r>
          <m:t>ν</m:t>
        </m:r>
      </m:oMath>
      <w:r>
        <w:t xml:space="preserve">), el regulador distorsiona más a la ineficiente y la renta de la eficiente,</w:t>
      </w:r>
      <w:r>
        <w:t xml:space="preserve"> </w:t>
      </w:r>
      <m:oMath>
        <m:r>
          <m:t>Φ</m:t>
        </m:r>
        <m:d>
          <m:dPr>
            <m:begChr m:val="("/>
            <m:sepChr m:val=""/>
            <m:endChr m:val=")"/>
            <m:grow/>
          </m:dPr>
          <m:e>
            <m:bar>
              <m:barPr>
                <m:pos m:val="top"/>
              </m:barPr>
              <m:e>
                <m:r>
                  <m:t>e</m:t>
                </m:r>
              </m:e>
            </m:bar>
          </m:e>
        </m:d>
      </m:oMath>
      <w:r>
        <w:t xml:space="preserve">, baja.</w:t>
      </w:r>
    </w:p>
    <w:p>
      <w:pPr>
        <w:numPr>
          <w:ilvl w:val="0"/>
          <w:numId w:val="1063"/>
        </w:numPr>
      </w:pPr>
      <w:r>
        <w:rPr>
          <w:i/>
          <w:iCs/>
        </w:rPr>
        <w:t xml:space="preserve">Subastas y dinámica</w:t>
      </w:r>
      <w:r>
        <w:t xml:space="preserve">: si se subasta el contrato, la competencia recorta la renta (</w:t>
      </w:r>
      <w:hyperlink w:anchor="sec_competencia_por_mercado">
        <w:r>
          <w:rPr>
            <w:rStyle w:val="Hyperlink"/>
          </w:rPr>
          <w:t xml:space="preserve">III.2</w:t>
        </w:r>
      </w:hyperlink>
      <w:r>
        <w:t xml:space="preserve">); si se repite sin compromiso, aparece el efecto trinquete (</w:t>
      </w:r>
      <w:hyperlink w:anchor="sec_compromiso_captura">
        <w:r>
          <w:rPr>
            <w:rStyle w:val="Hyperlink"/>
          </w:rPr>
          <w:t xml:space="preserve">II.5</w:t>
        </w:r>
      </w:hyperlink>
      <w:r>
        <w:t xml:space="preserve">).</w:t>
      </w:r>
    </w:p>
    <w:bookmarkStart w:id="114" w:name="fig_menu_contratos"/>
    <w:p>
      <w:pPr>
        <w:pStyle w:val="ImageCaption"/>
      </w:pPr>
      <w:r>
        <w:t xml:space="preserve">Gráfico 6.–</w:t>
      </w:r>
      <w:r>
        <w:t xml:space="preserve"> </w:t>
      </w:r>
      <w:r>
        <w:t xml:space="preserve">Menú de contratos lineales: precio fijo para la empresa eficiente y baja potencia para la ineficiente</w:t>
      </w:r>
    </w:p>
    <w:p>
      <w:pPr>
        <w:pStyle w:val="CaptionedFigure"/>
      </w:pPr>
      <w:r>
        <w:drawing>
          <wp:inline>
            <wp:extent cx="3282950" cy="2381218"/>
            <wp:effectExtent b="0" l="0" r="0" t="0"/>
            <wp:docPr descr="Gráfico 6.– Menú de contratos lineales: precio fijo para la empresa eficiente y baja potencia para la ineficiente" title="" id="112" name="Picture"/>
            <a:graphic>
              <a:graphicData uri="http://schemas.openxmlformats.org/drawingml/2006/picture">
                <pic:pic>
                  <pic:nvPicPr>
                    <pic:cNvPr descr="C:\Users\vgutierrez\Documents\src\victorgutierrezmarcos.github.io-revision\oposicion\temario\fuentes\3A20\graficos/menu-contratos.png" id="113" name="Picture"/>
                    <pic:cNvPicPr>
                      <a:picLocks noChangeArrowheads="1" noChangeAspect="1"/>
                    </pic:cNvPicPr>
                  </pic:nvPicPr>
                  <pic:blipFill>
                    <a:blip r:embed="rId111"/>
                    <a:stretch>
                      <a:fillRect/>
                    </a:stretch>
                  </pic:blipFill>
                  <pic:spPr bwMode="auto">
                    <a:xfrm>
                      <a:off x="0" y="0"/>
                      <a:ext cx="3282950" cy="2381218"/>
                    </a:xfrm>
                    <a:prstGeom prst="rect">
                      <a:avLst/>
                    </a:prstGeom>
                    <a:noFill/>
                    <a:ln w="9525">
                      <a:noFill/>
                      <a:headEnd/>
                      <a:tailEnd/>
                    </a:ln>
                  </pic:spPr>
                </pic:pic>
              </a:graphicData>
            </a:graphic>
          </wp:inline>
        </w:drawing>
      </w:r>
    </w:p>
    <w:bookmarkEnd w:id="114"/>
    <w:p>
      <w:pPr>
        <w:pStyle w:val="Piedeimagen"/>
      </w:pPr>
      <w:r>
        <w:t xml:space="preserve">Fuente: elaboración propia a partir de</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w:t>
      </w:r>
      <w:hyperlink w:anchor="ref_LaffontTirole1993Theory">
        <w:r>
          <w:rPr>
            <w:rStyle w:val="Hyperlink"/>
          </w:rPr>
          <w:t xml:space="preserve">1993, cap. 1</w:t>
        </w:r>
      </w:hyperlink>
      <w:r>
        <w:t xml:space="preserve">)</w:t>
      </w:r>
      <w:r>
        <w:t xml:space="preserve">.</w:t>
      </w:r>
    </w:p>
    <w:bookmarkEnd w:id="115"/>
    <w:bookmarkStart w:id="116" w:name="d_evidencia_emp__rica_1"/>
    <w:p>
      <w:pPr>
        <w:pStyle w:val="Heading4"/>
      </w:pPr>
      <w:r>
        <w:t xml:space="preserve">d) Evidencia empírica</w:t>
      </w:r>
    </w:p>
    <w:p>
      <w:pPr>
        <w:numPr>
          <w:ilvl w:val="0"/>
          <w:numId w:val="1065"/>
        </w:numPr>
      </w:pPr>
      <w:r>
        <w:t xml:space="preserve">Los reguladores de las redes eléctricas han pasado de contratos de baja potencia a esquemas de incentivos y menús: el regulador británico de la energía ofrece a las empresas un menú de reparto del ahorro en el que quien presenta previsiones de gasto más bajas recibe una parte mayor de lo que ahorre, con la lógica del modelo; y esos esquemas han reducido los costes de operación</w:t>
      </w:r>
      <w:r>
        <w:t xml:space="preserve"> </w:t>
      </w:r>
      <w:r>
        <w:t xml:space="preserve">(</w:t>
      </w:r>
      <w:hyperlink w:anchor="ref_Joskow2014Incentive">
        <w:r>
          <w:rPr>
            <w:rStyle w:val="Hyperlink"/>
            <w:smallCaps/>
          </w:rPr>
          <w:t xml:space="preserve">Joskow</w:t>
        </w:r>
        <w:r>
          <w:rPr>
            <w:rStyle w:val="Hyperlink"/>
          </w:rPr>
          <w:t xml:space="preserve">, 2014</w:t>
        </w:r>
      </w:hyperlink>
      <w:r>
        <w:t xml:space="preserve">)</w:t>
      </w:r>
      <w:r>
        <w:t xml:space="preserve">.</w:t>
      </w:r>
    </w:p>
    <w:bookmarkEnd w:id="116"/>
    <w:bookmarkStart w:id="117" w:name="e_valoraci__n_1"/>
    <w:p>
      <w:pPr>
        <w:pStyle w:val="Heading4"/>
      </w:pPr>
      <w:r>
        <w:t xml:space="preserve">e) Valoración</w:t>
      </w:r>
    </w:p>
    <w:p>
      <w:pPr>
        <w:numPr>
          <w:ilvl w:val="0"/>
          <w:numId w:val="1066"/>
        </w:numPr>
      </w:pPr>
      <w:r>
        <w:t xml:space="preserve">Es la teoría normativa más completa de la regulación: da forma a la intuición de que el</w:t>
      </w:r>
      <w:r>
        <w:t xml:space="preserve"> </w:t>
      </w:r>
      <w:r>
        <w:rPr>
          <w:i/>
          <w:iCs/>
        </w:rPr>
        <w:t xml:space="preserve">price cap</w:t>
      </w:r>
      <w:r>
        <w:t xml:space="preserve"> </w:t>
      </w:r>
      <w:r>
        <w:t xml:space="preserve">(alta potencia) da incentivos y deja rentas, y la tasa de rentabilidad (baja potencia), al revés, y dice cuándo conviene cada uno.</w:t>
      </w:r>
    </w:p>
    <w:p>
      <w:pPr>
        <w:numPr>
          <w:ilvl w:val="0"/>
          <w:numId w:val="1066"/>
        </w:numPr>
      </w:pPr>
      <w:r>
        <w:t xml:space="preserve">Pero supone un regulador benevolente que se compromete, y que conoce la distribución de los tipos y la función</w:t>
      </w:r>
      <w:r>
        <w:t xml:space="preserve"> </w:t>
      </w:r>
      <m:oMath>
        <m:r>
          <m:t>ψ</m:t>
        </m:r>
        <m:d>
          <m:dPr>
            <m:begChr m:val="("/>
            <m:sepChr m:val=""/>
            <m:endChr m:val=")"/>
            <m:grow/>
          </m:dPr>
          <m:e>
            <m:r>
              <m:rPr>
                <m:sty m:val="p"/>
              </m:rPr>
              <m:t>⋅</m:t>
            </m:r>
          </m:e>
        </m:d>
      </m:oMath>
      <w:r>
        <w:t xml:space="preserve">. Los reguladores reales usan reglas más sencillas, como el</w:t>
      </w:r>
      <w:r>
        <w:t xml:space="preserve"> </w:t>
      </w:r>
      <w:r>
        <w:rPr>
          <w:i/>
          <w:iCs/>
        </w:rPr>
        <w:t xml:space="preserve">price cap</w:t>
      </w:r>
      <w:r>
        <w:t xml:space="preserve">; y, si no se comprometen o pueden ser capturados, la recomendación cambia (</w:t>
      </w:r>
      <w:hyperlink w:anchor="sec_compromiso_captura">
        <w:r>
          <w:rPr>
            <w:rStyle w:val="Hyperlink"/>
          </w:rPr>
          <w:t xml:space="preserve">II.5</w:t>
        </w:r>
      </w:hyperlink>
      <w:r>
        <w:t xml:space="preserve">).</w:t>
      </w:r>
    </w:p>
    <w:bookmarkEnd w:id="117"/>
    <w:bookmarkEnd w:id="118"/>
    <w:bookmarkStart w:id="134" w:name="sec_price_cap"/>
    <w:p>
      <w:pPr>
        <w:pStyle w:val="Heading2"/>
      </w:pPr>
      <w:r>
        <w:t xml:space="preserve">II.4.</w:t>
      </w:r>
      <w:r>
        <w:t xml:space="preserve"> </w:t>
      </w:r>
      <w:r>
        <w:t xml:space="preserve">Regulación por incentivos: precios máximos y esquemas intermedios</w:t>
      </w:r>
    </w:p>
    <w:bookmarkStart w:id="119" w:name="a_idea_5"/>
    <w:p>
      <w:pPr>
        <w:pStyle w:val="Heading4"/>
      </w:pPr>
      <w:r>
        <w:t xml:space="preserve">a) Idea</w:t>
      </w:r>
    </w:p>
    <w:p>
      <w:pPr>
        <w:numPr>
          <w:ilvl w:val="0"/>
          <w:numId w:val="1067"/>
        </w:numPr>
      </w:pPr>
      <w:r>
        <w:t xml:space="preserve">El menú de</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pide mucha información. La regulación por incentivos de la práctica lo simplifica desligando el precio de los costes que declara la empresa. Su forma más conocida es el</w:t>
      </w:r>
      <w:r>
        <w:t xml:space="preserve"> </w:t>
      </w:r>
      <w:r>
        <w:rPr>
          <w:b/>
          <w:bCs/>
        </w:rPr>
        <w:t xml:space="preserve">precio máximo</w:t>
      </w:r>
      <w:r>
        <w:t xml:space="preserve"> </w:t>
      </w:r>
      <w:r>
        <w:t xml:space="preserve">(</w:t>
      </w:r>
      <w:r>
        <w:rPr>
          <w:i/>
          <w:iCs/>
        </w:rPr>
        <w:t xml:space="preserve">price cap</w:t>
      </w:r>
      <w:r>
        <w:t xml:space="preserve">), que Stephen</w:t>
      </w:r>
      <w:r>
        <w:t xml:space="preserve"> </w:t>
      </w:r>
      <w:r>
        <w:rPr>
          <w:smallCaps/>
        </w:rPr>
        <w:t xml:space="preserve">Littlechild</w:t>
      </w:r>
      <w:r>
        <w:t xml:space="preserve"> </w:t>
      </w:r>
      <w:r>
        <w:t xml:space="preserve">(</w:t>
      </w:r>
      <w:hyperlink w:anchor="ref_Littlechild1983Regulation">
        <w:r>
          <w:rPr>
            <w:rStyle w:val="Hyperlink"/>
          </w:rPr>
          <w:t xml:space="preserve">1983</w:t>
        </w:r>
      </w:hyperlink>
      <w:r>
        <w:t xml:space="preserve">)</w:t>
      </w:r>
      <w:r>
        <w:t xml:space="preserve"> </w:t>
      </w:r>
      <w:r>
        <w:t xml:space="preserve">propuso para la privatización de British Telecom y que se extendió después al gas, el agua, la electricidad y los aeropuertos. Es un contrato de alta potencia, cercano al de precio fijo (</w:t>
      </w:r>
      <m:oMath>
        <m:r>
          <m:t>b</m:t>
        </m:r>
        <m:r>
          <m:rPr>
            <m:sty m:val="p"/>
          </m:rPr>
          <m:t>=</m:t>
        </m:r>
        <m:r>
          <m:t>1</m:t>
        </m:r>
      </m:oMath>
      <w:r>
        <w:t xml:space="preserve"> </w:t>
      </w:r>
      <w:r>
        <w:t xml:space="preserve">en (</w:t>
      </w:r>
      <w:hyperlink w:anchor="eq_menu">
        <w:r>
          <w:rPr>
            <w:rStyle w:val="Hyperlink"/>
          </w:rPr>
          <w:t xml:space="preserve">10</w:t>
        </w:r>
      </w:hyperlink>
      <w:r>
        <w:t xml:space="preserve">)).</w:t>
      </w:r>
    </w:p>
    <w:bookmarkEnd w:id="119"/>
    <w:bookmarkStart w:id="129" w:name="b_modelo_4"/>
    <w:p>
      <w:pPr>
        <w:pStyle w:val="Heading4"/>
      </w:pPr>
      <w:r>
        <w:t xml:space="preserve">b) Modelo</w:t>
      </w:r>
    </w:p>
    <w:bookmarkStart w:id="120" w:name="i_supuestos_2"/>
    <w:p>
      <w:pPr>
        <w:pStyle w:val="Heading5"/>
      </w:pPr>
      <w:r>
        <w:t xml:space="preserve">i) Supuestos</w:t>
      </w:r>
    </w:p>
    <w:p>
      <w:pPr>
        <w:numPr>
          <w:ilvl w:val="0"/>
          <w:numId w:val="1068"/>
        </w:numPr>
      </w:pPr>
      <w:r>
        <w:t xml:space="preserve">Al principio de un</w:t>
      </w:r>
      <w:r>
        <w:t xml:space="preserve"> </w:t>
      </w:r>
      <w:r>
        <w:rPr>
          <w:i/>
          <w:iCs/>
        </w:rPr>
        <w:t xml:space="preserve">periodo regulatorio</w:t>
      </w:r>
      <w:r>
        <w:t xml:space="preserve"> </w:t>
      </w:r>
      <w:r>
        <w:t xml:space="preserve">de varios años, el regulador fija un nivel inicial de ingresos que permite recuperar los «costes razonables» de la empresa y, con él, un precio medio (o el de una cesta de servicios).</w:t>
      </w:r>
    </w:p>
    <w:p>
      <w:pPr>
        <w:numPr>
          <w:ilvl w:val="0"/>
          <w:numId w:val="1068"/>
        </w:numPr>
      </w:pPr>
      <w:r>
        <w:t xml:space="preserve">Mientras dura el periodo, el precio puede subir como mucho la inflación descontado un</w:t>
      </w:r>
      <w:r>
        <w:t xml:space="preserve"> </w:t>
      </w:r>
      <w:r>
        <w:rPr>
          <w:i/>
          <w:iCs/>
        </w:rPr>
        <w:t xml:space="preserve">factor de eficiencia</w:t>
      </w:r>
      <w:r>
        <w:t xml:space="preserve"> </w:t>
      </w:r>
      <m:oMath>
        <m:r>
          <m:t>X</m:t>
        </m:r>
      </m:oMath>
      <w:r>
        <w:t xml:space="preserve">, que es la mejora de productividad exigida a la industria; precio y</w:t>
      </w:r>
      <w:r>
        <w:t xml:space="preserve"> </w:t>
      </w:r>
      <m:oMath>
        <m:r>
          <m:t>X</m:t>
        </m:r>
      </m:oMath>
      <w:r>
        <w:t xml:space="preserve"> </w:t>
      </w:r>
      <w:r>
        <w:t xml:space="preserve">se revisan al terminar.</w:t>
      </w:r>
    </w:p>
    <w:bookmarkEnd w:id="120"/>
    <w:bookmarkStart w:id="127" w:name="ii_desarrollo_2"/>
    <w:p>
      <w:pPr>
        <w:pStyle w:val="Heading5"/>
      </w:pPr>
      <w:r>
        <w:t xml:space="preserve">ii) Desarrollo</w:t>
      </w:r>
    </w:p>
    <w:p>
      <w:pPr>
        <w:numPr>
          <w:ilvl w:val="0"/>
          <w:numId w:val="1069"/>
        </w:numPr>
      </w:pPr>
      <w:r>
        <w:t xml:space="preserve">La regla es</w:t>
      </w:r>
    </w:p>
    <w:bookmarkStart w:id="121" w:name="eq_price_cap"/>
    <w:bookmarkEnd w:id="121"/>
    <w:p>
      <w:pPr>
        <w:pStyle w:val="Funcionclave"/>
        <w:keepLines/>
      </w:pPr>
      <m:oMathPara>
        <m:oMathParaPr>
          <m:jc m:val="center"/>
        </m:oMathParaPr>
        <m:oMath>
          <m:sSub>
            <m:e>
              <m:r>
                <m:t>p</m:t>
              </m:r>
            </m:e>
            <m:sub>
              <m:r>
                <m:t>t</m:t>
              </m:r>
              <m:r>
                <m:rPr>
                  <m:sty m:val="p"/>
                </m:rPr>
                <m:t>+</m:t>
              </m:r>
              <m:r>
                <m:t>1</m:t>
              </m:r>
            </m:sub>
          </m:sSub>
          <m:r>
            <m:rPr>
              <m:sty m:val="p"/>
            </m:rPr>
            <m:t>≤</m:t>
          </m:r>
          <m:sSub>
            <m:e>
              <m:r>
                <m:t>p</m:t>
              </m:r>
            </m:e>
            <m:sub>
              <m:r>
                <m:t>t</m:t>
              </m:r>
            </m:sub>
          </m:sSub>
          <m:r>
            <m:t> </m:t>
          </m:r>
          <m:d>
            <m:dPr>
              <m:begChr m:val="("/>
              <m:sepChr m:val=""/>
              <m:endChr m:val=")"/>
              <m:grow/>
            </m:dPr>
            <m:e>
              <m:r>
                <m:t>1</m:t>
              </m:r>
              <m:r>
                <m:rPr>
                  <m:sty m:val="p"/>
                </m:rPr>
                <m:t>+</m:t>
              </m:r>
              <m:sSub>
                <m:e>
                  <m:r>
                    <m:rPr>
                      <m:sty m:val="p"/>
                    </m:rPr>
                    <m:t>I</m:t>
                  </m:r>
                  <m:r>
                    <m:rPr>
                      <m:sty m:val="p"/>
                    </m:rPr>
                    <m:t>P</m:t>
                  </m:r>
                  <m:r>
                    <m:rPr>
                      <m:sty m:val="p"/>
                    </m:rPr>
                    <m:t>C</m:t>
                  </m:r>
                </m:e>
                <m:sub>
                  <m:r>
                    <m:t>t</m:t>
                  </m:r>
                </m:sub>
              </m:sSub>
              <m:r>
                <m:rPr>
                  <m:sty m:val="p"/>
                </m:rPr>
                <m:t>−</m:t>
              </m:r>
              <m:r>
                <m:t>X</m:t>
              </m:r>
            </m:e>
          </m:d>
        </m:oMath>
      </m:oMathPara>
    </w:p>
    <w:p>
      <w:pPr>
        <w:numPr>
          <w:ilvl w:val="0"/>
          <w:numId w:val="1000"/>
        </w:numPr>
      </w:pPr>
      <w:r>
        <w:t xml:space="preserve">Cuanto mayor es</w:t>
      </w:r>
      <w:r>
        <w:t xml:space="preserve"> </w:t>
      </w:r>
      <m:oMath>
        <m:r>
          <m:t>X</m:t>
        </m:r>
      </m:oMath>
      <w:r>
        <w:t xml:space="preserve">, menos sube el precio y más ganancias de productividad pasan a los consumidores.</w:t>
      </w:r>
      <w:r>
        <w:rPr>
          <w:rStyle w:val="FootnoteReference"/>
        </w:rPr>
        <w:footnoteReference w:id="122"/>
      </w:r>
    </w:p>
    <w:p>
      <w:pPr>
        <w:numPr>
          <w:ilvl w:val="0"/>
          <w:numId w:val="1069"/>
        </w:numPr>
      </w:pPr>
      <w:r>
        <w:t xml:space="preserve">Hasta la siguiente revisión, el tope no se mueve aunque cambien los costes:</w:t>
      </w:r>
      <w:r>
        <w:t xml:space="preserve"> </w:t>
      </w:r>
      <w:r>
        <w:rPr>
          <w:i/>
          <w:iCs/>
        </w:rPr>
        <w:t xml:space="preserve">lo que la empresa ahorra se lo queda íntegro</w:t>
      </w:r>
      <w:r>
        <w:t xml:space="preserve">, igual que con un contrato de precio fijo.</w:t>
      </w:r>
    </w:p>
    <w:p>
      <w:pPr>
        <w:keepNext/>
        <w:numPr>
          <w:ilvl w:val="0"/>
          <w:numId w:val="1069"/>
        </w:numPr>
      </w:pPr>
      <w:r>
        <w:t xml:space="preserve">Si el tope se aplica a la media de una cesta ponderada con las cantidades del periodo anterior, la empresa decide los precios relativos y acaba acercándose por sí sola a una estructura de tipo</w:t>
      </w:r>
      <w:r>
        <w:t xml:space="preserve"> </w:t>
      </w:r>
      <w:r>
        <w:rPr>
          <w:smallCaps/>
        </w:rPr>
        <w:t xml:space="preserve">Ramsey</w:t>
      </w:r>
      <w:r>
        <w:t xml:space="preserve">-</w:t>
      </w:r>
      <w:r>
        <w:rPr>
          <w:smallCaps/>
        </w:rPr>
        <w:t xml:space="preserve">Boiteux</w:t>
      </w:r>
      <w:r>
        <w:t xml:space="preserve">, sin que el regulador tenga que estimar elasticidades</w:t>
      </w:r>
      <w:r>
        <w:t xml:space="preserve"> </w:t>
      </w:r>
      <w:r>
        <w:t xml:space="preserve">(</w:t>
      </w:r>
      <w:hyperlink w:anchor="ref_VogelsangFinsinger1979Regulatory">
        <w:r>
          <w:rPr>
            <w:rStyle w:val="Hyperlink"/>
            <w:smallCaps/>
          </w:rPr>
          <w:t xml:space="preserve">Vogelsang</w:t>
        </w:r>
        <w:r>
          <w:rPr>
            <w:rStyle w:val="Hyperlink"/>
          </w:rPr>
          <w:t xml:space="preserve"> </w:t>
        </w:r>
        <w:r>
          <w:rPr>
            <w:rStyle w:val="Hyperlink"/>
          </w:rPr>
          <w:t xml:space="preserve">y</w:t>
        </w:r>
        <w:r>
          <w:rPr>
            <w:rStyle w:val="Hyperlink"/>
          </w:rPr>
          <w:t xml:space="preserve"> </w:t>
        </w:r>
        <w:r>
          <w:rPr>
            <w:rStyle w:val="Hyperlink"/>
            <w:smallCaps/>
          </w:rPr>
          <w:t xml:space="preserve">Finsinger</w:t>
        </w:r>
        <w:r>
          <w:rPr>
            <w:rStyle w:val="Hyperlink"/>
          </w:rPr>
          <w:t xml:space="preserve">, 1979</w:t>
        </w:r>
      </w:hyperlink>
      <w:r>
        <w:t xml:space="preserve">)</w:t>
      </w:r>
      <w:r>
        <w:t xml:space="preserve">.</w:t>
      </w:r>
    </w:p>
    <w:p>
      <w:pPr>
        <w:numPr>
          <w:ilvl w:val="1"/>
          <w:numId w:val="1070"/>
        </w:numPr>
      </w:pPr>
      <w:r>
        <w:t xml:space="preserve">Volvamos a Redes del Valle con un</w:t>
      </w:r>
      <w:r>
        <w:t xml:space="preserve"> </w:t>
      </w:r>
      <w:r>
        <w:rPr>
          <w:i/>
          <w:iCs/>
        </w:rPr>
        <w:t xml:space="preserve">price cap</w:t>
      </w:r>
      <w:r>
        <w:t xml:space="preserve">: si su peaje medio es de 40 euros por megavatio hora, la inflación del 2,5 % y</w:t>
      </w:r>
      <w:r>
        <w:t xml:space="preserve"> </w:t>
      </w:r>
      <m:oMath>
        <m:r>
          <m:t>X</m:t>
        </m:r>
        <m:r>
          <m:rPr>
            <m:sty m:val="p"/>
          </m:rPr>
          <m:t>=</m:t>
        </m:r>
        <m:r>
          <m:t>1</m:t>
        </m:r>
        <m:r>
          <m:rPr>
            <m:sty m:val="p"/>
          </m:rPr>
          <m:t>,</m:t>
        </m:r>
        <m:r>
          <m:t>5</m:t>
        </m:r>
      </m:oMath>
      <w:r>
        <w:t xml:space="preserve">, el año siguiente no puede pasar de</w:t>
      </w:r>
      <w:r>
        <w:t xml:space="preserve"> </w:t>
      </w:r>
      <m:oMath>
        <m:r>
          <m:t>40</m:t>
        </m:r>
        <m:r>
          <m:rPr>
            <m:sty m:val="p"/>
          </m:rPr>
          <m:t>×</m:t>
        </m:r>
        <m:r>
          <m:t>1</m:t>
        </m:r>
        <m:r>
          <m:rPr>
            <m:sty m:val="p"/>
          </m:rPr>
          <m:t>,</m:t>
        </m:r>
        <m:r>
          <m:t>01</m:t>
        </m:r>
        <m:r>
          <m:rPr>
            <m:sty m:val="p"/>
          </m:rPr>
          <m:t>=</m:t>
        </m:r>
        <m:r>
          <m:t>40</m:t>
        </m:r>
        <m:r>
          <m:rPr>
            <m:sty m:val="p"/>
          </m:rPr>
          <m:t>,</m:t>
        </m:r>
        <m:r>
          <m:t>40</m:t>
        </m:r>
      </m:oMath>
      <w:r>
        <w:t xml:space="preserve">. Si consigue bajar sus costes un 3 % al año, se queda con la diferencia hasta la revisión, cuando el regulador ajustará el precio a los nuevos costes (gráfico </w:t>
      </w:r>
      <w:hyperlink w:anchor="fig_price_cap">
        <w:r>
          <w:rPr>
            <w:rStyle w:val="Hyperlink"/>
          </w:rPr>
          <w:t xml:space="preserve">7</w:t>
        </w:r>
      </w:hyperlink>
      <w:r>
        <w:t xml:space="preserve">).</w:t>
      </w:r>
    </w:p>
    <w:bookmarkStart w:id="126" w:name="fig_price_cap"/>
    <w:p>
      <w:pPr>
        <w:pStyle w:val="ImageCaption"/>
      </w:pPr>
      <w:r>
        <w:t xml:space="preserve">Gráfico 7.–</w:t>
      </w:r>
      <w:r>
        <w:t xml:space="preserve"> </w:t>
      </w:r>
      <w:r>
        <w:rPr>
          <w:i/>
          <w:iCs/>
        </w:rPr>
        <w:t xml:space="preserve">Price cap</w:t>
      </w:r>
      <w:r>
        <w:t xml:space="preserve">: el precio sigue la senda</w:t>
      </w:r>
      <w:r>
        <w:t xml:space="preserve"> </w:t>
      </w:r>
      <m:oMath>
        <m:r>
          <m:rPr>
            <m:sty m:val="p"/>
          </m:rPr>
          <m:t>I</m:t>
        </m:r>
        <m:r>
          <m:rPr>
            <m:sty m:val="p"/>
          </m:rPr>
          <m:t>P</m:t>
        </m:r>
        <m:r>
          <m:rPr>
            <m:sty m:val="p"/>
          </m:rPr>
          <m:t>C</m:t>
        </m:r>
        <m:r>
          <m:rPr>
            <m:sty m:val="p"/>
          </m:rPr>
          <m:t>−</m:t>
        </m:r>
        <m:r>
          <m:t>X</m:t>
        </m:r>
      </m:oMath>
      <w:r>
        <w:t xml:space="preserve"> </w:t>
      </w:r>
      <w:r>
        <w:t xml:space="preserve">y la empresa se queda con lo que ahorre hasta la revisión</w:t>
      </w:r>
    </w:p>
    <w:p>
      <w:pPr>
        <w:pStyle w:val="CaptionedFigure"/>
      </w:pPr>
      <w:r>
        <w:drawing>
          <wp:inline>
            <wp:extent cx="3446584" cy="2256947"/>
            <wp:effectExtent b="0" l="0" r="0" t="0"/>
            <wp:docPr descr="Gráfico 7.– Price cap: el precio sigue la senda IPC-X y la empresa se queda con lo que ahorre hasta la revisión" title="" id="124" name="Picture"/>
            <a:graphic>
              <a:graphicData uri="http://schemas.openxmlformats.org/drawingml/2006/picture">
                <pic:pic>
                  <pic:nvPicPr>
                    <pic:cNvPr descr="C:\Users\vgutierrez\Documents\src\victorgutierrezmarcos.github.io-revision\oposicion\temario\fuentes\3A20\graficos/price-cap.png" id="125" name="Picture"/>
                    <pic:cNvPicPr>
                      <a:picLocks noChangeArrowheads="1" noChangeAspect="1"/>
                    </pic:cNvPicPr>
                  </pic:nvPicPr>
                  <pic:blipFill>
                    <a:blip r:embed="rId123"/>
                    <a:stretch>
                      <a:fillRect/>
                    </a:stretch>
                  </pic:blipFill>
                  <pic:spPr bwMode="auto">
                    <a:xfrm>
                      <a:off x="0" y="0"/>
                      <a:ext cx="3446584" cy="2256947"/>
                    </a:xfrm>
                    <a:prstGeom prst="rect">
                      <a:avLst/>
                    </a:prstGeom>
                    <a:noFill/>
                    <a:ln w="9525">
                      <a:noFill/>
                      <a:headEnd/>
                      <a:tailEnd/>
                    </a:ln>
                  </pic:spPr>
                </pic:pic>
              </a:graphicData>
            </a:graphic>
          </wp:inline>
        </w:drawing>
      </w:r>
    </w:p>
    <w:bookmarkEnd w:id="126"/>
    <w:p>
      <w:pPr>
        <w:pStyle w:val="Piedeimagen"/>
      </w:pPr>
      <w:r>
        <w:t xml:space="preserve">Fuente: elaboración propia a partir de</w:t>
      </w:r>
      <w:r>
        <w:t xml:space="preserve"> </w:t>
      </w:r>
      <w:r>
        <w:rPr>
          <w:smallCaps/>
        </w:rPr>
        <w:t xml:space="preserve">Littlechild</w:t>
      </w:r>
      <w:r>
        <w:t xml:space="preserve"> </w:t>
      </w:r>
      <w:r>
        <w:t xml:space="preserve">(</w:t>
      </w:r>
      <w:hyperlink w:anchor="ref_Littlechild1983Regulation">
        <w:r>
          <w:rPr>
            <w:rStyle w:val="Hyperlink"/>
          </w:rPr>
          <w:t xml:space="preserve">1983</w:t>
        </w:r>
      </w:hyperlink>
      <w:r>
        <w:t xml:space="preserve">)</w:t>
      </w:r>
      <w:r>
        <w:t xml:space="preserve"> </w:t>
      </w:r>
      <w:r>
        <w:t xml:space="preserve">y</w:t>
      </w:r>
      <w:r>
        <w:t xml:space="preserve"> </w:t>
      </w:r>
      <w:r>
        <w:rPr>
          <w:smallCaps/>
        </w:rPr>
        <w:t xml:space="preserve">Armstrong</w:t>
      </w:r>
      <w:r>
        <w:t xml:space="preserve">,</w:t>
      </w:r>
      <w:r>
        <w:t xml:space="preserve"> </w:t>
      </w:r>
      <w:r>
        <w:rPr>
          <w:smallCaps/>
        </w:rPr>
        <w:t xml:space="preserve">Cowan</w:t>
      </w:r>
      <w:r>
        <w:t xml:space="preserve"> </w:t>
      </w:r>
      <w:r>
        <w:t xml:space="preserve">y</w:t>
      </w:r>
      <w:r>
        <w:t xml:space="preserve"> </w:t>
      </w:r>
      <w:r>
        <w:rPr>
          <w:smallCaps/>
        </w:rPr>
        <w:t xml:space="preserve">Vickers</w:t>
      </w:r>
      <w:r>
        <w:t xml:space="preserve"> </w:t>
      </w:r>
      <w:r>
        <w:t xml:space="preserve">(</w:t>
      </w:r>
      <w:hyperlink w:anchor="ref_ArmstrongCowanVickers1994Regulatory">
        <w:r>
          <w:rPr>
            <w:rStyle w:val="Hyperlink"/>
          </w:rPr>
          <w:t xml:space="preserve">1994</w:t>
        </w:r>
      </w:hyperlink>
      <w:r>
        <w:t xml:space="preserve">)</w:t>
      </w:r>
      <w:r>
        <w:t xml:space="preserve">.</w:t>
      </w:r>
    </w:p>
    <w:bookmarkEnd w:id="127"/>
    <w:bookmarkStart w:id="128" w:name="iii_implicaciones_2"/>
    <w:p>
      <w:pPr>
        <w:pStyle w:val="Heading5"/>
      </w:pPr>
      <w:r>
        <w:t xml:space="preserve">iii) Implicaciones</w:t>
      </w:r>
    </w:p>
    <w:p>
      <w:pPr>
        <w:numPr>
          <w:ilvl w:val="0"/>
          <w:numId w:val="1071"/>
        </w:numPr>
      </w:pPr>
      <w:r>
        <w:t xml:space="preserve">Para un</w:t>
      </w:r>
      <w:r>
        <w:t xml:space="preserve"> </w:t>
      </w:r>
      <m:oMath>
        <m:r>
          <m:t>X</m:t>
        </m:r>
      </m:oMath>
      <w:r>
        <w:t xml:space="preserve"> </w:t>
      </w:r>
      <w:r>
        <w:t xml:space="preserve">dado, el incentivo a reducir costes es mayor cuanto más largo es el periodo regulatorio, pero entonces se trasladan menos ganancias a los precios: la duración óptima equilibra los 2 efectos.</w:t>
      </w:r>
    </w:p>
    <w:p>
      <w:pPr>
        <w:numPr>
          <w:ilvl w:val="0"/>
          <w:numId w:val="1071"/>
        </w:numPr>
      </w:pPr>
      <w:r>
        <w:t xml:space="preserve">A diferencia de la tasa de rentabilidad, no distorsiona la combinación de factores: el capital no amplía el beneficio permitido. En la escala de la potencia (gráfico </w:t>
      </w:r>
      <w:hyperlink w:anchor="fig_escala_potencia">
        <w:r>
          <w:rPr>
            <w:rStyle w:val="Hyperlink"/>
          </w:rPr>
          <w:t xml:space="preserve">8</w:t>
        </w:r>
      </w:hyperlink>
      <w:r>
        <w:t xml:space="preserve">), está en el extremo</w:t>
      </w:r>
      <w:r>
        <w:t xml:space="preserve"> </w:t>
      </w:r>
      <m:oMath>
        <m:r>
          <m:t>b</m:t>
        </m:r>
        <m:r>
          <m:rPr>
            <m:sty m:val="p"/>
          </m:rPr>
          <m:t>=</m:t>
        </m:r>
        <m:r>
          <m:t>1</m:t>
        </m:r>
      </m:oMath>
      <w:r>
        <w:t xml:space="preserve">.</w:t>
      </w:r>
    </w:p>
    <w:bookmarkEnd w:id="128"/>
    <w:bookmarkEnd w:id="129"/>
    <w:bookmarkStart w:id="130" w:name="c_extensiones_4"/>
    <w:p>
      <w:pPr>
        <w:pStyle w:val="Heading4"/>
      </w:pPr>
      <w:r>
        <w:t xml:space="preserve">c) Extensiones</w:t>
      </w:r>
    </w:p>
    <w:p>
      <w:pPr>
        <w:numPr>
          <w:ilvl w:val="0"/>
          <w:numId w:val="1072"/>
        </w:numPr>
      </w:pPr>
      <w:r>
        <w:rPr>
          <w:i/>
          <w:iCs/>
        </w:rPr>
        <w:t xml:space="preserve">Ingresos máximos</w:t>
      </w:r>
      <w:r>
        <w:t xml:space="preserve"> </w:t>
      </w:r>
      <w:r>
        <w:t xml:space="preserve">(</w:t>
      </w:r>
      <w:r>
        <w:rPr>
          <w:i/>
          <w:iCs/>
        </w:rPr>
        <w:t xml:space="preserve">revenue cap</w:t>
      </w:r>
      <w:r>
        <w:t xml:space="preserve">): el tope recae sobre el ingreso total y no sobre el precio, y así la empresa no gana empujando el volumen en redes cuyo coste apenas depende de él. Es la lógica del modelo RIIO de Ofgem, el regulador británico de la energía: ingresos permitidos para varios años, inversión y gasto de operación tratados en bloque y desviaciones compartidas con los consumidores; su tercera edición abarca 2026-2031</w:t>
      </w:r>
      <w:r>
        <w:t xml:space="preserve"> </w:t>
      </w:r>
      <w:r>
        <w:t xml:space="preserve">(</w:t>
      </w:r>
      <w:hyperlink w:anchor="ref_Ofgem2025RIIO3ET">
        <w:r>
          <w:rPr>
            <w:rStyle w:val="Hyperlink"/>
            <w:smallCaps/>
          </w:rPr>
          <w:t xml:space="preserve">Ofgem</w:t>
        </w:r>
        <w:r>
          <w:rPr>
            <w:rStyle w:val="Hyperlink"/>
          </w:rPr>
          <w:t xml:space="preserve">, 2025a</w:t>
        </w:r>
      </w:hyperlink>
      <w:r>
        <w:t xml:space="preserve">)</w:t>
      </w:r>
      <w:r>
        <w:t xml:space="preserve">.</w:t>
      </w:r>
    </w:p>
    <w:p>
      <w:pPr>
        <w:numPr>
          <w:ilvl w:val="0"/>
          <w:numId w:val="1072"/>
        </w:numPr>
      </w:pPr>
      <w:r>
        <w:rPr>
          <w:i/>
          <w:iCs/>
        </w:rPr>
        <w:t xml:space="preserve">Esquemas intermedios</w:t>
      </w:r>
      <w:r>
        <w:t xml:space="preserve">: entre la tasa de rentabilidad (baja potencia, sin rentas) y el</w:t>
      </w:r>
      <w:r>
        <w:t xml:space="preserve"> </w:t>
      </w:r>
      <w:r>
        <w:rPr>
          <w:i/>
          <w:iCs/>
        </w:rPr>
        <w:t xml:space="preserve">price cap</w:t>
      </w:r>
      <w:r>
        <w:t xml:space="preserve"> </w:t>
      </w:r>
      <w:r>
        <w:t xml:space="preserve">(alta potencia, con rentas) caben el</w:t>
      </w:r>
      <w:r>
        <w:t xml:space="preserve"> </w:t>
      </w:r>
      <w:r>
        <w:rPr>
          <w:b/>
          <w:bCs/>
        </w:rPr>
        <w:t xml:space="preserve">reparto de beneficios</w:t>
      </w:r>
      <w:r>
        <w:t xml:space="preserve"> </w:t>
      </w:r>
      <w:r>
        <w:t xml:space="preserve">o</w:t>
      </w:r>
      <w:r>
        <w:t xml:space="preserve"> </w:t>
      </w:r>
      <w:r>
        <w:rPr>
          <w:i/>
          <w:iCs/>
        </w:rPr>
        <w:t xml:space="preserve">escala móvil</w:t>
      </w:r>
      <w:r>
        <w:t xml:space="preserve">, en el que la empresa conserva solo una fracción de lo que gane por encima de una banda de rentabilidad, y los menús de reparto del ahorro</w:t>
      </w:r>
      <w:r>
        <w:t xml:space="preserve"> </w:t>
      </w:r>
      <w:r>
        <w:t xml:space="preserve">(</w:t>
      </w:r>
      <w:hyperlink w:anchor="ref_ArmstrongSappington2007Recent">
        <w:r>
          <w:rPr>
            <w:rStyle w:val="Hyperlink"/>
            <w:smallCaps/>
          </w:rPr>
          <w:t xml:space="preserve">Armstrong</w:t>
        </w:r>
        <w:r>
          <w:rPr>
            <w:rStyle w:val="Hyperlink"/>
          </w:rPr>
          <w:t xml:space="preserve"> </w:t>
        </w:r>
        <w:r>
          <w:rPr>
            <w:rStyle w:val="Hyperlink"/>
          </w:rPr>
          <w:t xml:space="preserve">y</w:t>
        </w:r>
        <w:r>
          <w:rPr>
            <w:rStyle w:val="Hyperlink"/>
          </w:rPr>
          <w:t xml:space="preserve"> </w:t>
        </w:r>
        <w:r>
          <w:rPr>
            <w:rStyle w:val="Hyperlink"/>
            <w:smallCaps/>
          </w:rPr>
          <w:t xml:space="preserve">Sappington</w:t>
        </w:r>
        <w:r>
          <w:rPr>
            <w:rStyle w:val="Hyperlink"/>
          </w:rPr>
          <w:t xml:space="preserve">, 2007</w:t>
        </w:r>
      </w:hyperlink>
      <w:r>
        <w:t xml:space="preserve">)</w:t>
      </w:r>
      <w:r>
        <w:t xml:space="preserve">. Todos admiten la forma de un precio lineal en el coste, con</w:t>
      </w:r>
      <w:r>
        <w:t xml:space="preserve"> </w:t>
      </w:r>
      <m:oMath>
        <m:r>
          <m:t>F</m:t>
        </m:r>
      </m:oMath>
      <w:r>
        <w:t xml:space="preserve"> </w:t>
      </w:r>
      <w:r>
        <w:t xml:space="preserve">una cuantía fija y</w:t>
      </w:r>
      <w:r>
        <w:t xml:space="preserve"> </w:t>
      </w:r>
      <m:oMath>
        <m:r>
          <m:t>b</m:t>
        </m:r>
      </m:oMath>
      <w:r>
        <w:t xml:space="preserve"> </w:t>
      </w:r>
      <w:r>
        <w:t xml:space="preserve">la potencia, la misma del menú (</w:t>
      </w:r>
      <w:hyperlink w:anchor="eq_menu">
        <w:r>
          <w:rPr>
            <w:rStyle w:val="Hyperlink"/>
          </w:rPr>
          <w:t xml:space="preserve">10</w:t>
        </w:r>
      </w:hyperlink>
      <w:r>
        <w:t xml:space="preserve">) (</w:t>
      </w:r>
      <m:oMath>
        <m:r>
          <m:t>b</m:t>
        </m:r>
        <m:r>
          <m:rPr>
            <m:sty m:val="p"/>
          </m:rPr>
          <m:t>=</m:t>
        </m:r>
        <m:r>
          <m:t>0</m:t>
        </m:r>
      </m:oMath>
      <w:r>
        <w:t xml:space="preserve">, coste incrementado;</w:t>
      </w:r>
      <w:r>
        <w:t xml:space="preserve"> </w:t>
      </w:r>
      <m:oMath>
        <m:r>
          <m:t>b</m:t>
        </m:r>
        <m:r>
          <m:rPr>
            <m:sty m:val="p"/>
          </m:rPr>
          <m:t>=</m:t>
        </m:r>
        <m:r>
          <m:t>1</m:t>
        </m:r>
      </m:oMath>
      <w:r>
        <w:t xml:space="preserve">, precio fijo):</w:t>
      </w:r>
    </w:p>
    <w:p>
      <w:pPr>
        <w:pStyle w:val="BodyText"/>
        <w:keepNext/>
      </w:pPr>
      <m:oMathPara>
        <m:oMathParaPr>
          <m:jc m:val="center"/>
        </m:oMathParaPr>
        <m:oMath>
          <m:r>
            <m:t>p</m:t>
          </m:r>
          <m:r>
            <m:rPr>
              <m:sty m:val="p"/>
            </m:rPr>
            <m:t>=</m:t>
          </m:r>
          <m:r>
            <m:t>b</m:t>
          </m:r>
          <m:r>
            <m:t> </m:t>
          </m:r>
          <m:r>
            <m:t>F</m:t>
          </m:r>
          <m:r>
            <m:rPr>
              <m:sty m:val="p"/>
            </m:rPr>
            <m:t>+</m:t>
          </m:r>
          <m:d>
            <m:dPr>
              <m:begChr m:val="("/>
              <m:sepChr m:val=""/>
              <m:endChr m:val=")"/>
              <m:grow/>
            </m:dPr>
            <m:e>
              <m:r>
                <m:t>1</m:t>
              </m:r>
              <m:r>
                <m:rPr>
                  <m:sty m:val="p"/>
                </m:rPr>
                <m:t>−</m:t>
              </m:r>
              <m:r>
                <m:t>b</m:t>
              </m:r>
            </m:e>
          </m:d>
          <m:r>
            <m:t> </m:t>
          </m:r>
          <m:r>
            <m:t>C</m:t>
          </m:r>
          <m:r>
            <m:rPr>
              <m:sty m:val="p"/>
            </m:rPr>
            <m:t>.</m:t>
          </m:r>
        </m:oMath>
      </m:oMathPara>
    </w:p>
    <w:p>
      <w:pPr>
        <w:numPr>
          <w:ilvl w:val="0"/>
          <w:numId w:val="1072"/>
        </w:numPr>
      </w:pPr>
      <w:r>
        <w:rPr>
          <w:i/>
          <w:iCs/>
        </w:rPr>
        <w:t xml:space="preserve">Calidad</w:t>
      </w:r>
      <w:r>
        <w:t xml:space="preserve">: como ahorrar en calidad también es beneficio, los esquemas añaden incentivos y penalizaciones por calidad.</w:t>
      </w:r>
    </w:p>
    <w:bookmarkEnd w:id="130"/>
    <w:bookmarkStart w:id="132" w:name="d_evidencia_emp__rica_2"/>
    <w:p>
      <w:pPr>
        <w:pStyle w:val="Heading4"/>
      </w:pPr>
      <w:r>
        <w:t xml:space="preserve">d) Evidencia empírica</w:t>
      </w:r>
    </w:p>
    <w:p>
      <w:pPr>
        <w:numPr>
          <w:ilvl w:val="0"/>
          <w:numId w:val="1073"/>
        </w:numPr>
      </w:pPr>
      <w:r>
        <w:t xml:space="preserve">British Telecom empezó en 1984 con un tope de RPI</w:t>
      </w:r>
      <m:oMath>
        <m:r>
          <m:rPr>
            <m:sty m:val="p"/>
          </m:rPr>
          <m:t>−</m:t>
        </m:r>
      </m:oMath>
      <w:r>
        <w:t xml:space="preserve">3, el índice de precios minoristas menos 3 puntos</w:t>
      </w:r>
      <w:r>
        <w:t xml:space="preserve"> </w:t>
      </w:r>
      <w:r>
        <w:t xml:space="preserve">(</w:t>
      </w:r>
      <w:hyperlink w:anchor="ref_ArmstrongCowanVickers1994Regulatory">
        <w:r>
          <w:rPr>
            <w:rStyle w:val="Hyperlink"/>
            <w:smallCaps/>
          </w:rPr>
          <w:t xml:space="preserve">Armstrong</w:t>
        </w:r>
        <w:r>
          <w:rPr>
            <w:rStyle w:val="Hyperlink"/>
          </w:rPr>
          <w:t xml:space="preserve">,</w:t>
        </w:r>
        <w:r>
          <w:rPr>
            <w:rStyle w:val="Hyperlink"/>
          </w:rPr>
          <w:t xml:space="preserve"> </w:t>
        </w:r>
        <w:r>
          <w:rPr>
            <w:rStyle w:val="Hyperlink"/>
            <w:smallCaps/>
          </w:rPr>
          <w:t xml:space="preserve">Cowan</w:t>
        </w:r>
        <w:r>
          <w:rPr>
            <w:rStyle w:val="Hyperlink"/>
          </w:rPr>
          <w:t xml:space="preserve"> </w:t>
        </w:r>
        <w:r>
          <w:rPr>
            <w:rStyle w:val="Hyperlink"/>
          </w:rPr>
          <w:t xml:space="preserve">y</w:t>
        </w:r>
        <w:r>
          <w:rPr>
            <w:rStyle w:val="Hyperlink"/>
          </w:rPr>
          <w:t xml:space="preserve"> </w:t>
        </w:r>
        <w:r>
          <w:rPr>
            <w:rStyle w:val="Hyperlink"/>
            <w:smallCaps/>
          </w:rPr>
          <w:t xml:space="preserve">Vickers</w:t>
        </w:r>
        <w:r>
          <w:rPr>
            <w:rStyle w:val="Hyperlink"/>
          </w:rPr>
          <w:t xml:space="preserve">, 1994</w:t>
        </w:r>
      </w:hyperlink>
      <w:r>
        <w:t xml:space="preserve">)</w:t>
      </w:r>
      <w:r>
        <w:t xml:space="preserve">. En la distribución y el transporte de electricidad, los esquemas de incentivos han reducido los costes de operación, pero obligan a vigilar la calidad y la inversión</w:t>
      </w:r>
      <w:r>
        <w:t xml:space="preserve"> </w:t>
      </w:r>
      <w:r>
        <w:t xml:space="preserve">(</w:t>
      </w:r>
      <w:hyperlink w:anchor="ref_Joskow2014Incentive">
        <w:r>
          <w:rPr>
            <w:rStyle w:val="Hyperlink"/>
            <w:smallCaps/>
          </w:rPr>
          <w:t xml:space="preserve">Joskow</w:t>
        </w:r>
        <w:r>
          <w:rPr>
            <w:rStyle w:val="Hyperlink"/>
          </w:rPr>
          <w:t xml:space="preserve">, 2014</w:t>
        </w:r>
      </w:hyperlink>
      <w:r>
        <w:t xml:space="preserve">)</w:t>
      </w:r>
      <w:r>
        <w:t xml:space="preserve">.</w:t>
      </w:r>
    </w:p>
    <w:p>
      <w:pPr>
        <w:numPr>
          <w:ilvl w:val="0"/>
          <w:numId w:val="1073"/>
        </w:numPr>
      </w:pPr>
      <w:r>
        <w:t xml:space="preserve">En España, la cuota de abono de Telefónica siguió una regla</w:t>
      </w:r>
      <w:r>
        <w:t xml:space="preserve"> </w:t>
      </w:r>
      <m:oMath>
        <m:r>
          <m:rPr>
            <m:sty m:val="p"/>
          </m:rPr>
          <m:t>I</m:t>
        </m:r>
        <m:r>
          <m:rPr>
            <m:sty m:val="p"/>
          </m:rPr>
          <m:t>P</m:t>
        </m:r>
        <m:r>
          <m:rPr>
            <m:sty m:val="p"/>
          </m:rPr>
          <m:t>C</m:t>
        </m:r>
        <m:r>
          <m:rPr>
            <m:sty m:val="p"/>
          </m:rPr>
          <m:t>−</m:t>
        </m:r>
        <m:r>
          <m:t>X</m:t>
        </m:r>
      </m:oMath>
      <w:r>
        <w:t xml:space="preserve"> </w:t>
      </w:r>
      <w:r>
        <w:t xml:space="preserve">hasta 2012</w:t>
      </w:r>
      <w:r>
        <w:t xml:space="preserve"> </w:t>
      </w:r>
      <w:r>
        <w:t xml:space="preserve">(</w:t>
      </w:r>
      <w:hyperlink w:anchor="ref_CNMC2018CuotaAbono">
        <w:r>
          <w:rPr>
            <w:rStyle w:val="Hyperlink"/>
            <w:smallCaps/>
          </w:rPr>
          <w:t xml:space="preserve">Comisión Nacional de los Mercados y la Competencia</w:t>
        </w:r>
        <w:r>
          <w:rPr>
            <w:rStyle w:val="Hyperlink"/>
          </w:rPr>
          <w:t xml:space="preserve">, 2018a</w:t>
        </w:r>
      </w:hyperlink>
      <w:r>
        <w:t xml:space="preserve">)</w:t>
      </w:r>
      <w:r>
        <w:t xml:space="preserve">. Hoy el caso vivo es Aena: el Documento de Regulación Aeroportuaria (DORA) fija para 5 años un</w:t>
      </w:r>
      <w:r>
        <w:t xml:space="preserve"> </w:t>
      </w:r>
      <w:r>
        <w:rPr>
          <w:i/>
          <w:iCs/>
        </w:rPr>
        <w:t xml:space="preserve">ingreso máximo por pasajero</w:t>
      </w:r>
      <w:r>
        <w:t xml:space="preserve">, que evoluciona con un índice de costes de insumos ajenos a la gestión de la empresa más un componente</w:t>
      </w:r>
      <w:r>
        <w:t xml:space="preserve"> </w:t>
      </w:r>
      <m:oMath>
        <m:r>
          <m:t>X</m:t>
        </m:r>
      </m:oMath>
      <w:r>
        <w:t xml:space="preserve">. El DORA 2027-2031 parte de 10,52 euros por pasajero en 2026 y llega a 10,69 en 2031, con una</w:t>
      </w:r>
      <w:r>
        <w:t xml:space="preserve"> </w:t>
      </w:r>
      <m:oMath>
        <m:r>
          <m:t>X</m:t>
        </m:r>
      </m:oMath>
      <w:r>
        <w:t xml:space="preserve"> </w:t>
      </w:r>
      <w:r>
        <w:t xml:space="preserve">del 0,33 % anual que aquí</w:t>
      </w:r>
      <w:r>
        <w:t xml:space="preserve"> </w:t>
      </w:r>
      <w:r>
        <w:rPr>
          <w:i/>
          <w:iCs/>
        </w:rPr>
        <w:t xml:space="preserve">se suma</w:t>
      </w:r>
      <w:r>
        <w:t xml:space="preserve"> </w:t>
      </w:r>
      <w:r>
        <w:t xml:space="preserve">(</w:t>
      </w:r>
      <w:hyperlink w:anchor="ref_BOE2026DORA">
        <w:r>
          <w:rPr>
            <w:rStyle w:val="Hyperlink"/>
            <w:smallCaps/>
          </w:rPr>
          <w:t xml:space="preserve">Dirección General de Aviación Civil</w:t>
        </w:r>
        <w:r>
          <w:rPr>
            <w:rStyle w:val="Hyperlink"/>
          </w:rPr>
          <w:t xml:space="preserve">, 2026</w:t>
        </w:r>
      </w:hyperlink>
      <w:r>
        <w:t xml:space="preserve">)</w:t>
      </w:r>
      <w:r>
        <w:t xml:space="preserve">; la CNMC había propuesto bajarlo un 0,59 % al año, y Aena, subirlo un 3,82 %</w:t>
      </w:r>
      <w:r>
        <w:t xml:space="preserve"> </w:t>
      </w:r>
      <w:r>
        <w:t xml:space="preserve">(</w:t>
      </w:r>
      <w:hyperlink w:anchor="ref_CNMC2026InformeDORA">
        <w:r>
          <w:rPr>
            <w:rStyle w:val="Hyperlink"/>
            <w:smallCaps/>
          </w:rPr>
          <w:t xml:space="preserve">Comisión Nacional de los Mercados y la Competencia</w:t>
        </w:r>
        <w:r>
          <w:rPr>
            <w:rStyle w:val="Hyperlink"/>
          </w:rPr>
          <w:t xml:space="preserve">, 2026a</w:t>
        </w:r>
      </w:hyperlink>
      <w:r>
        <w:t xml:space="preserve">)</w:t>
      </w:r>
      <w:r>
        <w:t xml:space="preserve">. Una</w:t>
      </w:r>
      <w:r>
        <w:t xml:space="preserve"> </w:t>
      </w:r>
      <m:oMath>
        <m:r>
          <m:t>X</m:t>
        </m:r>
      </m:oMath>
      <w:r>
        <w:t xml:space="preserve"> </w:t>
      </w:r>
      <w:r>
        <w:t xml:space="preserve">positiva no es, por tanto, un descuento por productividad, sino el ajuste que cuadra los ingresos con los costes previstos.</w:t>
      </w:r>
      <w:r>
        <w:rPr>
          <w:rStyle w:val="FootnoteReference"/>
        </w:rPr>
        <w:footnoteReference w:id="131"/>
      </w:r>
    </w:p>
    <w:bookmarkEnd w:id="132"/>
    <w:bookmarkStart w:id="133" w:name="e_valoraci__n_2"/>
    <w:p>
      <w:pPr>
        <w:pStyle w:val="Heading4"/>
      </w:pPr>
      <w:r>
        <w:t xml:space="preserve">e) Valoración</w:t>
      </w:r>
    </w:p>
    <w:p>
      <w:pPr>
        <w:numPr>
          <w:ilvl w:val="0"/>
          <w:numId w:val="1074"/>
        </w:numPr>
      </w:pPr>
      <w:r>
        <w:rPr>
          <w:i/>
          <w:iCs/>
        </w:rPr>
        <w:t xml:space="preserve">Ventajas</w:t>
      </w:r>
      <w:r>
        <w:t xml:space="preserve">: incentiva la eficiencia productiva; traslada las mejoras a los consumidores</w:t>
      </w:r>
      <w:r>
        <w:t xml:space="preserve"> </w:t>
      </w:r>
      <w:r>
        <w:rPr>
          <w:i/>
          <w:iCs/>
        </w:rPr>
        <w:t xml:space="preserve">a priori</w:t>
      </w:r>
      <w:r>
        <w:t xml:space="preserve">, con</w:t>
      </w:r>
      <w:r>
        <w:t xml:space="preserve"> </w:t>
      </w:r>
      <m:oMath>
        <m:r>
          <m:t>X</m:t>
        </m:r>
      </m:oMath>
      <w:r>
        <w:t xml:space="preserve">, y</w:t>
      </w:r>
      <w:r>
        <w:t xml:space="preserve"> </w:t>
      </w:r>
      <w:r>
        <w:rPr>
          <w:i/>
          <w:iCs/>
        </w:rPr>
        <w:t xml:space="preserve">a posteriori</w:t>
      </w:r>
      <w:r>
        <w:t xml:space="preserve">, en cada revisión; es sencillo y no distorsiona la combinación de factores.</w:t>
      </w:r>
    </w:p>
    <w:p>
      <w:pPr>
        <w:keepNext/>
        <w:numPr>
          <w:ilvl w:val="0"/>
          <w:numId w:val="1074"/>
        </w:numPr>
      </w:pPr>
      <w:r>
        <w:rPr>
          <w:i/>
          <w:iCs/>
        </w:rPr>
        <w:t xml:space="preserve">Inconvenientes</w:t>
      </w:r>
      <w:r>
        <w:t xml:space="preserve">:</w:t>
      </w:r>
    </w:p>
    <w:p>
      <w:pPr>
        <w:numPr>
          <w:ilvl w:val="1"/>
          <w:numId w:val="1075"/>
        </w:numPr>
      </w:pPr>
      <w:r>
        <w:t xml:space="preserve">hace falta mucha información para fijar el precio inicial y</w:t>
      </w:r>
      <w:r>
        <w:t xml:space="preserve"> </w:t>
      </w:r>
      <m:oMath>
        <m:r>
          <m:t>X</m:t>
        </m:r>
      </m:oMath>
      <w:r>
        <w:t xml:space="preserve">: si el precio es muy alto deja rentas, y si es muy bajo la empresa pierde y querrá renegociar;</w:t>
      </w:r>
    </w:p>
    <w:p>
      <w:pPr>
        <w:numPr>
          <w:ilvl w:val="1"/>
          <w:numId w:val="1075"/>
        </w:numPr>
      </w:pPr>
      <w:r>
        <w:t xml:space="preserve">al acercarse la revisión, la empresa retrasa mejoras para disfrutarlas en el ciclo siguiente;</w:t>
      </w:r>
    </w:p>
    <w:p>
      <w:pPr>
        <w:numPr>
          <w:ilvl w:val="1"/>
          <w:numId w:val="1075"/>
        </w:numPr>
      </w:pPr>
      <w:r>
        <w:t xml:space="preserve">puede deteriorar la calidad o aplazar inversiones de larga vida;</w:t>
      </w:r>
    </w:p>
    <w:p>
      <w:pPr>
        <w:numPr>
          <w:ilvl w:val="1"/>
          <w:numId w:val="1075"/>
        </w:numPr>
      </w:pPr>
      <w:r>
        <w:t xml:space="preserve">traslada más riesgo a la empresa, lo que puede encarecer su capital.</w:t>
      </w:r>
    </w:p>
    <w:p>
      <w:pPr>
        <w:numPr>
          <w:ilvl w:val="0"/>
          <w:numId w:val="1074"/>
        </w:numPr>
      </w:pPr>
      <w:r>
        <w:t xml:space="preserve">En el fondo, si en cada revisión el tope se recalibra a los costes, el</w:t>
      </w:r>
      <w:r>
        <w:t xml:space="preserve"> </w:t>
      </w:r>
      <w:r>
        <w:rPr>
          <w:i/>
          <w:iCs/>
        </w:rPr>
        <w:t xml:space="preserve">price cap</w:t>
      </w:r>
      <w:r>
        <w:t xml:space="preserve"> </w:t>
      </w:r>
      <w:r>
        <w:t xml:space="preserve">equivale a regular por coste del servicio con un desfase pactado de antemano: que funcione depende de que el regulador se comprometa, la cuestión del apartado siguiente.</w:t>
      </w:r>
    </w:p>
    <w:bookmarkEnd w:id="133"/>
    <w:bookmarkEnd w:id="134"/>
    <w:bookmarkStart w:id="149" w:name="sec_compromiso_captura"/>
    <w:p>
      <w:pPr>
        <w:pStyle w:val="Heading2"/>
      </w:pPr>
      <w:r>
        <w:t xml:space="preserve">II.5.</w:t>
      </w:r>
      <w:r>
        <w:t xml:space="preserve"> </w:t>
      </w:r>
      <w:r>
        <w:t xml:space="preserve">Compromiso y captura: la teoría positiva de la regulación</w:t>
      </w:r>
    </w:p>
    <w:p>
      <w:pPr>
        <w:numPr>
          <w:ilvl w:val="0"/>
          <w:numId w:val="1076"/>
        </w:numPr>
      </w:pPr>
      <w:r>
        <w:t xml:space="preserve">Todos los modelos anteriores suponen un regulador que se compromete con el contrato y que solo busca el bienestar. Levantar esos 2 supuestos explica buena parte de lo que se observa en la práctica.</w:t>
      </w:r>
    </w:p>
    <w:bookmarkStart w:id="136" w:name="compromiso_efecto_trinquete_y_desf_32585"/>
    <w:p>
      <w:pPr>
        <w:pStyle w:val="Heading4"/>
      </w:pPr>
      <w:r>
        <w:t xml:space="preserve">Compromiso: efecto trinquete y desfase regulatorio</w:t>
      </w:r>
    </w:p>
    <w:p>
      <w:pPr>
        <w:numPr>
          <w:ilvl w:val="0"/>
          <w:numId w:val="1077"/>
        </w:numPr>
      </w:pPr>
      <w:r>
        <w:rPr>
          <w:b/>
          <w:bCs/>
        </w:rPr>
        <w:t xml:space="preserve">Efecto trinquete</w:t>
      </w:r>
      <w:r>
        <w:t xml:space="preserve"> </w:t>
      </w:r>
      <w:r>
        <w:t xml:space="preserve">(</w:t>
      </w:r>
      <w:r>
        <w:rPr>
          <w:i/>
          <w:iCs/>
        </w:rPr>
        <w:t xml:space="preserve">ratchet</w:t>
      </w:r>
      <w:r>
        <w:t xml:space="preserve">): si el regulador usa lo que observa hoy para fijar el objetivo de mañana, la empresa sabe que cada mejora se le quitará en la siguiente revisión, y no la hace o la oculta: un coste bajo hoy es una exigencia mayor mañana</w:t>
      </w:r>
      <w:r>
        <w:t xml:space="preserve"> </w:t>
      </w:r>
      <w:r>
        <w:t xml:space="preserve">(</w:t>
      </w:r>
      <w:hyperlink w:anchor="ref_Weitzman1980Ratchet">
        <w:r>
          <w:rPr>
            <w:rStyle w:val="Hyperlink"/>
            <w:smallCaps/>
          </w:rPr>
          <w:t xml:space="preserve">Weitzman</w:t>
        </w:r>
        <w:r>
          <w:rPr>
            <w:rStyle w:val="Hyperlink"/>
          </w:rPr>
          <w:t xml:space="preserve">, 1980</w:t>
        </w:r>
      </w:hyperlink>
      <w:r>
        <w:t xml:space="preserve">)</w:t>
      </w:r>
      <w:r>
        <w:t xml:space="preserve">. Sin compromiso a largo plazo, a la empresa eficiente le conviene parecer ineficiente al principio, y el regulador tiene que dejarle más renta para que revele su tipo, o agruparla con la ineficiente</w:t>
      </w:r>
      <w:r>
        <w:t xml:space="preserve"> </w:t>
      </w:r>
      <w:r>
        <w:t xml:space="preserve">(</w:t>
      </w:r>
      <w:hyperlink w:anchor="ref_FreixasGuesnerieTirole1985Planning">
        <w:r>
          <w:rPr>
            <w:rStyle w:val="Hyperlink"/>
            <w:smallCaps/>
          </w:rPr>
          <w:t xml:space="preserve">Freixas</w:t>
        </w:r>
        <w:r>
          <w:rPr>
            <w:rStyle w:val="Hyperlink"/>
          </w:rPr>
          <w:t xml:space="preserve">,</w:t>
        </w:r>
        <w:r>
          <w:rPr>
            <w:rStyle w:val="Hyperlink"/>
          </w:rPr>
          <w:t xml:space="preserve"> </w:t>
        </w:r>
        <w:r>
          <w:rPr>
            <w:rStyle w:val="Hyperlink"/>
            <w:smallCaps/>
          </w:rPr>
          <w:t xml:space="preserve">Guesnerie</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1985</w:t>
        </w:r>
      </w:hyperlink>
      <w:r>
        <w:t xml:space="preserve">;</w:t>
      </w:r>
      <w:r>
        <w:t xml:space="preserve"> </w:t>
      </w:r>
      <w:hyperlink w:anchor="ref_LaffontTirole1988Dynamics">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1988</w:t>
        </w:r>
      </w:hyperlink>
      <w:r>
        <w:t xml:space="preserve">)</w:t>
      </w:r>
      <w:r>
        <w:t xml:space="preserve">.</w:t>
      </w:r>
    </w:p>
    <w:p>
      <w:pPr>
        <w:numPr>
          <w:ilvl w:val="0"/>
          <w:numId w:val="1077"/>
        </w:numPr>
      </w:pPr>
      <w:r>
        <w:rPr>
          <w:b/>
          <w:bCs/>
        </w:rPr>
        <w:t xml:space="preserve">Desfase regulatorio</w:t>
      </w:r>
      <w:r>
        <w:t xml:space="preserve"> </w:t>
      </w:r>
      <w:r>
        <w:t xml:space="preserve">(</w:t>
      </w:r>
      <w:r>
        <w:rPr>
          <w:i/>
          <w:iCs/>
        </w:rPr>
        <w:t xml:space="preserve">regulatory lag</w:t>
      </w:r>
      <w:r>
        <w:t xml:space="preserve">): el tiempo</w:t>
      </w:r>
      <w:r>
        <w:t xml:space="preserve"> </w:t>
      </w:r>
      <w:r>
        <w:rPr>
          <w:i/>
          <w:iCs/>
        </w:rPr>
        <w:t xml:space="preserve">entre 2 revisiones</w:t>
      </w:r>
      <w:r>
        <w:t xml:space="preserve">, durante el que el precio no cambia aunque cambien los costes; cuanto más largo, más incentivos a reducir costes y menos traslado a los consumidores</w:t>
      </w:r>
      <w:r>
        <w:t xml:space="preserve"> </w:t>
      </w:r>
      <w:r>
        <w:t xml:space="preserve">(</w:t>
      </w:r>
      <w:hyperlink w:anchor="ref_BaumolKlevorick1970Input">
        <w:r>
          <w:rPr>
            <w:rStyle w:val="Hyperlink"/>
            <w:smallCaps/>
          </w:rPr>
          <w:t xml:space="preserve">Baumol</w:t>
        </w:r>
        <w:r>
          <w:rPr>
            <w:rStyle w:val="Hyperlink"/>
          </w:rPr>
          <w:t xml:space="preserve"> </w:t>
        </w:r>
        <w:r>
          <w:rPr>
            <w:rStyle w:val="Hyperlink"/>
          </w:rPr>
          <w:t xml:space="preserve">y</w:t>
        </w:r>
        <w:r>
          <w:rPr>
            <w:rStyle w:val="Hyperlink"/>
          </w:rPr>
          <w:t xml:space="preserve"> </w:t>
        </w:r>
        <w:r>
          <w:rPr>
            <w:rStyle w:val="Hyperlink"/>
            <w:smallCaps/>
          </w:rPr>
          <w:t xml:space="preserve">Klevorick</w:t>
        </w:r>
        <w:r>
          <w:rPr>
            <w:rStyle w:val="Hyperlink"/>
          </w:rPr>
          <w:t xml:space="preserve">, 1970</w:t>
        </w:r>
      </w:hyperlink>
      <w:r>
        <w:t xml:space="preserve">;</w:t>
      </w:r>
      <w:r>
        <w:t xml:space="preserve"> </w:t>
      </w:r>
      <w:hyperlink w:anchor="ref_Joskow1974Inflation">
        <w:r>
          <w:rPr>
            <w:rStyle w:val="Hyperlink"/>
            <w:smallCaps/>
          </w:rPr>
          <w:t xml:space="preserve">Joskow</w:t>
        </w:r>
        <w:r>
          <w:rPr>
            <w:rStyle w:val="Hyperlink"/>
          </w:rPr>
          <w:t xml:space="preserve">, 1974</w:t>
        </w:r>
      </w:hyperlink>
      <w:r>
        <w:t xml:space="preserve">)</w:t>
      </w:r>
      <w:r>
        <w:t xml:space="preserve">.</w:t>
      </w:r>
    </w:p>
    <w:p>
      <w:pPr>
        <w:numPr>
          <w:ilvl w:val="0"/>
          <w:numId w:val="1077"/>
        </w:numPr>
      </w:pPr>
      <w:r>
        <w:t xml:space="preserve">Detrás está la</w:t>
      </w:r>
      <w:r>
        <w:t xml:space="preserve"> </w:t>
      </w:r>
      <w:r>
        <w:rPr>
          <w:i/>
          <w:iCs/>
        </w:rPr>
        <w:t xml:space="preserve">inconsistencia temporal</w:t>
      </w:r>
      <w:r>
        <w:t xml:space="preserve"> </w:t>
      </w:r>
      <w:r>
        <w:t xml:space="preserve">que</w:t>
      </w:r>
      <w:r>
        <w:t xml:space="preserve"> </w:t>
      </w:r>
      <w:r>
        <w:rPr>
          <w:smallCaps/>
        </w:rPr>
        <w:t xml:space="preserve">Kydland</w:t>
      </w:r>
      <w:r>
        <w:t xml:space="preserve"> </w:t>
      </w:r>
      <w:r>
        <w:t xml:space="preserve">y</w:t>
      </w:r>
      <w:r>
        <w:t xml:space="preserve"> </w:t>
      </w:r>
      <w:r>
        <w:rPr>
          <w:smallCaps/>
        </w:rPr>
        <w:t xml:space="preserve">Prescott</w:t>
      </w:r>
      <w:r>
        <w:t xml:space="preserve"> </w:t>
      </w:r>
      <w:r>
        <w:t xml:space="preserve">(</w:t>
      </w:r>
      <w:hyperlink w:anchor="ref_KydlandPrescott1977Rules">
        <w:r>
          <w:rPr>
            <w:rStyle w:val="Hyperlink"/>
          </w:rPr>
          <w:t xml:space="preserve">1977</w:t>
        </w:r>
      </w:hyperlink>
      <w:r>
        <w:t xml:space="preserve">)</w:t>
      </w:r>
      <w:r>
        <w:t xml:space="preserve"> </w:t>
      </w:r>
      <w:r>
        <w:t xml:space="preserve">describen para la política económica</w:t>
      </w:r>
      <w:r>
        <w:t xml:space="preserve"> </w:t>
      </w:r>
      <w:hyperlink r:id="rId23">
        <w:r>
          <w:rPr>
            <w:rStyle w:val="Referenciaatema"/>
          </w:rPr>
          <w:t xml:space="preserve">[ver tema 3.A.23]</w:t>
        </w:r>
      </w:hyperlink>
      <w:r>
        <w:t xml:space="preserve"> </w:t>
      </w:r>
      <w:hyperlink r:id="rId135">
        <w:r>
          <w:rPr>
            <w:rStyle w:val="Referenciaatema"/>
          </w:rPr>
          <w:t xml:space="preserve">[ver tema 3.A.36]</w:t>
        </w:r>
      </w:hyperlink>
      <w:r>
        <w:t xml:space="preserve">: con la red ya construida y la inversión hundida, al regulador le tienta bajar el precio al coste de operación, y la empresa, que lo prevé, invierte menos. Los antídotos: reglas pactadas por adelantado, periodos regulatorios largos y reguladores independientes que tengan una reputación que cuidar.</w:t>
      </w:r>
    </w:p>
    <w:bookmarkEnd w:id="136"/>
    <w:bookmarkStart w:id="148" w:name="captura_del_regulador_la_teor__a_p_60280"/>
    <w:p>
      <w:pPr>
        <w:pStyle w:val="Heading4"/>
      </w:pPr>
      <w:r>
        <w:t xml:space="preserve">Captura del regulador: la teoría positiva de la regulación</w:t>
      </w:r>
    </w:p>
    <w:bookmarkStart w:id="138" w:name="a_idea_6"/>
    <w:p>
      <w:pPr>
        <w:pStyle w:val="Heading5"/>
      </w:pPr>
      <w:r>
        <w:t xml:space="preserve">a) Idea</w:t>
      </w:r>
    </w:p>
    <w:p>
      <w:pPr>
        <w:numPr>
          <w:ilvl w:val="0"/>
          <w:numId w:val="1078"/>
        </w:numPr>
      </w:pPr>
      <w:r>
        <w:t xml:space="preserve">Las teorías anteriores son</w:t>
      </w:r>
      <w:r>
        <w:t xml:space="preserve"> </w:t>
      </w:r>
      <w:r>
        <w:rPr>
          <w:i/>
          <w:iCs/>
        </w:rPr>
        <w:t xml:space="preserve">normativas</w:t>
      </w:r>
      <w:r>
        <w:t xml:space="preserve">: dicen cómo debería regular un regulador benevolente. La</w:t>
      </w:r>
      <w:r>
        <w:t xml:space="preserve"> </w:t>
      </w:r>
      <w:r>
        <w:rPr>
          <w:b/>
          <w:bCs/>
        </w:rPr>
        <w:t xml:space="preserve">teoría positiva de la regulación</w:t>
      </w:r>
      <w:r>
        <w:t xml:space="preserve">, de la escuela de Chicago, pregunta por qué se regula como se regula. George</w:t>
      </w:r>
      <w:r>
        <w:t xml:space="preserve"> </w:t>
      </w:r>
      <w:r>
        <w:rPr>
          <w:smallCaps/>
        </w:rPr>
        <w:t xml:space="preserve">Stigler</w:t>
      </w:r>
      <w:r>
        <w:t xml:space="preserve"> </w:t>
      </w:r>
      <w:r>
        <w:t xml:space="preserve">(</w:t>
      </w:r>
      <w:hyperlink w:anchor="ref_Stigler1971Theory">
        <w:r>
          <w:rPr>
            <w:rStyle w:val="Hyperlink"/>
          </w:rPr>
          <w:t xml:space="preserve">1971</w:t>
        </w:r>
      </w:hyperlink>
      <w:r>
        <w:t xml:space="preserve">)</w:t>
      </w:r>
      <w:r>
        <w:t xml:space="preserve"> </w:t>
      </w:r>
      <w:r>
        <w:t xml:space="preserve">sostiene que, por regla general, la industria adquiere la regulación, que se diseña y se aplica sobre todo en su beneficio: es la</w:t>
      </w:r>
      <w:r>
        <w:t xml:space="preserve"> </w:t>
      </w:r>
      <w:r>
        <w:rPr>
          <w:b/>
          <w:bCs/>
        </w:rPr>
        <w:t xml:space="preserve">captura del regulador</w:t>
      </w:r>
      <w:r>
        <w:t xml:space="preserve">.</w:t>
      </w:r>
      <w:r>
        <w:rPr>
          <w:rStyle w:val="FootnoteReference"/>
        </w:rPr>
        <w:footnoteReference w:id="137"/>
      </w:r>
    </w:p>
    <w:p>
      <w:pPr>
        <w:numPr>
          <w:ilvl w:val="0"/>
          <w:numId w:val="1078"/>
        </w:numPr>
      </w:pPr>
      <w:r>
        <w:t xml:space="preserve">Es como «poner al zorro a cuidar de las gallinas», dice el dicho: el regulador acaba sirviendo al regulado.</w:t>
      </w:r>
    </w:p>
    <w:bookmarkEnd w:id="138"/>
    <w:bookmarkStart w:id="140" w:name="b_modelo_5"/>
    <w:p>
      <w:pPr>
        <w:pStyle w:val="Heading5"/>
      </w:pPr>
      <w:r>
        <w:t xml:space="preserve">b) Modelo</w:t>
      </w:r>
    </w:p>
    <w:p>
      <w:pPr>
        <w:pStyle w:val="FirstParagraph"/>
        <w:keepNext/>
      </w:pPr>
      <w:r>
        <w:rPr>
          <w:i/>
          <w:iCs/>
        </w:rPr>
        <w:t xml:space="preserve">i) Supuestos</w:t>
      </w:r>
    </w:p>
    <w:p>
      <w:pPr>
        <w:numPr>
          <w:ilvl w:val="0"/>
          <w:numId w:val="1079"/>
        </w:numPr>
      </w:pPr>
      <w:r>
        <w:t xml:space="preserve">La regulación es un bien que se</w:t>
      </w:r>
      <w:r>
        <w:t xml:space="preserve"> </w:t>
      </w:r>
      <w:r>
        <w:rPr>
          <w:i/>
          <w:iCs/>
        </w:rPr>
        <w:t xml:space="preserve">demanda</w:t>
      </w:r>
      <w:r>
        <w:t xml:space="preserve"> </w:t>
      </w:r>
      <w:r>
        <w:t xml:space="preserve">(los grupos que ganan con ella) y se</w:t>
      </w:r>
      <w:r>
        <w:t xml:space="preserve"> </w:t>
      </w:r>
      <w:r>
        <w:rPr>
          <w:i/>
          <w:iCs/>
        </w:rPr>
        <w:t xml:space="preserve">ofrece</w:t>
      </w:r>
      <w:r>
        <w:t xml:space="preserve"> </w:t>
      </w:r>
      <w:r>
        <w:t xml:space="preserve">(el regulador o el político, que buscan apoyos: votos, financiación, un puesto futuro).</w:t>
      </w:r>
    </w:p>
    <w:p>
      <w:pPr>
        <w:numPr>
          <w:ilvl w:val="0"/>
          <w:numId w:val="1079"/>
        </w:numPr>
      </w:pPr>
      <w:r>
        <w:t xml:space="preserve">Los productores son pocos, están organizados y tienen mucho en juego; los consumidores son muchos, cada uno con poco en juego y con el problema del polizón para organizarse: es la lógica de la acción colectiva de</w:t>
      </w:r>
      <w:r>
        <w:t xml:space="preserve"> </w:t>
      </w:r>
      <w:r>
        <w:rPr>
          <w:smallCaps/>
        </w:rPr>
        <w:t xml:space="preserve">Olson</w:t>
      </w:r>
      <w:r>
        <w:t xml:space="preserve"> </w:t>
      </w:r>
      <w:r>
        <w:t xml:space="preserve">(</w:t>
      </w:r>
      <w:hyperlink w:anchor="ref_Olson1965Logic">
        <w:r>
          <w:rPr>
            <w:rStyle w:val="Hyperlink"/>
          </w:rPr>
          <w:t xml:space="preserve">1965</w:t>
        </w:r>
      </w:hyperlink>
      <w:r>
        <w:t xml:space="preserve">)</w:t>
      </w:r>
      <w:r>
        <w:t xml:space="preserve"> </w:t>
      </w:r>
      <w:hyperlink r:id="rId139">
        <w:r>
          <w:rPr>
            <w:rStyle w:val="Referenciaatema"/>
          </w:rPr>
          <w:t xml:space="preserve">[ver tema 4.B.2]</w:t>
        </w:r>
      </w:hyperlink>
      <w:r>
        <w:t xml:space="preserve">.</w:t>
      </w:r>
    </w:p>
    <w:p>
      <w:pPr>
        <w:pStyle w:val="FirstParagraph"/>
        <w:keepNext/>
      </w:pPr>
      <w:r>
        <w:rPr>
          <w:i/>
          <w:iCs/>
        </w:rPr>
        <w:t xml:space="preserve">ii) Desarrollo</w:t>
      </w:r>
    </w:p>
    <w:p>
      <w:pPr>
        <w:numPr>
          <w:ilvl w:val="0"/>
          <w:numId w:val="1080"/>
        </w:numPr>
      </w:pPr>
      <w:r>
        <w:rPr>
          <w:smallCaps/>
        </w:rPr>
        <w:t xml:space="preserve">Peltzman</w:t>
      </w:r>
      <w:r>
        <w:t xml:space="preserve"> </w:t>
      </w:r>
      <w:r>
        <w:t xml:space="preserve">(</w:t>
      </w:r>
      <w:hyperlink w:anchor="ref_Peltzman1976Toward">
        <w:r>
          <w:rPr>
            <w:rStyle w:val="Hyperlink"/>
          </w:rPr>
          <w:t xml:space="preserve">1976</w:t>
        </w:r>
      </w:hyperlink>
      <w:r>
        <w:t xml:space="preserve">)</w:t>
      </w:r>
      <w:r>
        <w:t xml:space="preserve"> </w:t>
      </w:r>
      <w:r>
        <w:t xml:space="preserve">lo formaliza: el regulador elige el precio para maximizar su apoyo político,</w:t>
      </w:r>
      <w:r>
        <w:t xml:space="preserve"> </w:t>
      </w:r>
      <m:oMath>
        <m:r>
          <m:rPr>
            <m:sty m:val="p"/>
            <m:scr m:val="script"/>
          </m:rPr>
          <m:t>A</m:t>
        </m:r>
        <m:d>
          <m:dPr>
            <m:begChr m:val="("/>
            <m:sepChr m:val=""/>
            <m:endChr m:val=")"/>
            <m:grow/>
          </m:dPr>
          <m:e>
            <m:r>
              <m:t>p</m:t>
            </m:r>
            <m:r>
              <m:rPr>
                <m:sty m:val="p"/>
              </m:rPr>
              <m:t>,</m:t>
            </m:r>
            <m:r>
              <m:t>B</m:t>
            </m:r>
            <m:d>
              <m:dPr>
                <m:begChr m:val="("/>
                <m:sepChr m:val=""/>
                <m:endChr m:val=")"/>
                <m:grow/>
              </m:dPr>
              <m:e>
                <m:r>
                  <m:t>p</m:t>
                </m:r>
              </m:e>
            </m:d>
          </m:e>
        </m:d>
      </m:oMath>
      <w:r>
        <w:t xml:space="preserve">, que baja con el precio (los consumidores) y sube con el beneficio de la industria,</w:t>
      </w:r>
      <w:r>
        <w:t xml:space="preserve"> </w:t>
      </w:r>
      <m:oMath>
        <m:r>
          <m:rPr>
            <m:sty m:val="p"/>
          </m:rPr>
          <m:t>∂</m:t>
        </m:r>
        <m:r>
          <m:rPr>
            <m:sty m:val="p"/>
            <m:scr m:val="script"/>
          </m:rPr>
          <m:t>A</m:t>
        </m:r>
        <m:r>
          <m:rPr>
            <m:sty m:val="p"/>
          </m:rPr>
          <m:t>/</m:t>
        </m:r>
        <m:r>
          <m:rPr>
            <m:sty m:val="p"/>
          </m:rPr>
          <m:t>∂</m:t>
        </m:r>
        <m:r>
          <m:t>p</m:t>
        </m:r>
        <m:r>
          <m:rPr>
            <m:sty m:val="p"/>
          </m:rPr>
          <m:t>&lt;</m:t>
        </m:r>
        <m:r>
          <m:t>0</m:t>
        </m:r>
      </m:oMath>
      <w:r>
        <w:t xml:space="preserve"> </w:t>
      </w:r>
      <w:r>
        <w:t xml:space="preserve">y</w:t>
      </w:r>
      <w:r>
        <w:t xml:space="preserve"> </w:t>
      </w:r>
      <m:oMath>
        <m:r>
          <m:rPr>
            <m:sty m:val="p"/>
          </m:rPr>
          <m:t>∂</m:t>
        </m:r>
        <m:r>
          <m:rPr>
            <m:sty m:val="p"/>
            <m:scr m:val="script"/>
          </m:rPr>
          <m:t>A</m:t>
        </m:r>
        <m:r>
          <m:rPr>
            <m:sty m:val="p"/>
          </m:rPr>
          <m:t>/</m:t>
        </m:r>
        <m:r>
          <m:rPr>
            <m:sty m:val="p"/>
          </m:rPr>
          <m:t>∂</m:t>
        </m:r>
        <m:r>
          <m:t>B</m:t>
        </m:r>
        <m:r>
          <m:rPr>
            <m:sty m:val="p"/>
          </m:rPr>
          <m:t>&gt;</m:t>
        </m:r>
        <m:r>
          <m:t>0</m:t>
        </m:r>
      </m:oMath>
      <w:r>
        <w:t xml:space="preserve">. La condición de primer orden exige</w:t>
      </w:r>
      <w:r>
        <w:t xml:space="preserve"> </w:t>
      </w:r>
      <m:oMath>
        <m:r>
          <m:t>B</m:t>
        </m:r>
        <m:r>
          <m:rPr>
            <m:sty m:val="p"/>
          </m:rPr>
          <m:t>′</m:t>
        </m:r>
        <m:d>
          <m:dPr>
            <m:begChr m:val="("/>
            <m:sepChr m:val=""/>
            <m:endChr m:val=")"/>
            <m:grow/>
          </m:dPr>
          <m:e>
            <m:r>
              <m:t>p</m:t>
            </m:r>
          </m:e>
        </m:d>
        <m:r>
          <m:rPr>
            <m:sty m:val="p"/>
          </m:rPr>
          <m:t>&gt;</m:t>
        </m:r>
        <m:r>
          <m:t>0</m:t>
        </m:r>
      </m:oMath>
      <w:r>
        <w:t xml:space="preserve">:</w:t>
      </w:r>
    </w:p>
    <w:p>
      <w:pPr>
        <w:pStyle w:val="BodyText"/>
        <w:keepNext/>
      </w:pPr>
      <m:oMathPara>
        <m:oMathParaPr>
          <m:jc m:val="center"/>
        </m:oMathParaPr>
        <m:oMath>
          <m:f>
            <m:fPr>
              <m:type m:val="bar"/>
            </m:fPr>
            <m:num>
              <m:r>
                <m:rPr>
                  <m:sty m:val="p"/>
                </m:rPr>
                <m:t>∂</m:t>
              </m:r>
              <m:r>
                <m:rPr>
                  <m:sty m:val="p"/>
                  <m:scr m:val="script"/>
                </m:rPr>
                <m:t>A</m:t>
              </m:r>
            </m:num>
            <m:den>
              <m:r>
                <m:rPr>
                  <m:sty m:val="p"/>
                </m:rPr>
                <m:t>∂</m:t>
              </m:r>
              <m:r>
                <m:t>p</m:t>
              </m:r>
            </m:den>
          </m:f>
          <m:r>
            <m:rPr>
              <m:sty m:val="p"/>
            </m:rPr>
            <m:t>+</m:t>
          </m:r>
          <m:f>
            <m:fPr>
              <m:type m:val="bar"/>
            </m:fPr>
            <m:num>
              <m:r>
                <m:rPr>
                  <m:sty m:val="p"/>
                </m:rPr>
                <m:t>∂</m:t>
              </m:r>
              <m:r>
                <m:rPr>
                  <m:sty m:val="p"/>
                  <m:scr m:val="script"/>
                </m:rPr>
                <m:t>A</m:t>
              </m:r>
            </m:num>
            <m:den>
              <m:r>
                <m:rPr>
                  <m:sty m:val="p"/>
                </m:rPr>
                <m:t>∂</m:t>
              </m:r>
              <m:r>
                <m:t>B</m:t>
              </m:r>
            </m:den>
          </m:f>
          <m:r>
            <m:t> </m:t>
          </m:r>
          <m:r>
            <m:t>B</m:t>
          </m:r>
          <m:r>
            <m:rPr>
              <m:sty m:val="p"/>
            </m:rPr>
            <m:t>′</m:t>
          </m:r>
          <m:d>
            <m:dPr>
              <m:begChr m:val="("/>
              <m:sepChr m:val=""/>
              <m:endChr m:val=")"/>
              <m:grow/>
            </m:dPr>
            <m:e>
              <m:r>
                <m:t>p</m:t>
              </m:r>
            </m:e>
          </m:d>
          <m:r>
            <m:rPr>
              <m:sty m:val="p"/>
            </m:rPr>
            <m:t>=</m:t>
          </m:r>
          <m:r>
            <m:t>0</m:t>
          </m:r>
          <m:r>
            <m:rPr>
              <m:sty m:val="p"/>
            </m:rPr>
            <m:t>.</m:t>
          </m:r>
        </m:oMath>
      </m:oMathPara>
    </w:p>
    <w:p>
      <w:pPr>
        <w:numPr>
          <w:ilvl w:val="0"/>
          <w:numId w:val="1000"/>
        </w:numPr>
      </w:pPr>
      <w:r>
        <w:t xml:space="preserve">El precio regulado queda</w:t>
      </w:r>
      <w:r>
        <w:t xml:space="preserve"> </w:t>
      </w:r>
      <w:r>
        <w:rPr>
          <w:i/>
          <w:iCs/>
        </w:rPr>
        <w:t xml:space="preserve">por debajo del de monopolio</w:t>
      </w:r>
      <w:r>
        <w:t xml:space="preserve">, donde</w:t>
      </w:r>
      <w:r>
        <w:t xml:space="preserve"> </w:t>
      </w:r>
      <m:oMath>
        <m:r>
          <m:t>B</m:t>
        </m:r>
        <m:r>
          <m:rPr>
            <m:sty m:val="p"/>
          </m:rPr>
          <m:t>′</m:t>
        </m:r>
        <m:d>
          <m:dPr>
            <m:begChr m:val="("/>
            <m:sepChr m:val=""/>
            <m:endChr m:val=")"/>
            <m:grow/>
          </m:dPr>
          <m:e>
            <m:r>
              <m:t>p</m:t>
            </m:r>
          </m:e>
        </m:d>
        <m:r>
          <m:rPr>
            <m:sty m:val="p"/>
          </m:rPr>
          <m:t>=</m:t>
        </m:r>
        <m:r>
          <m:t>0</m:t>
        </m:r>
      </m:oMath>
      <w:r>
        <w:t xml:space="preserve">, y</w:t>
      </w:r>
      <w:r>
        <w:t xml:space="preserve"> </w:t>
      </w:r>
      <w:r>
        <w:rPr>
          <w:i/>
          <w:iCs/>
        </w:rPr>
        <w:t xml:space="preserve">por encima del competitivo</w:t>
      </w:r>
      <w:r>
        <w:t xml:space="preserve">: el regulador reparte la renta entre los 2 grupos.</w:t>
      </w:r>
    </w:p>
    <w:p>
      <w:pPr>
        <w:numPr>
          <w:ilvl w:val="0"/>
          <w:numId w:val="1080"/>
        </w:numPr>
      </w:pPr>
      <w:r>
        <w:rPr>
          <w:smallCaps/>
        </w:rPr>
        <w:t xml:space="preserve">Becker</w:t>
      </w:r>
      <w:r>
        <w:t xml:space="preserve"> </w:t>
      </w:r>
      <w:r>
        <w:t xml:space="preserve">(</w:t>
      </w:r>
      <w:hyperlink w:anchor="ref_Becker1983Theory">
        <w:r>
          <w:rPr>
            <w:rStyle w:val="Hyperlink"/>
          </w:rPr>
          <w:t xml:space="preserve">1983</w:t>
        </w:r>
      </w:hyperlink>
      <w:r>
        <w:t xml:space="preserve">)</w:t>
      </w:r>
      <w:r>
        <w:t xml:space="preserve"> </w:t>
      </w:r>
      <w:r>
        <w:t xml:space="preserve">lo modeliza como una competencia entre grupos de presión: gana influencia el grupo que presiona con menos coste, y la pérdida irrecuperable limita la propia regulación, porque cuanto mayor es, más se resiste el grupo perjudicado. Las intervenciones que sobreviven tienden a ser las que menos eficiencia destruyen.</w:t>
      </w:r>
    </w:p>
    <w:p>
      <w:pPr>
        <w:pStyle w:val="FirstParagraph"/>
        <w:keepNext/>
      </w:pPr>
      <w:r>
        <w:rPr>
          <w:i/>
          <w:iCs/>
        </w:rPr>
        <w:t xml:space="preserve">iii) Implicaciones</w:t>
      </w:r>
    </w:p>
    <w:p>
      <w:pPr>
        <w:numPr>
          <w:ilvl w:val="0"/>
          <w:numId w:val="1081"/>
        </w:numPr>
      </w:pPr>
      <w:r>
        <w:t xml:space="preserve">La regulación puede servir para crear o proteger rentas, y no solo para corregir fallos de mercado; los recursos que se gastan en conseguirlas son un coste social, el de la búsqueda de rentas (</w:t>
      </w:r>
      <w:hyperlink w:anchor="sec_poder_mercado">
        <w:r>
          <w:rPr>
            <w:rStyle w:val="Hyperlink"/>
          </w:rPr>
          <w:t xml:space="preserve">I.1</w:t>
        </w:r>
      </w:hyperlink>
      <w:r>
        <w:t xml:space="preserve">).</w:t>
      </w:r>
    </w:p>
    <w:bookmarkEnd w:id="140"/>
    <w:bookmarkStart w:id="141" w:name="c_extensiones_5"/>
    <w:p>
      <w:pPr>
        <w:pStyle w:val="Heading5"/>
      </w:pPr>
      <w:r>
        <w:t xml:space="preserve">c) Extensiones</w:t>
      </w:r>
    </w:p>
    <w:p>
      <w:pPr>
        <w:keepNext/>
        <w:numPr>
          <w:ilvl w:val="0"/>
          <w:numId w:val="1082"/>
        </w:numPr>
      </w:pPr>
      <w:r>
        <w:t xml:space="preserve">Para</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w:t>
      </w:r>
      <w:hyperlink w:anchor="ref_LaffontTirole1991Politics">
        <w:r>
          <w:rPr>
            <w:rStyle w:val="Hyperlink"/>
          </w:rPr>
          <w:t xml:space="preserve">1991</w:t>
        </w:r>
      </w:hyperlink>
      <w:r>
        <w:t xml:space="preserve">)</w:t>
      </w:r>
      <w:r>
        <w:t xml:space="preserve">, la captura es un pacto colusorio: el regulador tiene información que el legislador ignora y puede callarla a cambio de un soborno o de un futuro empleo en la empresa. Los incentivos potentes aumentan las rentas en juego y, con ellas, la tentación; si el riesgo es alto, compensa recurrir a contratos de</w:t>
      </w:r>
      <w:r>
        <w:t xml:space="preserve"> </w:t>
      </w:r>
      <w:r>
        <w:rPr>
          <w:i/>
          <w:iCs/>
        </w:rPr>
        <w:t xml:space="preserve">baja potencia</w:t>
      </w:r>
      <w:r>
        <w:t xml:space="preserve">, próximos al coste incrementado, aun a costa de eficiencia productiva.</w:t>
      </w:r>
    </w:p>
    <w:p>
      <w:pPr>
        <w:numPr>
          <w:ilvl w:val="1"/>
          <w:numId w:val="1083"/>
        </w:numPr>
      </w:pPr>
      <w:r>
        <w:t xml:space="preserve">Volvamos a Redes del Valle: si su sector presiona para subir la tasa de retribución y el riesgo de que el regulador pacte con la empresa es alto, mejor un contrato que deje poca renta que repartir, aunque la empresa se esfuerce menos.</w:t>
      </w:r>
    </w:p>
    <w:bookmarkEnd w:id="141"/>
    <w:bookmarkStart w:id="142" w:name="d_evidencia_emp__rica_3"/>
    <w:p>
      <w:pPr>
        <w:pStyle w:val="Heading5"/>
      </w:pPr>
      <w:r>
        <w:t xml:space="preserve">d) Evidencia empírica</w:t>
      </w:r>
    </w:p>
    <w:p>
      <w:pPr>
        <w:numPr>
          <w:ilvl w:val="0"/>
          <w:numId w:val="1084"/>
        </w:numPr>
      </w:pPr>
      <w:r>
        <w:rPr>
          <w:smallCaps/>
        </w:rPr>
        <w:t xml:space="preserve">Stigler</w:t>
      </w:r>
      <w:r>
        <w:t xml:space="preserve"> </w:t>
      </w:r>
      <w:r>
        <w:t xml:space="preserve">(</w:t>
      </w:r>
      <w:hyperlink w:anchor="ref_Stigler1971Theory">
        <w:r>
          <w:rPr>
            <w:rStyle w:val="Hyperlink"/>
          </w:rPr>
          <w:t xml:space="preserve">1971</w:t>
        </w:r>
      </w:hyperlink>
      <w:r>
        <w:t xml:space="preserve">)</w:t>
      </w:r>
      <w:r>
        <w:t xml:space="preserve"> </w:t>
      </w:r>
      <w:r>
        <w:t xml:space="preserve">encontró que los límites de peso de los camiones en los estados de Estados Unidos protegían a los ferrocarriles y que las licencias profesionales favorecían a los que ya ejercían.</w:t>
      </w:r>
    </w:p>
    <w:p>
      <w:pPr>
        <w:numPr>
          <w:ilvl w:val="0"/>
          <w:numId w:val="1084"/>
        </w:numPr>
      </w:pPr>
      <w:r>
        <w:t xml:space="preserve">La desregulación de los años 70 y 80 en Estados Unidos (aviación, transporte por carretera) parecía contradecir la teoría, pero puede explicarse por cambios en lo que ganaban y perdían los grupos</w:t>
      </w:r>
      <w:r>
        <w:t xml:space="preserve"> </w:t>
      </w:r>
      <w:r>
        <w:t xml:space="preserve">(</w:t>
      </w:r>
      <w:hyperlink w:anchor="ref_Peltzman1989Economic">
        <w:r>
          <w:rPr>
            <w:rStyle w:val="Hyperlink"/>
            <w:smallCaps/>
          </w:rPr>
          <w:t xml:space="preserve">Peltzman</w:t>
        </w:r>
        <w:r>
          <w:rPr>
            <w:rStyle w:val="Hyperlink"/>
          </w:rPr>
          <w:t xml:space="preserve">, 1989</w:t>
        </w:r>
      </w:hyperlink>
      <w:r>
        <w:t xml:space="preserve">)</w:t>
      </w:r>
      <w:r>
        <w:t xml:space="preserve">.</w:t>
      </w:r>
    </w:p>
    <w:p>
      <w:pPr>
        <w:numPr>
          <w:ilvl w:val="0"/>
          <w:numId w:val="1084"/>
        </w:numPr>
      </w:pPr>
      <w:r>
        <w:t xml:space="preserve">Las «puertas giratorias» entre reguladores y regulados son la vía de captura más estudiada</w:t>
      </w:r>
      <w:r>
        <w:t xml:space="preserve"> </w:t>
      </w:r>
      <w:r>
        <w:t xml:space="preserve">(</w:t>
      </w:r>
      <w:hyperlink w:anchor="ref_DalBo2006Regulatory">
        <w:r>
          <w:rPr>
            <w:rStyle w:val="Hyperlink"/>
            <w:smallCaps/>
          </w:rPr>
          <w:t xml:space="preserve">Dal Bó</w:t>
        </w:r>
        <w:r>
          <w:rPr>
            <w:rStyle w:val="Hyperlink"/>
          </w:rPr>
          <w:t xml:space="preserve">, 2006</w:t>
        </w:r>
      </w:hyperlink>
      <w:r>
        <w:t xml:space="preserve">)</w:t>
      </w:r>
      <w:r>
        <w:t xml:space="preserve">.</w:t>
      </w:r>
    </w:p>
    <w:bookmarkEnd w:id="142"/>
    <w:bookmarkStart w:id="147" w:name="e_valoraci__n_3"/>
    <w:p>
      <w:pPr>
        <w:pStyle w:val="Heading5"/>
      </w:pPr>
      <w:r>
        <w:t xml:space="preserve">e) Valoración</w:t>
      </w:r>
    </w:p>
    <w:p>
      <w:pPr>
        <w:numPr>
          <w:ilvl w:val="0"/>
          <w:numId w:val="1085"/>
        </w:numPr>
      </w:pPr>
      <w:r>
        <w:t xml:space="preserve">Recuerda que hay que comparar los fallos del mercado con los de la regulación</w:t>
      </w:r>
      <w:r>
        <w:t xml:space="preserve"> </w:t>
      </w:r>
      <w:hyperlink r:id="rId23">
        <w:r>
          <w:rPr>
            <w:rStyle w:val="Referenciaatema"/>
          </w:rPr>
          <w:t xml:space="preserve">[ver tema 3.A.23]</w:t>
        </w:r>
      </w:hyperlink>
      <w:r>
        <w:t xml:space="preserve">, y justifica los reguladores independientes, las reglas transparentes, la evaluación de resultados y las incompatibilidades.</w:t>
      </w:r>
    </w:p>
    <w:p>
      <w:pPr>
        <w:numPr>
          <w:ilvl w:val="0"/>
          <w:numId w:val="1085"/>
        </w:numPr>
      </w:pPr>
      <w:r>
        <w:t xml:space="preserve">Pero es difícil de contrastar (casi todo se puede explicar como el apoyo de algún grupo) y no dice cómo diseñar el regulador, que es lo que añade el enfoque de</w:t>
      </w:r>
      <w:r>
        <w:t xml:space="preserve"> </w:t>
      </w:r>
      <w:r>
        <w:rPr>
          <w:smallCaps/>
        </w:rPr>
        <w:t xml:space="preserve">Laffont</w:t>
      </w:r>
      <w:r>
        <w:t xml:space="preserve"> </w:t>
      </w:r>
      <w:r>
        <w:t xml:space="preserve">y</w:t>
      </w:r>
      <w:r>
        <w:t xml:space="preserve"> </w:t>
      </w:r>
      <w:r>
        <w:rPr>
          <w:smallCaps/>
        </w:rPr>
        <w:t xml:space="preserve">Tirole</w:t>
      </w:r>
      <w:r>
        <w:t xml:space="preserve">.</w:t>
      </w:r>
    </w:p>
    <w:p>
      <w:pPr>
        <w:numPr>
          <w:ilvl w:val="0"/>
          <w:numId w:val="1085"/>
        </w:numPr>
      </w:pPr>
      <w:r>
        <w:rPr>
          <w:i/>
          <w:iCs/>
        </w:rPr>
        <w:t xml:space="preserve">Recapitulación</w:t>
      </w:r>
      <w:r>
        <w:t xml:space="preserve">: con información asimétrica el regulador no puede alcanzar el primer óptimo: deja una renta informativa y equilibra incentivos y rentas. La tasa de rentabilidad (baja potencia) y el</w:t>
      </w:r>
      <w:r>
        <w:t xml:space="preserve"> </w:t>
      </w:r>
      <w:r>
        <w:rPr>
          <w:i/>
          <w:iCs/>
        </w:rPr>
        <w:t xml:space="preserve">price cap</w:t>
      </w:r>
      <w:r>
        <w:t xml:space="preserve"> </w:t>
      </w:r>
      <w:r>
        <w:t xml:space="preserve">(alta potencia) son los 2 extremos del menú de</w:t>
      </w:r>
      <w:r>
        <w:t xml:space="preserve"> </w:t>
      </w:r>
      <w:r>
        <w:rPr>
          <w:smallCaps/>
        </w:rPr>
        <w:t xml:space="preserve">Laffont</w:t>
      </w:r>
      <w:r>
        <w:t xml:space="preserve"> </w:t>
      </w:r>
      <w:r>
        <w:t xml:space="preserve">y</w:t>
      </w:r>
      <w:r>
        <w:t xml:space="preserve"> </w:t>
      </w:r>
      <w:r>
        <w:rPr>
          <w:smallCaps/>
        </w:rPr>
        <w:t xml:space="preserve">Tirole</w:t>
      </w:r>
      <w:r>
        <w:t xml:space="preserve">, y el compromiso y la captura deciden hacia cuál inclinarse (gráfico </w:t>
      </w:r>
      <w:hyperlink w:anchor="fig_escala_potencia">
        <w:r>
          <w:rPr>
            <w:rStyle w:val="Hyperlink"/>
          </w:rPr>
          <w:t xml:space="preserve">8</w:t>
        </w:r>
      </w:hyperlink>
      <w:r>
        <w:t xml:space="preserve">). Pasamos al tercer bloque: cómo ayudan otras empresas a reducir esas rentas.</w:t>
      </w:r>
    </w:p>
    <w:bookmarkStart w:id="146" w:name="fig_escala_potencia"/>
    <w:p>
      <w:pPr>
        <w:pStyle w:val="ImageCaption"/>
      </w:pPr>
      <w:r>
        <w:t xml:space="preserve">Gráfico 8.–</w:t>
      </w:r>
      <w:r>
        <w:t xml:space="preserve"> </w:t>
      </w:r>
      <w:r>
        <w:t xml:space="preserve">Escala de la potencia de los incentivos: cada instrumento en su lugar, entre más incentivos y más rentas</w:t>
      </w:r>
    </w:p>
    <w:p>
      <w:pPr>
        <w:pStyle w:val="CaptionedFigure"/>
      </w:pPr>
      <w:r>
        <w:drawing>
          <wp:inline>
            <wp:extent cx="5372100" cy="2037974"/>
            <wp:effectExtent b="0" l="0" r="0" t="0"/>
            <wp:docPr descr="Gráfico 8.– Escala de la potencia de los incentivos: cada instrumento en su lugar, entre más incentivos y más rentas" title="" id="144" name="Picture"/>
            <a:graphic>
              <a:graphicData uri="http://schemas.openxmlformats.org/drawingml/2006/picture">
                <pic:pic>
                  <pic:nvPicPr>
                    <pic:cNvPr descr="C:\Users\vgutierrez\Documents\src\victorgutierrezmarcos.github.io-revision\oposicion\temario\fuentes\3A20\graficos/escala-potencia.png" id="145" name="Picture"/>
                    <pic:cNvPicPr>
                      <a:picLocks noChangeArrowheads="1" noChangeAspect="1"/>
                    </pic:cNvPicPr>
                  </pic:nvPicPr>
                  <pic:blipFill>
                    <a:blip r:embed="rId143"/>
                    <a:stretch>
                      <a:fillRect/>
                    </a:stretch>
                  </pic:blipFill>
                  <pic:spPr bwMode="auto">
                    <a:xfrm>
                      <a:off x="0" y="0"/>
                      <a:ext cx="5372100" cy="2037974"/>
                    </a:xfrm>
                    <a:prstGeom prst="rect">
                      <a:avLst/>
                    </a:prstGeom>
                    <a:noFill/>
                    <a:ln w="9525">
                      <a:noFill/>
                      <a:headEnd/>
                      <a:tailEnd/>
                    </a:ln>
                  </pic:spPr>
                </pic:pic>
              </a:graphicData>
            </a:graphic>
          </wp:inline>
        </w:drawing>
      </w:r>
    </w:p>
    <w:bookmarkEnd w:id="146"/>
    <w:p>
      <w:pPr>
        <w:pStyle w:val="Piedeimagen"/>
      </w:pPr>
      <w:r>
        <w:t xml:space="preserve">Fuente: elaboración propia a partir de</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w:t>
      </w:r>
      <w:hyperlink w:anchor="ref_LaffontTirole1993Theory">
        <w:r>
          <w:rPr>
            <w:rStyle w:val="Hyperlink"/>
          </w:rPr>
          <w:t xml:space="preserve">1993</w:t>
        </w:r>
      </w:hyperlink>
      <w:r>
        <w:t xml:space="preserve">)</w:t>
      </w:r>
      <w:r>
        <w:t xml:space="preserve"> </w:t>
      </w:r>
      <w:r>
        <w:t xml:space="preserve">y</w:t>
      </w:r>
      <w:r>
        <w:t xml:space="preserve"> </w:t>
      </w:r>
      <w:r>
        <w:rPr>
          <w:smallCaps/>
        </w:rPr>
        <w:t xml:space="preserve">Armstrong</w:t>
      </w:r>
      <w:r>
        <w:t xml:space="preserve"> </w:t>
      </w:r>
      <w:r>
        <w:t xml:space="preserve">y</w:t>
      </w:r>
      <w:r>
        <w:t xml:space="preserve"> </w:t>
      </w:r>
      <w:r>
        <w:rPr>
          <w:smallCaps/>
        </w:rPr>
        <w:t xml:space="preserve">Sappington</w:t>
      </w:r>
      <w:r>
        <w:t xml:space="preserve"> </w:t>
      </w:r>
      <w:r>
        <w:t xml:space="preserve">(</w:t>
      </w:r>
      <w:hyperlink w:anchor="ref_ArmstrongSappington2007Recent">
        <w:r>
          <w:rPr>
            <w:rStyle w:val="Hyperlink"/>
          </w:rPr>
          <w:t xml:space="preserve">2007</w:t>
        </w:r>
      </w:hyperlink>
      <w:r>
        <w:t xml:space="preserve">)</w:t>
      </w:r>
      <w:r>
        <w:t xml:space="preserve">.</w:t>
      </w:r>
    </w:p>
    <w:bookmarkEnd w:id="147"/>
    <w:bookmarkEnd w:id="148"/>
    <w:bookmarkEnd w:id="149"/>
    <w:bookmarkEnd w:id="150"/>
    <w:bookmarkStart w:id="188" w:name="sec_varias_empresas"/>
    <w:p>
      <w:pPr>
        <w:pStyle w:val="Heading1"/>
      </w:pPr>
      <w:r>
        <w:t xml:space="preserve">III.</w:t>
      </w:r>
      <w:r>
        <w:t xml:space="preserve"> </w:t>
      </w:r>
      <w:r>
        <w:t xml:space="preserve">Regulación con varias empresas</w:t>
      </w:r>
      <w:r>
        <w:br/>
      </w:r>
      <w:r>
        <w:t xml:space="preserve">y aplicaciones prácticas</w:t>
      </w:r>
      <w:r>
        <w:t xml:space="preserve"> </w:t>
      </w:r>
      <w:r>
        <w:rPr>
          <w:rStyle w:val="Minutos"/>
        </w:rPr>
        <w:t xml:space="preserve">7′30″</w:t>
      </w:r>
    </w:p>
    <w:p>
      <w:pPr>
        <w:pStyle w:val="Notaalopositor"/>
        <w:keepLines/>
      </w:pPr>
      <w:r>
        <w:rPr>
          <w:b/>
          <w:bCs/>
        </w:rPr>
        <w:t xml:space="preserve">Nota al opositor. </w:t>
      </w:r>
      <w:r>
        <w:t xml:space="preserve">En el cante: el</w:t>
      </w:r>
      <w:r>
        <w:t xml:space="preserve"> </w:t>
      </w:r>
      <w:r>
        <w:rPr>
          <w:i/>
          <w:iCs/>
        </w:rPr>
        <w:t xml:space="preserve">yardstick</w:t>
      </w:r>
      <w:r>
        <w:t xml:space="preserve"> </w:t>
      </w:r>
      <w:r>
        <w:t xml:space="preserve">con su regla y el ejemplo de las 3 distribuidoras escritos a mano, y su lugar en la escala de la potencia (2′); la competencia por el mercado de palabra, con sus límites (1′30″); el acceso a la red con la regla del precio eficiente de los componentes en una línea y los mercados de 2 lados (1′30″); y las aplicaciones, cada una con su lectura teórica, con la tabla de instrumentos como apoyo (2′30″).</w:t>
      </w:r>
    </w:p>
    <w:p>
      <w:pPr>
        <w:numPr>
          <w:ilvl w:val="0"/>
          <w:numId w:val="1086"/>
        </w:numPr>
      </w:pPr>
      <w:r>
        <w:t xml:space="preserve">Hasta ahora el regulador trataba con una sola empresa; ahora tiene varias.</w:t>
      </w:r>
      <w:r>
        <w:t xml:space="preserve"> </w:t>
      </w:r>
      <w:r>
        <w:rPr>
          <w:i/>
          <w:iCs/>
        </w:rPr>
        <w:t xml:space="preserve">Conclusión anticipada</w:t>
      </w:r>
      <w:r>
        <w:t xml:space="preserve"> </w:t>
      </w:r>
      <w:r>
        <w:t xml:space="preserve">de este último bloque: las demás empresas son una fuente de información, porque compararlas o hacerlas competir por la concesión rebaja la renta que hay que ceder a cada una. A cambio surge una cuestión nueva: en qué condiciones usan los rivales la red del antiguo monopolista. En la práctica se combinan todas estas herramientas.</w:t>
      </w:r>
    </w:p>
    <w:bookmarkStart w:id="160" w:name="sec_yardstick"/>
    <w:p>
      <w:pPr>
        <w:pStyle w:val="Heading2"/>
      </w:pPr>
      <w:r>
        <w:t xml:space="preserve">III.1.</w:t>
      </w:r>
      <w:r>
        <w:t xml:space="preserve"> </w:t>
      </w:r>
      <w:r>
        <w:t xml:space="preserve">Competencia por comparación</w:t>
      </w:r>
    </w:p>
    <w:bookmarkStart w:id="151" w:name="a_idea_7"/>
    <w:p>
      <w:pPr>
        <w:pStyle w:val="Heading4"/>
      </w:pPr>
      <w:r>
        <w:t xml:space="preserve">a) Idea</w:t>
      </w:r>
    </w:p>
    <w:p>
      <w:pPr>
        <w:numPr>
          <w:ilvl w:val="0"/>
          <w:numId w:val="1087"/>
        </w:numPr>
      </w:pPr>
      <w:r>
        <w:t xml:space="preserve">Si hay varias empresas reguladas parecidas que operan en zonas distintas (distribuidoras de electricidad o de agua, hospitales), el regulador puede fijar el precio de cada una a partir de los costes de las</w:t>
      </w:r>
      <w:r>
        <w:t xml:space="preserve"> </w:t>
      </w:r>
      <w:r>
        <w:rPr>
          <w:i/>
          <w:iCs/>
        </w:rPr>
        <w:t xml:space="preserve">demás</w:t>
      </w:r>
      <w:r>
        <w:t xml:space="preserve">, no de los suyos: es la</w:t>
      </w:r>
      <w:r>
        <w:t xml:space="preserve"> </w:t>
      </w:r>
      <w:r>
        <w:rPr>
          <w:b/>
          <w:bCs/>
        </w:rPr>
        <w:t xml:space="preserve">competencia por comparación</w:t>
      </w:r>
      <w:r>
        <w:t xml:space="preserve"> </w:t>
      </w:r>
      <w:r>
        <w:t xml:space="preserve">(</w:t>
      </w:r>
      <w:r>
        <w:rPr>
          <w:i/>
          <w:iCs/>
        </w:rPr>
        <w:t xml:space="preserve">yardstick competition</w:t>
      </w:r>
      <w:r>
        <w:t xml:space="preserve">)</w:t>
      </w:r>
      <w:r>
        <w:t xml:space="preserve"> </w:t>
      </w:r>
      <w:r>
        <w:t xml:space="preserve">(</w:t>
      </w:r>
      <w:hyperlink w:anchor="ref_Shleifer1985Theory">
        <w:r>
          <w:rPr>
            <w:rStyle w:val="Hyperlink"/>
            <w:smallCaps/>
          </w:rPr>
          <w:t xml:space="preserve">Shleifer</w:t>
        </w:r>
        <w:r>
          <w:rPr>
            <w:rStyle w:val="Hyperlink"/>
          </w:rPr>
          <w:t xml:space="preserve">, 1985</w:t>
        </w:r>
      </w:hyperlink>
      <w:r>
        <w:t xml:space="preserve">)</w:t>
      </w:r>
      <w:r>
        <w:t xml:space="preserve">. Así crea entre monopolios locales una competencia que no existe en el mercado, y resuelve el problema de la revelación de costes.</w:t>
      </w:r>
    </w:p>
    <w:p>
      <w:pPr>
        <w:numPr>
          <w:ilvl w:val="0"/>
          <w:numId w:val="1087"/>
        </w:numPr>
      </w:pPr>
      <w:r>
        <w:t xml:space="preserve">«Las comparaciones son odiosas», dice el refrán, y para la empresa comparada lo son: ya no puede justificar sus costes con su propia contabilidad.</w:t>
      </w:r>
    </w:p>
    <w:bookmarkEnd w:id="151"/>
    <w:bookmarkStart w:id="156" w:name="b_modelo_6"/>
    <w:p>
      <w:pPr>
        <w:pStyle w:val="Heading4"/>
      </w:pPr>
      <w:r>
        <w:t xml:space="preserve">b) Modelo</w:t>
      </w:r>
    </w:p>
    <w:bookmarkStart w:id="152" w:name="i_supuestos_3"/>
    <w:p>
      <w:pPr>
        <w:pStyle w:val="Heading5"/>
      </w:pPr>
      <w:r>
        <w:t xml:space="preserve">i) Supuestos</w:t>
      </w:r>
    </w:p>
    <w:p>
      <w:pPr>
        <w:numPr>
          <w:ilvl w:val="0"/>
          <w:numId w:val="1088"/>
        </w:numPr>
      </w:pPr>
      <m:oMath>
        <m:r>
          <m:t>N</m:t>
        </m:r>
      </m:oMath>
      <w:r>
        <w:t xml:space="preserve"> </w:t>
      </w:r>
      <w:r>
        <w:t xml:space="preserve">empresas idénticas, cada una con un coste unitario</w:t>
      </w:r>
      <w:r>
        <w:t xml:space="preserve"> </w:t>
      </w:r>
      <m:oMath>
        <m:sSub>
          <m:e>
            <m:r>
              <m:t>c</m:t>
            </m:r>
          </m:e>
          <m:sub>
            <m:r>
              <m:t>i</m:t>
            </m:r>
          </m:sub>
        </m:sSub>
      </m:oMath>
      <w:r>
        <w:t xml:space="preserve"> </w:t>
      </w:r>
      <w:r>
        <w:t xml:space="preserve">que puede reducir invirtiendo</w:t>
      </w:r>
      <w:r>
        <w:t xml:space="preserve"> </w:t>
      </w:r>
      <m:oMath>
        <m:r>
          <m:t>R</m:t>
        </m:r>
        <m:d>
          <m:dPr>
            <m:begChr m:val="("/>
            <m:sepChr m:val=""/>
            <m:endChr m:val=")"/>
            <m:grow/>
          </m:dPr>
          <m:e>
            <m:sSub>
              <m:e>
                <m:r>
                  <m:t>c</m:t>
                </m:r>
              </m:e>
              <m:sub>
                <m:r>
                  <m:t>i</m:t>
                </m:r>
              </m:sub>
            </m:sSub>
          </m:e>
        </m:d>
      </m:oMath>
      <w:r>
        <w:t xml:space="preserve">, con</w:t>
      </w:r>
      <w:r>
        <w:t xml:space="preserve"> </w:t>
      </w:r>
      <m:oMath>
        <m:r>
          <m:t>R</m:t>
        </m:r>
        <m:r>
          <m:rPr>
            <m:sty m:val="p"/>
          </m:rPr>
          <m:t>′</m:t>
        </m:r>
        <m:r>
          <m:rPr>
            <m:sty m:val="p"/>
          </m:rPr>
          <m:t>&lt;</m:t>
        </m:r>
        <m:r>
          <m:t>0</m:t>
        </m:r>
      </m:oMath>
      <w:r>
        <w:t xml:space="preserve"> </w:t>
      </w:r>
      <w:r>
        <w:t xml:space="preserve">(bajar el coste cuesta), y una demanda</w:t>
      </w:r>
      <w:r>
        <w:t xml:space="preserve"> </w:t>
      </w:r>
      <m:oMath>
        <m:r>
          <m:t>q</m:t>
        </m:r>
        <m:d>
          <m:dPr>
            <m:begChr m:val="("/>
            <m:sepChr m:val=""/>
            <m:endChr m:val=")"/>
            <m:grow/>
          </m:dPr>
          <m:e>
            <m:r>
              <m:t>p</m:t>
            </m:r>
          </m:e>
        </m:d>
      </m:oMath>
      <w:r>
        <w:t xml:space="preserve">.</w:t>
      </w:r>
    </w:p>
    <w:bookmarkEnd w:id="152"/>
    <w:bookmarkStart w:id="154" w:name="ii_desarrollo_3"/>
    <w:p>
      <w:pPr>
        <w:pStyle w:val="Heading5"/>
      </w:pPr>
      <w:r>
        <w:t xml:space="preserve">ii) Desarrollo</w:t>
      </w:r>
    </w:p>
    <w:p>
      <w:pPr>
        <w:numPr>
          <w:ilvl w:val="0"/>
          <w:numId w:val="1089"/>
        </w:numPr>
      </w:pPr>
      <w:r>
        <w:t xml:space="preserve">El regulador fija a la empresa</w:t>
      </w:r>
      <w:r>
        <w:t xml:space="preserve"> </w:t>
      </w:r>
      <m:oMath>
        <m:r>
          <m:t>i</m:t>
        </m:r>
      </m:oMath>
      <w:r>
        <w:t xml:space="preserve"> </w:t>
      </w:r>
      <w:r>
        <w:t xml:space="preserve">el precio y la transferencia</w:t>
      </w:r>
      <w:r>
        <w:t xml:space="preserve"> </w:t>
      </w:r>
      <w:bookmarkStart w:id="153" w:name="eq_yardstick"/>
      <w:bookmarkEnd w:id="153"/>
    </w:p>
    <w:p>
      <w:pPr>
        <w:pStyle w:val="BodyText"/>
        <w:keepNext/>
      </w:pPr>
      <m:oMathPara>
        <m:oMathParaPr>
          <m:jc m:val="center"/>
        </m:oMathParaPr>
        <m:oMath>
          <m:sSub>
            <m:e>
              <m:r>
                <m:t>p</m:t>
              </m:r>
            </m:e>
            <m:sub>
              <m:r>
                <m:t>i</m:t>
              </m:r>
            </m:sub>
          </m:sSub>
          <m:r>
            <m:rPr>
              <m:sty m:val="p"/>
            </m:rPr>
            <m:t>=</m:t>
          </m:r>
          <m:sSub>
            <m:e>
              <m:acc>
                <m:accPr>
                  <m:chr m:val="‾"/>
                </m:accPr>
                <m:e>
                  <m:r>
                    <m:t>c</m:t>
                  </m:r>
                </m:e>
              </m:acc>
            </m:e>
            <m:sub>
              <m:r>
                <m:rPr>
                  <m:sty m:val="p"/>
                </m:rPr>
                <m:t>−</m:t>
              </m:r>
              <m:r>
                <m:t>i</m:t>
              </m:r>
            </m:sub>
          </m:sSub>
          <m:r>
            <m:rPr>
              <m:sty m:val="p"/>
            </m:rPr>
            <m:t>≡</m:t>
          </m:r>
          <m:f>
            <m:fPr>
              <m:type m:val="bar"/>
            </m:fPr>
            <m:num>
              <m:r>
                <m:t>1</m:t>
              </m:r>
            </m:num>
            <m:den>
              <m:r>
                <m:t>N</m:t>
              </m:r>
              <m:r>
                <m:rPr>
                  <m:sty m:val="p"/>
                </m:rPr>
                <m:t>−</m:t>
              </m:r>
              <m:r>
                <m:t>1</m:t>
              </m:r>
            </m:den>
          </m:f>
          <m:nary>
            <m:naryPr>
              <m:chr m:val="∑"/>
              <m:limLoc m:val="undOvr"/>
              <m:subHide m:val="off"/>
              <m:supHide m:val="on"/>
            </m:naryPr>
            <m:sub>
              <m:r>
                <m:t>j</m:t>
              </m:r>
              <m:r>
                <m:rPr>
                  <m:sty m:val="p"/>
                </m:rPr>
                <m:t>≠</m:t>
              </m:r>
              <m:r>
                <m:t>i</m:t>
              </m:r>
            </m:sub>
            <m:sup>
              <m:r>
                <m:t>​</m:t>
              </m:r>
            </m:sup>
            <m:e>
              <m:sSub>
                <m:e>
                  <m:r>
                    <m:t>c</m:t>
                  </m:r>
                </m:e>
                <m:sub>
                  <m:r>
                    <m:t>j</m:t>
                  </m:r>
                </m:sub>
              </m:sSub>
            </m:e>
          </m:nary>
          <m:r>
            <m:rPr>
              <m:sty m:val="p"/>
            </m:rPr>
            <m:t>,</m:t>
          </m:r>
          <m:r>
            <m:t>  </m:t>
          </m:r>
          <m:sSub>
            <m:e>
              <m:r>
                <m:t>T</m:t>
              </m:r>
            </m:e>
            <m:sub>
              <m:r>
                <m:t>i</m:t>
              </m:r>
            </m:sub>
          </m:sSub>
          <m:r>
            <m:rPr>
              <m:sty m:val="p"/>
            </m:rPr>
            <m:t>=</m:t>
          </m:r>
          <m:sSub>
            <m:e>
              <m:acc>
                <m:accPr>
                  <m:chr m:val="‾"/>
                </m:accPr>
                <m:e>
                  <m:r>
                    <m:t>R</m:t>
                  </m:r>
                </m:e>
              </m:acc>
            </m:e>
            <m:sub>
              <m:r>
                <m:rPr>
                  <m:sty m:val="p"/>
                </m:rPr>
                <m:t>−</m:t>
              </m:r>
              <m:r>
                <m:t>i</m:t>
              </m:r>
            </m:sub>
          </m:sSub>
          <m:r>
            <m:rPr>
              <m:sty m:val="p"/>
            </m:rPr>
            <m:t>≡</m:t>
          </m:r>
          <m:f>
            <m:fPr>
              <m:type m:val="bar"/>
            </m:fPr>
            <m:num>
              <m:r>
                <m:t>1</m:t>
              </m:r>
            </m:num>
            <m:den>
              <m:r>
                <m:t>N</m:t>
              </m:r>
              <m:r>
                <m:rPr>
                  <m:sty m:val="p"/>
                </m:rPr>
                <m:t>−</m:t>
              </m:r>
              <m:r>
                <m:t>1</m:t>
              </m:r>
            </m:den>
          </m:f>
          <m:nary>
            <m:naryPr>
              <m:chr m:val="∑"/>
              <m:limLoc m:val="undOvr"/>
              <m:subHide m:val="off"/>
              <m:supHide m:val="on"/>
            </m:naryPr>
            <m:sub>
              <m:r>
                <m:t>j</m:t>
              </m:r>
              <m:r>
                <m:rPr>
                  <m:sty m:val="p"/>
                </m:rPr>
                <m:t>≠</m:t>
              </m:r>
              <m:r>
                <m:t>i</m:t>
              </m:r>
            </m:sub>
            <m:sup>
              <m:r>
                <m:t>​</m:t>
              </m:r>
            </m:sup>
            <m:e>
              <m:r>
                <m:t>R</m:t>
              </m:r>
            </m:e>
          </m:nary>
          <m:d>
            <m:dPr>
              <m:begChr m:val="("/>
              <m:sepChr m:val=""/>
              <m:endChr m:val=")"/>
              <m:grow/>
            </m:dPr>
            <m:e>
              <m:sSub>
                <m:e>
                  <m:r>
                    <m:t>c</m:t>
                  </m:r>
                </m:e>
                <m:sub>
                  <m:r>
                    <m:t>j</m:t>
                  </m:r>
                </m:sub>
              </m:sSub>
            </m:e>
          </m:d>
          <m:r>
            <m:rPr>
              <m:sty m:val="p"/>
            </m:rPr>
            <m:t>.</m:t>
          </m:r>
        </m:oMath>
      </m:oMathPara>
    </w:p>
    <w:p>
      <w:pPr>
        <w:numPr>
          <w:ilvl w:val="0"/>
          <w:numId w:val="1089"/>
        </w:numPr>
      </w:pPr>
      <w:r>
        <w:t xml:space="preserve">Como la empresa</w:t>
      </w:r>
      <w:r>
        <w:t xml:space="preserve"> </w:t>
      </w:r>
      <m:oMath>
        <m:r>
          <m:t>i</m:t>
        </m:r>
      </m:oMath>
      <w:r>
        <w:t xml:space="preserve"> </w:t>
      </w:r>
      <w:r>
        <w:t xml:space="preserve">no influye en su propio precio, maximiza</w:t>
      </w:r>
      <w:r>
        <w:t xml:space="preserve"> </w:t>
      </w:r>
      <m:oMath>
        <m:d>
          <m:dPr>
            <m:begChr m:val="("/>
            <m:sepChr m:val=""/>
            <m:endChr m:val=")"/>
            <m:grow/>
          </m:dPr>
          <m:e>
            <m:sSub>
              <m:e>
                <m:acc>
                  <m:accPr>
                    <m:chr m:val="‾"/>
                  </m:accPr>
                  <m:e>
                    <m:r>
                      <m:t>c</m:t>
                    </m:r>
                  </m:e>
                </m:acc>
              </m:e>
              <m:sub>
                <m:r>
                  <m:rPr>
                    <m:sty m:val="p"/>
                  </m:rPr>
                  <m:t>−</m:t>
                </m:r>
                <m:r>
                  <m:t>i</m:t>
                </m:r>
              </m:sub>
            </m:sSub>
            <m:r>
              <m:rPr>
                <m:sty m:val="p"/>
              </m:rPr>
              <m:t>−</m:t>
            </m:r>
            <m:sSub>
              <m:e>
                <m:r>
                  <m:t>c</m:t>
                </m:r>
              </m:e>
              <m:sub>
                <m:r>
                  <m:t>i</m:t>
                </m:r>
              </m:sub>
            </m:sSub>
          </m:e>
        </m:d>
        <m:r>
          <m:t> </m:t>
        </m:r>
        <m:r>
          <m:t>q</m:t>
        </m:r>
        <m:d>
          <m:dPr>
            <m:begChr m:val="("/>
            <m:sepChr m:val=""/>
            <m:endChr m:val=")"/>
            <m:grow/>
          </m:dPr>
          <m:e>
            <m:sSub>
              <m:e>
                <m:acc>
                  <m:accPr>
                    <m:chr m:val="‾"/>
                  </m:accPr>
                  <m:e>
                    <m:r>
                      <m:t>c</m:t>
                    </m:r>
                  </m:e>
                </m:acc>
              </m:e>
              <m:sub>
                <m:r>
                  <m:rPr>
                    <m:sty m:val="p"/>
                  </m:rPr>
                  <m:t>−</m:t>
                </m:r>
                <m:r>
                  <m:t>i</m:t>
                </m:r>
              </m:sub>
            </m:sSub>
          </m:e>
        </m:d>
        <m:r>
          <m:rPr>
            <m:sty m:val="p"/>
          </m:rPr>
          <m:t>+</m:t>
        </m:r>
        <m:sSub>
          <m:e>
            <m:r>
              <m:t>T</m:t>
            </m:r>
          </m:e>
          <m:sub>
            <m:r>
              <m:t>i</m:t>
            </m:r>
          </m:sub>
        </m:sSub>
        <m:r>
          <m:rPr>
            <m:sty m:val="p"/>
          </m:rPr>
          <m:t>−</m:t>
        </m:r>
        <m:r>
          <m:t>R</m:t>
        </m:r>
        <m:d>
          <m:dPr>
            <m:begChr m:val="("/>
            <m:sepChr m:val=""/>
            <m:endChr m:val=")"/>
            <m:grow/>
          </m:dPr>
          <m:e>
            <m:sSub>
              <m:e>
                <m:r>
                  <m:t>c</m:t>
                </m:r>
              </m:e>
              <m:sub>
                <m:r>
                  <m:t>i</m:t>
                </m:r>
              </m:sub>
            </m:sSub>
          </m:e>
        </m:d>
      </m:oMath>
      <w:r>
        <w:t xml:space="preserve"> </w:t>
      </w:r>
      <w:r>
        <w:t xml:space="preserve">eligiendo</w:t>
      </w:r>
      <w:r>
        <w:t xml:space="preserve"> </w:t>
      </w:r>
      <m:oMath>
        <m:sSub>
          <m:e>
            <m:r>
              <m:t>c</m:t>
            </m:r>
          </m:e>
          <m:sub>
            <m:r>
              <m:t>i</m:t>
            </m:r>
          </m:sub>
        </m:sSub>
      </m:oMath>
      <w:r>
        <w:t xml:space="preserve">, y la condición de primer orden es</w:t>
      </w:r>
    </w:p>
    <w:p>
      <w:pPr>
        <w:pStyle w:val="BodyText"/>
        <w:keepNext/>
      </w:pPr>
      <m:oMathPara>
        <m:oMathParaPr>
          <m:jc m:val="center"/>
        </m:oMathParaPr>
        <m:oMath>
          <m:r>
            <m:rPr>
              <m:sty m:val="p"/>
            </m:rPr>
            <m:t>−</m:t>
          </m:r>
          <m:r>
            <m:t>R</m:t>
          </m:r>
          <m:r>
            <m:rPr>
              <m:sty m:val="p"/>
            </m:rPr>
            <m:t>′</m:t>
          </m:r>
          <m:d>
            <m:dPr>
              <m:begChr m:val="("/>
              <m:sepChr m:val=""/>
              <m:endChr m:val=")"/>
              <m:grow/>
            </m:dPr>
            <m:e>
              <m:sSub>
                <m:e>
                  <m:r>
                    <m:t>c</m:t>
                  </m:r>
                </m:e>
                <m:sub>
                  <m:r>
                    <m:t>i</m:t>
                  </m:r>
                </m:sub>
              </m:sSub>
            </m:e>
          </m:d>
          <m:r>
            <m:rPr>
              <m:sty m:val="p"/>
            </m:rPr>
            <m:t>=</m:t>
          </m:r>
          <m:r>
            <m:t>q</m:t>
          </m:r>
          <m:d>
            <m:dPr>
              <m:begChr m:val="("/>
              <m:sepChr m:val=""/>
              <m:endChr m:val=")"/>
              <m:grow/>
            </m:dPr>
            <m:e>
              <m:sSub>
                <m:e>
                  <m:acc>
                    <m:accPr>
                      <m:chr m:val="‾"/>
                    </m:accPr>
                    <m:e>
                      <m:r>
                        <m:t>c</m:t>
                      </m:r>
                    </m:e>
                  </m:acc>
                </m:e>
                <m:sub>
                  <m:r>
                    <m:rPr>
                      <m:sty m:val="p"/>
                    </m:rPr>
                    <m:t>−</m:t>
                  </m:r>
                  <m:r>
                    <m:t>i</m:t>
                  </m:r>
                </m:sub>
              </m:sSub>
            </m:e>
          </m:d>
          <m:r>
            <m:rPr>
              <m:sty m:val="p"/>
            </m:rPr>
            <m:t>:</m:t>
          </m:r>
        </m:oMath>
      </m:oMathPara>
    </w:p>
    <w:p>
      <w:pPr>
        <w:numPr>
          <w:ilvl w:val="0"/>
          <w:numId w:val="1000"/>
        </w:numPr>
      </w:pPr>
      <w:r>
        <w:t xml:space="preserve">invierte hasta que el último euro ahorra un euro de coste. En el equilibrio simétrico todas eligen el coste eficiente, el precio es igual al coste y no hay rentas (anexo </w:t>
      </w:r>
      <w:hyperlink w:anchor="anexo_yardstick">
        <w:r>
          <w:rPr>
            <w:rStyle w:val="Hyperlink"/>
          </w:rPr>
          <w:t xml:space="preserve">A.4</w:t>
        </w:r>
      </w:hyperlink>
      <w:r>
        <w:t xml:space="preserve">).</w:t>
      </w:r>
    </w:p>
    <w:bookmarkEnd w:id="154"/>
    <w:bookmarkStart w:id="155" w:name="iii_implicaciones_3"/>
    <w:p>
      <w:pPr>
        <w:pStyle w:val="Heading5"/>
      </w:pPr>
      <w:r>
        <w:t xml:space="preserve">iii) Implicaciones</w:t>
      </w:r>
    </w:p>
    <w:p>
      <w:pPr>
        <w:keepNext/>
        <w:numPr>
          <w:ilvl w:val="0"/>
          <w:numId w:val="1090"/>
        </w:numPr>
      </w:pPr>
      <w:r>
        <w:t xml:space="preserve">La empresa no gana nada inflando sus costes, porque solo sube el precio de las demás; y si sus costes están por encima de la media de sus pares, solo se le paga esa media, así que reducirlos le compensa: tiene incentivos de precio fijo sin las rentas de un</w:t>
      </w:r>
      <w:r>
        <w:t xml:space="preserve"> </w:t>
      </w:r>
      <w:r>
        <w:rPr>
          <w:i/>
          <w:iCs/>
        </w:rPr>
        <w:t xml:space="preserve">price cap</w:t>
      </w:r>
      <w:r>
        <w:t xml:space="preserve"> </w:t>
      </w:r>
      <w:r>
        <w:t xml:space="preserve">mal calibrado. En la escala de la potencia (gráfico </w:t>
      </w:r>
      <w:hyperlink w:anchor="fig_escala_potencia">
        <w:r>
          <w:rPr>
            <w:rStyle w:val="Hyperlink"/>
          </w:rPr>
          <w:t xml:space="preserve">8</w:t>
        </w:r>
      </w:hyperlink>
      <w:r>
        <w:t xml:space="preserve">) está en</w:t>
      </w:r>
      <w:r>
        <w:t xml:space="preserve"> </w:t>
      </w:r>
      <m:oMath>
        <m:r>
          <m:t>b</m:t>
        </m:r>
        <m:r>
          <m:rPr>
            <m:sty m:val="p"/>
          </m:rPr>
          <m:t>=</m:t>
        </m:r>
        <m:r>
          <m:t>1</m:t>
        </m:r>
      </m:oMath>
      <w:r>
        <w:t xml:space="preserve">, pero sin rentas.</w:t>
      </w:r>
    </w:p>
    <w:p>
      <w:pPr>
        <w:numPr>
          <w:ilvl w:val="1"/>
          <w:numId w:val="1091"/>
        </w:numPr>
      </w:pPr>
      <w:r>
        <w:t xml:space="preserve">Imaginemos que Redes del Valle tiene 2 vecinas parecidas y que sus costes son 20, 22 y 24 euros por megavatio hora (Redes del Valle es la de 20). Con la regla, el precio de cada una es la media de las otras 2: 23 para Redes del Valle, que gana 3 por megavatio hora; 22 para la segunda, que cubre costes, y 21 para la tercera, que pierde 3. A todas les conviene bajar costes, y, como todas lo hacen, el precio converge al coste eficiente.</w:t>
      </w:r>
    </w:p>
    <w:bookmarkEnd w:id="155"/>
    <w:bookmarkEnd w:id="156"/>
    <w:bookmarkStart w:id="157" w:name="c_extensiones_6"/>
    <w:p>
      <w:pPr>
        <w:pStyle w:val="Heading4"/>
      </w:pPr>
      <w:r>
        <w:t xml:space="preserve">c) Extensiones</w:t>
      </w:r>
    </w:p>
    <w:p>
      <w:pPr>
        <w:numPr>
          <w:ilvl w:val="0"/>
          <w:numId w:val="1092"/>
        </w:numPr>
      </w:pPr>
      <w:r>
        <w:rPr>
          <w:i/>
          <w:iCs/>
        </w:rPr>
        <w:t xml:space="preserve">Empresas heterogéneas</w:t>
      </w:r>
      <w:r>
        <w:t xml:space="preserve">: si las diferencias entre empresas son observables (densidad de clientes, orografía, clima), se corrige la comparación con una regresión o con fronteras de eficiencia</w:t>
      </w:r>
      <w:r>
        <w:t xml:space="preserve"> </w:t>
      </w:r>
      <w:r>
        <w:t xml:space="preserve">(</w:t>
      </w:r>
      <w:hyperlink w:anchor="ref_Shleifer1985Theory">
        <w:r>
          <w:rPr>
            <w:rStyle w:val="Hyperlink"/>
            <w:smallCaps/>
          </w:rPr>
          <w:t xml:space="preserve">Shleifer</w:t>
        </w:r>
        <w:r>
          <w:rPr>
            <w:rStyle w:val="Hyperlink"/>
          </w:rPr>
          <w:t xml:space="preserve">, 1985</w:t>
        </w:r>
      </w:hyperlink>
      <w:r>
        <w:t xml:space="preserve">)</w:t>
      </w:r>
      <w:r>
        <w:t xml:space="preserve">.</w:t>
      </w:r>
    </w:p>
    <w:p>
      <w:pPr>
        <w:numPr>
          <w:ilvl w:val="0"/>
          <w:numId w:val="1092"/>
        </w:numPr>
      </w:pPr>
      <w:r>
        <w:rPr>
          <w:i/>
          <w:iCs/>
        </w:rPr>
        <w:t xml:space="preserve">Perturbaciones comunes</w:t>
      </w:r>
      <w:r>
        <w:t xml:space="preserve">: empresas parecidas sufren choques de coste parecidos, y la comparación filtra lo que no depende del esfuerzo</w:t>
      </w:r>
      <w:r>
        <w:t xml:space="preserve"> </w:t>
      </w:r>
      <w:r>
        <w:t xml:space="preserve">(</w:t>
      </w:r>
      <w:hyperlink w:anchor="ref_ArmstrongSappington2007Recent">
        <w:r>
          <w:rPr>
            <w:rStyle w:val="Hyperlink"/>
            <w:smallCaps/>
          </w:rPr>
          <w:t xml:space="preserve">Armstrong</w:t>
        </w:r>
        <w:r>
          <w:rPr>
            <w:rStyle w:val="Hyperlink"/>
          </w:rPr>
          <w:t xml:space="preserve"> </w:t>
        </w:r>
        <w:r>
          <w:rPr>
            <w:rStyle w:val="Hyperlink"/>
          </w:rPr>
          <w:t xml:space="preserve">y</w:t>
        </w:r>
        <w:r>
          <w:rPr>
            <w:rStyle w:val="Hyperlink"/>
          </w:rPr>
          <w:t xml:space="preserve"> </w:t>
        </w:r>
        <w:r>
          <w:rPr>
            <w:rStyle w:val="Hyperlink"/>
            <w:smallCaps/>
          </w:rPr>
          <w:t xml:space="preserve">Sappington</w:t>
        </w:r>
        <w:r>
          <w:rPr>
            <w:rStyle w:val="Hyperlink"/>
          </w:rPr>
          <w:t xml:space="preserve">, 2007</w:t>
        </w:r>
      </w:hyperlink>
      <w:r>
        <w:t xml:space="preserve">)</w:t>
      </w:r>
      <w:r>
        <w:t xml:space="preserve">.</w:t>
      </w:r>
    </w:p>
    <w:bookmarkEnd w:id="157"/>
    <w:bookmarkStart w:id="158" w:name="d_evidencia_emp__rica_4"/>
    <w:p>
      <w:pPr>
        <w:pStyle w:val="Heading4"/>
      </w:pPr>
      <w:r>
        <w:t xml:space="preserve">d) Evidencia empírica</w:t>
      </w:r>
    </w:p>
    <w:p>
      <w:pPr>
        <w:numPr>
          <w:ilvl w:val="0"/>
          <w:numId w:val="1093"/>
        </w:numPr>
      </w:pPr>
      <w:r>
        <w:t xml:space="preserve">La comparación exige medir la eficiencia relativa con el análisis envolvente de datos (DEA) o con la frontera estocástica (SFA)</w:t>
      </w:r>
      <w:r>
        <w:t xml:space="preserve"> </w:t>
      </w:r>
      <w:hyperlink r:id="rId36">
        <w:r>
          <w:rPr>
            <w:rStyle w:val="Referenciaatema"/>
          </w:rPr>
          <w:t xml:space="preserve">[ver tema 3.A.12]</w:t>
        </w:r>
      </w:hyperlink>
      <w:r>
        <w:t xml:space="preserve"> </w:t>
      </w:r>
      <w:hyperlink r:id="rId29">
        <w:r>
          <w:rPr>
            <w:rStyle w:val="Referenciaatema"/>
          </w:rPr>
          <w:t xml:space="preserve">[ver tema 3.A.17]</w:t>
        </w:r>
      </w:hyperlink>
      <w:r>
        <w:t xml:space="preserve">.</w:t>
      </w:r>
    </w:p>
    <w:p>
      <w:pPr>
        <w:numPr>
          <w:ilvl w:val="0"/>
          <w:numId w:val="1093"/>
        </w:numPr>
      </w:pPr>
      <w:r>
        <w:t xml:space="preserve">En Alemania, el regulador fija los ingresos máximos de las distribuidoras eléctricas comparando su eficiencia con los 2 métodos, se queda con el valor más favorable (con un mínimo del 60 %) y exige eliminar la ineficiencia durante el periodo regulatorio</w:t>
      </w:r>
      <w:r>
        <w:t xml:space="preserve"> </w:t>
      </w:r>
      <w:r>
        <w:t xml:space="preserve">(</w:t>
      </w:r>
      <w:hyperlink w:anchor="ref_BNetzA2026Effizienzvergleich">
        <w:r>
          <w:rPr>
            <w:rStyle w:val="Hyperlink"/>
            <w:smallCaps/>
          </w:rPr>
          <w:t xml:space="preserve">Bundesnetzagentur</w:t>
        </w:r>
        <w:r>
          <w:rPr>
            <w:rStyle w:val="Hyperlink"/>
          </w:rPr>
          <w:t xml:space="preserve">, 2026</w:t>
        </w:r>
      </w:hyperlink>
      <w:r>
        <w:t xml:space="preserve">;</w:t>
      </w:r>
      <w:r>
        <w:t xml:space="preserve"> </w:t>
      </w:r>
      <w:hyperlink w:anchor="ref_ARegV2007">
        <w:r>
          <w:rPr>
            <w:rStyle w:val="Hyperlink"/>
            <w:smallCaps/>
          </w:rPr>
          <w:t xml:space="preserve">Bundesministerium der Justiz</w:t>
        </w:r>
        <w:r>
          <w:rPr>
            <w:rStyle w:val="Hyperlink"/>
          </w:rPr>
          <w:t xml:space="preserve">, 2007</w:t>
        </w:r>
      </w:hyperlink>
      <w:r>
        <w:t xml:space="preserve">)</w:t>
      </w:r>
      <w:r>
        <w:t xml:space="preserve">.</w:t>
      </w:r>
    </w:p>
    <w:p>
      <w:pPr>
        <w:numPr>
          <w:ilvl w:val="0"/>
          <w:numId w:val="1093"/>
        </w:numPr>
      </w:pPr>
      <w:r>
        <w:rPr>
          <w:smallCaps/>
        </w:rPr>
        <w:t xml:space="preserve">Jamasb</w:t>
      </w:r>
      <w:r>
        <w:t xml:space="preserve"> </w:t>
      </w:r>
      <w:r>
        <w:t xml:space="preserve">y</w:t>
      </w:r>
      <w:r>
        <w:t xml:space="preserve"> </w:t>
      </w:r>
      <w:r>
        <w:rPr>
          <w:smallCaps/>
        </w:rPr>
        <w:t xml:space="preserve">Pollitt</w:t>
      </w:r>
      <w:r>
        <w:t xml:space="preserve"> </w:t>
      </w:r>
      <w:r>
        <w:t xml:space="preserve">(</w:t>
      </w:r>
      <w:hyperlink w:anchor="ref_JamasbPollitt2001Benchmarking">
        <w:r>
          <w:rPr>
            <w:rStyle w:val="Hyperlink"/>
          </w:rPr>
          <w:t xml:space="preserve">2001</w:t>
        </w:r>
      </w:hyperlink>
      <w:r>
        <w:t xml:space="preserve">)</w:t>
      </w:r>
      <w:r>
        <w:t xml:space="preserve"> </w:t>
      </w:r>
      <w:r>
        <w:t xml:space="preserve">repasan la experiencia internacional en la regulación de la electricidad.</w:t>
      </w:r>
    </w:p>
    <w:bookmarkEnd w:id="158"/>
    <w:bookmarkStart w:id="159" w:name="e_valoraci__n_4"/>
    <w:p>
      <w:pPr>
        <w:pStyle w:val="Heading4"/>
      </w:pPr>
      <w:r>
        <w:t xml:space="preserve">e) Valoración</w:t>
      </w:r>
    </w:p>
    <w:p>
      <w:pPr>
        <w:numPr>
          <w:ilvl w:val="0"/>
          <w:numId w:val="1094"/>
        </w:numPr>
      </w:pPr>
      <w:r>
        <w:rPr>
          <w:i/>
          <w:iCs/>
        </w:rPr>
        <w:t xml:space="preserve">Requisitos</w:t>
      </w:r>
      <w:r>
        <w:t xml:space="preserve">: empresas comparables, o corregir las diferencias observables; si no, se castiga a la empresa por su entorno y no por su esfuerzo.</w:t>
      </w:r>
    </w:p>
    <w:p>
      <w:pPr>
        <w:numPr>
          <w:ilvl w:val="0"/>
          <w:numId w:val="1094"/>
        </w:numPr>
      </w:pPr>
      <w:r>
        <w:rPr>
          <w:i/>
          <w:iCs/>
        </w:rPr>
        <w:t xml:space="preserve">Colusión</w:t>
      </w:r>
      <w:r>
        <w:t xml:space="preserve">: las empresas pueden ponerse de acuerdo en no reducir costes</w:t>
      </w:r>
      <w:r>
        <w:t xml:space="preserve"> </w:t>
      </w:r>
      <w:r>
        <w:t xml:space="preserve">(</w:t>
      </w:r>
      <w:hyperlink w:anchor="ref_BaldwinCaveLodge2012Understanding">
        <w:r>
          <w:rPr>
            <w:rStyle w:val="Hyperlink"/>
            <w:smallCaps/>
          </w:rPr>
          <w:t xml:space="preserve">Baldwin</w:t>
        </w:r>
        <w:r>
          <w:rPr>
            <w:rStyle w:val="Hyperlink"/>
          </w:rPr>
          <w:t xml:space="preserve">,</w:t>
        </w:r>
        <w:r>
          <w:rPr>
            <w:rStyle w:val="Hyperlink"/>
          </w:rPr>
          <w:t xml:space="preserve"> </w:t>
        </w:r>
        <w:r>
          <w:rPr>
            <w:rStyle w:val="Hyperlink"/>
            <w:smallCaps/>
          </w:rPr>
          <w:t xml:space="preserve">Cave</w:t>
        </w:r>
        <w:r>
          <w:rPr>
            <w:rStyle w:val="Hyperlink"/>
          </w:rPr>
          <w:t xml:space="preserve"> </w:t>
        </w:r>
        <w:r>
          <w:rPr>
            <w:rStyle w:val="Hyperlink"/>
          </w:rPr>
          <w:t xml:space="preserve">y</w:t>
        </w:r>
        <w:r>
          <w:rPr>
            <w:rStyle w:val="Hyperlink"/>
          </w:rPr>
          <w:t xml:space="preserve"> </w:t>
        </w:r>
        <w:r>
          <w:rPr>
            <w:rStyle w:val="Hyperlink"/>
            <w:smallCaps/>
          </w:rPr>
          <w:t xml:space="preserve">Lodge</w:t>
        </w:r>
        <w:r>
          <w:rPr>
            <w:rStyle w:val="Hyperlink"/>
          </w:rPr>
          <w:t xml:space="preserve">, 2012</w:t>
        </w:r>
      </w:hyperlink>
      <w:r>
        <w:t xml:space="preserve">)</w:t>
      </w:r>
      <w:r>
        <w:t xml:space="preserve">; es el problema del cártel, más fácil con pocas empresas que se ven repetidamente</w:t>
      </w:r>
      <w:r>
        <w:t xml:space="preserve"> </w:t>
      </w:r>
      <w:hyperlink r:id="rId32">
        <w:r>
          <w:rPr>
            <w:rStyle w:val="Referenciaatema"/>
          </w:rPr>
          <w:t xml:space="preserve">[ver tema 3.A.19]</w:t>
        </w:r>
      </w:hyperlink>
      <w:r>
        <w:t xml:space="preserve">.</w:t>
      </w:r>
    </w:p>
    <w:bookmarkEnd w:id="159"/>
    <w:bookmarkEnd w:id="160"/>
    <w:bookmarkStart w:id="169" w:name="sec_competencia_por_mercado"/>
    <w:p>
      <w:pPr>
        <w:pStyle w:val="Heading2"/>
      </w:pPr>
      <w:r>
        <w:t xml:space="preserve">III.2.</w:t>
      </w:r>
      <w:r>
        <w:t xml:space="preserve"> </w:t>
      </w:r>
      <w:r>
        <w:t xml:space="preserve">Competencia por el mercado</w:t>
      </w:r>
    </w:p>
    <w:bookmarkStart w:id="161" w:name="a_idea_8"/>
    <w:p>
      <w:pPr>
        <w:pStyle w:val="Heading4"/>
      </w:pPr>
      <w:r>
        <w:t xml:space="preserve">a) Idea</w:t>
      </w:r>
    </w:p>
    <w:p>
      <w:pPr>
        <w:numPr>
          <w:ilvl w:val="0"/>
          <w:numId w:val="1095"/>
        </w:numPr>
      </w:pPr>
      <w:r>
        <w:t xml:space="preserve">¿Es necesario regular?</w:t>
      </w:r>
      <w:r>
        <w:t xml:space="preserve"> </w:t>
      </w:r>
      <w:r>
        <w:rPr>
          <w:smallCaps/>
        </w:rPr>
        <w:t xml:space="preserve">Demsetz</w:t>
      </w:r>
      <w:r>
        <w:t xml:space="preserve"> </w:t>
      </w:r>
      <w:r>
        <w:t xml:space="preserve">(</w:t>
      </w:r>
      <w:hyperlink w:anchor="ref_Demsetz1968Why">
        <w:r>
          <w:rPr>
            <w:rStyle w:val="Hyperlink"/>
          </w:rPr>
          <w:t xml:space="preserve">1968</w:t>
        </w:r>
      </w:hyperlink>
      <w:r>
        <w:t xml:space="preserve">)</w:t>
      </w:r>
      <w:r>
        <w:t xml:space="preserve"> </w:t>
      </w:r>
      <w:r>
        <w:t xml:space="preserve">responde que, aunque</w:t>
      </w:r>
      <w:r>
        <w:t xml:space="preserve"> </w:t>
      </w:r>
      <w:r>
        <w:rPr>
          <w:i/>
          <w:iCs/>
        </w:rPr>
        <w:t xml:space="preserve">en</w:t>
      </w:r>
      <w:r>
        <w:t xml:space="preserve"> </w:t>
      </w:r>
      <w:r>
        <w:t xml:space="preserve">el mercado solo quepa una empresa, se puede competir</w:t>
      </w:r>
      <w:r>
        <w:t xml:space="preserve"> </w:t>
      </w:r>
      <w:r>
        <w:rPr>
          <w:i/>
          <w:iCs/>
        </w:rPr>
        <w:t xml:space="preserve">por</w:t>
      </w:r>
      <w:r>
        <w:t xml:space="preserve"> </w:t>
      </w:r>
      <w:r>
        <w:t xml:space="preserve">él: el derecho exclusivo a prestar el servicio durante un plazo se subasta y se adjudica a quien pida el precio más bajo para una calidad fijada.</w:t>
      </w:r>
    </w:p>
    <w:bookmarkEnd w:id="161"/>
    <w:bookmarkStart w:id="165" w:name="b_modelo_7"/>
    <w:p>
      <w:pPr>
        <w:pStyle w:val="Heading4"/>
      </w:pPr>
      <w:r>
        <w:t xml:space="preserve">b) Modelo</w:t>
      </w:r>
    </w:p>
    <w:bookmarkStart w:id="162" w:name="i_supuestos_4"/>
    <w:p>
      <w:pPr>
        <w:pStyle w:val="Heading5"/>
      </w:pPr>
      <w:r>
        <w:t xml:space="preserve">i) Supuestos</w:t>
      </w:r>
    </w:p>
    <w:p>
      <w:pPr>
        <w:numPr>
          <w:ilvl w:val="0"/>
          <w:numId w:val="1096"/>
        </w:numPr>
      </w:pPr>
      <w:r>
        <w:t xml:space="preserve">Varios licitadores con acceso a la tecnología, que no se ponen de acuerdo, y un contrato que se puede especificar y hacer cumplir (precio y calidad).</w:t>
      </w:r>
    </w:p>
    <w:bookmarkEnd w:id="162"/>
    <w:bookmarkStart w:id="163" w:name="ii_desarrollo_4"/>
    <w:p>
      <w:pPr>
        <w:pStyle w:val="Heading5"/>
      </w:pPr>
      <w:r>
        <w:t xml:space="preserve">ii) Desarrollo</w:t>
      </w:r>
    </w:p>
    <w:p>
      <w:pPr>
        <w:numPr>
          <w:ilvl w:val="0"/>
          <w:numId w:val="1097"/>
        </w:numPr>
      </w:pPr>
      <w:r>
        <w:t xml:space="preserve">Cada aspirante puja con el precio mínimo que le cubre costes. Si todos son iguales, el precio cae hasta el coste medio,</w:t>
      </w:r>
      <w:r>
        <w:t xml:space="preserve"> </w:t>
      </w:r>
      <m:oMath>
        <m:r>
          <m:t>p</m:t>
        </m:r>
        <m:r>
          <m:rPr>
            <m:sty m:val="p"/>
          </m:rPr>
          <m:t>=</m:t>
        </m:r>
        <m:r>
          <m:rPr>
            <m:sty m:val="p"/>
          </m:rPr>
          <m:t>C</m:t>
        </m:r>
        <m:r>
          <m:rPr>
            <m:sty m:val="p"/>
          </m:rPr>
          <m:t>M</m:t>
        </m:r>
        <m:r>
          <m:rPr>
            <m:sty m:val="p"/>
          </m:rPr>
          <m:t>e</m:t>
        </m:r>
      </m:oMath>
      <w:r>
        <w:t xml:space="preserve"> </w:t>
      </w:r>
      <w:r>
        <w:t xml:space="preserve">(el segundo óptimo), sin que el regulador tenga que conocerlo. Si difieren, se impone el más eficiente con un precio próximo al coste del segundo: la subasta escoge a la empresa más eficiente</w:t>
      </w:r>
      <w:r>
        <w:t xml:space="preserve"> </w:t>
      </w:r>
      <w:hyperlink r:id="rId70">
        <w:r>
          <w:rPr>
            <w:rStyle w:val="Referenciaatema"/>
          </w:rPr>
          <w:t xml:space="preserve">[ver tema 3.A.14]</w:t>
        </w:r>
      </w:hyperlink>
      <w:r>
        <w:t xml:space="preserve">.</w:t>
      </w:r>
    </w:p>
    <w:p>
      <w:pPr>
        <w:numPr>
          <w:ilvl w:val="0"/>
          <w:numId w:val="1097"/>
        </w:numPr>
      </w:pPr>
      <w:r>
        <w:t xml:space="preserve">Hay competencia</w:t>
      </w:r>
      <w:r>
        <w:t xml:space="preserve"> </w:t>
      </w:r>
      <w:r>
        <w:rPr>
          <w:i/>
          <w:iCs/>
        </w:rPr>
        <w:t xml:space="preserve">ex ante</w:t>
      </w:r>
      <w:r>
        <w:t xml:space="preserve">, al adjudicar, y</w:t>
      </w:r>
      <w:r>
        <w:t xml:space="preserve"> </w:t>
      </w:r>
      <w:r>
        <w:rPr>
          <w:i/>
          <w:iCs/>
        </w:rPr>
        <w:t xml:space="preserve">ex post</w:t>
      </w:r>
      <w:r>
        <w:t xml:space="preserve">, si la subasta se repite cada cierto tiempo; cuantos más aspirantes, menor la renta del adjudicatario</w:t>
      </w:r>
      <w:r>
        <w:t xml:space="preserve"> </w:t>
      </w:r>
      <w:r>
        <w:t xml:space="preserve">(</w:t>
      </w:r>
      <w:hyperlink w:anchor="ref_ArmstrongSappington2007Recent">
        <w:r>
          <w:rPr>
            <w:rStyle w:val="Hyperlink"/>
            <w:smallCaps/>
          </w:rPr>
          <w:t xml:space="preserve">Armstrong</w:t>
        </w:r>
        <w:r>
          <w:rPr>
            <w:rStyle w:val="Hyperlink"/>
          </w:rPr>
          <w:t xml:space="preserve"> </w:t>
        </w:r>
        <w:r>
          <w:rPr>
            <w:rStyle w:val="Hyperlink"/>
          </w:rPr>
          <w:t xml:space="preserve">y</w:t>
        </w:r>
        <w:r>
          <w:rPr>
            <w:rStyle w:val="Hyperlink"/>
          </w:rPr>
          <w:t xml:space="preserve"> </w:t>
        </w:r>
        <w:r>
          <w:rPr>
            <w:rStyle w:val="Hyperlink"/>
            <w:smallCaps/>
          </w:rPr>
          <w:t xml:space="preserve">Sappington</w:t>
        </w:r>
        <w:r>
          <w:rPr>
            <w:rStyle w:val="Hyperlink"/>
          </w:rPr>
          <w:t xml:space="preserve">, 2007</w:t>
        </w:r>
      </w:hyperlink>
      <w:r>
        <w:t xml:space="preserve">)</w:t>
      </w:r>
      <w:r>
        <w:t xml:space="preserve">.</w:t>
      </w:r>
    </w:p>
    <w:bookmarkEnd w:id="163"/>
    <w:bookmarkStart w:id="164" w:name="iii_implicaciones_4"/>
    <w:p>
      <w:pPr>
        <w:pStyle w:val="Heading5"/>
      </w:pPr>
      <w:r>
        <w:t xml:space="preserve">iii) Implicaciones</w:t>
      </w:r>
    </w:p>
    <w:p>
      <w:pPr>
        <w:keepNext/>
        <w:numPr>
          <w:ilvl w:val="0"/>
          <w:numId w:val="1098"/>
        </w:numPr>
      </w:pPr>
      <w:r>
        <w:t xml:space="preserve">La subasta sustituye al regulador como fuente de información: la competencia entre los aspirantes revela lo que cuesta prestar el servicio.</w:t>
      </w:r>
    </w:p>
    <w:p>
      <w:pPr>
        <w:numPr>
          <w:ilvl w:val="1"/>
          <w:numId w:val="1099"/>
        </w:numPr>
      </w:pPr>
      <w:r>
        <w:t xml:space="preserve">Si la comarca de Redes del Valle subastara la explotación de su red durante 20 años, quien ofreciera el peaje más bajo revelaría lo que de verdad cuesta mantenerla. El problema llegaría al cabo de los 20 años: ¿qué pasa con los transformadores y los cables, y quién los habrá cuidado si el concesionario no sabía si iba a seguir?</w:t>
      </w:r>
    </w:p>
    <w:bookmarkEnd w:id="164"/>
    <w:bookmarkEnd w:id="165"/>
    <w:bookmarkStart w:id="166" w:name="c_extensiones_7"/>
    <w:p>
      <w:pPr>
        <w:pStyle w:val="Heading4"/>
      </w:pPr>
      <w:r>
        <w:t xml:space="preserve">c) Extensiones</w:t>
      </w:r>
    </w:p>
    <w:p>
      <w:pPr>
        <w:numPr>
          <w:ilvl w:val="0"/>
          <w:numId w:val="1100"/>
        </w:numPr>
      </w:pPr>
      <w:r>
        <w:rPr>
          <w:smallCaps/>
        </w:rPr>
        <w:t xml:space="preserve">Laffont</w:t>
      </w:r>
      <w:r>
        <w:t xml:space="preserve"> </w:t>
      </w:r>
      <w:r>
        <w:t xml:space="preserve">y</w:t>
      </w:r>
      <w:r>
        <w:t xml:space="preserve"> </w:t>
      </w:r>
      <w:r>
        <w:rPr>
          <w:smallCaps/>
        </w:rPr>
        <w:t xml:space="preserve">Tirole</w:t>
      </w:r>
      <w:r>
        <w:t xml:space="preserve"> </w:t>
      </w:r>
      <w:r>
        <w:t xml:space="preserve">(</w:t>
      </w:r>
      <w:hyperlink w:anchor="ref_LaffontTirole1987Auctioning">
        <w:r>
          <w:rPr>
            <w:rStyle w:val="Hyperlink"/>
          </w:rPr>
          <w:t xml:space="preserve">1987</w:t>
        </w:r>
      </w:hyperlink>
      <w:r>
        <w:t xml:space="preserve">)</w:t>
      </w:r>
      <w:r>
        <w:t xml:space="preserve"> </w:t>
      </w:r>
      <w:r>
        <w:t xml:space="preserve">combinan subasta e incentivos. Cuando lo que se licita es un contrato de incentivos, el adjudicatario firma un contrato lineal con un pago fijo ligado a la segunda mejor puja: la competencia le recorta así la renta informativa, y cuanto más eficiente dice ser, mayor es la fracción de los sobrecostes que asume.</w:t>
      </w:r>
    </w:p>
    <w:p>
      <w:pPr>
        <w:numPr>
          <w:ilvl w:val="0"/>
          <w:numId w:val="1100"/>
        </w:numPr>
      </w:pPr>
      <w:r>
        <w:t xml:space="preserve">Si el coste es en parte común e incierto, gana quien más lo infravaloró: la</w:t>
      </w:r>
      <w:r>
        <w:t xml:space="preserve"> </w:t>
      </w:r>
      <w:r>
        <w:rPr>
          <w:i/>
          <w:iCs/>
        </w:rPr>
        <w:t xml:space="preserve">maldición del ganador</w:t>
      </w:r>
      <w:r>
        <w:t xml:space="preserve">, que lleva a pujar con prudencia</w:t>
      </w:r>
      <w:r>
        <w:t xml:space="preserve"> </w:t>
      </w:r>
      <w:hyperlink r:id="rId70">
        <w:r>
          <w:rPr>
            <w:rStyle w:val="Referenciaatema"/>
          </w:rPr>
          <w:t xml:space="preserve">[ver tema 3.A.14]</w:t>
        </w:r>
      </w:hyperlink>
      <w:r>
        <w:t xml:space="preserve">.</w:t>
      </w:r>
    </w:p>
    <w:bookmarkEnd w:id="166"/>
    <w:bookmarkStart w:id="167" w:name="d_evidencia_emp__rica_5"/>
    <w:p>
      <w:pPr>
        <w:pStyle w:val="Heading4"/>
      </w:pPr>
      <w:r>
        <w:t xml:space="preserve">d) Evidencia empírica</w:t>
      </w:r>
    </w:p>
    <w:p>
      <w:pPr>
        <w:numPr>
          <w:ilvl w:val="0"/>
          <w:numId w:val="1101"/>
        </w:numPr>
      </w:pPr>
      <w:r>
        <w:t xml:space="preserve">Es la forma habitual de gestionar servicios locales (agua, recogida de residuos, transporte urbano) y autopistas. Pero las concesiones se renegocian a menudo:</w:t>
      </w:r>
      <w:r>
        <w:t xml:space="preserve"> </w:t>
      </w:r>
      <w:r>
        <w:rPr>
          <w:smallCaps/>
        </w:rPr>
        <w:t xml:space="preserve">Guasch</w:t>
      </w:r>
      <w:r>
        <w:t xml:space="preserve">,</w:t>
      </w:r>
      <w:r>
        <w:t xml:space="preserve"> </w:t>
      </w:r>
      <w:r>
        <w:rPr>
          <w:smallCaps/>
        </w:rPr>
        <w:t xml:space="preserve">Laffont</w:t>
      </w:r>
      <w:r>
        <w:t xml:space="preserve"> </w:t>
      </w:r>
      <w:r>
        <w:t xml:space="preserve">y</w:t>
      </w:r>
      <w:r>
        <w:t xml:space="preserve"> </w:t>
      </w:r>
      <w:r>
        <w:rPr>
          <w:smallCaps/>
        </w:rPr>
        <w:t xml:space="preserve">Straub</w:t>
      </w:r>
      <w:r>
        <w:t xml:space="preserve"> </w:t>
      </w:r>
      <w:r>
        <w:t xml:space="preserve">(</w:t>
      </w:r>
      <w:hyperlink w:anchor="ref_GuaschLaffontStraub2008Renegotiation">
        <w:r>
          <w:rPr>
            <w:rStyle w:val="Hyperlink"/>
          </w:rPr>
          <w:t xml:space="preserve">2008</w:t>
        </w:r>
      </w:hyperlink>
      <w:r>
        <w:t xml:space="preserve">)</w:t>
      </w:r>
      <w:r>
        <w:t xml:space="preserve"> </w:t>
      </w:r>
      <w:r>
        <w:t xml:space="preserve">estudian 307 concesiones de agua y de transporte adjudicadas en América Latina entre 1989 y 2000, con una alta incidencia de renegociaciones que depende de las instituciones regulatorias, de los choques económicos y del diseño de los contratos.</w:t>
      </w:r>
    </w:p>
    <w:bookmarkEnd w:id="167"/>
    <w:bookmarkStart w:id="168" w:name="e_valoraci__n_5"/>
    <w:p>
      <w:pPr>
        <w:pStyle w:val="Heading4"/>
      </w:pPr>
      <w:r>
        <w:t xml:space="preserve">e) Valoración</w:t>
      </w:r>
    </w:p>
    <w:p>
      <w:pPr>
        <w:keepNext/>
        <w:numPr>
          <w:ilvl w:val="0"/>
          <w:numId w:val="1102"/>
        </w:numPr>
      </w:pPr>
      <w:r>
        <w:t xml:space="preserve">Sus límites</w:t>
      </w:r>
      <w:r>
        <w:t xml:space="preserve"> </w:t>
      </w:r>
      <w:r>
        <w:t xml:space="preserve">(</w:t>
      </w:r>
      <w:hyperlink w:anchor="ref_Williamson1976Franchise">
        <w:r>
          <w:rPr>
            <w:rStyle w:val="Hyperlink"/>
            <w:smallCaps/>
          </w:rPr>
          <w:t xml:space="preserve">Williamson</w:t>
        </w:r>
        <w:r>
          <w:rPr>
            <w:rStyle w:val="Hyperlink"/>
          </w:rPr>
          <w:t xml:space="preserve">, 1976</w:t>
        </w:r>
      </w:hyperlink>
      <w:r>
        <w:t xml:space="preserve">)</w:t>
      </w:r>
      <w:r>
        <w:t xml:space="preserve">:</w:t>
      </w:r>
    </w:p>
    <w:p>
      <w:pPr>
        <w:numPr>
          <w:ilvl w:val="1"/>
          <w:numId w:val="1103"/>
        </w:numPr>
      </w:pPr>
      <w:r>
        <w:t xml:space="preserve">la posible</w:t>
      </w:r>
      <w:r>
        <w:t xml:space="preserve"> </w:t>
      </w:r>
      <w:r>
        <w:rPr>
          <w:i/>
          <w:iCs/>
        </w:rPr>
        <w:t xml:space="preserve">colusión</w:t>
      </w:r>
      <w:r>
        <w:t xml:space="preserve"> </w:t>
      </w:r>
      <w:r>
        <w:t xml:space="preserve">entre los licitadores</w:t>
      </w:r>
      <w:r>
        <w:t xml:space="preserve"> </w:t>
      </w:r>
      <w:hyperlink r:id="rId32">
        <w:r>
          <w:rPr>
            <w:rStyle w:val="Referenciaatema"/>
          </w:rPr>
          <w:t xml:space="preserve">[ver tema 3.A.19]</w:t>
        </w:r>
      </w:hyperlink>
      <w:r>
        <w:t xml:space="preserve">;</w:t>
      </w:r>
    </w:p>
    <w:p>
      <w:pPr>
        <w:numPr>
          <w:ilvl w:val="1"/>
          <w:numId w:val="1103"/>
        </w:numPr>
      </w:pPr>
      <w:r>
        <w:t xml:space="preserve">con activos específicos y contratos largos e incompletos, es difícil prever todas las contingencias y valorar y transferir los activos al renovar, y la concesión acaba necesitando la misma supervisión que la regulación</w:t>
      </w:r>
      <w:r>
        <w:t xml:space="preserve"> </w:t>
      </w:r>
      <w:hyperlink r:id="rId28">
        <w:r>
          <w:rPr>
            <w:rStyle w:val="Referenciaatema"/>
          </w:rPr>
          <w:t xml:space="preserve">[ver tema 3.A.15]</w:t>
        </w:r>
      </w:hyperlink>
      <w:r>
        <w:t xml:space="preserve">;</w:t>
      </w:r>
    </w:p>
    <w:p>
      <w:pPr>
        <w:numPr>
          <w:ilvl w:val="1"/>
          <w:numId w:val="1103"/>
        </w:numPr>
      </w:pPr>
      <w:r>
        <w:t xml:space="preserve">el adjudicatario acumula ventajas de información y de aprendizaje que reducen la competencia en la renovación;</w:t>
      </w:r>
    </w:p>
    <w:p>
      <w:pPr>
        <w:numPr>
          <w:ilvl w:val="1"/>
          <w:numId w:val="1103"/>
        </w:numPr>
      </w:pPr>
      <w:r>
        <w:t xml:space="preserve">la</w:t>
      </w:r>
      <w:r>
        <w:t xml:space="preserve"> </w:t>
      </w:r>
      <w:r>
        <w:rPr>
          <w:i/>
          <w:iCs/>
        </w:rPr>
        <w:t xml:space="preserve">duración</w:t>
      </w:r>
      <w:r>
        <w:t xml:space="preserve"> </w:t>
      </w:r>
      <w:r>
        <w:t xml:space="preserve">plantea un dilema: si es corta, el concesionario no invierte en activos de larga vida ni los mantiene; si es larga, desaparece la competencia periódica.</w:t>
      </w:r>
    </w:p>
    <w:bookmarkEnd w:id="168"/>
    <w:bookmarkEnd w:id="169"/>
    <w:bookmarkStart w:id="180" w:name="sec_acceso_red"/>
    <w:p>
      <w:pPr>
        <w:pStyle w:val="Heading2"/>
      </w:pPr>
      <w:r>
        <w:t xml:space="preserve">III.3.</w:t>
      </w:r>
      <w:r>
        <w:t xml:space="preserve"> </w:t>
      </w:r>
      <w:r>
        <w:t xml:space="preserve">Acceso a la red y mercados de 2 lados</w:t>
      </w:r>
    </w:p>
    <w:p>
      <w:pPr>
        <w:keepNext/>
        <w:numPr>
          <w:ilvl w:val="0"/>
          <w:numId w:val="1104"/>
        </w:numPr>
      </w:pPr>
      <w:r>
        <w:t xml:space="preserve">En muchas industrias de red solo la infraestructura es un monopolio natural; los servicios que viajan por ella (electricidad, gas, ferrocarril, telecomunicaciones) admiten competencia. El regulador debe fijar entonces en qué condiciones usan los rivales la red del antiguo monopolista, y eso plantea 2 cuestiones:</w:t>
      </w:r>
    </w:p>
    <w:p>
      <w:pPr>
        <w:numPr>
          <w:ilvl w:val="1"/>
          <w:numId w:val="1105"/>
        </w:numPr>
      </w:pPr>
      <w:r>
        <w:t xml:space="preserve">¿debe el dueño de la red competir también en los servicios? Integrado, aprovecha las economías de coordinación y de alcance, pero tiene incentivos a discriminar a sus rivales;</w:t>
      </w:r>
    </w:p>
    <w:p>
      <w:pPr>
        <w:numPr>
          <w:ilvl w:val="1"/>
          <w:numId w:val="1105"/>
        </w:numPr>
      </w:pPr>
      <w:r>
        <w:t xml:space="preserve">si compite, ¿qué precio deben pagar los rivales por usar la red? Si es alto, frena la entrada; si es bajo, desanima la inversión en la red y deja entrar a rivales menos eficientes.</w:t>
      </w:r>
    </w:p>
    <w:bookmarkStart w:id="175" w:name="regla_del_precio_eficiente_de_los__25885"/>
    <w:p>
      <w:pPr>
        <w:pStyle w:val="Heading4"/>
      </w:pPr>
      <w:r>
        <w:t xml:space="preserve">Regla del precio eficiente de los componentes</w:t>
      </w:r>
    </w:p>
    <w:bookmarkStart w:id="170" w:name="a_idea_9"/>
    <w:p>
      <w:pPr>
        <w:pStyle w:val="Heading5"/>
      </w:pPr>
      <w:r>
        <w:t xml:space="preserve">a) Idea</w:t>
      </w:r>
    </w:p>
    <w:p>
      <w:pPr>
        <w:numPr>
          <w:ilvl w:val="0"/>
          <w:numId w:val="1106"/>
        </w:numPr>
      </w:pPr>
      <w:r>
        <w:t xml:space="preserve">Si el incumbente vende el servicio final y además alquila la red a sus rivales, ¿cuánto debe cobrarles?</w:t>
      </w:r>
      <w:r>
        <w:t xml:space="preserve"> </w:t>
      </w:r>
      <w:r>
        <w:rPr>
          <w:smallCaps/>
        </w:rPr>
        <w:t xml:space="preserve">Willig</w:t>
      </w:r>
      <w:r>
        <w:t xml:space="preserve"> </w:t>
      </w:r>
      <w:r>
        <w:t xml:space="preserve">(</w:t>
      </w:r>
      <w:hyperlink w:anchor="ref_Willig1979Network">
        <w:r>
          <w:rPr>
            <w:rStyle w:val="Hyperlink"/>
          </w:rPr>
          <w:t xml:space="preserve">1979</w:t>
        </w:r>
      </w:hyperlink>
      <w:r>
        <w:t xml:space="preserve">)</w:t>
      </w:r>
      <w:r>
        <w:t xml:space="preserve"> </w:t>
      </w:r>
      <w:r>
        <w:t xml:space="preserve">y</w:t>
      </w:r>
      <w:r>
        <w:t xml:space="preserve"> </w:t>
      </w:r>
      <w:r>
        <w:rPr>
          <w:smallCaps/>
        </w:rPr>
        <w:t xml:space="preserve">Baumol</w:t>
      </w:r>
      <w:r>
        <w:t xml:space="preserve"> </w:t>
      </w:r>
      <w:r>
        <w:t xml:space="preserve">y</w:t>
      </w:r>
      <w:r>
        <w:t xml:space="preserve"> </w:t>
      </w:r>
      <w:r>
        <w:rPr>
          <w:smallCaps/>
        </w:rPr>
        <w:t xml:space="preserve">Sidak</w:t>
      </w:r>
      <w:r>
        <w:t xml:space="preserve"> </w:t>
      </w:r>
      <w:r>
        <w:t xml:space="preserve">(</w:t>
      </w:r>
      <w:hyperlink w:anchor="ref_BaumolSidak1994Pricing">
        <w:r>
          <w:rPr>
            <w:rStyle w:val="Hyperlink"/>
          </w:rPr>
          <w:t xml:space="preserve">1994</w:t>
        </w:r>
      </w:hyperlink>
      <w:r>
        <w:t xml:space="preserve">)</w:t>
      </w:r>
      <w:r>
        <w:t xml:space="preserve"> </w:t>
      </w:r>
      <w:r>
        <w:t xml:space="preserve">proponen la</w:t>
      </w:r>
      <w:r>
        <w:t xml:space="preserve"> </w:t>
      </w:r>
      <w:r>
        <w:rPr>
          <w:b/>
          <w:bCs/>
        </w:rPr>
        <w:t xml:space="preserve">regla del precio eficiente de los componentes</w:t>
      </w:r>
      <w:r>
        <w:t xml:space="preserve"> </w:t>
      </w:r>
      <w:r>
        <w:t xml:space="preserve">(ECPR, por sus siglas en inglés): el peaje tiene que compensar al incumbente por lo que cuesta dar el acceso y por el margen al que renuncia con cada cliente que se lleva el rival.</w:t>
      </w:r>
    </w:p>
    <w:bookmarkEnd w:id="170"/>
    <w:bookmarkStart w:id="173" w:name="b_modelo_8"/>
    <w:p>
      <w:pPr>
        <w:pStyle w:val="Heading5"/>
      </w:pPr>
      <w:r>
        <w:t xml:space="preserve">b) Modelo</w:t>
      </w:r>
    </w:p>
    <w:p>
      <w:pPr>
        <w:pStyle w:val="FirstParagraph"/>
        <w:keepNext/>
      </w:pPr>
      <w:r>
        <w:rPr>
          <w:i/>
          <w:iCs/>
        </w:rPr>
        <w:t xml:space="preserve">i) Supuestos</w:t>
      </w:r>
    </w:p>
    <w:p>
      <w:pPr>
        <w:numPr>
          <w:ilvl w:val="0"/>
          <w:numId w:val="1107"/>
        </w:numPr>
      </w:pPr>
      <w:r>
        <w:t xml:space="preserve">El precio final</w:t>
      </w:r>
      <w:r>
        <w:t xml:space="preserve"> </w:t>
      </w:r>
      <m:oMath>
        <m:r>
          <m:t>p</m:t>
        </m:r>
      </m:oMath>
      <w:r>
        <w:t xml:space="preserve"> </w:t>
      </w:r>
      <w:r>
        <w:t xml:space="preserve">lo fija el regulador. Para el incumbente, proporcionar una unidad de acceso supone un coste</w:t>
      </w:r>
      <w:r>
        <w:t xml:space="preserve"> </w:t>
      </w:r>
      <m:oMath>
        <m:sSub>
          <m:e>
            <m:r>
              <m:t>c</m:t>
            </m:r>
          </m:e>
          <m:sub>
            <m:r>
              <m:t>a</m:t>
            </m:r>
          </m:sub>
        </m:sSub>
      </m:oMath>
      <w:r>
        <w:t xml:space="preserve">, y completar el servicio, otro</w:t>
      </w:r>
      <w:r>
        <w:t xml:space="preserve"> </w:t>
      </w:r>
      <m:oMath>
        <m:sSub>
          <m:e>
            <m:r>
              <m:t>c</m:t>
            </m:r>
          </m:e>
          <m:sub>
            <m:r>
              <m:t>I</m:t>
            </m:r>
          </m:sub>
        </m:sSub>
      </m:oMath>
      <w:r>
        <w:t xml:space="preserve">.</w:t>
      </w:r>
    </w:p>
    <w:p>
      <w:pPr>
        <w:numPr>
          <w:ilvl w:val="0"/>
          <w:numId w:val="1107"/>
        </w:numPr>
      </w:pPr>
      <w:r>
        <w:t xml:space="preserve">El rival paga un peaje</w:t>
      </w:r>
      <w:r>
        <w:t xml:space="preserve"> </w:t>
      </w:r>
      <m:oMath>
        <m:r>
          <m:t>A</m:t>
        </m:r>
      </m:oMath>
      <w:r>
        <w:t xml:space="preserve"> </w:t>
      </w:r>
      <w:r>
        <w:t xml:space="preserve">por unidad de acceso y añade su propio coste</w:t>
      </w:r>
      <w:r>
        <w:t xml:space="preserve"> </w:t>
      </w:r>
      <m:oMath>
        <m:sSub>
          <m:e>
            <m:r>
              <m:t>c</m:t>
            </m:r>
          </m:e>
          <m:sub>
            <m:r>
              <m:t>E</m:t>
            </m:r>
          </m:sub>
        </m:sSub>
      </m:oMath>
      <w:r>
        <w:t xml:space="preserve">; el producto es homogéneo, así que cada venta del rival es una venta menos del incumbente.</w:t>
      </w:r>
    </w:p>
    <w:p>
      <w:pPr>
        <w:pStyle w:val="FirstParagraph"/>
        <w:keepNext/>
      </w:pPr>
      <w:r>
        <w:rPr>
          <w:i/>
          <w:iCs/>
        </w:rPr>
        <w:t xml:space="preserve">ii) Desarrollo</w:t>
      </w:r>
    </w:p>
    <w:p>
      <w:pPr>
        <w:numPr>
          <w:ilvl w:val="0"/>
          <w:numId w:val="1108"/>
        </w:numPr>
      </w:pPr>
      <w:r>
        <w:t xml:space="preserve">El coste de oportunidad del incumbente por unidad cedida es su margen,</w:t>
      </w:r>
      <w:r>
        <w:t xml:space="preserve"> </w:t>
      </w:r>
      <m:oMath>
        <m:r>
          <m:t>p</m:t>
        </m:r>
        <m:r>
          <m:rPr>
            <m:sty m:val="p"/>
          </m:rPr>
          <m:t>−</m:t>
        </m:r>
        <m:d>
          <m:dPr>
            <m:begChr m:val="("/>
            <m:sepChr m:val=""/>
            <m:endChr m:val=")"/>
            <m:grow/>
          </m:dPr>
          <m:e>
            <m:sSub>
              <m:e>
                <m:r>
                  <m:t>c</m:t>
                </m:r>
              </m:e>
              <m:sub>
                <m:r>
                  <m:t>a</m:t>
                </m:r>
              </m:sub>
            </m:sSub>
            <m:r>
              <m:rPr>
                <m:sty m:val="p"/>
              </m:rPr>
              <m:t>+</m:t>
            </m:r>
            <m:sSub>
              <m:e>
                <m:r>
                  <m:t>c</m:t>
                </m:r>
              </m:e>
              <m:sub>
                <m:r>
                  <m:t>I</m:t>
                </m:r>
              </m:sub>
            </m:sSub>
          </m:e>
        </m:d>
      </m:oMath>
      <w:r>
        <w:t xml:space="preserve">; sumado al coste del acceso, el peaje queda en</w:t>
      </w:r>
      <w:r>
        <w:t xml:space="preserve"> </w:t>
      </w:r>
      <w:bookmarkStart w:id="171" w:name="eq_ecpr"/>
      <w:bookmarkEnd w:id="171"/>
    </w:p>
    <w:p>
      <w:pPr>
        <w:pStyle w:val="BodyText"/>
        <w:keepNext/>
      </w:pPr>
      <m:oMathPara>
        <m:oMathParaPr>
          <m:jc m:val="center"/>
        </m:oMathParaPr>
        <m:oMath>
          <m:r>
            <m:t>A</m:t>
          </m:r>
          <m:r>
            <m:rPr>
              <m:sty m:val="p"/>
            </m:rPr>
            <m:t>=</m:t>
          </m:r>
          <m:sSub>
            <m:e>
              <m:r>
                <m:t>c</m:t>
              </m:r>
            </m:e>
            <m:sub>
              <m:r>
                <m:t>a</m:t>
              </m:r>
            </m:sub>
          </m:sSub>
          <m:r>
            <m:rPr>
              <m:sty m:val="p"/>
            </m:rPr>
            <m:t>+</m:t>
          </m:r>
          <m:d>
            <m:dPr>
              <m:begChr m:val="["/>
              <m:sepChr m:val=""/>
              <m:endChr m:val="]"/>
              <m:grow/>
            </m:dPr>
            <m:e>
              <m:r>
                <m:t>p</m:t>
              </m:r>
              <m:r>
                <m:rPr>
                  <m:sty m:val="p"/>
                </m:rPr>
                <m:t>−</m:t>
              </m:r>
              <m:d>
                <m:dPr>
                  <m:begChr m:val="("/>
                  <m:sepChr m:val=""/>
                  <m:endChr m:val=")"/>
                  <m:grow/>
                </m:dPr>
                <m:e>
                  <m:sSub>
                    <m:e>
                      <m:r>
                        <m:t>c</m:t>
                      </m:r>
                    </m:e>
                    <m:sub>
                      <m:r>
                        <m:t>a</m:t>
                      </m:r>
                    </m:sub>
                  </m:sSub>
                  <m:r>
                    <m:rPr>
                      <m:sty m:val="p"/>
                    </m:rPr>
                    <m:t>+</m:t>
                  </m:r>
                  <m:sSub>
                    <m:e>
                      <m:r>
                        <m:t>c</m:t>
                      </m:r>
                    </m:e>
                    <m:sub>
                      <m:r>
                        <m:t>I</m:t>
                      </m:r>
                    </m:sub>
                  </m:sSub>
                </m:e>
              </m:d>
            </m:e>
          </m:d>
          <m:r>
            <m:rPr>
              <m:sty m:val="p"/>
            </m:rPr>
            <m:t>=</m:t>
          </m:r>
          <m:r>
            <m:t>p</m:t>
          </m:r>
          <m:r>
            <m:rPr>
              <m:sty m:val="p"/>
            </m:rPr>
            <m:t>−</m:t>
          </m:r>
          <m:sSub>
            <m:e>
              <m:r>
                <m:t>c</m:t>
              </m:r>
            </m:e>
            <m:sub>
              <m:r>
                <m:t>I</m:t>
              </m:r>
            </m:sub>
          </m:sSub>
          <m:r>
            <m:rPr>
              <m:sty m:val="p"/>
            </m:rPr>
            <m:t>.</m:t>
          </m:r>
        </m:oMath>
      </m:oMathPara>
    </w:p>
    <w:p>
      <w:pPr>
        <w:numPr>
          <w:ilvl w:val="0"/>
          <w:numId w:val="1000"/>
        </w:numPr>
      </w:pPr>
      <w:r>
        <w:t xml:space="preserve">Con ese peaje, al entrante le salen las cuentas si</w:t>
      </w:r>
      <w:r>
        <w:t xml:space="preserve"> </w:t>
      </w:r>
      <m:oMath>
        <m:r>
          <m:t>A</m:t>
        </m:r>
        <m:r>
          <m:rPr>
            <m:sty m:val="p"/>
          </m:rPr>
          <m:t>+</m:t>
        </m:r>
        <m:sSub>
          <m:e>
            <m:r>
              <m:t>c</m:t>
            </m:r>
          </m:e>
          <m:sub>
            <m:r>
              <m:t>E</m:t>
            </m:r>
          </m:sub>
        </m:sSub>
        <m:r>
          <m:rPr>
            <m:sty m:val="p"/>
          </m:rPr>
          <m:t>≤</m:t>
        </m:r>
        <m:r>
          <m:t>p</m:t>
        </m:r>
      </m:oMath>
      <w:r>
        <w:t xml:space="preserve">, es decir, si</w:t>
      </w:r>
      <w:r>
        <w:t xml:space="preserve"> </w:t>
      </w:r>
      <m:oMath>
        <m:sSub>
          <m:e>
            <m:r>
              <m:t>c</m:t>
            </m:r>
          </m:e>
          <m:sub>
            <m:r>
              <m:t>E</m:t>
            </m:r>
          </m:sub>
        </m:sSub>
        <m:r>
          <m:rPr>
            <m:sty m:val="p"/>
          </m:rPr>
          <m:t>≤</m:t>
        </m:r>
        <m:sSub>
          <m:e>
            <m:r>
              <m:t>c</m:t>
            </m:r>
          </m:e>
          <m:sub>
            <m:r>
              <m:t>I</m:t>
            </m:r>
          </m:sub>
        </m:sSub>
      </m:oMath>
      <w:r>
        <w:t xml:space="preserve"> </w:t>
      </w:r>
      <w:r>
        <w:t xml:space="preserve">(anexo </w:t>
      </w:r>
      <w:hyperlink w:anchor="anexo_acceso">
        <w:r>
          <w:rPr>
            <w:rStyle w:val="Hyperlink"/>
          </w:rPr>
          <w:t xml:space="preserve">A.5</w:t>
        </w:r>
      </w:hyperlink>
      <w:r>
        <w:t xml:space="preserve">).</w:t>
      </w:r>
      <w:r>
        <w:rPr>
          <w:rStyle w:val="FootnoteReference"/>
        </w:rPr>
        <w:footnoteReference w:id="172"/>
      </w:r>
    </w:p>
    <w:p>
      <w:pPr>
        <w:pStyle w:val="FirstParagraph"/>
        <w:keepNext/>
      </w:pPr>
      <w:r>
        <w:rPr>
          <w:i/>
          <w:iCs/>
        </w:rPr>
        <w:t xml:space="preserve">iii) Implicaciones</w:t>
      </w:r>
    </w:p>
    <w:p>
      <w:pPr>
        <w:numPr>
          <w:ilvl w:val="0"/>
          <w:numId w:val="1109"/>
        </w:numPr>
      </w:pPr>
      <w:r>
        <w:t xml:space="preserve">Al incumbente le da igual vender él o ceder el cliente, y la regla solo deja pasar a rivales que, en la parte del servicio en la que compiten, sean como mínimo igual de eficientes que él: la entrada no encarece la producción.</w:t>
      </w:r>
    </w:p>
    <w:bookmarkEnd w:id="173"/>
    <w:bookmarkStart w:id="174" w:name="c_valoraci__n_1"/>
    <w:p>
      <w:pPr>
        <w:pStyle w:val="Heading5"/>
      </w:pPr>
      <w:r>
        <w:t xml:space="preserve">c) Valoración</w:t>
      </w:r>
    </w:p>
    <w:p>
      <w:pPr>
        <w:numPr>
          <w:ilvl w:val="0"/>
          <w:numId w:val="1110"/>
        </w:numPr>
      </w:pPr>
      <w:r>
        <w:t xml:space="preserve">Da por bueno el precio final: si</w:t>
      </w:r>
      <w:r>
        <w:t xml:space="preserve"> </w:t>
      </w:r>
      <m:oMath>
        <m:r>
          <m:t>p</m:t>
        </m:r>
      </m:oMath>
      <w:r>
        <w:t xml:space="preserve"> </w:t>
      </w:r>
      <w:r>
        <w:t xml:space="preserve">lleva margen de monopolio, la regla lo traslada al peaje y lo perpetúa.</w:t>
      </w:r>
    </w:p>
    <w:p>
      <w:pPr>
        <w:numPr>
          <w:ilvl w:val="0"/>
          <w:numId w:val="1110"/>
        </w:numPr>
      </w:pPr>
      <w:r>
        <w:t xml:space="preserve">Según</w:t>
      </w:r>
      <w:r>
        <w:t xml:space="preserve"> </w:t>
      </w:r>
      <w:r>
        <w:rPr>
          <w:smallCaps/>
        </w:rPr>
        <w:t xml:space="preserve">Armstrong</w:t>
      </w:r>
      <w:r>
        <w:t xml:space="preserve">,</w:t>
      </w:r>
      <w:r>
        <w:t xml:space="preserve"> </w:t>
      </w:r>
      <w:r>
        <w:rPr>
          <w:smallCaps/>
        </w:rPr>
        <w:t xml:space="preserve">Doyle</w:t>
      </w:r>
      <w:r>
        <w:t xml:space="preserve"> </w:t>
      </w:r>
      <w:r>
        <w:t xml:space="preserve">y</w:t>
      </w:r>
      <w:r>
        <w:t xml:space="preserve"> </w:t>
      </w:r>
      <w:r>
        <w:rPr>
          <w:smallCaps/>
        </w:rPr>
        <w:t xml:space="preserve">Vickers</w:t>
      </w:r>
      <w:r>
        <w:t xml:space="preserve"> </w:t>
      </w:r>
      <w:r>
        <w:t xml:space="preserve">(</w:t>
      </w:r>
      <w:hyperlink w:anchor="ref_ArmstrongDoyleVickers1996Access">
        <w:r>
          <w:rPr>
            <w:rStyle w:val="Hyperlink"/>
          </w:rPr>
          <w:t xml:space="preserve">1996</w:t>
        </w:r>
      </w:hyperlink>
      <w:r>
        <w:t xml:space="preserve">)</w:t>
      </w:r>
      <w:r>
        <w:t xml:space="preserve">, solo es óptima en casos especiales (producto homogéneo, sin posibilidad de esquivar la red y con</w:t>
      </w:r>
      <w:r>
        <w:t xml:space="preserve"> </w:t>
      </w:r>
      <m:oMath>
        <m:r>
          <m:t>p</m:t>
        </m:r>
      </m:oMath>
      <w:r>
        <w:t xml:space="preserve"> </w:t>
      </w:r>
      <w:r>
        <w:t xml:space="preserve">regulado); fuera de ellos, el peaje óptimo varía con las elasticidades y se parece a una regla de</w:t>
      </w:r>
      <w:r>
        <w:t xml:space="preserve"> </w:t>
      </w:r>
      <w:r>
        <w:rPr>
          <w:smallCaps/>
        </w:rPr>
        <w:t xml:space="preserve">Ramsey</w:t>
      </w:r>
      <w:r>
        <w:t xml:space="preserve">-</w:t>
      </w:r>
      <w:r>
        <w:rPr>
          <w:smallCaps/>
        </w:rPr>
        <w:t xml:space="preserve">Boiteux</w:t>
      </w:r>
      <w:r>
        <w:t xml:space="preserve"> </w:t>
      </w:r>
      <w:r>
        <w:t xml:space="preserve">(</w:t>
      </w:r>
      <w:hyperlink w:anchor="eq_ramsey_boiteux">
        <w:r>
          <w:rPr>
            <w:rStyle w:val="Hyperlink"/>
          </w:rPr>
          <w:t xml:space="preserve">3</w:t>
        </w:r>
      </w:hyperlink>
      <w:r>
        <w:t xml:space="preserve">).</w:t>
      </w:r>
    </w:p>
    <w:bookmarkEnd w:id="174"/>
    <w:bookmarkEnd w:id="175"/>
    <w:bookmarkStart w:id="178" w:name="separaci__n_vertical_y_servicio_un_91116"/>
    <w:p>
      <w:pPr>
        <w:pStyle w:val="Heading4"/>
      </w:pPr>
      <w:r>
        <w:t xml:space="preserve">Separación vertical y servicio universal</w:t>
      </w:r>
    </w:p>
    <w:p>
      <w:pPr>
        <w:keepNext/>
        <w:numPr>
          <w:ilvl w:val="0"/>
          <w:numId w:val="1111"/>
        </w:numPr>
      </w:pPr>
      <w:r>
        <w:t xml:space="preserve">La alternativa estructural es separar la red de los servicios, con grados crecientes: separación contable, jurídica, funcional y de propiedad. Cuanto más intensa, menor es el incentivo a discriminar y menores las economías de integración</w:t>
      </w:r>
      <w:r>
        <w:t xml:space="preserve"> </w:t>
      </w:r>
      <w:r>
        <w:t xml:space="preserve">(</w:t>
      </w:r>
      <w:hyperlink w:anchor="ref_ArmstrongCowanVickers1994Regulatory">
        <w:r>
          <w:rPr>
            <w:rStyle w:val="Hyperlink"/>
            <w:smallCaps/>
          </w:rPr>
          <w:t xml:space="preserve">Armstrong</w:t>
        </w:r>
        <w:r>
          <w:rPr>
            <w:rStyle w:val="Hyperlink"/>
          </w:rPr>
          <w:t xml:space="preserve">,</w:t>
        </w:r>
        <w:r>
          <w:rPr>
            <w:rStyle w:val="Hyperlink"/>
          </w:rPr>
          <w:t xml:space="preserve"> </w:t>
        </w:r>
        <w:r>
          <w:rPr>
            <w:rStyle w:val="Hyperlink"/>
            <w:smallCaps/>
          </w:rPr>
          <w:t xml:space="preserve">Cowan</w:t>
        </w:r>
        <w:r>
          <w:rPr>
            <w:rStyle w:val="Hyperlink"/>
          </w:rPr>
          <w:t xml:space="preserve"> </w:t>
        </w:r>
        <w:r>
          <w:rPr>
            <w:rStyle w:val="Hyperlink"/>
          </w:rPr>
          <w:t xml:space="preserve">y</w:t>
        </w:r>
        <w:r>
          <w:rPr>
            <w:rStyle w:val="Hyperlink"/>
          </w:rPr>
          <w:t xml:space="preserve"> </w:t>
        </w:r>
        <w:r>
          <w:rPr>
            <w:rStyle w:val="Hyperlink"/>
            <w:smallCaps/>
          </w:rPr>
          <w:t xml:space="preserve">Vickers</w:t>
        </w:r>
        <w:r>
          <w:rPr>
            <w:rStyle w:val="Hyperlink"/>
          </w:rPr>
          <w:t xml:space="preserve">, 1994</w:t>
        </w:r>
      </w:hyperlink>
      <w:r>
        <w:t xml:space="preserve">)</w:t>
      </w:r>
      <w:r>
        <w:t xml:space="preserve"> </w:t>
      </w:r>
      <w:hyperlink r:id="rId28">
        <w:r>
          <w:rPr>
            <w:rStyle w:val="Referenciaatema"/>
          </w:rPr>
          <w:t xml:space="preserve">[ver tema 3.A.15]</w:t>
        </w:r>
      </w:hyperlink>
      <w:r>
        <w:t xml:space="preserve"> </w:t>
      </w:r>
      <w:hyperlink r:id="rId176">
        <w:r>
          <w:rPr>
            <w:rStyle w:val="Referenciaatema"/>
          </w:rPr>
          <w:t xml:space="preserve">[ver tema 4.B.15]</w:t>
        </w:r>
      </w:hyperlink>
      <w:r>
        <w:t xml:space="preserve">.</w:t>
      </w:r>
    </w:p>
    <w:p>
      <w:pPr>
        <w:numPr>
          <w:ilvl w:val="1"/>
          <w:numId w:val="1112"/>
        </w:numPr>
      </w:pPr>
      <w:r>
        <w:t xml:space="preserve">Es lo que pasa con Redes del Valle: las comercializadoras usan su red y le pagan el peaje que fija la CNMC (acceso regulado de terceros), y la ley obliga a que la distribución la haga una sociedad que no genere ni comercialice electricidad</w:t>
      </w:r>
      <w:r>
        <w:t xml:space="preserve"> </w:t>
      </w:r>
      <w:r>
        <w:t xml:space="preserve">(</w:t>
      </w:r>
      <w:hyperlink w:anchor="ref_Ley24_2013SectorElectrico">
        <w:r>
          <w:rPr>
            <w:rStyle w:val="Hyperlink"/>
            <w:smallCaps/>
          </w:rPr>
          <w:t xml:space="preserve">Jefatura del Estado</w:t>
        </w:r>
        <w:r>
          <w:rPr>
            <w:rStyle w:val="Hyperlink"/>
          </w:rPr>
          <w:t xml:space="preserve">, 2013b</w:t>
        </w:r>
      </w:hyperlink>
      <w:r>
        <w:t xml:space="preserve">, art. 12)</w:t>
      </w:r>
      <w:r>
        <w:t xml:space="preserve">. Es la frontera entre los 2 mercados relevantes de</w:t>
      </w:r>
      <w:r>
        <w:t xml:space="preserve"> </w:t>
      </w:r>
      <w:hyperlink w:anchor="sec_mercado_relevante">
        <w:r>
          <w:rPr>
            <w:rStyle w:val="Hyperlink"/>
          </w:rPr>
          <w:t xml:space="preserve">I.2</w:t>
        </w:r>
      </w:hyperlink>
      <w:r>
        <w:t xml:space="preserve">: la red, regulada, y la comercialización, en competencia.</w:t>
      </w:r>
    </w:p>
    <w:p>
      <w:pPr>
        <w:numPr>
          <w:ilvl w:val="0"/>
          <w:numId w:val="1111"/>
        </w:numPr>
      </w:pPr>
      <w:r>
        <w:t xml:space="preserve">Con la liberalización, las</w:t>
      </w:r>
      <w:r>
        <w:t xml:space="preserve"> </w:t>
      </w:r>
      <w:r>
        <w:rPr>
          <w:i/>
          <w:iCs/>
        </w:rPr>
        <w:t xml:space="preserve">obligaciones de servicio universal</w:t>
      </w:r>
      <w:r>
        <w:t xml:space="preserve"> </w:t>
      </w:r>
      <w:r>
        <w:t xml:space="preserve">(llevar el servicio básico a todos a un precio asequible, aunque en algunas zonas no sea rentable) dejan de financiarse con subvenciones cruzadas dentro del monopolio y pasan a tener un coste explícito, que se reparte entre los operadores o se cubre con fondos públicos</w:t>
      </w:r>
      <w:r>
        <w:t xml:space="preserve"> </w:t>
      </w:r>
      <w:hyperlink r:id="rId177">
        <w:r>
          <w:rPr>
            <w:rStyle w:val="Referenciaatema"/>
          </w:rPr>
          <w:t xml:space="preserve">[ver tema 4.A.12]</w:t>
        </w:r>
      </w:hyperlink>
      <w:r>
        <w:t xml:space="preserve">.</w:t>
      </w:r>
    </w:p>
    <w:bookmarkEnd w:id="178"/>
    <w:bookmarkStart w:id="179" w:name="mercados_de_2_lados"/>
    <w:p>
      <w:pPr>
        <w:pStyle w:val="Heading4"/>
      </w:pPr>
      <w:r>
        <w:t xml:space="preserve">Mercados de 2 lados</w:t>
      </w:r>
    </w:p>
    <w:p>
      <w:pPr>
        <w:numPr>
          <w:ilvl w:val="0"/>
          <w:numId w:val="1113"/>
        </w:numPr>
      </w:pPr>
      <w:r>
        <w:t xml:space="preserve">Una</w:t>
      </w:r>
      <w:r>
        <w:t xml:space="preserve"> </w:t>
      </w:r>
      <w:r>
        <w:rPr>
          <w:b/>
          <w:bCs/>
        </w:rPr>
        <w:t xml:space="preserve">plataforma de 2 lados</w:t>
      </w:r>
      <w:r>
        <w:t xml:space="preserve"> </w:t>
      </w:r>
      <w:r>
        <w:t xml:space="preserve">pone en contacto a 2 grupos de usuarios que se benefician de que el otro sea grande (compradores y vendedores, usuarios y anunciantes): hay</w:t>
      </w:r>
      <w:r>
        <w:t xml:space="preserve"> </w:t>
      </w:r>
      <w:r>
        <w:rPr>
          <w:i/>
          <w:iCs/>
        </w:rPr>
        <w:t xml:space="preserve">efectos de red cruzados</w:t>
      </w:r>
      <w:r>
        <w:t xml:space="preserve"> </w:t>
      </w:r>
      <w:r>
        <w:t xml:space="preserve">(</w:t>
      </w:r>
      <w:hyperlink w:anchor="ref_RochetTirole2003Platform">
        <w:r>
          <w:rPr>
            <w:rStyle w:val="Hyperlink"/>
            <w:smallCaps/>
          </w:rPr>
          <w:t xml:space="preserve">Rochet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2003</w:t>
        </w:r>
      </w:hyperlink>
      <w:r>
        <w:t xml:space="preserve">)</w:t>
      </w:r>
      <w:r>
        <w:t xml:space="preserve">. El precio óptimo de cada lado descuenta el valor que sus usuarios dan al otro: puede ser nulo o negativo en el lado que más atrae al otro, sin que sea depredación</w:t>
      </w:r>
      <w:r>
        <w:t xml:space="preserve"> </w:t>
      </w:r>
      <w:r>
        <w:t xml:space="preserve">(</w:t>
      </w:r>
      <w:hyperlink w:anchor="ref_Armstrong2006Competition">
        <w:r>
          <w:rPr>
            <w:rStyle w:val="Hyperlink"/>
            <w:smallCaps/>
          </w:rPr>
          <w:t xml:space="preserve">Armstrong</w:t>
        </w:r>
        <w:r>
          <w:rPr>
            <w:rStyle w:val="Hyperlink"/>
          </w:rPr>
          <w:t xml:space="preserve">, 2006</w:t>
        </w:r>
      </w:hyperlink>
      <w:r>
        <w:t xml:space="preserve">)</w:t>
      </w:r>
      <w:r>
        <w:t xml:space="preserve"> </w:t>
      </w:r>
      <w:hyperlink r:id="rId28">
        <w:r>
          <w:rPr>
            <w:rStyle w:val="Referenciaatema"/>
          </w:rPr>
          <w:t xml:space="preserve">[ver tema 3.A.15]</w:t>
        </w:r>
      </w:hyperlink>
      <w:r>
        <w:t xml:space="preserve">.</w:t>
      </w:r>
    </w:p>
    <w:p>
      <w:pPr>
        <w:numPr>
          <w:ilvl w:val="0"/>
          <w:numId w:val="1113"/>
        </w:numPr>
      </w:pPr>
      <w:r>
        <w:t xml:space="preserve">Así, el margen de</w:t>
      </w:r>
      <w:r>
        <w:t xml:space="preserve"> </w:t>
      </w:r>
      <w:r>
        <w:rPr>
          <w:smallCaps/>
        </w:rPr>
        <w:t xml:space="preserve">Lerner</w:t>
      </w:r>
      <w:r>
        <w:t xml:space="preserve"> </w:t>
      </w:r>
      <w:r>
        <w:t xml:space="preserve">(</w:t>
      </w:r>
      <w:hyperlink w:anchor="eq_lerner">
        <w:r>
          <w:rPr>
            <w:rStyle w:val="Hyperlink"/>
          </w:rPr>
          <w:t xml:space="preserve">1</w:t>
        </w:r>
      </w:hyperlink>
      <w:r>
        <w:t xml:space="preserve">) de un solo lado dice poco del poder de la plataforma, y la plataforma es poco impugnable porque los efectos de red, los datos acumulados y las inversiones irrecuperables protegen su posición</w:t>
      </w:r>
      <w:r>
        <w:t xml:space="preserve"> </w:t>
      </w:r>
      <w:hyperlink r:id="rId28">
        <w:r>
          <w:rPr>
            <w:rStyle w:val="Referenciaatema"/>
          </w:rPr>
          <w:t xml:space="preserve">[ver tema 3.A.15]</w:t>
        </w:r>
      </w:hyperlink>
      <w:r>
        <w:t xml:space="preserve">. Por eso la regulación mira sobre todo cómo da acceso, más que qué precios cobra.</w:t>
      </w:r>
    </w:p>
    <w:bookmarkEnd w:id="179"/>
    <w:bookmarkEnd w:id="180"/>
    <w:bookmarkStart w:id="187" w:name="sec_aplicaciones"/>
    <w:p>
      <w:pPr>
        <w:pStyle w:val="Heading2"/>
      </w:pPr>
      <w:r>
        <w:t xml:space="preserve">III.4.</w:t>
      </w:r>
      <w:r>
        <w:t xml:space="preserve"> </w:t>
      </w:r>
      <w:r>
        <w:t xml:space="preserve">Aplicaciones prácticas</w:t>
      </w:r>
    </w:p>
    <w:p>
      <w:pPr>
        <w:numPr>
          <w:ilvl w:val="0"/>
          <w:numId w:val="1114"/>
        </w:numPr>
      </w:pPr>
      <w:r>
        <w:t xml:space="preserve">La regulación real combina los instrumentos anteriores (tabla </w:t>
      </w:r>
      <w:hyperlink w:anchor="tab_instrumentos">
        <w:r>
          <w:rPr>
            <w:rStyle w:val="Hyperlink"/>
          </w:rPr>
          <w:t xml:space="preserve">4</w:t>
        </w:r>
      </w:hyperlink>
      <w:r>
        <w:t xml:space="preserve">), y su evolución reciente reproduce la de la exposición: de la tasa de rentabilidad a los incentivos, y de regular los precios a regular el acceso.</w:t>
      </w:r>
    </w:p>
    <w:bookmarkStart w:id="181" w:name="redes_el__ctricas_y_gasistas_y_fer_84359"/>
    <w:p>
      <w:pPr>
        <w:pStyle w:val="Heading4"/>
      </w:pPr>
      <w:r>
        <w:t xml:space="preserve">Redes eléctricas y gasistas y ferrocarril en España</w:t>
      </w:r>
    </w:p>
    <w:p>
      <w:pPr>
        <w:keepNext/>
        <w:numPr>
          <w:ilvl w:val="0"/>
          <w:numId w:val="1115"/>
        </w:numPr>
      </w:pPr>
      <w:r>
        <w:t xml:space="preserve">Las redes españolas de electricidad y de gas, de transporte y de distribución, son actividades reguladas; su retribución la decide la CNMC mediante circulares:</w:t>
      </w:r>
    </w:p>
    <w:p>
      <w:pPr>
        <w:numPr>
          <w:ilvl w:val="1"/>
          <w:numId w:val="1116"/>
        </w:numPr>
      </w:pPr>
      <w:r>
        <w:rPr>
          <w:i/>
          <w:iCs/>
        </w:rPr>
        <w:t xml:space="preserve">tasa de rentabilidad</w:t>
      </w:r>
      <w:r>
        <w:t xml:space="preserve">: sobre el valor neto de los activos se aplica una tasa de retribución financiera, a la que se suma su amortización</w:t>
      </w:r>
      <w:r>
        <w:t xml:space="preserve"> </w:t>
      </w:r>
      <w:r>
        <w:t xml:space="preserve">(</w:t>
      </w:r>
      <w:hyperlink w:anchor="ref_CNMC2019Circular2">
        <w:r>
          <w:rPr>
            <w:rStyle w:val="Hyperlink"/>
            <w:smallCaps/>
          </w:rPr>
          <w:t xml:space="preserve">Comisión Nacional de los Mercados y la Competencia</w:t>
        </w:r>
        <w:r>
          <w:rPr>
            <w:rStyle w:val="Hyperlink"/>
          </w:rPr>
          <w:t xml:space="preserve">, 2019</w:t>
        </w:r>
      </w:hyperlink>
      <w:r>
        <w:t xml:space="preserve">)</w:t>
      </w:r>
      <w:r>
        <w:t xml:space="preserve">; en la electricidad, el 6,58 % para 2026-2031, un punto por encima del 5,58 % de 2020-2025</w:t>
      </w:r>
      <w:r>
        <w:t xml:space="preserve"> </w:t>
      </w:r>
      <w:r>
        <w:t xml:space="preserve">(</w:t>
      </w:r>
      <w:hyperlink w:anchor="ref_CNMC2025Circular9">
        <w:r>
          <w:rPr>
            <w:rStyle w:val="Hyperlink"/>
            <w:smallCaps/>
          </w:rPr>
          <w:t xml:space="preserve">Comisión Nacional de los Mercados y la Competencia</w:t>
        </w:r>
        <w:r>
          <w:rPr>
            <w:rStyle w:val="Hyperlink"/>
          </w:rPr>
          <w:t xml:space="preserve">, 2025d</w:t>
        </w:r>
      </w:hyperlink>
      <w:r>
        <w:t xml:space="preserve">,</w:t>
      </w:r>
      <w:r>
        <w:t xml:space="preserve"> </w:t>
      </w:r>
      <w:hyperlink w:anchor="ref_CNMC2025NPCirculares">
        <w:r>
          <w:rPr>
            <w:rStyle w:val="Hyperlink"/>
          </w:rPr>
          <w:t xml:space="preserve">2025c</w:t>
        </w:r>
      </w:hyperlink>
      <w:r>
        <w:t xml:space="preserve">)</w:t>
      </w:r>
      <w:r>
        <w:t xml:space="preserve">, y en el transporte y la regasificación de gas, el 6,46 % para 2027-2032</w:t>
      </w:r>
      <w:r>
        <w:t xml:space="preserve"> </w:t>
      </w:r>
      <w:r>
        <w:t xml:space="preserve">(</w:t>
      </w:r>
      <w:hyperlink w:anchor="ref_CNMC2026Circular5">
        <w:r>
          <w:rPr>
            <w:rStyle w:val="Hyperlink"/>
            <w:smallCaps/>
          </w:rPr>
          <w:t xml:space="preserve">Comisión Nacional de los Mercados y la Competencia</w:t>
        </w:r>
        <w:r>
          <w:rPr>
            <w:rStyle w:val="Hyperlink"/>
          </w:rPr>
          <w:t xml:space="preserve">, 2026b</w:t>
        </w:r>
      </w:hyperlink>
      <w:r>
        <w:t xml:space="preserve">)</w:t>
      </w:r>
      <w:r>
        <w:t xml:space="preserve">;</w:t>
      </w:r>
    </w:p>
    <w:p>
      <w:pPr>
        <w:numPr>
          <w:ilvl w:val="1"/>
          <w:numId w:val="1116"/>
        </w:numPr>
      </w:pPr>
      <w:r>
        <w:rPr>
          <w:i/>
          <w:iCs/>
        </w:rPr>
        <w:t xml:space="preserve">incentivos</w:t>
      </w:r>
      <w:r>
        <w:t xml:space="preserve">: la nueva metodología de la distribución eléctrica compara de forma conjunta la inversión y los gastos de operación (TOTEX) con unos costes de referencia</w:t>
      </w:r>
      <w:r>
        <w:t xml:space="preserve"> </w:t>
      </w:r>
      <w:r>
        <w:t xml:space="preserve">(</w:t>
      </w:r>
      <w:hyperlink w:anchor="ref_CNMC2025Circular8">
        <w:r>
          <w:rPr>
            <w:rStyle w:val="Hyperlink"/>
            <w:smallCaps/>
          </w:rPr>
          <w:t xml:space="preserve">Comisión Nacional de los Mercados y la Competencia</w:t>
        </w:r>
        <w:r>
          <w:rPr>
            <w:rStyle w:val="Hyperlink"/>
          </w:rPr>
          <w:t xml:space="preserve">, 2025b</w:t>
        </w:r>
      </w:hyperlink>
      <w:r>
        <w:t xml:space="preserve">)</w:t>
      </w:r>
      <w:r>
        <w:t xml:space="preserve">.</w:t>
      </w:r>
    </w:p>
    <w:p>
      <w:pPr>
        <w:numPr>
          <w:ilvl w:val="1"/>
          <w:numId w:val="1117"/>
        </w:numPr>
      </w:pPr>
      <w:r>
        <w:t xml:space="preserve">Redes del Valle sería una de esas distribuidoras: cobra los peajes que fija la CNMC, recibe el 6,58 % sobre sus activos y se le compara con unos costes de referencia, como en el</w:t>
      </w:r>
      <w:r>
        <w:t xml:space="preserve"> </w:t>
      </w:r>
      <w:r>
        <w:rPr>
          <w:i/>
          <w:iCs/>
        </w:rPr>
        <w:t xml:space="preserve">yardstick</w:t>
      </w:r>
      <w:r>
        <w:t xml:space="preserve">.</w:t>
      </w:r>
    </w:p>
    <w:p>
      <w:pPr>
        <w:numPr>
          <w:ilvl w:val="0"/>
          <w:numId w:val="1115"/>
        </w:numPr>
      </w:pPr>
      <w:r>
        <w:rPr>
          <w:i/>
          <w:iCs/>
        </w:rPr>
        <w:t xml:space="preserve">Lectura teórica</w:t>
      </w:r>
      <w:r>
        <w:t xml:space="preserve">: el sistema mezcla instrumentos. La tasa de rentabilidad asegura la inversión en redes; los incentivos y la comparación con costes de referencia suben la potencia del contrato y corrigen el sesgo de</w:t>
      </w:r>
      <w:r>
        <w:t xml:space="preserve"> </w:t>
      </w:r>
      <w:r>
        <w:rPr>
          <w:smallCaps/>
        </w:rPr>
        <w:t xml:space="preserve">Averch</w:t>
      </w:r>
      <w:r>
        <w:t xml:space="preserve"> </w:t>
      </w:r>
      <w:r>
        <w:t xml:space="preserve">y</w:t>
      </w:r>
      <w:r>
        <w:t xml:space="preserve"> </w:t>
      </w:r>
      <w:r>
        <w:rPr>
          <w:smallCaps/>
        </w:rPr>
        <w:t xml:space="preserve">Johnson</w:t>
      </w:r>
      <w:r>
        <w:t xml:space="preserve"> </w:t>
      </w:r>
      <w:r>
        <w:t xml:space="preserve">(</w:t>
      </w:r>
      <w:hyperlink w:anchor="sec_coste_servicio">
        <w:r>
          <w:rPr>
            <w:rStyle w:val="Hyperlink"/>
          </w:rPr>
          <w:t xml:space="preserve">II.1</w:t>
        </w:r>
      </w:hyperlink>
      <w:r>
        <w:t xml:space="preserve">). La tasa es lo más discutido, porque decide cuánto va a la rentabilidad de las empresas y cuánto sale de la factura de los consumidores.</w:t>
      </w:r>
    </w:p>
    <w:p>
      <w:pPr>
        <w:numPr>
          <w:ilvl w:val="0"/>
          <w:numId w:val="1115"/>
        </w:numPr>
      </w:pPr>
      <w:r>
        <w:t xml:space="preserve">En el ferrocarril, los cánones de ADIF cubren el coste directamente imputable a cada circulación y añaden recargos según lo que soporte cada segmento, hasta recuperar el coste total, una lógica de</w:t>
      </w:r>
      <w:r>
        <w:t xml:space="preserve"> </w:t>
      </w:r>
      <w:r>
        <w:rPr>
          <w:smallCaps/>
        </w:rPr>
        <w:t xml:space="preserve">Ramsey</w:t>
      </w:r>
      <w:r>
        <w:t xml:space="preserve"> </w:t>
      </w:r>
      <w:r>
        <w:t xml:space="preserve">(</w:t>
      </w:r>
      <w:hyperlink w:anchor="sec_regulacion_informacion_completa">
        <w:r>
          <w:rPr>
            <w:rStyle w:val="Hyperlink"/>
          </w:rPr>
          <w:t xml:space="preserve">I.3</w:t>
        </w:r>
      </w:hyperlink>
      <w:r>
        <w:t xml:space="preserve">); ADIF los revisa cada año con informe previo de la CNMC</w:t>
      </w:r>
      <w:r>
        <w:t xml:space="preserve"> </w:t>
      </w:r>
      <w:r>
        <w:t xml:space="preserve">(</w:t>
      </w:r>
      <w:hyperlink w:anchor="ref_BOE2015LSF">
        <w:r>
          <w:rPr>
            <w:rStyle w:val="Hyperlink"/>
            <w:smallCaps/>
          </w:rPr>
          <w:t xml:space="preserve">Jefatura del Estado</w:t>
        </w:r>
        <w:r>
          <w:rPr>
            <w:rStyle w:val="Hyperlink"/>
          </w:rPr>
          <w:t xml:space="preserve">, 2015b</w:t>
        </w:r>
      </w:hyperlink>
      <w:r>
        <w:t xml:space="preserve">)</w:t>
      </w:r>
      <w:r>
        <w:t xml:space="preserve">.</w:t>
      </w:r>
    </w:p>
    <w:p>
      <w:pPr>
        <w:numPr>
          <w:ilvl w:val="0"/>
          <w:numId w:val="1115"/>
        </w:numPr>
      </w:pPr>
      <w:r>
        <w:t xml:space="preserve">La</w:t>
      </w:r>
      <w:r>
        <w:t xml:space="preserve"> </w:t>
      </w:r>
      <w:r>
        <w:rPr>
          <w:i/>
          <w:iCs/>
        </w:rPr>
        <w:t xml:space="preserve">excepción ibérica</w:t>
      </w:r>
      <w:r>
        <w:t xml:space="preserve"> </w:t>
      </w:r>
      <w:r>
        <w:t xml:space="preserve">fue otro tipo de intervención. A partir del 14 de junio de 2022, España puso un tope al precio del gas que usan las centrales que marcan el precio de la electricidad: 40 euros por megavatio hora al principio, con una senda creciente después, y una prórroga que la mantuvo hasta el final de 2023</w:t>
      </w:r>
      <w:r>
        <w:t xml:space="preserve"> </w:t>
      </w:r>
      <w:r>
        <w:t xml:space="preserve">(</w:t>
      </w:r>
      <w:hyperlink w:anchor="ref_BOE2022RDL10">
        <w:r>
          <w:rPr>
            <w:rStyle w:val="Hyperlink"/>
            <w:smallCaps/>
          </w:rPr>
          <w:t xml:space="preserve">Jefatura del Estado</w:t>
        </w:r>
        <w:r>
          <w:rPr>
            <w:rStyle w:val="Hyperlink"/>
          </w:rPr>
          <w:t xml:space="preserve">, 2022a</w:t>
        </w:r>
      </w:hyperlink>
      <w:r>
        <w:t xml:space="preserve">,</w:t>
      </w:r>
      <w:r>
        <w:t xml:space="preserve"> </w:t>
      </w:r>
      <w:hyperlink w:anchor="ref_BOE2023RDL3">
        <w:r>
          <w:rPr>
            <w:rStyle w:val="Hyperlink"/>
          </w:rPr>
          <w:t xml:space="preserve">2023</w:t>
        </w:r>
      </w:hyperlink>
      <w:r>
        <w:t xml:space="preserve">;</w:t>
      </w:r>
      <w:r>
        <w:t xml:space="preserve"> </w:t>
      </w:r>
      <w:hyperlink w:anchor="ref_BOE2022OrdenTED517">
        <w:r>
          <w:rPr>
            <w:rStyle w:val="Hyperlink"/>
            <w:smallCaps/>
          </w:rPr>
          <w:t xml:space="preserve">Ministerio para la Transición Ecológica y el Reto Demográfico</w:t>
        </w:r>
        <w:r>
          <w:rPr>
            <w:rStyle w:val="Hyperlink"/>
          </w:rPr>
          <w:t xml:space="preserve">, 2022</w:t>
        </w:r>
      </w:hyperlink>
      <w:r>
        <w:t xml:space="preserve">)</w:t>
      </w:r>
      <w:r>
        <w:t xml:space="preserve">. No atacaba el poder de mercado de ninguna empresa, sino el contagio del coste de la tecnología marginal al precio mayorista en plena crisis del gas; se hizo temporal y acotada para no dañar la credibilidad de la regulación ante los inversores (</w:t>
      </w:r>
      <w:hyperlink w:anchor="sec_compromiso_captura">
        <w:r>
          <w:rPr>
            <w:rStyle w:val="Hyperlink"/>
          </w:rPr>
          <w:t xml:space="preserve">II.5</w:t>
        </w:r>
      </w:hyperlink>
      <w:r>
        <w:t xml:space="preserve">).</w:t>
      </w:r>
    </w:p>
    <w:bookmarkEnd w:id="181"/>
    <w:bookmarkStart w:id="182" w:name="el_price_cap_en_la_pr__ctica"/>
    <w:p>
      <w:pPr>
        <w:pStyle w:val="Heading4"/>
      </w:pPr>
      <w:r>
        <w:t xml:space="preserve">El</w:t>
      </w:r>
      <w:r>
        <w:t xml:space="preserve"> </w:t>
      </w:r>
      <w:r>
        <w:rPr>
          <w:i/>
          <w:iCs/>
        </w:rPr>
        <w:t xml:space="preserve">price cap</w:t>
      </w:r>
      <w:r>
        <w:t xml:space="preserve"> </w:t>
      </w:r>
      <w:r>
        <w:t xml:space="preserve">en la práctica</w:t>
      </w:r>
    </w:p>
    <w:p>
      <w:pPr>
        <w:numPr>
          <w:ilvl w:val="0"/>
          <w:numId w:val="1118"/>
        </w:numPr>
      </w:pPr>
      <w:r>
        <w:rPr>
          <w:i/>
          <w:iCs/>
        </w:rPr>
        <w:t xml:space="preserve">Reino Unido</w:t>
      </w:r>
      <w:r>
        <w:t xml:space="preserve">: el tope de RPI</w:t>
      </w:r>
      <m:oMath>
        <m:r>
          <m:rPr>
            <m:sty m:val="p"/>
          </m:rPr>
          <m:t>−</m:t>
        </m:r>
      </m:oMath>
      <w:r>
        <w:t xml:space="preserve">3 de British Telecom en 1984 se extendió a todos los servicios privatizados, y hoy el regulador de la energía aplica el modelo RIIO de ingresos máximos (</w:t>
      </w:r>
      <w:hyperlink w:anchor="sec_price_cap">
        <w:r>
          <w:rPr>
            <w:rStyle w:val="Hyperlink"/>
          </w:rPr>
          <w:t xml:space="preserve">II.4</w:t>
        </w:r>
      </w:hyperlink>
      <w:r>
        <w:t xml:space="preserve">). El RIIO-3, para las redes de transporte entre abril de 2026 y marzo de 2031, reconoce a los fondos propios una rentabilidad real del 5,70 % en la electricidad y del 6,12 % en el gas</w:t>
      </w:r>
      <w:r>
        <w:t xml:space="preserve"> </w:t>
      </w:r>
      <w:r>
        <w:t xml:space="preserve">(</w:t>
      </w:r>
      <w:hyperlink w:anchor="ref_Ofgem2025RIIO3Finanzas">
        <w:r>
          <w:rPr>
            <w:rStyle w:val="Hyperlink"/>
            <w:smallCaps/>
          </w:rPr>
          <w:t xml:space="preserve">Ofgem</w:t>
        </w:r>
        <w:r>
          <w:rPr>
            <w:rStyle w:val="Hyperlink"/>
          </w:rPr>
          <w:t xml:space="preserve">, 2025b</w:t>
        </w:r>
      </w:hyperlink>
      <w:r>
        <w:t xml:space="preserve">)</w:t>
      </w:r>
      <w:r>
        <w:t xml:space="preserve">, y exige mejorar la eficiencia un 1 % al año, la</w:t>
      </w:r>
      <w:r>
        <w:t xml:space="preserve"> </w:t>
      </w:r>
      <m:oMath>
        <m:r>
          <m:t>X</m:t>
        </m:r>
      </m:oMath>
      <w:r>
        <w:t xml:space="preserve"> </w:t>
      </w:r>
      <w:r>
        <w:t xml:space="preserve">del modelo</w:t>
      </w:r>
      <w:r>
        <w:t xml:space="preserve"> </w:t>
      </w:r>
      <w:r>
        <w:t xml:space="preserve">(</w:t>
      </w:r>
      <w:hyperlink w:anchor="ref_Ofgem2025RIIO3ET">
        <w:r>
          <w:rPr>
            <w:rStyle w:val="Hyperlink"/>
            <w:smallCaps/>
          </w:rPr>
          <w:t xml:space="preserve">Ofgem</w:t>
        </w:r>
        <w:r>
          <w:rPr>
            <w:rStyle w:val="Hyperlink"/>
          </w:rPr>
          <w:t xml:space="preserve">, 2025a</w:t>
        </w:r>
      </w:hyperlink>
      <w:r>
        <w:t xml:space="preserve">)</w:t>
      </w:r>
      <w:r>
        <w:t xml:space="preserve">.</w:t>
      </w:r>
    </w:p>
    <w:p>
      <w:pPr>
        <w:numPr>
          <w:ilvl w:val="0"/>
          <w:numId w:val="1118"/>
        </w:numPr>
      </w:pPr>
      <w:r>
        <w:rPr>
          <w:i/>
          <w:iCs/>
        </w:rPr>
        <w:t xml:space="preserve">Aena</w:t>
      </w:r>
      <w:r>
        <w:t xml:space="preserve">: el ingreso máximo por pasajero del DORA 2027-2031 pasa de 10,52 euros en 2026 a 10,69 en 2031, con una</w:t>
      </w:r>
      <w:r>
        <w:t xml:space="preserve"> </w:t>
      </w:r>
      <m:oMath>
        <m:r>
          <m:t>X</m:t>
        </m:r>
      </m:oMath>
      <w:r>
        <w:t xml:space="preserve"> </w:t>
      </w:r>
      <w:r>
        <w:t xml:space="preserve">del 0,33 % anual que se suma (</w:t>
      </w:r>
      <w:hyperlink w:anchor="sec_price_cap">
        <w:r>
          <w:rPr>
            <w:rStyle w:val="Hyperlink"/>
          </w:rPr>
          <w:t xml:space="preserve">II.4</w:t>
        </w:r>
      </w:hyperlink>
      <w:r>
        <w:t xml:space="preserve">)</w:t>
      </w:r>
      <w:r>
        <w:t xml:space="preserve"> </w:t>
      </w:r>
      <w:r>
        <w:t xml:space="preserve">(</w:t>
      </w:r>
      <w:hyperlink w:anchor="ref_BOE2026DORA">
        <w:r>
          <w:rPr>
            <w:rStyle w:val="Hyperlink"/>
            <w:smallCaps/>
          </w:rPr>
          <w:t xml:space="preserve">Dirección General de Aviación Civil</w:t>
        </w:r>
        <w:r>
          <w:rPr>
            <w:rStyle w:val="Hyperlink"/>
          </w:rPr>
          <w:t xml:space="preserve">, 2026</w:t>
        </w:r>
      </w:hyperlink>
      <w:r>
        <w:t xml:space="preserve">)</w:t>
      </w:r>
      <w:r>
        <w:t xml:space="preserve">.</w:t>
      </w:r>
    </w:p>
    <w:bookmarkEnd w:id="182"/>
    <w:bookmarkStart w:id="183" w:name="telecomunicaciones_una_regulaci__n_20432"/>
    <w:p>
      <w:pPr>
        <w:pStyle w:val="Heading4"/>
      </w:pPr>
      <w:r>
        <w:t xml:space="preserve">Telecomunicaciones: una regulación del acceso que se retira</w:t>
      </w:r>
    </w:p>
    <w:p>
      <w:pPr>
        <w:keepNext/>
        <w:numPr>
          <w:ilvl w:val="0"/>
          <w:numId w:val="1119"/>
        </w:numPr>
      </w:pPr>
      <w:r>
        <w:t xml:space="preserve">El Código Europeo de las Comunicaciones Electrónicas ordena una regulación</w:t>
      </w:r>
      <w:r>
        <w:t xml:space="preserve"> </w:t>
      </w:r>
      <w:r>
        <w:rPr>
          <w:i/>
          <w:iCs/>
        </w:rPr>
        <w:t xml:space="preserve">ex ante</w:t>
      </w:r>
      <w:r>
        <w:t xml:space="preserve"> </w:t>
      </w:r>
      <w:r>
        <w:t xml:space="preserve">en 3 pasos</w:t>
      </w:r>
      <w:r>
        <w:t xml:space="preserve"> </w:t>
      </w:r>
      <w:r>
        <w:t xml:space="preserve">(</w:t>
      </w:r>
      <w:hyperlink w:anchor="ref_UE2018CECE">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2018</w:t>
        </w:r>
      </w:hyperlink>
      <w:r>
        <w:t xml:space="preserve">;</w:t>
      </w:r>
      <w:r>
        <w:t xml:space="preserve"> </w:t>
      </w:r>
      <w:hyperlink w:anchor="ref_Ley11_2022Telecomunicaciones">
        <w:r>
          <w:rPr>
            <w:rStyle w:val="Hyperlink"/>
            <w:smallCaps/>
          </w:rPr>
          <w:t xml:space="preserve">Jefatura del Estado</w:t>
        </w:r>
        <w:r>
          <w:rPr>
            <w:rStyle w:val="Hyperlink"/>
          </w:rPr>
          <w:t xml:space="preserve">, 2022b</w:t>
        </w:r>
      </w:hyperlink>
      <w:r>
        <w:t xml:space="preserve">)</w:t>
      </w:r>
      <w:r>
        <w:t xml:space="preserve">:</w:t>
      </w:r>
    </w:p>
    <w:p>
      <w:pPr>
        <w:numPr>
          <w:ilvl w:val="1"/>
          <w:numId w:val="1120"/>
        </w:numPr>
      </w:pPr>
      <w:r>
        <w:t xml:space="preserve">definir los mercados relevantes (</w:t>
      </w:r>
      <w:hyperlink w:anchor="sec_mercado_relevante">
        <w:r>
          <w:rPr>
            <w:rStyle w:val="Hyperlink"/>
          </w:rPr>
          <w:t xml:space="preserve">I.2</w:t>
        </w:r>
      </w:hyperlink>
      <w:r>
        <w:t xml:space="preserve">);</w:t>
      </w:r>
    </w:p>
    <w:p>
      <w:pPr>
        <w:numPr>
          <w:ilvl w:val="1"/>
          <w:numId w:val="1120"/>
        </w:numPr>
      </w:pPr>
      <w:r>
        <w:t xml:space="preserve">comprobar que cumplen a la vez 3 criterios: barreras de entrada elevadas y duraderas, ninguna tendencia hacia la competencia efectiva y un derecho de la competencia que no basta por sí solo;</w:t>
      </w:r>
    </w:p>
    <w:p>
      <w:pPr>
        <w:numPr>
          <w:ilvl w:val="1"/>
          <w:numId w:val="1120"/>
        </w:numPr>
      </w:pPr>
      <w:r>
        <w:t xml:space="preserve">exigir a quien tenga</w:t>
      </w:r>
      <w:r>
        <w:t xml:space="preserve"> </w:t>
      </w:r>
      <w:r>
        <w:rPr>
          <w:i/>
          <w:iCs/>
        </w:rPr>
        <w:t xml:space="preserve">peso significativo en el mercado</w:t>
      </w:r>
      <w:r>
        <w:t xml:space="preserve">, el equivalente de la posición dominante, obligaciones de acceso, de no discriminación o de precios orientados a costes.</w:t>
      </w:r>
    </w:p>
    <w:p>
      <w:pPr>
        <w:numPr>
          <w:ilvl w:val="0"/>
          <w:numId w:val="1119"/>
        </w:numPr>
      </w:pPr>
      <w:r>
        <w:t xml:space="preserve">La Comisión solo recomienda hoy regular</w:t>
      </w:r>
      <w:r>
        <w:t xml:space="preserve"> </w:t>
      </w:r>
      <w:r>
        <w:rPr>
          <w:i/>
          <w:iCs/>
        </w:rPr>
        <w:t xml:space="preserve">ex ante</w:t>
      </w:r>
      <w:r>
        <w:t xml:space="preserve"> </w:t>
      </w:r>
      <w:r>
        <w:t xml:space="preserve">2 mercados mayoristas, el acceso local en una ubicación fija y la capacidad dedicada</w:t>
      </w:r>
      <w:r>
        <w:t xml:space="preserve"> </w:t>
      </w:r>
      <w:r>
        <w:t xml:space="preserve">(</w:t>
      </w:r>
      <w:hyperlink w:anchor="ref_UE2020RecomendacionMercados">
        <w:r>
          <w:rPr>
            <w:rStyle w:val="Hyperlink"/>
            <w:smallCaps/>
          </w:rPr>
          <w:t xml:space="preserve">Comisión Europea</w:t>
        </w:r>
        <w:r>
          <w:rPr>
            <w:rStyle w:val="Hyperlink"/>
          </w:rPr>
          <w:t xml:space="preserve">, 2020</w:t>
        </w:r>
      </w:hyperlink>
      <w:r>
        <w:t xml:space="preserve">)</w:t>
      </w:r>
      <w:r>
        <w:t xml:space="preserve">.</w:t>
      </w:r>
    </w:p>
    <w:p>
      <w:pPr>
        <w:numPr>
          <w:ilvl w:val="0"/>
          <w:numId w:val="1119"/>
        </w:numPr>
      </w:pPr>
      <w:r>
        <w:t xml:space="preserve">En España, durante años la CNMC impuso a Telefónica ofrecer al por mayor el acceso a su fibra (los servicios NEBA). Desde octubre de 2021 esa obligación ya solo afectaba al 30 % de la población, y en agosto de 2025 se suprimió, con 6 meses de transición; sigue regulado el acceso a su infraestructura física, es decir, conductos, canalizaciones y postes</w:t>
      </w:r>
      <w:r>
        <w:t xml:space="preserve"> </w:t>
      </w:r>
      <w:r>
        <w:t xml:space="preserve">(</w:t>
      </w:r>
      <w:hyperlink w:anchor="ref_CNMC2025Desregulacion">
        <w:r>
          <w:rPr>
            <w:rStyle w:val="Hyperlink"/>
            <w:smallCaps/>
          </w:rPr>
          <w:t xml:space="preserve">Comisión Nacional de los Mercados y la Competencia</w:t>
        </w:r>
        <w:r>
          <w:rPr>
            <w:rStyle w:val="Hyperlink"/>
          </w:rPr>
          <w:t xml:space="preserve">, 2025a</w:t>
        </w:r>
      </w:hyperlink>
      <w:r>
        <w:t xml:space="preserve">)</w:t>
      </w:r>
      <w:r>
        <w:t xml:space="preserve">.</w:t>
      </w:r>
    </w:p>
    <w:p>
      <w:pPr>
        <w:numPr>
          <w:ilvl w:val="0"/>
          <w:numId w:val="1119"/>
        </w:numPr>
      </w:pPr>
      <w:r>
        <w:rPr>
          <w:i/>
          <w:iCs/>
        </w:rPr>
        <w:t xml:space="preserve">Lectura teórica</w:t>
      </w:r>
      <w:r>
        <w:t xml:space="preserve">: se regula mientras hay un cuello de botella y se retira cuando la competencia en infraestructuras es sostenible.</w:t>
      </w:r>
    </w:p>
    <w:bookmarkEnd w:id="183"/>
    <w:bookmarkStart w:id="186" w:name="mercados_digitales_de_la_defensa_d_37454"/>
    <w:p>
      <w:pPr>
        <w:pStyle w:val="Heading4"/>
      </w:pPr>
      <w:r>
        <w:t xml:space="preserve">Mercados digitales: de la defensa de la competencia a la regulación</w:t>
      </w:r>
      <w:r>
        <w:t xml:space="preserve"> </w:t>
      </w:r>
      <w:r>
        <w:rPr>
          <w:i/>
          <w:iCs/>
        </w:rPr>
        <w:t xml:space="preserve">ex ante</w:t>
      </w:r>
    </w:p>
    <w:p>
      <w:pPr>
        <w:numPr>
          <w:ilvl w:val="0"/>
          <w:numId w:val="1121"/>
        </w:numPr>
      </w:pPr>
      <w:r>
        <w:t xml:space="preserve">Los efectos de red, los costes de cambiar de proveedor, las economías de escala y los datos hacen que las grandes plataformas sean poco impugnables, y la defensa de la competencia</w:t>
      </w:r>
      <w:r>
        <w:t xml:space="preserve"> </w:t>
      </w:r>
      <w:r>
        <w:rPr>
          <w:i/>
          <w:iCs/>
        </w:rPr>
        <w:t xml:space="preserve">ex post</w:t>
      </w:r>
      <w:r>
        <w:t xml:space="preserve"> </w:t>
      </w:r>
      <w:r>
        <w:t xml:space="preserve">ha resultado lenta. El Tribunal de Justicia de la UE confirmó en 2024 la multa de 2.424 millones de euros a Google por favorecer su comparador de compras</w:t>
      </w:r>
      <w:r>
        <w:t xml:space="preserve"> </w:t>
      </w:r>
      <w:r>
        <w:t xml:space="preserve">(</w:t>
      </w:r>
      <w:hyperlink w:anchor="ref_TJUE2024GoogleShopping">
        <w:r>
          <w:rPr>
            <w:rStyle w:val="Hyperlink"/>
            <w:smallCaps/>
          </w:rPr>
          <w:t xml:space="preserve">Tribunal de Justicia de la Unión Europea</w:t>
        </w:r>
        <w:r>
          <w:rPr>
            <w:rStyle w:val="Hyperlink"/>
          </w:rPr>
          <w:t xml:space="preserve">, 2024</w:t>
        </w:r>
      </w:hyperlink>
      <w:r>
        <w:t xml:space="preserve">)</w:t>
      </w:r>
      <w:r>
        <w:t xml:space="preserve"> </w:t>
      </w:r>
      <w:r>
        <w:t xml:space="preserve">y en 2026 la de 4.125 millones por las condiciones impuestas a los fabricantes de móviles Android</w:t>
      </w:r>
      <w:r>
        <w:t xml:space="preserve"> </w:t>
      </w:r>
      <w:r>
        <w:t xml:space="preserve">(</w:t>
      </w:r>
      <w:hyperlink w:anchor="ref_TJUE2026GoogleAndroid">
        <w:r>
          <w:rPr>
            <w:rStyle w:val="Hyperlink"/>
            <w:smallCaps/>
          </w:rPr>
          <w:t xml:space="preserve">Tribunal de Justicia de la Unión Europea</w:t>
        </w:r>
        <w:r>
          <w:rPr>
            <w:rStyle w:val="Hyperlink"/>
          </w:rPr>
          <w:t xml:space="preserve">, 2026</w:t>
        </w:r>
      </w:hyperlink>
      <w:r>
        <w:t xml:space="preserve">)</w:t>
      </w:r>
      <w:r>
        <w:t xml:space="preserve">.</w:t>
      </w:r>
    </w:p>
    <w:p>
      <w:pPr>
        <w:keepNext/>
        <w:numPr>
          <w:ilvl w:val="0"/>
          <w:numId w:val="1121"/>
        </w:numPr>
      </w:pPr>
      <w:r>
        <w:t xml:space="preserve">El</w:t>
      </w:r>
      <w:r>
        <w:t xml:space="preserve"> </w:t>
      </w:r>
      <w:r>
        <w:rPr>
          <w:b/>
          <w:bCs/>
        </w:rPr>
        <w:t xml:space="preserve">Reglamento de Mercados Digitales</w:t>
      </w:r>
      <w:r>
        <w:t xml:space="preserve"> </w:t>
      </w:r>
      <w:r>
        <w:t xml:space="preserve">(DMA), «sobre mercados disputables y equitativos en el sector digital» y aplicable desde mayo de 2023, lleva a las plataformas el enfoque</w:t>
      </w:r>
      <w:r>
        <w:t xml:space="preserve"> </w:t>
      </w:r>
      <w:r>
        <w:rPr>
          <w:i/>
          <w:iCs/>
        </w:rPr>
        <w:t xml:space="preserve">ex ante</w:t>
      </w:r>
      <w:r>
        <w:t xml:space="preserve"> </w:t>
      </w:r>
      <w:r>
        <w:t xml:space="preserve">de las industrias de red, aunque centrado en conductas y no en precios</w:t>
      </w:r>
      <w:r>
        <w:t xml:space="preserve"> </w:t>
      </w:r>
      <w:r>
        <w:t xml:space="preserve">(</w:t>
      </w:r>
      <w:hyperlink w:anchor="ref_UE2022DMA">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2022</w:t>
        </w:r>
      </w:hyperlink>
      <w:r>
        <w:t xml:space="preserve">)</w:t>
      </w:r>
      <w:r>
        <w:t xml:space="preserve">:</w:t>
      </w:r>
    </w:p>
    <w:p>
      <w:pPr>
        <w:numPr>
          <w:ilvl w:val="1"/>
          <w:numId w:val="1122"/>
        </w:numPr>
      </w:pPr>
      <w:r>
        <w:rPr>
          <w:i/>
          <w:iCs/>
        </w:rPr>
        <w:t xml:space="preserve">designación con poca información</w:t>
      </w:r>
      <w:r>
        <w:t xml:space="preserve">: la Comisión no delimita mercados uno a uno, sino que nombra</w:t>
      </w:r>
      <w:r>
        <w:t xml:space="preserve"> </w:t>
      </w:r>
      <w:r>
        <w:rPr>
          <w:i/>
          <w:iCs/>
        </w:rPr>
        <w:t xml:space="preserve">guardianes de acceso</w:t>
      </w:r>
      <w:r>
        <w:t xml:space="preserve"> </w:t>
      </w:r>
      <w:r>
        <w:t xml:space="preserve">a las plataformas que rebasan ciertos umbrales cuantitativos;</w:t>
      </w:r>
      <w:r>
        <w:rPr>
          <w:rStyle w:val="FootnoteReference"/>
        </w:rPr>
        <w:footnoteReference w:id="184"/>
      </w:r>
      <w:r>
        <w:t xml:space="preserve"> </w:t>
      </w:r>
      <w:r>
        <w:t xml:space="preserve">hoy son 7, Alphabet, Amazon, Apple, ByteDance, Meta y Microsoft, designados en 2023, y Booking, en 2024, con 23 servicios básicos de plataforma en total</w:t>
      </w:r>
      <w:r>
        <w:t xml:space="preserve"> </w:t>
      </w:r>
      <w:r>
        <w:t xml:space="preserve">(</w:t>
      </w:r>
      <w:hyperlink w:anchor="ref_CE2026GuardianesDMA">
        <w:r>
          <w:rPr>
            <w:rStyle w:val="Hyperlink"/>
            <w:smallCaps/>
          </w:rPr>
          <w:t xml:space="preserve">Comisión Europea</w:t>
        </w:r>
        <w:r>
          <w:rPr>
            <w:rStyle w:val="Hyperlink"/>
          </w:rPr>
          <w:t xml:space="preserve">, 2026a</w:t>
        </w:r>
      </w:hyperlink>
      <w:r>
        <w:t xml:space="preserve">)</w:t>
      </w:r>
      <w:r>
        <w:t xml:space="preserve">;</w:t>
      </w:r>
    </w:p>
    <w:p>
      <w:pPr>
        <w:numPr>
          <w:ilvl w:val="1"/>
          <w:numId w:val="1122"/>
        </w:numPr>
      </w:pPr>
      <w:r>
        <w:rPr>
          <w:i/>
          <w:iCs/>
        </w:rPr>
        <w:t xml:space="preserve">obligaciones y prohibiciones directas</w:t>
      </w:r>
      <w:r>
        <w:t xml:space="preserve">: no favorecer sus propios servicios (la misma no discriminación que se exige a un incumbente integrado), dejar desinstalar aplicaciones y cambiar las predeterminadas, portabilidad de los datos, interoperabilidad gratuita de las funciones básicas de mensajería si otro proveedor la pide y libertad de los usuarios profesionales para llevar a sus clientes a ofertas fuera de la plataforma</w:t>
      </w:r>
      <w:r>
        <w:t xml:space="preserve"> </w:t>
      </w:r>
      <w:r>
        <w:t xml:space="preserve">(</w:t>
      </w:r>
      <w:hyperlink w:anchor="ref_UE2022DMA">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2022</w:t>
        </w:r>
      </w:hyperlink>
      <w:r>
        <w:t xml:space="preserve">)</w:t>
      </w:r>
      <w:r>
        <w:t xml:space="preserve">;</w:t>
      </w:r>
    </w:p>
    <w:p>
      <w:pPr>
        <w:numPr>
          <w:ilvl w:val="1"/>
          <w:numId w:val="1122"/>
        </w:numPr>
      </w:pPr>
      <w:r>
        <w:rPr>
          <w:i/>
          <w:iCs/>
        </w:rPr>
        <w:t xml:space="preserve">sanciones</w:t>
      </w:r>
      <w:r>
        <w:t xml:space="preserve">: multas de hasta el 10 % de la facturación mundial, que suben al 20 % en caso de reincidencia</w:t>
      </w:r>
      <w:r>
        <w:t xml:space="preserve"> </w:t>
      </w:r>
      <w:r>
        <w:t xml:space="preserve">(</w:t>
      </w:r>
      <w:hyperlink w:anchor="ref_UE2022DMA">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2022</w:t>
        </w:r>
      </w:hyperlink>
      <w:r>
        <w:t xml:space="preserve">, art. 30)</w:t>
      </w:r>
      <w:r>
        <w:t xml:space="preserve">. Apple (500 millones de euros) y Meta (200 millones) fueron las primeras empresas sancionadas por incumplimiento, en abril de 2025</w:t>
      </w:r>
      <w:r>
        <w:t xml:space="preserve"> </w:t>
      </w:r>
      <w:r>
        <w:t xml:space="preserve">(</w:t>
      </w:r>
      <w:hyperlink w:anchor="ref_CE2025DMAAppleMeta">
        <w:r>
          <w:rPr>
            <w:rStyle w:val="Hyperlink"/>
            <w:smallCaps/>
          </w:rPr>
          <w:t xml:space="preserve">Comisión Europea</w:t>
        </w:r>
        <w:r>
          <w:rPr>
            <w:rStyle w:val="Hyperlink"/>
          </w:rPr>
          <w:t xml:space="preserve">, 2025</w:t>
        </w:r>
      </w:hyperlink>
      <w:r>
        <w:t xml:space="preserve">)</w:t>
      </w:r>
      <w:r>
        <w:t xml:space="preserve">; en julio de 2026, Google recibió 890 millones por dar ventaja a sus propios servicios en el buscador y por las restricciones de Google Play</w:t>
      </w:r>
      <w:r>
        <w:t xml:space="preserve"> </w:t>
      </w:r>
      <w:r>
        <w:t xml:space="preserve">(</w:t>
      </w:r>
      <w:hyperlink w:anchor="ref_CE2026DMAGoogle">
        <w:r>
          <w:rPr>
            <w:rStyle w:val="Hyperlink"/>
            <w:smallCaps/>
          </w:rPr>
          <w:t xml:space="preserve">Comisión Europea</w:t>
        </w:r>
        <w:r>
          <w:rPr>
            <w:rStyle w:val="Hyperlink"/>
          </w:rPr>
          <w:t xml:space="preserve">, 2026c</w:t>
        </w:r>
      </w:hyperlink>
      <w:r>
        <w:t xml:space="preserve">)</w:t>
      </w:r>
      <w:r>
        <w:t xml:space="preserve">.</w:t>
      </w:r>
    </w:p>
    <w:p>
      <w:pPr>
        <w:numPr>
          <w:ilvl w:val="0"/>
          <w:numId w:val="1121"/>
        </w:numPr>
      </w:pPr>
      <w:r>
        <w:rPr>
          <w:i/>
          <w:iCs/>
        </w:rPr>
        <w:t xml:space="preserve">Lectura teórica</w:t>
      </w:r>
      <w:r>
        <w:t xml:space="preserve">: designar por umbrales es una manera de regular sin conocer costes ni demandas, es decir, una salida al problema de la información asimétrica. Pero los límites de siempre siguen ahí: la plataforma conoce sus algoritmos mejor que nadie y tiene interés en moldear cómo se le aplican las obligaciones (</w:t>
      </w:r>
      <w:hyperlink w:anchor="sec_compromiso_captura">
        <w:r>
          <w:rPr>
            <w:rStyle w:val="Hyperlink"/>
          </w:rPr>
          <w:t xml:space="preserve">II.5</w:t>
        </w:r>
      </w:hyperlink>
      <w:r>
        <w:t xml:space="preserve">).</w:t>
      </w:r>
    </w:p>
    <w:p>
      <w:pPr>
        <w:numPr>
          <w:ilvl w:val="0"/>
          <w:numId w:val="1121"/>
        </w:numPr>
      </w:pPr>
      <w:r>
        <w:rPr>
          <w:i/>
          <w:iCs/>
        </w:rPr>
        <w:t xml:space="preserve">Recapitulación</w:t>
      </w:r>
      <w:r>
        <w:t xml:space="preserve">: con varias empresas, la comparación y la subasta sustituyen a la información que le falta al regulador, y el acceso a la red ordena la competencia en los servicios; la tabla </w:t>
      </w:r>
      <w:hyperlink w:anchor="tab_instrumentos">
        <w:r>
          <w:rPr>
            <w:rStyle w:val="Hyperlink"/>
          </w:rPr>
          <w:t xml:space="preserve">4</w:t>
        </w:r>
      </w:hyperlink>
      <w:r>
        <w:t xml:space="preserve"> </w:t>
      </w:r>
      <w:r>
        <w:t xml:space="preserve">resume qué da y qué cuesta cada instrumento.</w:t>
      </w:r>
    </w:p>
    <w:bookmarkStart w:id="185" w:name="tab_instrumentos"/>
    <w:p>
      <w:pPr>
        <w:pStyle w:val="TableCaption"/>
      </w:pPr>
      <w:r>
        <w:t xml:space="preserve">Tabla 4.–</w:t>
      </w:r>
      <w:r>
        <w:t xml:space="preserve"> </w:t>
      </w:r>
      <w:r>
        <w:t xml:space="preserve">Los instrumentos de regulación, comparados por sus propiedades</w:t>
      </w:r>
    </w:p>
    <w:tbl>
      <w:tblPr>
        <w:tblStyle w:val="Table"/>
        <w:tblW w:type="auto" w:w="0"/>
        <w:tblLook w:firstRow="1" w:lastRow="0" w:firstColumn="0" w:lastColumn="0" w:noHBand="0" w:noVBand="0" w:val="0020"/>
        <w:tblCaption w:val="Tabla 4.– Los instrumentos de regulación, comparados por sus propiedades"/>
      </w:tblPr>
      <w:tblGrid>
        <w:gridCol w:w="1320"/>
        <w:gridCol w:w="1320"/>
        <w:gridCol w:w="1320"/>
        <w:gridCol w:w="1320"/>
        <w:gridCol w:w="1320"/>
        <w:gridCol w:w="1320"/>
      </w:tblGrid>
      <w:tr>
        <w:trPr>
          <w:cantSplit/>
          <w:tblHeader w:val="on"/>
        </w:trPr>
        <w:tc>
          <w:tcPr>
            <w:shd w:val="clear" w:color="auto" w:fill="DDEBF7"/>
            <w:vAlign w:val="center"/>
          </w:tcPr>
          <w:p>
            <w:pPr>
              <w:pStyle w:val="Celdatceeazulpalido"/>
              <w:keepNext/>
              <w:jc w:val="left"/>
            </w:pPr>
            <w:r>
              <w:rPr>
                <w:b/>
                <w:bCs/>
              </w:rPr>
              <w:t xml:space="preserve">Instrumento</w:t>
            </w:r>
          </w:p>
        </w:tc>
        <w:tc>
          <w:tcPr>
            <w:shd w:val="clear" w:color="auto" w:fill="DDEBF7"/>
            <w:vAlign w:val="center"/>
          </w:tcPr>
          <w:p>
            <w:pPr>
              <w:pStyle w:val="Celdatceeazulpalido"/>
              <w:keepNext/>
              <w:jc w:val="center"/>
            </w:pPr>
            <w:r>
              <w:rPr>
                <w:b/>
                <w:bCs/>
              </w:rPr>
              <w:t xml:space="preserve">Potencia</w:t>
            </w:r>
            <w:r>
              <w:rPr>
                <w:b/>
                <w:bCs/>
              </w:rPr>
              <w:t xml:space="preserve"> </w:t>
            </w:r>
            <m:oMath>
              <m:r>
                <m:t>b</m:t>
              </m:r>
            </m:oMath>
          </w:p>
        </w:tc>
        <w:tc>
          <w:tcPr>
            <w:shd w:val="clear" w:color="auto" w:fill="DDEBF7"/>
            <w:vAlign w:val="center"/>
          </w:tcPr>
          <w:p>
            <w:pPr>
              <w:pStyle w:val="Celdatceeazulpalido"/>
              <w:keepNext/>
              <w:jc w:val="left"/>
            </w:pPr>
            <w:r>
              <w:rPr>
                <w:b/>
                <w:bCs/>
              </w:rPr>
              <w:t xml:space="preserve">¿Empuja a abaratar?</w:t>
            </w:r>
          </w:p>
        </w:tc>
        <w:tc>
          <w:tcPr>
            <w:shd w:val="clear" w:color="auto" w:fill="DDEBF7"/>
            <w:vAlign w:val="center"/>
          </w:tcPr>
          <w:p>
            <w:pPr>
              <w:pStyle w:val="Celdatceeazulpalido"/>
              <w:keepNext/>
              <w:jc w:val="left"/>
            </w:pPr>
            <w:r>
              <w:rPr>
                <w:b/>
                <w:bCs/>
              </w:rPr>
              <w:t xml:space="preserve">Renta para la empresa</w:t>
            </w:r>
          </w:p>
        </w:tc>
        <w:tc>
          <w:tcPr>
            <w:shd w:val="clear" w:color="auto" w:fill="DDEBF7"/>
            <w:vAlign w:val="center"/>
          </w:tcPr>
          <w:p>
            <w:pPr>
              <w:pStyle w:val="Celdatceeazulpalido"/>
              <w:keepNext/>
              <w:jc w:val="left"/>
            </w:pPr>
            <w:r>
              <w:rPr>
                <w:b/>
                <w:bCs/>
              </w:rPr>
              <w:t xml:space="preserve">Qué tiene que saber el regulador</w:t>
            </w:r>
          </w:p>
        </w:tc>
        <w:tc>
          <w:tcPr>
            <w:shd w:val="clear" w:color="auto" w:fill="DDEBF7"/>
            <w:vAlign w:val="center"/>
          </w:tcPr>
          <w:p>
            <w:pPr>
              <w:pStyle w:val="Celdatceeazulpalido"/>
              <w:keepNext/>
              <w:jc w:val="left"/>
            </w:pPr>
            <w:r>
              <w:rPr>
                <w:b/>
                <w:bCs/>
              </w:rPr>
              <w:t xml:space="preserve">Qué puede salir mal</w:t>
            </w:r>
          </w:p>
        </w:tc>
      </w:tr>
      <w:tr>
        <w:trPr>
          <w:cantSplit/>
        </w:trPr>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r>
      <w:tr>
        <w:trPr>
          <w:cantSplit/>
        </w:trPr>
        <w:tc>
          <w:tcPr>
            <w:vAlign w:val="center"/>
          </w:tcPr>
          <w:p>
            <w:pPr>
              <w:pStyle w:val="Compact"/>
              <w:jc w:val="left"/>
            </w:pPr>
            <m:oMath>
              <m:r>
                <m:t>p</m:t>
              </m:r>
              <m:r>
                <m:rPr>
                  <m:sty m:val="p"/>
                </m:rPr>
                <m:t>=</m:t>
              </m:r>
              <m:r>
                <m:rPr>
                  <m:sty m:val="p"/>
                </m:rPr>
                <m:t>C</m:t>
              </m:r>
              <m:r>
                <m:rPr>
                  <m:sty m:val="p"/>
                </m:rPr>
                <m:t>M</m:t>
              </m:r>
              <m:r>
                <m:rPr>
                  <m:sty m:val="p"/>
                </m:rPr>
                <m:t>g</m:t>
              </m:r>
            </m:oMath>
            <w:r>
              <w:t xml:space="preserve"> </w:t>
            </w:r>
            <w:r>
              <w:t xml:space="preserve">y subvención</w:t>
            </w:r>
          </w:p>
        </w:tc>
        <w:tc>
          <w:tcPr>
            <w:vAlign w:val="center"/>
          </w:tcPr>
          <w:p>
            <w:pPr>
              <w:pStyle w:val="Compact"/>
              <w:jc w:val="center"/>
            </w:pPr>
            <w:r>
              <w:rPr>
                <w:rStyle w:val="Textoazul"/>
              </w:rPr>
              <w:t xml:space="preserve">0</w:t>
            </w:r>
          </w:p>
        </w:tc>
        <w:tc>
          <w:tcPr>
            <w:vAlign w:val="center"/>
          </w:tcPr>
          <w:p>
            <w:pPr>
              <w:pStyle w:val="Compact"/>
              <w:jc w:val="left"/>
            </w:pPr>
            <w:r>
              <w:t xml:space="preserve">no: las pérdidas se cubren</w:t>
            </w:r>
          </w:p>
        </w:tc>
        <w:tc>
          <w:tcPr>
            <w:vAlign w:val="center"/>
          </w:tcPr>
          <w:p>
            <w:pPr>
              <w:pStyle w:val="Compact"/>
              <w:jc w:val="left"/>
            </w:pPr>
            <w:r>
              <w:t xml:space="preserve">nula</w:t>
            </w:r>
          </w:p>
        </w:tc>
        <w:tc>
          <w:tcPr>
            <w:vAlign w:val="center"/>
          </w:tcPr>
          <w:p>
            <w:pPr>
              <w:pStyle w:val="Compact"/>
              <w:jc w:val="left"/>
            </w:pPr>
            <w:r>
              <w:t xml:space="preserve">costes y demanda</w:t>
            </w:r>
          </w:p>
        </w:tc>
        <w:tc>
          <w:tcPr>
            <w:vAlign w:val="center"/>
          </w:tcPr>
          <w:p>
            <w:pPr>
              <w:pStyle w:val="Compact"/>
              <w:jc w:val="left"/>
            </w:pPr>
            <w:r>
              <w:t xml:space="preserve">impuestos para pagar la subvención</w:t>
            </w:r>
          </w:p>
        </w:tc>
      </w:tr>
      <w:tr>
        <w:trPr>
          <w:cantSplit/>
        </w:trPr>
        <w:tc>
          <w:tcPr>
            <w:vAlign w:val="center"/>
          </w:tcPr>
          <w:p>
            <w:pPr>
              <w:pStyle w:val="Compact"/>
              <w:jc w:val="left"/>
            </w:pPr>
            <m:oMath>
              <m:r>
                <m:t>p</m:t>
              </m:r>
              <m:r>
                <m:rPr>
                  <m:sty m:val="p"/>
                </m:rPr>
                <m:t>=</m:t>
              </m:r>
              <m:r>
                <m:rPr>
                  <m:sty m:val="p"/>
                </m:rPr>
                <m:t>C</m:t>
              </m:r>
              <m:r>
                <m:rPr>
                  <m:sty m:val="p"/>
                </m:rPr>
                <m:t>M</m:t>
              </m:r>
              <m:r>
                <m:rPr>
                  <m:sty m:val="p"/>
                </m:rPr>
                <m:t>e</m:t>
              </m:r>
            </m:oMath>
            <w:r>
              <w:t xml:space="preserve">, dos partes,</w:t>
            </w:r>
            <w:r>
              <w:t xml:space="preserve"> </w:t>
            </w:r>
            <w:r>
              <w:rPr>
                <w:smallCaps/>
              </w:rPr>
              <w:t xml:space="preserve">Ramsey</w:t>
            </w:r>
            <w:r>
              <w:t xml:space="preserve">-</w:t>
            </w:r>
            <w:r>
              <w:rPr>
                <w:smallCaps/>
              </w:rPr>
              <w:t xml:space="preserve">Boiteux</w:t>
            </w:r>
          </w:p>
        </w:tc>
        <w:tc>
          <w:tcPr>
            <w:vAlign w:val="center"/>
          </w:tcPr>
          <w:p>
            <w:pPr>
              <w:pStyle w:val="Compact"/>
              <w:jc w:val="center"/>
            </w:pPr>
            <w:r>
              <w:rPr>
                <w:rStyle w:val="Textoazul"/>
              </w:rPr>
              <w:t xml:space="preserve">0</w:t>
            </w:r>
          </w:p>
        </w:tc>
        <w:tc>
          <w:tcPr>
            <w:vAlign w:val="center"/>
          </w:tcPr>
          <w:p>
            <w:pPr>
              <w:pStyle w:val="Compact"/>
              <w:jc w:val="left"/>
            </w:pPr>
            <w:r>
              <w:t xml:space="preserve">poco</w:t>
            </w:r>
          </w:p>
        </w:tc>
        <w:tc>
          <w:tcPr>
            <w:vAlign w:val="center"/>
          </w:tcPr>
          <w:p>
            <w:pPr>
              <w:pStyle w:val="Compact"/>
              <w:jc w:val="left"/>
            </w:pPr>
            <w:r>
              <w:t xml:space="preserve">nula</w:t>
            </w:r>
          </w:p>
        </w:tc>
        <w:tc>
          <w:tcPr>
            <w:vAlign w:val="center"/>
          </w:tcPr>
          <w:p>
            <w:pPr>
              <w:pStyle w:val="Compact"/>
              <w:jc w:val="left"/>
            </w:pPr>
            <w:r>
              <w:t xml:space="preserve">costes; elasticidades para</w:t>
            </w:r>
            <w:r>
              <w:t xml:space="preserve"> </w:t>
            </w:r>
            <w:r>
              <w:rPr>
                <w:smallCaps/>
              </w:rPr>
              <w:t xml:space="preserve">Ramsey</w:t>
            </w:r>
          </w:p>
        </w:tc>
        <w:tc>
          <w:tcPr>
            <w:vAlign w:val="center"/>
          </w:tcPr>
          <w:p>
            <w:pPr>
              <w:pStyle w:val="Compact"/>
              <w:jc w:val="left"/>
            </w:pPr>
            <w:r>
              <w:t xml:space="preserve">clientes expulsados por la cuota fija; cargas mayores a los inelásticos</w:t>
            </w:r>
          </w:p>
        </w:tc>
      </w:tr>
      <w:tr>
        <w:trPr>
          <w:cantSplit/>
        </w:trPr>
        <w:tc>
          <w:tcPr>
            <w:shd w:val="clear" w:color="auto" w:fill="E2EFD9"/>
            <w:vAlign w:val="center"/>
          </w:tcPr>
          <w:p>
            <w:pPr>
              <w:pStyle w:val="Celdatceesalvia"/>
              <w:jc w:val="left"/>
            </w:pPr>
            <w:r>
              <w:t/>
            </w:r>
          </w:p>
        </w:tc>
        <w:tc>
          <w:tcPr>
            <w:shd w:val="clear" w:color="auto" w:fill="E2EFD9"/>
            <w:vAlign w:val="center"/>
          </w:tcPr>
          <w:p>
            <w:pPr>
              <w:pStyle w:val="Celdatceesalvia"/>
              <w:jc w:val="center"/>
            </w:pPr>
            <w:r>
              <w:t/>
            </w:r>
          </w:p>
        </w:tc>
        <w:tc>
          <w:tcPr>
            <w:shd w:val="clear" w:color="auto" w:fill="E2EFD9"/>
            <w:vAlign w:val="center"/>
          </w:tcPr>
          <w:p>
            <w:pPr>
              <w:pStyle w:val="Celdatceesalvia"/>
              <w:jc w:val="left"/>
            </w:pPr>
            <w:r>
              <w:t/>
            </w:r>
          </w:p>
        </w:tc>
        <w:tc>
          <w:tcPr>
            <w:shd w:val="clear" w:color="auto" w:fill="E2EFD9"/>
            <w:vAlign w:val="center"/>
          </w:tcPr>
          <w:p>
            <w:pPr>
              <w:pStyle w:val="Celdatceesalvia"/>
              <w:jc w:val="left"/>
            </w:pPr>
            <w:r>
              <w:t/>
            </w:r>
          </w:p>
        </w:tc>
        <w:tc>
          <w:tcPr>
            <w:shd w:val="clear" w:color="auto" w:fill="E2EFD9"/>
            <w:vAlign w:val="center"/>
          </w:tcPr>
          <w:p>
            <w:pPr>
              <w:pStyle w:val="Celdatceesalvia"/>
              <w:jc w:val="left"/>
            </w:pPr>
            <w:r>
              <w:t/>
            </w:r>
          </w:p>
        </w:tc>
        <w:tc>
          <w:tcPr>
            <w:shd w:val="clear" w:color="auto" w:fill="E2EFD9"/>
            <w:vAlign w:val="center"/>
          </w:tcPr>
          <w:p>
            <w:pPr>
              <w:pStyle w:val="Celdatceesalvia"/>
              <w:jc w:val="left"/>
            </w:pPr>
            <w:r>
              <w:t/>
            </w:r>
          </w:p>
        </w:tc>
      </w:tr>
      <w:tr>
        <w:trPr>
          <w:cantSplit/>
        </w:trPr>
        <w:tc>
          <w:tcPr>
            <w:vAlign w:val="center"/>
          </w:tcPr>
          <w:p>
            <w:pPr>
              <w:pStyle w:val="Compact"/>
              <w:jc w:val="left"/>
            </w:pPr>
            <w:r>
              <w:t xml:space="preserve">Tasa de rentabilidad</w:t>
            </w:r>
          </w:p>
        </w:tc>
        <w:tc>
          <w:tcPr>
            <w:vAlign w:val="center"/>
          </w:tcPr>
          <w:p>
            <w:pPr>
              <w:pStyle w:val="Compact"/>
              <w:jc w:val="center"/>
            </w:pPr>
            <m:oMath>
              <m:r>
                <m:rPr>
                  <m:sty m:val="p"/>
                </m:rPr>
                <m:t>≈</m:t>
              </m:r>
              <m:r>
                <m:t>0</m:t>
              </m:r>
            </m:oMath>
          </w:p>
        </w:tc>
        <w:tc>
          <w:tcPr>
            <w:vAlign w:val="center"/>
          </w:tcPr>
          <w:p>
            <w:pPr>
              <w:pStyle w:val="Compact"/>
              <w:jc w:val="left"/>
            </w:pPr>
            <w:r>
              <w:t xml:space="preserve">casi nada, salvo por el desfase</w:t>
            </w:r>
          </w:p>
        </w:tc>
        <w:tc>
          <w:tcPr>
            <w:vAlign w:val="center"/>
          </w:tcPr>
          <w:p>
            <w:pPr>
              <w:pStyle w:val="Compact"/>
              <w:jc w:val="left"/>
            </w:pPr>
            <w:r>
              <w:t xml:space="preserve">baja</w:t>
            </w:r>
          </w:p>
        </w:tc>
        <w:tc>
          <w:tcPr>
            <w:vAlign w:val="center"/>
          </w:tcPr>
          <w:p>
            <w:pPr>
              <w:pStyle w:val="Compact"/>
              <w:jc w:val="left"/>
            </w:pPr>
            <w:r>
              <w:t xml:space="preserve">beneficio contable y base de activos</w:t>
            </w:r>
          </w:p>
        </w:tc>
        <w:tc>
          <w:tcPr>
            <w:vAlign w:val="center"/>
          </w:tcPr>
          <w:p>
            <w:pPr>
              <w:pStyle w:val="Compact"/>
              <w:jc w:val="left"/>
            </w:pPr>
            <w:r>
              <w:rPr>
                <w:rStyle w:val="Textorojo"/>
              </w:rPr>
              <w:t xml:space="preserve">exceso de capital</w:t>
            </w:r>
          </w:p>
        </w:tc>
      </w:tr>
      <w:tr>
        <w:trPr>
          <w:cantSplit/>
        </w:trPr>
        <w:tc>
          <w:tcPr>
            <w:vAlign w:val="center"/>
          </w:tcPr>
          <w:p>
            <w:pPr>
              <w:pStyle w:val="Compact"/>
              <w:jc w:val="left"/>
            </w:pPr>
            <w:r>
              <w:t xml:space="preserve">Menú de</w:t>
            </w:r>
            <w:r>
              <w:t xml:space="preserve"> </w:t>
            </w:r>
            <w:r>
              <w:rPr>
                <w:smallCaps/>
              </w:rPr>
              <w:t xml:space="preserve">Laffont</w:t>
            </w:r>
            <w:r>
              <w:t xml:space="preserve">-</w:t>
            </w:r>
            <w:r>
              <w:rPr>
                <w:smallCaps/>
              </w:rPr>
              <w:t xml:space="preserve">Tirole</w:t>
            </w:r>
          </w:p>
        </w:tc>
        <w:tc>
          <w:tcPr>
            <w:vAlign w:val="center"/>
          </w:tcPr>
          <w:p>
            <w:pPr>
              <w:pStyle w:val="Compact"/>
              <w:jc w:val="center"/>
            </w:pPr>
            <w:r>
              <w:rPr>
                <w:rStyle w:val="Textomorado"/>
              </w:rPr>
              <w:t xml:space="preserve">de baja a 1, según el tipo</w:t>
            </w:r>
          </w:p>
        </w:tc>
        <w:tc>
          <w:tcPr>
            <w:vAlign w:val="center"/>
          </w:tcPr>
          <w:p>
            <w:pPr>
              <w:pStyle w:val="Compact"/>
              <w:jc w:val="left"/>
            </w:pPr>
            <w:r>
              <w:t xml:space="preserve">sí, sobre todo la eficiente</w:t>
            </w:r>
          </w:p>
        </w:tc>
        <w:tc>
          <w:tcPr>
            <w:vAlign w:val="center"/>
          </w:tcPr>
          <w:p>
            <w:pPr>
              <w:pStyle w:val="Compact"/>
              <w:jc w:val="left"/>
            </w:pPr>
            <w:r>
              <w:t xml:space="preserve">informativa, solo la eficiente</w:t>
            </w:r>
          </w:p>
        </w:tc>
        <w:tc>
          <w:tcPr>
            <w:vAlign w:val="center"/>
          </w:tcPr>
          <w:p>
            <w:pPr>
              <w:pStyle w:val="Compact"/>
              <w:jc w:val="left"/>
            </w:pPr>
            <w:r>
              <w:t xml:space="preserve">distribución de los tipos y</w:t>
            </w:r>
            <w:r>
              <w:t xml:space="preserve"> </w:t>
            </w:r>
            <m:oMath>
              <m:r>
                <m:t>ψ</m:t>
              </m:r>
              <m:d>
                <m:dPr>
                  <m:begChr m:val="("/>
                  <m:sepChr m:val=""/>
                  <m:endChr m:val=")"/>
                  <m:grow/>
                </m:dPr>
                <m:e>
                  <m:r>
                    <m:t>e</m:t>
                  </m:r>
                </m:e>
              </m:d>
            </m:oMath>
          </w:p>
        </w:tc>
        <w:tc>
          <w:tcPr>
            <w:vAlign w:val="center"/>
          </w:tcPr>
          <w:p>
            <w:pPr>
              <w:pStyle w:val="Compact"/>
              <w:jc w:val="left"/>
            </w:pPr>
            <w:r>
              <w:t xml:space="preserve">falta de compromiso; captura</w:t>
            </w:r>
          </w:p>
        </w:tc>
      </w:tr>
      <w:tr>
        <w:trPr>
          <w:cantSplit/>
        </w:trPr>
        <w:tc>
          <w:tcPr>
            <w:vAlign w:val="center"/>
          </w:tcPr>
          <w:p>
            <w:pPr>
              <w:pStyle w:val="Compact"/>
              <w:jc w:val="left"/>
            </w:pPr>
            <w:r>
              <w:rPr>
                <w:i/>
                <w:iCs/>
              </w:rPr>
              <w:t xml:space="preserve">Price cap</w:t>
            </w:r>
          </w:p>
        </w:tc>
        <w:tc>
          <w:tcPr>
            <w:vAlign w:val="center"/>
          </w:tcPr>
          <w:p>
            <w:pPr>
              <w:pStyle w:val="Compact"/>
              <w:jc w:val="center"/>
            </w:pPr>
            <w:r>
              <w:rPr>
                <w:rStyle w:val="Textomorado"/>
              </w:rPr>
              <w:t xml:space="preserve">1</w:t>
            </w:r>
          </w:p>
        </w:tc>
        <w:tc>
          <w:tcPr>
            <w:vAlign w:val="center"/>
          </w:tcPr>
          <w:p>
            <w:pPr>
              <w:pStyle w:val="Compact"/>
              <w:jc w:val="left"/>
            </w:pPr>
            <w:r>
              <w:rPr>
                <w:rStyle w:val="Textoverde"/>
              </w:rPr>
              <w:t xml:space="preserve">al máximo</w:t>
            </w:r>
          </w:p>
        </w:tc>
        <w:tc>
          <w:tcPr>
            <w:vAlign w:val="center"/>
          </w:tcPr>
          <w:p>
            <w:pPr>
              <w:pStyle w:val="Compact"/>
              <w:jc w:val="left"/>
            </w:pPr>
            <w:r>
              <w:t xml:space="preserve">alta si el tope es holgado</w:t>
            </w:r>
          </w:p>
        </w:tc>
        <w:tc>
          <w:tcPr>
            <w:vAlign w:val="center"/>
          </w:tcPr>
          <w:p>
            <w:pPr>
              <w:pStyle w:val="Compact"/>
              <w:jc w:val="left"/>
            </w:pPr>
            <w:r>
              <w:t xml:space="preserve">precio inicial y</w:t>
            </w:r>
            <w:r>
              <w:t xml:space="preserve"> </w:t>
            </w:r>
            <m:oMath>
              <m:r>
                <m:t>X</m:t>
              </m:r>
            </m:oMath>
          </w:p>
        </w:tc>
        <w:tc>
          <w:tcPr>
            <w:vAlign w:val="center"/>
          </w:tcPr>
          <w:p>
            <w:pPr>
              <w:pStyle w:val="Compact"/>
              <w:jc w:val="left"/>
            </w:pPr>
            <w:r>
              <w:t xml:space="preserve">menos calidad; trinquete; renegociación</w:t>
            </w:r>
          </w:p>
        </w:tc>
      </w:tr>
      <w:tr>
        <w:trPr>
          <w:cantSplit/>
        </w:trPr>
        <w:tc>
          <w:tcPr>
            <w:shd w:val="clear" w:color="auto" w:fill="E2EFD9"/>
            <w:vAlign w:val="center"/>
          </w:tcPr>
          <w:p>
            <w:pPr>
              <w:pStyle w:val="Celdatceesalvia"/>
              <w:jc w:val="left"/>
            </w:pPr>
            <w:r>
              <w:t/>
            </w:r>
          </w:p>
        </w:tc>
        <w:tc>
          <w:tcPr>
            <w:shd w:val="clear" w:color="auto" w:fill="E2EFD9"/>
            <w:vAlign w:val="center"/>
          </w:tcPr>
          <w:p>
            <w:pPr>
              <w:pStyle w:val="Celdatceesalvia"/>
              <w:jc w:val="center"/>
            </w:pPr>
            <w:r>
              <w:t/>
            </w:r>
          </w:p>
        </w:tc>
        <w:tc>
          <w:tcPr>
            <w:shd w:val="clear" w:color="auto" w:fill="E2EFD9"/>
            <w:vAlign w:val="center"/>
          </w:tcPr>
          <w:p>
            <w:pPr>
              <w:pStyle w:val="Celdatceesalvia"/>
              <w:jc w:val="left"/>
            </w:pPr>
            <w:r>
              <w:t/>
            </w:r>
          </w:p>
        </w:tc>
        <w:tc>
          <w:tcPr>
            <w:shd w:val="clear" w:color="auto" w:fill="E2EFD9"/>
            <w:vAlign w:val="center"/>
          </w:tcPr>
          <w:p>
            <w:pPr>
              <w:pStyle w:val="Celdatceesalvia"/>
              <w:jc w:val="left"/>
            </w:pPr>
            <w:r>
              <w:t/>
            </w:r>
          </w:p>
        </w:tc>
        <w:tc>
          <w:tcPr>
            <w:shd w:val="clear" w:color="auto" w:fill="E2EFD9"/>
            <w:vAlign w:val="center"/>
          </w:tcPr>
          <w:p>
            <w:pPr>
              <w:pStyle w:val="Celdatceesalvia"/>
              <w:jc w:val="left"/>
            </w:pPr>
            <w:r>
              <w:t/>
            </w:r>
          </w:p>
        </w:tc>
        <w:tc>
          <w:tcPr>
            <w:shd w:val="clear" w:color="auto" w:fill="E2EFD9"/>
            <w:vAlign w:val="center"/>
          </w:tcPr>
          <w:p>
            <w:pPr>
              <w:pStyle w:val="Celdatceesalvia"/>
              <w:jc w:val="left"/>
            </w:pPr>
            <w:r>
              <w:t/>
            </w:r>
          </w:p>
        </w:tc>
      </w:tr>
      <w:tr>
        <w:trPr>
          <w:cantSplit/>
        </w:trPr>
        <w:tc>
          <w:tcPr>
            <w:vAlign w:val="center"/>
          </w:tcPr>
          <w:p>
            <w:pPr>
              <w:pStyle w:val="Compact"/>
              <w:jc w:val="left"/>
            </w:pPr>
            <w:r>
              <w:rPr>
                <w:i/>
                <w:iCs/>
              </w:rPr>
              <w:t xml:space="preserve">Yardstick</w:t>
            </w:r>
          </w:p>
        </w:tc>
        <w:tc>
          <w:tcPr>
            <w:vAlign w:val="center"/>
          </w:tcPr>
          <w:p>
            <w:pPr>
              <w:pStyle w:val="Compact"/>
              <w:jc w:val="center"/>
            </w:pPr>
            <w:r>
              <w:rPr>
                <w:rStyle w:val="Textomorado"/>
              </w:rPr>
              <w:t xml:space="preserve">1</w:t>
            </w:r>
          </w:p>
        </w:tc>
        <w:tc>
          <w:tcPr>
            <w:vAlign w:val="center"/>
          </w:tcPr>
          <w:p>
            <w:pPr>
              <w:pStyle w:val="Compact"/>
              <w:jc w:val="left"/>
            </w:pPr>
            <w:r>
              <w:rPr>
                <w:rStyle w:val="Textoverde"/>
              </w:rPr>
              <w:t xml:space="preserve">al máximo</w:t>
            </w:r>
          </w:p>
        </w:tc>
        <w:tc>
          <w:tcPr>
            <w:vAlign w:val="center"/>
          </w:tcPr>
          <w:p>
            <w:pPr>
              <w:pStyle w:val="Compact"/>
              <w:jc w:val="left"/>
            </w:pPr>
            <w:r>
              <w:t xml:space="preserve">casi nula</w:t>
            </w:r>
          </w:p>
        </w:tc>
        <w:tc>
          <w:tcPr>
            <w:vAlign w:val="center"/>
          </w:tcPr>
          <w:p>
            <w:pPr>
              <w:pStyle w:val="Compact"/>
              <w:jc w:val="left"/>
            </w:pPr>
            <w:r>
              <w:t xml:space="preserve">costes de las demás</w:t>
            </w:r>
          </w:p>
        </w:tc>
        <w:tc>
          <w:tcPr>
            <w:vAlign w:val="center"/>
          </w:tcPr>
          <w:p>
            <w:pPr>
              <w:pStyle w:val="Compact"/>
              <w:jc w:val="left"/>
            </w:pPr>
            <w:r>
              <w:t xml:space="preserve">pacto entre las comparadas; entornos distintos</w:t>
            </w:r>
          </w:p>
        </w:tc>
      </w:tr>
      <w:tr>
        <w:trPr>
          <w:cantSplit/>
        </w:trPr>
        <w:tc>
          <w:tcPr>
            <w:vAlign w:val="center"/>
          </w:tcPr>
          <w:p>
            <w:pPr>
              <w:pStyle w:val="Compact"/>
              <w:jc w:val="left"/>
            </w:pPr>
            <w:r>
              <w:t xml:space="preserve">Subasta de la concesión</w:t>
            </w:r>
          </w:p>
        </w:tc>
        <w:tc>
          <w:tcPr>
            <w:vAlign w:val="center"/>
          </w:tcPr>
          <w:p>
            <w:pPr>
              <w:pStyle w:val="Compact"/>
              <w:jc w:val="center"/>
            </w:pPr>
            <w:r>
              <w:rPr>
                <w:rStyle w:val="Textomorado"/>
              </w:rPr>
              <w:t xml:space="preserve">la del contrato subastado</w:t>
            </w:r>
          </w:p>
        </w:tc>
        <w:tc>
          <w:tcPr>
            <w:vAlign w:val="center"/>
          </w:tcPr>
          <w:p>
            <w:pPr>
              <w:pStyle w:val="Compact"/>
              <w:jc w:val="left"/>
            </w:pPr>
            <w:r>
              <w:t xml:space="preserve">sí, al pujar</w:t>
            </w:r>
          </w:p>
        </w:tc>
        <w:tc>
          <w:tcPr>
            <w:vAlign w:val="center"/>
          </w:tcPr>
          <w:p>
            <w:pPr>
              <w:pStyle w:val="Compact"/>
              <w:jc w:val="left"/>
            </w:pPr>
            <w:r>
              <w:t xml:space="preserve">menor cuantos más pujan</w:t>
            </w:r>
          </w:p>
        </w:tc>
        <w:tc>
          <w:tcPr>
            <w:vAlign w:val="center"/>
          </w:tcPr>
          <w:p>
            <w:pPr>
              <w:pStyle w:val="Compact"/>
              <w:jc w:val="left"/>
            </w:pPr>
            <w:r>
              <w:t xml:space="preserve">nada de costes; sí, calidad exigible</w:t>
            </w:r>
          </w:p>
        </w:tc>
        <w:tc>
          <w:tcPr>
            <w:vAlign w:val="center"/>
          </w:tcPr>
          <w:p>
            <w:pPr>
              <w:pStyle w:val="Compact"/>
              <w:jc w:val="left"/>
            </w:pPr>
            <w:r>
              <w:t xml:space="preserve">contratos incompletos; ventaja del titular al renovar</w:t>
            </w:r>
          </w:p>
        </w:tc>
      </w:tr>
    </w:tbl>
    <w:bookmarkEnd w:id="185"/>
    <w:p>
      <w:pPr>
        <w:pStyle w:val="BodyText"/>
      </w:pPr>
      <w:r>
        <w:rPr>
          <w:i/>
          <w:iCs/>
        </w:rPr>
        <w:t xml:space="preserve">Fuente: elaboración propia a partir de</w:t>
      </w:r>
      <w:r>
        <w:rPr>
          <w:i/>
          <w:iCs/>
        </w:rPr>
        <w:t xml:space="preserve"> </w:t>
      </w:r>
      <w:r>
        <w:rPr>
          <w:i/>
          <w:iCs/>
          <w:smallCaps/>
        </w:rPr>
        <w:t xml:space="preserve">Laffont</w:t>
      </w:r>
      <w:r>
        <w:rPr>
          <w:i/>
          <w:iCs/>
        </w:rPr>
        <w:t xml:space="preserve"> </w:t>
      </w:r>
      <w:r>
        <w:rPr>
          <w:i/>
          <w:iCs/>
        </w:rPr>
        <w:t xml:space="preserve">y</w:t>
      </w:r>
      <w:r>
        <w:rPr>
          <w:i/>
          <w:iCs/>
        </w:rPr>
        <w:t xml:space="preserve"> </w:t>
      </w:r>
      <w:r>
        <w:rPr>
          <w:i/>
          <w:iCs/>
          <w:smallCaps/>
        </w:rPr>
        <w:t xml:space="preserve">Tirole</w:t>
      </w:r>
      <w:r>
        <w:rPr>
          <w:i/>
          <w:iCs/>
        </w:rPr>
        <w:t xml:space="preserve"> </w:t>
      </w:r>
      <w:r>
        <w:rPr>
          <w:i/>
          <w:iCs/>
        </w:rPr>
        <w:t xml:space="preserve">(</w:t>
      </w:r>
      <w:hyperlink w:anchor="ref_LaffontTirole1993Theory">
        <w:r>
          <w:rPr>
            <w:rStyle w:val="Hyperlink"/>
            <w:i/>
            <w:iCs/>
          </w:rPr>
          <w:t xml:space="preserve">1993</w:t>
        </w:r>
      </w:hyperlink>
      <w:r>
        <w:rPr>
          <w:i/>
          <w:iCs/>
        </w:rPr>
        <w:t xml:space="preserve">)</w:t>
      </w:r>
      <w:r>
        <w:rPr>
          <w:i/>
          <w:iCs/>
        </w:rPr>
        <w:t xml:space="preserve"> </w:t>
      </w:r>
      <w:r>
        <w:rPr>
          <w:i/>
          <w:iCs/>
        </w:rPr>
        <w:t xml:space="preserve">y</w:t>
      </w:r>
      <w:r>
        <w:rPr>
          <w:i/>
          <w:iCs/>
        </w:rPr>
        <w:t xml:space="preserve"> </w:t>
      </w:r>
      <w:r>
        <w:rPr>
          <w:i/>
          <w:iCs/>
          <w:smallCaps/>
        </w:rPr>
        <w:t xml:space="preserve">Armstrong</w:t>
      </w:r>
      <w:r>
        <w:rPr>
          <w:i/>
          <w:iCs/>
        </w:rPr>
        <w:t xml:space="preserve"> </w:t>
      </w:r>
      <w:r>
        <w:rPr>
          <w:i/>
          <w:iCs/>
        </w:rPr>
        <w:t xml:space="preserve">y</w:t>
      </w:r>
      <w:r>
        <w:rPr>
          <w:i/>
          <w:iCs/>
        </w:rPr>
        <w:t xml:space="preserve"> </w:t>
      </w:r>
      <w:r>
        <w:rPr>
          <w:i/>
          <w:iCs/>
          <w:smallCaps/>
        </w:rPr>
        <w:t xml:space="preserve">Sappington</w:t>
      </w:r>
      <w:r>
        <w:rPr>
          <w:i/>
          <w:iCs/>
        </w:rPr>
        <w:t xml:space="preserve"> </w:t>
      </w:r>
      <w:r>
        <w:rPr>
          <w:i/>
          <w:iCs/>
        </w:rPr>
        <w:t xml:space="preserve">(</w:t>
      </w:r>
      <w:hyperlink w:anchor="ref_ArmstrongSappington2007Recent">
        <w:r>
          <w:rPr>
            <w:rStyle w:val="Hyperlink"/>
            <w:i/>
            <w:iCs/>
          </w:rPr>
          <w:t xml:space="preserve">2007</w:t>
        </w:r>
      </w:hyperlink>
      <w:r>
        <w:rPr>
          <w:i/>
          <w:iCs/>
        </w:rPr>
        <w:t xml:space="preserve">)</w:t>
      </w:r>
      <w:r>
        <w:rPr>
          <w:i/>
          <w:iCs/>
        </w:rPr>
        <w:t xml:space="preserve">.</w:t>
      </w:r>
    </w:p>
    <w:bookmarkEnd w:id="186"/>
    <w:bookmarkEnd w:id="187"/>
    <w:bookmarkEnd w:id="188"/>
    <w:bookmarkStart w:id="190" w:name="conclusi__n"/>
    <w:p>
      <w:pPr>
        <w:pStyle w:val="Heading1"/>
      </w:pPr>
      <w:r>
        <w:t xml:space="preserve">Conclusión</w:t>
      </w:r>
      <w:r>
        <w:t xml:space="preserve"> </w:t>
      </w:r>
      <w:r>
        <w:rPr>
          <w:rStyle w:val="Minutos"/>
        </w:rPr>
        <w:t xml:space="preserve">1′</w:t>
      </w:r>
    </w:p>
    <w:p>
      <w:pPr>
        <w:keepNext/>
        <w:numPr>
          <w:ilvl w:val="0"/>
          <w:numId w:val="1123"/>
        </w:numPr>
      </w:pPr>
      <w:r>
        <w:rPr>
          <w:b/>
          <w:bCs/>
          <w:i/>
          <w:iCs/>
        </w:rPr>
        <w:t xml:space="preserve">Recapitulación</w:t>
      </w:r>
      <w:r>
        <w:t xml:space="preserve">: en conclusión,</w:t>
      </w:r>
    </w:p>
    <w:p>
      <w:pPr>
        <w:numPr>
          <w:ilvl w:val="1"/>
          <w:numId w:val="1124"/>
        </w:numPr>
      </w:pPr>
      <w:r>
        <w:t xml:space="preserve">el poder de mercado, la capacidad de fijar de forma duradera precios por encima del coste marginal, aleja al mercado del óptimo, y se mide (con el índice de</w:t>
      </w:r>
      <w:r>
        <w:t xml:space="preserve"> </w:t>
      </w:r>
      <w:r>
        <w:rPr>
          <w:smallCaps/>
        </w:rPr>
        <w:t xml:space="preserve">Lerner</w:t>
      </w:r>
      <w:r>
        <w:t xml:space="preserve"> </w:t>
      </w:r>
      <w:r>
        <w:t xml:space="preserve">o con las cuotas y el IHH) en un mercado relevante que se delimita con el test del monopolista hipotético (</w:t>
      </w:r>
      <w:hyperlink w:anchor="sec_informacion_completa">
        <w:r>
          <w:rPr>
            <w:rStyle w:val="Hyperlink"/>
          </w:rPr>
          <w:t xml:space="preserve">I</w:t>
        </w:r>
      </w:hyperlink>
      <w:r>
        <w:t xml:space="preserve">);</w:t>
      </w:r>
    </w:p>
    <w:p>
      <w:pPr>
        <w:numPr>
          <w:ilvl w:val="1"/>
          <w:numId w:val="1124"/>
        </w:numPr>
      </w:pPr>
      <w:r>
        <w:t xml:space="preserve">con información completa, el regulador sabe qué hacer:</w:t>
      </w:r>
      <w:r>
        <w:t xml:space="preserve"> </w:t>
      </w:r>
      <m:oMath>
        <m:r>
          <m:t>p</m:t>
        </m:r>
        <m:r>
          <m:rPr>
            <m:sty m:val="p"/>
          </m:rPr>
          <m:t>=</m:t>
        </m:r>
        <m:r>
          <m:rPr>
            <m:sty m:val="p"/>
          </m:rPr>
          <m:t>C</m:t>
        </m:r>
        <m:r>
          <m:rPr>
            <m:sty m:val="p"/>
          </m:rPr>
          <m:t>M</m:t>
        </m:r>
        <m:r>
          <m:rPr>
            <m:sty m:val="p"/>
          </m:rPr>
          <m:t>g</m:t>
        </m:r>
      </m:oMath>
      <w:r>
        <w:t xml:space="preserve"> </w:t>
      </w:r>
      <w:r>
        <w:t xml:space="preserve">con subvención o, si los fondos públicos cuestan, los segundos óptimos, de la tarifa en dos partes a</w:t>
      </w:r>
      <w:r>
        <w:t xml:space="preserve"> </w:t>
      </w:r>
      <w:r>
        <w:rPr>
          <w:smallCaps/>
        </w:rPr>
        <w:t xml:space="preserve">Ramsey</w:t>
      </w:r>
      <w:r>
        <w:t xml:space="preserve">-</w:t>
      </w:r>
      <w:r>
        <w:rPr>
          <w:smallCaps/>
        </w:rPr>
        <w:t xml:space="preserve">Boiteux</w:t>
      </w:r>
      <w:r>
        <w:t xml:space="preserve">;</w:t>
      </w:r>
    </w:p>
    <w:p>
      <w:pPr>
        <w:numPr>
          <w:ilvl w:val="1"/>
          <w:numId w:val="1124"/>
        </w:numPr>
      </w:pPr>
      <w:r>
        <w:t xml:space="preserve">con información asimétrica, tiene que dejar una renta informativa a la empresa eficiente: la regulación óptima equilibra incentivos y rentas, y la tasa de rentabilidad y el</w:t>
      </w:r>
      <w:r>
        <w:t xml:space="preserve"> </w:t>
      </w:r>
      <w:r>
        <w:rPr>
          <w:i/>
          <w:iCs/>
        </w:rPr>
        <w:t xml:space="preserve">price cap</w:t>
      </w:r>
      <w:r>
        <w:t xml:space="preserve"> </w:t>
      </w:r>
      <w:r>
        <w:t xml:space="preserve">son los 2 extremos del menú de</w:t>
      </w:r>
      <w:r>
        <w:t xml:space="preserve"> </w:t>
      </w:r>
      <w:r>
        <w:rPr>
          <w:smallCaps/>
        </w:rPr>
        <w:t xml:space="preserve">Laffont</w:t>
      </w:r>
      <w:r>
        <w:t xml:space="preserve"> </w:t>
      </w:r>
      <w:r>
        <w:t xml:space="preserve">y</w:t>
      </w:r>
      <w:r>
        <w:t xml:space="preserve"> </w:t>
      </w:r>
      <w:r>
        <w:rPr>
          <w:smallCaps/>
        </w:rPr>
        <w:t xml:space="preserve">Tirole</w:t>
      </w:r>
      <w:r>
        <w:t xml:space="preserve">; el compromiso y la captura deciden hacia cuál inclinarse (</w:t>
      </w:r>
      <w:hyperlink w:anchor="sec_informacion_asimetrica">
        <w:r>
          <w:rPr>
            <w:rStyle w:val="Hyperlink"/>
          </w:rPr>
          <w:t xml:space="preserve">II</w:t>
        </w:r>
      </w:hyperlink>
      <w:r>
        <w:t xml:space="preserve">);</w:t>
      </w:r>
    </w:p>
    <w:p>
      <w:pPr>
        <w:numPr>
          <w:ilvl w:val="1"/>
          <w:numId w:val="1124"/>
        </w:numPr>
      </w:pPr>
      <w:r>
        <w:t xml:space="preserve">con varias empresas, la comparación y la competencia por el mercado recortan esas rentas, y el acceso a la red ordena la competencia en los servicios (</w:t>
      </w:r>
      <w:hyperlink w:anchor="sec_varias_empresas">
        <w:r>
          <w:rPr>
            <w:rStyle w:val="Hyperlink"/>
          </w:rPr>
          <w:t xml:space="preserve">III</w:t>
        </w:r>
      </w:hyperlink>
      <w:r>
        <w:t xml:space="preserve">).</w:t>
      </w:r>
    </w:p>
    <w:p>
      <w:pPr>
        <w:numPr>
          <w:ilvl w:val="0"/>
          <w:numId w:val="1123"/>
        </w:numPr>
      </w:pPr>
      <w:r>
        <w:rPr>
          <w:b/>
          <w:bCs/>
          <w:i/>
          <w:iCs/>
        </w:rPr>
        <w:t xml:space="preserve">Relevancia</w:t>
      </w:r>
      <w:r>
        <w:t xml:space="preserve">: descarbonizar la economía obliga a ampliar mucho las redes eléctricas, y el dinero para hacerlo solo aparecerá si las reglas son estables y creíbles; y en la economía digital los cuellos de botella ya no son cables, sino datos y plataformas.</w:t>
      </w:r>
    </w:p>
    <w:p>
      <w:pPr>
        <w:numPr>
          <w:ilvl w:val="0"/>
          <w:numId w:val="1123"/>
        </w:numPr>
      </w:pPr>
      <w:r>
        <w:rPr>
          <w:b/>
          <w:bCs/>
          <w:i/>
          <w:iCs/>
        </w:rPr>
        <w:t xml:space="preserve">Extensiones</w:t>
      </w:r>
      <w:r>
        <w:t xml:space="preserve">: la empresa pública como alternativa a regular una empresa privada, y las privatizaciones</w:t>
      </w:r>
      <w:r>
        <w:t xml:space="preserve"> </w:t>
      </w:r>
      <w:hyperlink r:id="rId176">
        <w:r>
          <w:rPr>
            <w:rStyle w:val="Referenciaatema"/>
          </w:rPr>
          <w:t xml:space="preserve">[ver tema 4.B.15]</w:t>
        </w:r>
      </w:hyperlink>
      <w:r>
        <w:t xml:space="preserve">; la política de competencia de la Unión Europea y de España</w:t>
      </w:r>
      <w:r>
        <w:t xml:space="preserve"> </w:t>
      </w:r>
      <w:hyperlink r:id="rId20">
        <w:r>
          <w:rPr>
            <w:rStyle w:val="Referenciaatema"/>
          </w:rPr>
          <w:t xml:space="preserve">[ver tema 3.B.39]</w:t>
        </w:r>
      </w:hyperlink>
      <w:r>
        <w:t xml:space="preserve"> </w:t>
      </w:r>
      <w:hyperlink r:id="rId21">
        <w:r>
          <w:rPr>
            <w:rStyle w:val="Referenciaatema"/>
          </w:rPr>
          <w:t xml:space="preserve">[ver tema 4.A.15]</w:t>
        </w:r>
      </w:hyperlink>
      <w:r>
        <w:t xml:space="preserve">; la regulación de la energía, el transporte y las telecomunicaciones</w:t>
      </w:r>
      <w:r>
        <w:t xml:space="preserve"> </w:t>
      </w:r>
      <w:hyperlink r:id="rId189">
        <w:r>
          <w:rPr>
            <w:rStyle w:val="Referenciaatema"/>
          </w:rPr>
          <w:t xml:space="preserve">[ver tema 4.A.5]</w:t>
        </w:r>
      </w:hyperlink>
      <w:r>
        <w:t xml:space="preserve"> </w:t>
      </w:r>
      <w:hyperlink r:id="rId177">
        <w:r>
          <w:rPr>
            <w:rStyle w:val="Referenciaatema"/>
          </w:rPr>
          <w:t xml:space="preserve">[ver tema 4.A.12]</w:t>
        </w:r>
      </w:hyperlink>
      <w:r>
        <w:t xml:space="preserve">; la información asimétrica y el diseño de mecanismos</w:t>
      </w:r>
      <w:r>
        <w:t xml:space="preserve"> </w:t>
      </w:r>
      <w:hyperlink r:id="rId60">
        <w:r>
          <w:rPr>
            <w:rStyle w:val="Referenciaatema"/>
          </w:rPr>
          <w:t xml:space="preserve">[ver tema 3.A.13]</w:t>
        </w:r>
      </w:hyperlink>
      <w:r>
        <w:t xml:space="preserve"> </w:t>
      </w:r>
      <w:hyperlink r:id="rId70">
        <w:r>
          <w:rPr>
            <w:rStyle w:val="Referenciaatema"/>
          </w:rPr>
          <w:t xml:space="preserve">[ver tema 3.A.14]</w:t>
        </w:r>
      </w:hyperlink>
      <w:r>
        <w:t xml:space="preserve">; los fallos del sector público</w:t>
      </w:r>
      <w:r>
        <w:t xml:space="preserve"> </w:t>
      </w:r>
      <w:hyperlink r:id="rId23">
        <w:r>
          <w:rPr>
            <w:rStyle w:val="Referenciaatema"/>
          </w:rPr>
          <w:t xml:space="preserve">[ver tema 3.A.23]</w:t>
        </w:r>
      </w:hyperlink>
      <w:r>
        <w:t xml:space="preserve"> </w:t>
      </w:r>
      <w:r>
        <w:t xml:space="preserve">y los grupos de interés</w:t>
      </w:r>
      <w:r>
        <w:t xml:space="preserve"> </w:t>
      </w:r>
      <w:hyperlink r:id="rId139">
        <w:r>
          <w:rPr>
            <w:rStyle w:val="Referenciaatema"/>
          </w:rPr>
          <w:t xml:space="preserve">[ver tema 4.B.2]</w:t>
        </w:r>
      </w:hyperlink>
      <w:r>
        <w:t xml:space="preserve">.</w:t>
      </w:r>
    </w:p>
    <w:p>
      <w:pPr>
        <w:numPr>
          <w:ilvl w:val="0"/>
          <w:numId w:val="1123"/>
        </w:numPr>
      </w:pPr>
      <w:r>
        <w:rPr>
          <w:b/>
          <w:bCs/>
          <w:i/>
          <w:iCs/>
        </w:rPr>
        <w:t xml:space="preserve">Opinión</w:t>
      </w:r>
      <w:r>
        <w:t xml:space="preserve">: no hay un instrumento óptimo en general: depende de los costes, de lo que el regulador puede observar y del origen del poder de mercado. La defensa de la competencia basta frente a las conductas; frente a los monopolios naturales hace falta regulación con incentivos, y la potencia que conviene darles crece con la capacidad de compromiso y la independencia del regulador. Por eso importan tanto como las fórmulas las instituciones que las aplican.</w:t>
      </w:r>
    </w:p>
    <w:p>
      <w:pPr>
        <w:numPr>
          <w:ilvl w:val="0"/>
          <w:numId w:val="1123"/>
        </w:numPr>
      </w:pPr>
      <w:r>
        <w:rPr>
          <w:b/>
          <w:bCs/>
          <w:i/>
          <w:iCs/>
        </w:rPr>
        <w:t xml:space="preserve">Idea final</w:t>
      </w:r>
      <w:r>
        <w:t xml:space="preserve">: quien tiene poder de mercado tiene la sartén por el mango, y además es el único que sabe lo que hay dentro. La regulación óptima no le quita la sartén al monopolista natural, que es quien mejor cocina, sino que le paga lo justo para que nos deje ver lo que hay dentro: esa es la renta informativa.</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190"/>
    <w:bookmarkStart w:id="196" w:name="anexo_derivaciones"/>
    <w:p>
      <w:pPr>
        <w:pStyle w:val="Heading1"/>
      </w:pPr>
      <w:r>
        <w:t xml:space="preserve">A. Anexo: derivaciones</w:t>
      </w:r>
    </w:p>
    <w:bookmarkStart w:id="191" w:name="anexo_aj"/>
    <w:p>
      <w:pPr>
        <w:pStyle w:val="Heading2"/>
      </w:pPr>
      <w:r>
        <w:t xml:space="preserve">A.1. Efecto</w:t>
      </w:r>
      <w:r>
        <w:t xml:space="preserve"> </w:t>
      </w:r>
      <w:r>
        <w:rPr>
          <w:smallCaps/>
        </w:rPr>
        <w:t xml:space="preserve">Averch</w:t>
      </w:r>
      <w:r>
        <w:t xml:space="preserve">-</w:t>
      </w:r>
      <w:r>
        <w:rPr>
          <w:smallCaps/>
        </w:rPr>
        <w:t xml:space="preserve">Johnson</w:t>
      </w:r>
    </w:p>
    <w:p>
      <w:pPr>
        <w:numPr>
          <w:ilvl w:val="0"/>
          <w:numId w:val="1125"/>
        </w:numPr>
      </w:pPr>
      <w:r>
        <w:t xml:space="preserve">Sea</w:t>
      </w:r>
      <w:r>
        <w:t xml:space="preserve"> </w:t>
      </w:r>
      <m:oMath>
        <m:r>
          <m:t>I</m:t>
        </m:r>
        <m:d>
          <m:dPr>
            <m:begChr m:val="("/>
            <m:sepChr m:val=""/>
            <m:endChr m:val=")"/>
            <m:grow/>
          </m:dPr>
          <m:e>
            <m:sSub>
              <m:e>
                <m:r>
                  <m:t>z</m:t>
                </m:r>
              </m:e>
              <m:sub>
                <m:r>
                  <m:t>K</m:t>
                </m:r>
              </m:sub>
            </m:sSub>
            <m:r>
              <m:rPr>
                <m:sty m:val="p"/>
              </m:rPr>
              <m:t>,</m:t>
            </m:r>
            <m:sSub>
              <m:e>
                <m:r>
                  <m:t>z</m:t>
                </m:r>
              </m:e>
              <m:sub>
                <m:r>
                  <m:t>L</m:t>
                </m:r>
              </m:sub>
            </m:sSub>
          </m:e>
        </m:d>
        <m:r>
          <m:rPr>
            <m:sty m:val="p"/>
          </m:rPr>
          <m:t>=</m:t>
        </m:r>
        <m:r>
          <m:t>p</m:t>
        </m:r>
        <m:d>
          <m:dPr>
            <m:begChr m:val="("/>
            <m:sepChr m:val=""/>
            <m:endChr m:val=")"/>
            <m:grow/>
          </m:dPr>
          <m:e>
            <m:r>
              <m:t>F</m:t>
            </m:r>
            <m:d>
              <m:dPr>
                <m:begChr m:val="("/>
                <m:sepChr m:val=""/>
                <m:endChr m:val=")"/>
                <m:grow/>
              </m:dPr>
              <m:e>
                <m:sSub>
                  <m:e>
                    <m:r>
                      <m:t>z</m:t>
                    </m:r>
                  </m:e>
                  <m:sub>
                    <m:r>
                      <m:t>K</m:t>
                    </m:r>
                  </m:sub>
                </m:sSub>
                <m:r>
                  <m:rPr>
                    <m:sty m:val="p"/>
                  </m:rPr>
                  <m:t>,</m:t>
                </m:r>
                <m:sSub>
                  <m:e>
                    <m:r>
                      <m:t>z</m:t>
                    </m:r>
                  </m:e>
                  <m:sub>
                    <m:r>
                      <m:t>L</m:t>
                    </m:r>
                  </m:sub>
                </m:sSub>
              </m:e>
            </m:d>
          </m:e>
        </m:d>
        <m:r>
          <m:t> </m:t>
        </m:r>
        <m:r>
          <m:t>F</m:t>
        </m:r>
        <m:d>
          <m:dPr>
            <m:begChr m:val="("/>
            <m:sepChr m:val=""/>
            <m:endChr m:val=")"/>
            <m:grow/>
          </m:dPr>
          <m:e>
            <m:sSub>
              <m:e>
                <m:r>
                  <m:t>z</m:t>
                </m:r>
              </m:e>
              <m:sub>
                <m:r>
                  <m:t>K</m:t>
                </m:r>
              </m:sub>
            </m:sSub>
            <m:r>
              <m:rPr>
                <m:sty m:val="p"/>
              </m:rPr>
              <m:t>,</m:t>
            </m:r>
            <m:sSub>
              <m:e>
                <m:r>
                  <m:t>z</m:t>
                </m:r>
              </m:e>
              <m:sub>
                <m:r>
                  <m:t>L</m:t>
                </m:r>
              </m:sub>
            </m:sSub>
          </m:e>
        </m:d>
      </m:oMath>
      <w:r>
        <w:t xml:space="preserve"> </w:t>
      </w:r>
      <w:r>
        <w:t xml:space="preserve">el ingreso, con</w:t>
      </w:r>
      <w:r>
        <w:t xml:space="preserve"> </w:t>
      </w:r>
      <m:oMath>
        <m:sSub>
          <m:e>
            <m:r>
              <m:t>I</m:t>
            </m:r>
          </m:e>
          <m:sub>
            <m:r>
              <m:t>i</m:t>
            </m:r>
          </m:sub>
        </m:sSub>
        <m:r>
          <m:rPr>
            <m:sty m:val="p"/>
          </m:rPr>
          <m:t>=</m:t>
        </m:r>
        <m:r>
          <m:rPr>
            <m:sty m:val="p"/>
          </m:rPr>
          <m:t>I</m:t>
        </m:r>
        <m:r>
          <m:rPr>
            <m:sty m:val="p"/>
          </m:rPr>
          <m:t>M</m:t>
        </m:r>
        <m:r>
          <m:rPr>
            <m:sty m:val="p"/>
          </m:rPr>
          <m:t>g</m:t>
        </m:r>
        <m:r>
          <m:rPr>
            <m:sty m:val="p"/>
          </m:rPr>
          <m:t>⋅</m:t>
        </m:r>
        <m:sSub>
          <m:e>
            <m:r>
              <m:rPr>
                <m:sty m:val="p"/>
              </m:rPr>
              <m:t>P</m:t>
            </m:r>
            <m:r>
              <m:rPr>
                <m:sty m:val="p"/>
              </m:rPr>
              <m:t>M</m:t>
            </m:r>
            <m:r>
              <m:rPr>
                <m:sty m:val="p"/>
              </m:rPr>
              <m:t>g</m:t>
            </m:r>
          </m:e>
          <m:sub>
            <m:r>
              <m:t>i</m:t>
            </m:r>
          </m:sub>
        </m:sSub>
      </m:oMath>
      <w:r>
        <w:t xml:space="preserve">. La restricción de rentabilidad es</w:t>
      </w:r>
      <w:r>
        <w:t xml:space="preserve"> </w:t>
      </w:r>
      <m:oMath>
        <m:r>
          <m:t>I</m:t>
        </m:r>
        <m:r>
          <m:rPr>
            <m:sty m:val="p"/>
          </m:rPr>
          <m:t>−</m:t>
        </m:r>
        <m:sSub>
          <m:e>
            <m:r>
              <m:t>w</m:t>
            </m:r>
          </m:e>
          <m:sub>
            <m:r>
              <m:t>L</m:t>
            </m:r>
          </m:sub>
        </m:sSub>
        <m:sSub>
          <m:e>
            <m:r>
              <m:t>z</m:t>
            </m:r>
          </m:e>
          <m:sub>
            <m:r>
              <m:t>L</m:t>
            </m:r>
          </m:sub>
        </m:sSub>
        <m:r>
          <m:rPr>
            <m:sty m:val="p"/>
          </m:rPr>
          <m:t>≤</m:t>
        </m:r>
        <m:r>
          <m:t>s</m:t>
        </m:r>
        <m:r>
          <m:t> </m:t>
        </m:r>
        <m:sSub>
          <m:e>
            <m:r>
              <m:t>z</m:t>
            </m:r>
          </m:e>
          <m:sub>
            <m:r>
              <m:t>K</m:t>
            </m:r>
          </m:sub>
        </m:sSub>
      </m:oMath>
      <w:r>
        <w:t xml:space="preserve">. Con su multiplicador</w:t>
      </w:r>
      <w:r>
        <w:t xml:space="preserve"> </w:t>
      </w:r>
      <m:oMath>
        <m:r>
          <m:t>μ</m:t>
        </m:r>
        <m:r>
          <m:rPr>
            <m:sty m:val="p"/>
          </m:rPr>
          <m:t>≥</m:t>
        </m:r>
        <m:r>
          <m:t>0</m:t>
        </m:r>
      </m:oMath>
      <w:r>
        <w:t xml:space="preserve">, el problema penalizado es</w:t>
      </w:r>
    </w:p>
    <w:p>
      <w:pPr>
        <w:pStyle w:val="BodyText"/>
        <w:keepNext/>
      </w:pPr>
      <m:oMathPara>
        <m:oMathParaPr>
          <m:jc m:val="center"/>
        </m:oMathParaPr>
        <m:oMath>
          <m:r>
            <m:t>I</m:t>
          </m:r>
          <m:r>
            <m:rPr>
              <m:sty m:val="p"/>
            </m:rPr>
            <m:t>−</m:t>
          </m:r>
          <m:sSub>
            <m:e>
              <m:r>
                <m:t>w</m:t>
              </m:r>
            </m:e>
            <m:sub>
              <m:r>
                <m:t>K</m:t>
              </m:r>
            </m:sub>
          </m:sSub>
          <m:sSub>
            <m:e>
              <m:r>
                <m:t>z</m:t>
              </m:r>
            </m:e>
            <m:sub>
              <m:r>
                <m:t>K</m:t>
              </m:r>
            </m:sub>
          </m:sSub>
          <m:r>
            <m:rPr>
              <m:sty m:val="p"/>
            </m:rPr>
            <m:t>−</m:t>
          </m:r>
          <m:sSub>
            <m:e>
              <m:r>
                <m:t>w</m:t>
              </m:r>
            </m:e>
            <m:sub>
              <m:r>
                <m:t>L</m:t>
              </m:r>
            </m:sub>
          </m:sSub>
          <m:sSub>
            <m:e>
              <m:r>
                <m:t>z</m:t>
              </m:r>
            </m:e>
            <m:sub>
              <m:r>
                <m:t>L</m:t>
              </m:r>
            </m:sub>
          </m:sSub>
          <m:r>
            <m:rPr>
              <m:sty m:val="p"/>
            </m:rPr>
            <m:t>−</m:t>
          </m:r>
          <m:r>
            <m:t>μ</m:t>
          </m:r>
          <m:r>
            <m:t> </m:t>
          </m:r>
          <m:d>
            <m:dPr>
              <m:begChr m:val="["/>
              <m:sepChr m:val=""/>
              <m:endChr m:val="]"/>
              <m:grow/>
            </m:dPr>
            <m:e>
              <m:r>
                <m:t>I</m:t>
              </m:r>
              <m:r>
                <m:rPr>
                  <m:sty m:val="p"/>
                </m:rPr>
                <m:t>−</m:t>
              </m:r>
              <m:sSub>
                <m:e>
                  <m:r>
                    <m:t>w</m:t>
                  </m:r>
                </m:e>
                <m:sub>
                  <m:r>
                    <m:t>L</m:t>
                  </m:r>
                </m:sub>
              </m:sSub>
              <m:sSub>
                <m:e>
                  <m:r>
                    <m:t>z</m:t>
                  </m:r>
                </m:e>
                <m:sub>
                  <m:r>
                    <m:t>L</m:t>
                  </m:r>
                </m:sub>
              </m:sSub>
              <m:r>
                <m:rPr>
                  <m:sty m:val="p"/>
                </m:rPr>
                <m:t>−</m:t>
              </m:r>
              <m:r>
                <m:t>s</m:t>
              </m:r>
              <m:r>
                <m:t> </m:t>
              </m:r>
              <m:sSub>
                <m:e>
                  <m:r>
                    <m:t>z</m:t>
                  </m:r>
                </m:e>
                <m:sub>
                  <m:r>
                    <m:t>K</m:t>
                  </m:r>
                </m:sub>
              </m:sSub>
            </m:e>
          </m:d>
          <m:r>
            <m:rPr>
              <m:sty m:val="p"/>
            </m:rPr>
            <m:t>.</m:t>
          </m:r>
        </m:oMath>
      </m:oMathPara>
    </w:p>
    <w:p>
      <w:pPr>
        <w:numPr>
          <w:ilvl w:val="0"/>
          <w:numId w:val="1125"/>
        </w:numPr>
      </w:pPr>
      <w:r>
        <w:rPr>
          <w:i/>
          <w:iCs/>
        </w:rPr>
        <w:t xml:space="preserve">Condición de primer orden respecto a</w:t>
      </w:r>
      <w:r>
        <w:rPr>
          <w:i/>
          <w:iCs/>
        </w:rPr>
        <w:t xml:space="preserve"> </w:t>
      </w:r>
      <m:oMath>
        <m:sSub>
          <m:e>
            <m:r>
              <m:t>z</m:t>
            </m:r>
          </m:e>
          <m:sub>
            <m:r>
              <m:t>L</m:t>
            </m:r>
          </m:sub>
        </m:sSub>
      </m:oMath>
      <w:r>
        <w:t xml:space="preserve">:</w:t>
      </w:r>
      <w:r>
        <w:t xml:space="preserve"> </w:t>
      </w:r>
      <m:oMath>
        <m:d>
          <m:dPr>
            <m:begChr m:val="("/>
            <m:sepChr m:val=""/>
            <m:endChr m:val=")"/>
            <m:grow/>
          </m:dPr>
          <m:e>
            <m:r>
              <m:t>1</m:t>
            </m:r>
            <m:r>
              <m:rPr>
                <m:sty m:val="p"/>
              </m:rPr>
              <m:t>−</m:t>
            </m:r>
            <m:r>
              <m:t>μ</m:t>
            </m:r>
          </m:e>
        </m:d>
        <m:r>
          <m:t> </m:t>
        </m:r>
        <m:sSub>
          <m:e>
            <m:r>
              <m:t>I</m:t>
            </m:r>
          </m:e>
          <m:sub>
            <m:r>
              <m:t>L</m:t>
            </m:r>
          </m:sub>
        </m:sSub>
        <m:r>
          <m:rPr>
            <m:sty m:val="p"/>
          </m:rPr>
          <m:t>−</m:t>
        </m:r>
        <m:d>
          <m:dPr>
            <m:begChr m:val="("/>
            <m:sepChr m:val=""/>
            <m:endChr m:val=")"/>
            <m:grow/>
          </m:dPr>
          <m:e>
            <m:r>
              <m:t>1</m:t>
            </m:r>
            <m:r>
              <m:rPr>
                <m:sty m:val="p"/>
              </m:rPr>
              <m:t>−</m:t>
            </m:r>
            <m:r>
              <m:t>μ</m:t>
            </m:r>
          </m:e>
        </m:d>
        <m:r>
          <m:t> </m:t>
        </m:r>
        <m:sSub>
          <m:e>
            <m:r>
              <m:t>w</m:t>
            </m:r>
          </m:e>
          <m:sub>
            <m:r>
              <m:t>L</m:t>
            </m:r>
          </m:sub>
        </m:sSub>
        <m:r>
          <m:rPr>
            <m:sty m:val="p"/>
          </m:rPr>
          <m:t>=</m:t>
        </m:r>
        <m:r>
          <m:t>0</m:t>
        </m:r>
        <m:r>
          <m:rPr>
            <m:sty m:val="p"/>
          </m:rPr>
          <m:t>⇒</m:t>
        </m:r>
        <m:sSub>
          <m:e>
            <m:r>
              <m:t>I</m:t>
            </m:r>
          </m:e>
          <m:sub>
            <m:r>
              <m:t>L</m:t>
            </m:r>
          </m:sub>
        </m:sSub>
        <m:r>
          <m:rPr>
            <m:sty m:val="p"/>
          </m:rPr>
          <m:t>=</m:t>
        </m:r>
        <m:sSub>
          <m:e>
            <m:r>
              <m:t>w</m:t>
            </m:r>
          </m:e>
          <m:sub>
            <m:r>
              <m:t>L</m:t>
            </m:r>
          </m:sub>
        </m:sSub>
      </m:oMath>
      <w:r>
        <w:t xml:space="preserve">.</w:t>
      </w:r>
    </w:p>
    <w:p>
      <w:pPr>
        <w:numPr>
          <w:ilvl w:val="0"/>
          <w:numId w:val="1125"/>
        </w:numPr>
      </w:pPr>
      <w:r>
        <w:rPr>
          <w:i/>
          <w:iCs/>
        </w:rPr>
        <w:t xml:space="preserve">Condición de primer orden respecto a</w:t>
      </w:r>
      <w:r>
        <w:rPr>
          <w:i/>
          <w:iCs/>
        </w:rPr>
        <w:t xml:space="preserve"> </w:t>
      </w:r>
      <m:oMath>
        <m:sSub>
          <m:e>
            <m:r>
              <m:t>z</m:t>
            </m:r>
          </m:e>
          <m:sub>
            <m:r>
              <m:t>K</m:t>
            </m:r>
          </m:sub>
        </m:sSub>
      </m:oMath>
      <w:r>
        <w:t xml:space="preserve">:</w:t>
      </w:r>
      <w:r>
        <w:t xml:space="preserve"> </w:t>
      </w:r>
      <m:oMath>
        <m:d>
          <m:dPr>
            <m:begChr m:val="("/>
            <m:sepChr m:val=""/>
            <m:endChr m:val=")"/>
            <m:grow/>
          </m:dPr>
          <m:e>
            <m:r>
              <m:t>1</m:t>
            </m:r>
            <m:r>
              <m:rPr>
                <m:sty m:val="p"/>
              </m:rPr>
              <m:t>−</m:t>
            </m:r>
            <m:r>
              <m:t>μ</m:t>
            </m:r>
          </m:e>
        </m:d>
        <m:r>
          <m:t> </m:t>
        </m:r>
        <m:sSub>
          <m:e>
            <m:r>
              <m:t>I</m:t>
            </m:r>
          </m:e>
          <m:sub>
            <m:r>
              <m:t>K</m:t>
            </m:r>
          </m:sub>
        </m:sSub>
        <m:r>
          <m:rPr>
            <m:sty m:val="p"/>
          </m:rPr>
          <m:t>−</m:t>
        </m:r>
        <m:sSub>
          <m:e>
            <m:r>
              <m:t>w</m:t>
            </m:r>
          </m:e>
          <m:sub>
            <m:r>
              <m:t>K</m:t>
            </m:r>
          </m:sub>
        </m:sSub>
        <m:r>
          <m:rPr>
            <m:sty m:val="p"/>
          </m:rPr>
          <m:t>+</m:t>
        </m:r>
        <m:r>
          <m:t>μ</m:t>
        </m:r>
        <m:r>
          <m:t> </m:t>
        </m:r>
        <m:r>
          <m:t>s</m:t>
        </m:r>
        <m:r>
          <m:rPr>
            <m:sty m:val="p"/>
          </m:rPr>
          <m:t>=</m:t>
        </m:r>
        <m:r>
          <m:t>0</m:t>
        </m:r>
        <m:r>
          <m:rPr>
            <m:sty m:val="p"/>
          </m:rPr>
          <m:t>⇒</m:t>
        </m:r>
        <m:sSub>
          <m:e>
            <m:r>
              <m:t>I</m:t>
            </m:r>
          </m:e>
          <m:sub>
            <m:r>
              <m:t>K</m:t>
            </m:r>
          </m:sub>
        </m:sSub>
        <m:r>
          <m:rPr>
            <m:sty m:val="p"/>
          </m:rPr>
          <m:t>=</m:t>
        </m:r>
        <m:f>
          <m:fPr>
            <m:type m:val="bar"/>
          </m:fPr>
          <m:num>
            <m:sSub>
              <m:e>
                <m:r>
                  <m:t>w</m:t>
                </m:r>
              </m:e>
              <m:sub>
                <m:r>
                  <m:t>K</m:t>
                </m:r>
              </m:sub>
            </m:sSub>
            <m:r>
              <m:rPr>
                <m:sty m:val="p"/>
              </m:rPr>
              <m:t>−</m:t>
            </m:r>
            <m:r>
              <m:t>μ</m:t>
            </m:r>
            <m:r>
              <m:t>s</m:t>
            </m:r>
          </m:num>
          <m:den>
            <m:r>
              <m:t>1</m:t>
            </m:r>
            <m:r>
              <m:rPr>
                <m:sty m:val="p"/>
              </m:rPr>
              <m:t>−</m:t>
            </m:r>
            <m:r>
              <m:t>μ</m:t>
            </m:r>
          </m:den>
        </m:f>
        <m:r>
          <m:rPr>
            <m:sty m:val="p"/>
          </m:rPr>
          <m:t>=</m:t>
        </m:r>
        <m:sSub>
          <m:e>
            <m:r>
              <m:t>w</m:t>
            </m:r>
          </m:e>
          <m:sub>
            <m:r>
              <m:t>K</m:t>
            </m:r>
          </m:sub>
        </m:sSub>
        <m:r>
          <m:rPr>
            <m:sty m:val="p"/>
          </m:rPr>
          <m:t>−</m:t>
        </m:r>
        <m:f>
          <m:fPr>
            <m:type m:val="bar"/>
          </m:fPr>
          <m:num>
            <m:r>
              <m:t>μ</m:t>
            </m:r>
          </m:num>
          <m:den>
            <m:r>
              <m:t>1</m:t>
            </m:r>
            <m:r>
              <m:rPr>
                <m:sty m:val="p"/>
              </m:rPr>
              <m:t>−</m:t>
            </m:r>
            <m:r>
              <m:t>μ</m:t>
            </m:r>
          </m:den>
        </m:f>
        <m:r>
          <m:t> </m:t>
        </m:r>
        <m:d>
          <m:dPr>
            <m:begChr m:val="("/>
            <m:sepChr m:val=""/>
            <m:endChr m:val=")"/>
            <m:grow/>
          </m:dPr>
          <m:e>
            <m:r>
              <m:t>s</m:t>
            </m:r>
            <m:r>
              <m:rPr>
                <m:sty m:val="p"/>
              </m:rPr>
              <m:t>−</m:t>
            </m:r>
            <m:sSub>
              <m:e>
                <m:r>
                  <m:t>w</m:t>
                </m:r>
              </m:e>
              <m:sub>
                <m:r>
                  <m:t>K</m:t>
                </m:r>
              </m:sub>
            </m:sSub>
          </m:e>
        </m:d>
      </m:oMath>
      <w:r>
        <w:t xml:space="preserve">.</w:t>
      </w:r>
    </w:p>
    <w:p>
      <w:pPr>
        <w:numPr>
          <w:ilvl w:val="0"/>
          <w:numId w:val="1125"/>
        </w:numPr>
      </w:pPr>
      <w:r>
        <w:rPr>
          <w:i/>
          <w:iCs/>
        </w:rPr>
        <w:t xml:space="preserve">Signo del multiplicador</w:t>
      </w:r>
      <w:r>
        <w:t xml:space="preserve">: con la restricción activa y</w:t>
      </w:r>
      <w:r>
        <w:t xml:space="preserve"> </w:t>
      </w:r>
      <m:oMath>
        <m:r>
          <m:t>s</m:t>
        </m:r>
        <m:r>
          <m:rPr>
            <m:sty m:val="p"/>
          </m:rPr>
          <m:t>&gt;</m:t>
        </m:r>
        <m:sSub>
          <m:e>
            <m:r>
              <m:t>w</m:t>
            </m:r>
          </m:e>
          <m:sub>
            <m:r>
              <m:t>K</m:t>
            </m:r>
          </m:sub>
        </m:sSub>
      </m:oMath>
      <w:r>
        <w:t xml:space="preserve">,</w:t>
      </w:r>
      <w:r>
        <w:t xml:space="preserve"> </w:t>
      </w:r>
      <m:oMath>
        <m:r>
          <m:t>0</m:t>
        </m:r>
        <m:r>
          <m:rPr>
            <m:sty m:val="p"/>
          </m:rPr>
          <m:t>&lt;</m:t>
        </m:r>
        <m:r>
          <m:t>μ</m:t>
        </m:r>
        <m:r>
          <m:rPr>
            <m:sty m:val="p"/>
          </m:rPr>
          <m:t>&lt;</m:t>
        </m:r>
        <m:r>
          <m:t>1</m:t>
        </m:r>
      </m:oMath>
      <w:r>
        <w:t xml:space="preserve"> </w:t>
      </w:r>
      <w:r>
        <w:t xml:space="preserve">(</w:t>
      </w:r>
      <w:hyperlink w:anchor="ref_AverchJohnson1962Behavior">
        <w:r>
          <w:rPr>
            <w:rStyle w:val="Hyperlink"/>
            <w:smallCaps/>
          </w:rPr>
          <w:t xml:space="preserve">Averch</w:t>
        </w:r>
        <w:r>
          <w:rPr>
            <w:rStyle w:val="Hyperlink"/>
          </w:rPr>
          <w:t xml:space="preserve"> </w:t>
        </w:r>
        <w:r>
          <w:rPr>
            <w:rStyle w:val="Hyperlink"/>
          </w:rPr>
          <w:t xml:space="preserve">y</w:t>
        </w:r>
        <w:r>
          <w:rPr>
            <w:rStyle w:val="Hyperlink"/>
          </w:rPr>
          <w:t xml:space="preserve"> </w:t>
        </w:r>
        <w:r>
          <w:rPr>
            <w:rStyle w:val="Hyperlink"/>
            <w:smallCaps/>
          </w:rPr>
          <w:t xml:space="preserve">Johnson</w:t>
        </w:r>
        <w:r>
          <w:rPr>
            <w:rStyle w:val="Hyperlink"/>
          </w:rPr>
          <w:t xml:space="preserve">, 1962</w:t>
        </w:r>
      </w:hyperlink>
      <w:r>
        <w:t xml:space="preserve">)</w:t>
      </w:r>
      <w:r>
        <w:t xml:space="preserve">; con</w:t>
      </w:r>
      <w:r>
        <w:t xml:space="preserve"> </w:t>
      </w:r>
      <m:oMath>
        <m:r>
          <m:t>μ</m:t>
        </m:r>
        <m:r>
          <m:rPr>
            <m:sty m:val="p"/>
          </m:rPr>
          <m:t>=</m:t>
        </m:r>
        <m:r>
          <m:t>0</m:t>
        </m:r>
      </m:oMath>
      <w:r>
        <w:t xml:space="preserve"> </w:t>
      </w:r>
      <w:r>
        <w:t xml:space="preserve">la restricción no aprieta.</w:t>
      </w:r>
    </w:p>
    <w:p>
      <w:pPr>
        <w:numPr>
          <w:ilvl w:val="0"/>
          <w:numId w:val="1125"/>
        </w:numPr>
      </w:pPr>
      <w:r>
        <w:rPr>
          <w:i/>
          <w:iCs/>
        </w:rPr>
        <w:t xml:space="preserve">Cociente</w:t>
      </w:r>
      <w:r>
        <w:t xml:space="preserve">: dividiendo las 2 condiciones,</w:t>
      </w:r>
    </w:p>
    <w:p>
      <w:pPr>
        <w:pStyle w:val="BodyText"/>
        <w:keepNext/>
      </w:pPr>
      <m:oMathPara>
        <m:oMathParaPr>
          <m:jc m:val="center"/>
        </m:oMathParaPr>
        <m:oMath>
          <m:f>
            <m:fPr>
              <m:type m:val="bar"/>
            </m:fPr>
            <m:num>
              <m:sSub>
                <m:e>
                  <m:r>
                    <m:rPr>
                      <m:sty m:val="p"/>
                    </m:rPr>
                    <m:t>P</m:t>
                  </m:r>
                  <m:r>
                    <m:rPr>
                      <m:sty m:val="p"/>
                    </m:rPr>
                    <m:t>M</m:t>
                  </m:r>
                  <m:r>
                    <m:rPr>
                      <m:sty m:val="p"/>
                    </m:rPr>
                    <m:t>g</m:t>
                  </m:r>
                </m:e>
                <m:sub>
                  <m:r>
                    <m:t>L</m:t>
                  </m:r>
                </m:sub>
              </m:sSub>
            </m:num>
            <m:den>
              <m:sSub>
                <m:e>
                  <m:r>
                    <m:rPr>
                      <m:sty m:val="p"/>
                    </m:rPr>
                    <m:t>P</m:t>
                  </m:r>
                  <m:r>
                    <m:rPr>
                      <m:sty m:val="p"/>
                    </m:rPr>
                    <m:t>M</m:t>
                  </m:r>
                  <m:r>
                    <m:rPr>
                      <m:sty m:val="p"/>
                    </m:rPr>
                    <m:t>g</m:t>
                  </m:r>
                </m:e>
                <m:sub>
                  <m:r>
                    <m:t>K</m:t>
                  </m:r>
                </m:sub>
              </m:sSub>
            </m:den>
          </m:f>
          <m:r>
            <m:rPr>
              <m:sty m:val="p"/>
            </m:rPr>
            <m:t>=</m:t>
          </m:r>
          <m:f>
            <m:fPr>
              <m:type m:val="bar"/>
            </m:fPr>
            <m:num>
              <m:sSub>
                <m:e>
                  <m:r>
                    <m:t>I</m:t>
                  </m:r>
                </m:e>
                <m:sub>
                  <m:r>
                    <m:t>L</m:t>
                  </m:r>
                </m:sub>
              </m:sSub>
            </m:num>
            <m:den>
              <m:sSub>
                <m:e>
                  <m:r>
                    <m:t>I</m:t>
                  </m:r>
                </m:e>
                <m:sub>
                  <m:r>
                    <m:t>K</m:t>
                  </m:r>
                </m:sub>
              </m:sSub>
            </m:den>
          </m:f>
          <m:r>
            <m:rPr>
              <m:sty m:val="p"/>
            </m:rPr>
            <m:t>=</m:t>
          </m:r>
          <m:f>
            <m:fPr>
              <m:type m:val="bar"/>
            </m:fPr>
            <m:num>
              <m:sSub>
                <m:e>
                  <m:r>
                    <m:t>w</m:t>
                  </m:r>
                </m:e>
                <m:sub>
                  <m:r>
                    <m:t>L</m:t>
                  </m:r>
                </m:sub>
              </m:sSub>
            </m:num>
            <m:den>
              <m:sSub>
                <m:e>
                  <m:r>
                    <m:t>w</m:t>
                  </m:r>
                </m:e>
                <m:sub>
                  <m:r>
                    <m:t>K</m:t>
                  </m:r>
                </m:sub>
              </m:sSub>
              <m:r>
                <m:rPr>
                  <m:sty m:val="p"/>
                </m:rPr>
                <m:t>−</m:t>
              </m:r>
              <m:f>
                <m:fPr>
                  <m:type m:val="bar"/>
                </m:fPr>
                <m:num>
                  <m:r>
                    <m:t>μ</m:t>
                  </m:r>
                </m:num>
                <m:den>
                  <m:r>
                    <m:t>1</m:t>
                  </m:r>
                  <m:r>
                    <m:rPr>
                      <m:sty m:val="p"/>
                    </m:rPr>
                    <m:t>−</m:t>
                  </m:r>
                  <m:r>
                    <m:t>μ</m:t>
                  </m:r>
                </m:den>
              </m:f>
              <m:d>
                <m:dPr>
                  <m:begChr m:val="("/>
                  <m:sepChr m:val=""/>
                  <m:endChr m:val=")"/>
                  <m:grow/>
                </m:dPr>
                <m:e>
                  <m:r>
                    <m:t>s</m:t>
                  </m:r>
                  <m:r>
                    <m:rPr>
                      <m:sty m:val="p"/>
                    </m:rPr>
                    <m:t>−</m:t>
                  </m:r>
                  <m:sSub>
                    <m:e>
                      <m:r>
                        <m:t>w</m:t>
                      </m:r>
                    </m:e>
                    <m:sub>
                      <m:r>
                        <m:t>K</m:t>
                      </m:r>
                    </m:sub>
                  </m:sSub>
                </m:e>
              </m:d>
            </m:den>
          </m:f>
          <m:r>
            <m:rPr>
              <m:sty m:val="p"/>
            </m:rPr>
            <m:t>&gt;</m:t>
          </m:r>
          <m:f>
            <m:fPr>
              <m:type m:val="bar"/>
            </m:fPr>
            <m:num>
              <m:sSub>
                <m:e>
                  <m:r>
                    <m:t>w</m:t>
                  </m:r>
                </m:e>
                <m:sub>
                  <m:r>
                    <m:t>L</m:t>
                  </m:r>
                </m:sub>
              </m:sSub>
            </m:num>
            <m:den>
              <m:sSub>
                <m:e>
                  <m:r>
                    <m:t>w</m:t>
                  </m:r>
                </m:e>
                <m:sub>
                  <m:r>
                    <m:t>K</m:t>
                  </m:r>
                </m:sub>
              </m:sSub>
            </m:den>
          </m:f>
          <m:r>
            <m:rPr>
              <m:sty m:val="p"/>
            </m:rPr>
            <m:t>.</m:t>
          </m:r>
        </m:oMath>
      </m:oMathPara>
    </w:p>
    <w:p>
      <w:pPr>
        <w:numPr>
          <w:ilvl w:val="0"/>
          <w:numId w:val="1000"/>
        </w:numPr>
      </w:pPr>
      <w:r>
        <w:t xml:space="preserve">Con</w:t>
      </w:r>
      <w:r>
        <w:t xml:space="preserve"> </w:t>
      </w:r>
      <m:oMath>
        <m:r>
          <m:t>s</m:t>
        </m:r>
        <m:r>
          <m:rPr>
            <m:sty m:val="p"/>
          </m:rPr>
          <m:t>&gt;</m:t>
        </m:r>
        <m:sSub>
          <m:e>
            <m:r>
              <m:t>w</m:t>
            </m:r>
          </m:e>
          <m:sub>
            <m:r>
              <m:t>K</m:t>
            </m:r>
          </m:sub>
        </m:sSub>
      </m:oMath>
      <w:r>
        <w:t xml:space="preserve"> </w:t>
      </w:r>
      <w:r>
        <w:t xml:space="preserve">y</w:t>
      </w:r>
      <w:r>
        <w:t xml:space="preserve"> </w:t>
      </w:r>
      <m:oMath>
        <m:r>
          <m:t>0</m:t>
        </m:r>
        <m:r>
          <m:rPr>
            <m:sty m:val="p"/>
          </m:rPr>
          <m:t>&lt;</m:t>
        </m:r>
        <m:r>
          <m:t>μ</m:t>
        </m:r>
        <m:r>
          <m:rPr>
            <m:sty m:val="p"/>
          </m:rPr>
          <m:t>&lt;</m:t>
        </m:r>
        <m:r>
          <m:t>1</m:t>
        </m:r>
      </m:oMath>
      <w:r>
        <w:t xml:space="preserve">, el denominador es menor que</w:t>
      </w:r>
      <w:r>
        <w:t xml:space="preserve"> </w:t>
      </w:r>
      <m:oMath>
        <m:sSub>
          <m:e>
            <m:r>
              <m:t>w</m:t>
            </m:r>
          </m:e>
          <m:sub>
            <m:r>
              <m:t>K</m:t>
            </m:r>
          </m:sub>
        </m:sSub>
      </m:oMath>
      <w:r>
        <w:t xml:space="preserve">: la empresa usa capital hasta donde su productividad marginal es menor que la que exige el mínimo coste, como si el capital le costara</w:t>
      </w:r>
      <w:r>
        <w:t xml:space="preserve"> </w:t>
      </w:r>
      <m:oMath>
        <m:sSub>
          <m:e>
            <m:r>
              <m:t>w</m:t>
            </m:r>
          </m:e>
          <m:sub>
            <m:r>
              <m:t>K</m:t>
            </m:r>
          </m:sub>
        </m:sSub>
        <m:r>
          <m:rPr>
            <m:sty m:val="p"/>
          </m:rPr>
          <m:t>−</m:t>
        </m:r>
        <m:r>
          <m:t>μ</m:t>
        </m:r>
        <m:d>
          <m:dPr>
            <m:begChr m:val="("/>
            <m:sepChr m:val=""/>
            <m:endChr m:val=")"/>
            <m:grow/>
          </m:dPr>
          <m:e>
            <m:r>
              <m:t>s</m:t>
            </m:r>
            <m:r>
              <m:rPr>
                <m:sty m:val="p"/>
              </m:rPr>
              <m:t>−</m:t>
            </m:r>
            <m:sSub>
              <m:e>
                <m:r>
                  <m:t>w</m:t>
                </m:r>
              </m:e>
              <m:sub>
                <m:r>
                  <m:t>K</m:t>
                </m:r>
              </m:sub>
            </m:sSub>
          </m:e>
        </m:d>
        <m:r>
          <m:rPr>
            <m:sty m:val="p"/>
          </m:rPr>
          <m:t>/</m:t>
        </m:r>
        <m:d>
          <m:dPr>
            <m:begChr m:val="("/>
            <m:sepChr m:val=""/>
            <m:endChr m:val=")"/>
            <m:grow/>
          </m:dPr>
          <m:e>
            <m:r>
              <m:t>1</m:t>
            </m:r>
            <m:r>
              <m:rPr>
                <m:sty m:val="p"/>
              </m:rPr>
              <m:t>−</m:t>
            </m:r>
            <m:r>
              <m:t>μ</m:t>
            </m:r>
          </m:e>
        </m:d>
        <m:r>
          <m:rPr>
            <m:sty m:val="p"/>
          </m:rPr>
          <m:t>&lt;</m:t>
        </m:r>
        <m:sSub>
          <m:e>
            <m:r>
              <m:t>w</m:t>
            </m:r>
          </m:e>
          <m:sub>
            <m:r>
              <m:t>K</m:t>
            </m:r>
          </m:sub>
        </m:sSub>
      </m:oMath>
      <w:r>
        <w:t xml:space="preserve">. Sobrecapitaliza (</w:t>
      </w:r>
      <w:hyperlink w:anchor="eq_averch_johnson">
        <w:r>
          <w:rPr>
            <w:rStyle w:val="Hyperlink"/>
          </w:rPr>
          <w:t xml:space="preserve">5</w:t>
        </w:r>
      </w:hyperlink>
      <w:r>
        <w:t xml:space="preserve">).</w:t>
      </w:r>
    </w:p>
    <w:p>
      <w:pPr>
        <w:numPr>
          <w:ilvl w:val="0"/>
          <w:numId w:val="1125"/>
        </w:numPr>
      </w:pPr>
      <w:r>
        <w:rPr>
          <w:i/>
          <w:iCs/>
        </w:rPr>
        <w:t xml:space="preserve">Casos límite</w:t>
      </w:r>
      <w:r>
        <w:t xml:space="preserve">: si</w:t>
      </w:r>
      <w:r>
        <w:t xml:space="preserve"> </w:t>
      </w:r>
      <m:oMath>
        <m:r>
          <m:t>s</m:t>
        </m:r>
      </m:oMath>
      <w:r>
        <w:t xml:space="preserve"> </w:t>
      </w:r>
      <w:r>
        <w:t xml:space="preserve">supera la rentabilidad sin regular, la restricción no aprieta (</w:t>
      </w:r>
      <m:oMath>
        <m:r>
          <m:t>μ</m:t>
        </m:r>
        <m:r>
          <m:rPr>
            <m:sty m:val="p"/>
          </m:rPr>
          <m:t>=</m:t>
        </m:r>
        <m:r>
          <m:t>0</m:t>
        </m:r>
      </m:oMath>
      <w:r>
        <w:t xml:space="preserve">) y no hay efecto; si</w:t>
      </w:r>
      <w:r>
        <w:t xml:space="preserve"> </w:t>
      </w:r>
      <m:oMath>
        <m:r>
          <m:t>s</m:t>
        </m:r>
        <m:r>
          <m:rPr>
            <m:sty m:val="p"/>
          </m:rPr>
          <m:t>=</m:t>
        </m:r>
        <m:sSub>
          <m:e>
            <m:r>
              <m:t>w</m:t>
            </m:r>
          </m:e>
          <m:sub>
            <m:r>
              <m:t>K</m:t>
            </m:r>
          </m:sub>
        </m:sSub>
      </m:oMath>
      <w:r>
        <w:t xml:space="preserve">, el beneficio económico permitido es cero y no hay una combinación de factores determinada. ∎</w:t>
      </w:r>
    </w:p>
    <w:bookmarkEnd w:id="191"/>
    <w:bookmarkStart w:id="192" w:name="anexo_baron_myerson"/>
    <w:p>
      <w:pPr>
        <w:pStyle w:val="Heading2"/>
      </w:pPr>
      <w:r>
        <w:t xml:space="preserve">A.2.</w:t>
      </w:r>
      <w:r>
        <w:t xml:space="preserve"> </w:t>
      </w:r>
      <w:r>
        <w:rPr>
          <w:smallCaps/>
        </w:rPr>
        <w:t xml:space="preserve">Baron</w:t>
      </w:r>
      <w:r>
        <w:t xml:space="preserve">-</w:t>
      </w:r>
      <w:r>
        <w:rPr>
          <w:smallCaps/>
        </w:rPr>
        <w:t xml:space="preserve">Myerson</w:t>
      </w:r>
      <w:r>
        <w:t xml:space="preserve"> </w:t>
      </w:r>
      <w:r>
        <w:t xml:space="preserve">con 2 tipos</w:t>
      </w:r>
    </w:p>
    <w:p>
      <w:pPr>
        <w:numPr>
          <w:ilvl w:val="0"/>
          <w:numId w:val="1126"/>
        </w:numPr>
      </w:pPr>
      <w:r>
        <w:rPr>
          <w:i/>
          <w:iCs/>
        </w:rPr>
        <w:t xml:space="preserve">Restricciones</w:t>
      </w:r>
      <w:r>
        <w:t xml:space="preserve">. Si la empresa eficiente elige</w:t>
      </w:r>
      <w:r>
        <w:t xml:space="preserve"> </w:t>
      </w:r>
      <m:oMath>
        <m:d>
          <m:dPr>
            <m:begChr m:val="("/>
            <m:sepChr m:val=""/>
            <m:endChr m:val=")"/>
            <m:grow/>
          </m:dPr>
          <m:e>
            <m:bar>
              <m:barPr>
                <m:pos m:val="top"/>
              </m:barPr>
              <m:e>
                <m:r>
                  <m:t>q</m:t>
                </m:r>
              </m:e>
            </m:bar>
            <m:r>
              <m:rPr>
                <m:sty m:val="p"/>
              </m:rPr>
              <m:t>,</m:t>
            </m:r>
            <m:bar>
              <m:barPr>
                <m:pos m:val="top"/>
              </m:barPr>
              <m:e>
                <m:r>
                  <m:t>t</m:t>
                </m:r>
              </m:e>
            </m:bar>
          </m:e>
        </m:d>
      </m:oMath>
      <w:r>
        <w:t xml:space="preserve">, obtiene</w:t>
      </w:r>
      <w:r>
        <w:t xml:space="preserve"> </w:t>
      </w:r>
      <m:oMath>
        <m:bar>
          <m:barPr>
            <m:pos m:val="top"/>
          </m:barPr>
          <m:e>
            <m:r>
              <m:t>t</m:t>
            </m:r>
          </m:e>
        </m:bar>
        <m:r>
          <m:rPr>
            <m:sty m:val="p"/>
          </m:rPr>
          <m:t>−</m:t>
        </m:r>
        <m:bar>
          <m:barPr>
            <m:pos m:val="bot"/>
          </m:barPr>
          <m:e>
            <m:r>
              <m:t>β</m:t>
            </m:r>
          </m:e>
        </m:bar>
        <m:r>
          <m:t> </m:t>
        </m:r>
        <m:bar>
          <m:barPr>
            <m:pos m:val="top"/>
          </m:barPr>
          <m:e>
            <m:r>
              <m:t>q</m:t>
            </m:r>
          </m:e>
        </m:bar>
        <m:r>
          <m:rPr>
            <m:sty m:val="p"/>
          </m:rPr>
          <m:t>=</m:t>
        </m:r>
        <m:bar>
          <m:barPr>
            <m:pos m:val="top"/>
          </m:barPr>
          <m:e>
            <m:r>
              <m:t>U</m:t>
            </m:r>
          </m:e>
        </m:bar>
        <m:r>
          <m:rPr>
            <m:sty m:val="p"/>
          </m:rPr>
          <m:t>+</m:t>
        </m:r>
        <m:r>
          <m:t>Δ</m:t>
        </m:r>
        <m:r>
          <m:t>β</m:t>
        </m:r>
        <m:r>
          <m:t> </m:t>
        </m:r>
        <m:bar>
          <m:barPr>
            <m:pos m:val="top"/>
          </m:barPr>
          <m:e>
            <m:r>
              <m:t>q</m:t>
            </m:r>
          </m:e>
        </m:bar>
      </m:oMath>
      <w:r>
        <w:t xml:space="preserve">: de ahí</w:t>
      </w:r>
      <w:r>
        <w:t xml:space="preserve"> </w:t>
      </w:r>
      <m:oMath>
        <m:sSub>
          <m:e>
            <m:r>
              <m:rPr>
                <m:sty m:val="p"/>
              </m:rPr>
              <m:t>I</m:t>
            </m:r>
            <m:r>
              <m:rPr>
                <m:sty m:val="p"/>
              </m:rPr>
              <m:t>C</m:t>
            </m:r>
          </m:e>
          <m:sub>
            <m:r>
              <m:t>1</m:t>
            </m:r>
          </m:sub>
        </m:sSub>
      </m:oMath>
      <w:r>
        <w:t xml:space="preserve">. Si la ineficiente elige</w:t>
      </w:r>
      <w:r>
        <w:t xml:space="preserve"> </w:t>
      </w:r>
      <m:oMath>
        <m:d>
          <m:dPr>
            <m:begChr m:val="("/>
            <m:sepChr m:val=""/>
            <m:endChr m:val=")"/>
            <m:grow/>
          </m:dPr>
          <m:e>
            <m:bar>
              <m:barPr>
                <m:pos m:val="bot"/>
              </m:barPr>
              <m:e>
                <m:r>
                  <m:t>q</m:t>
                </m:r>
              </m:e>
            </m:bar>
            <m:r>
              <m:rPr>
                <m:sty m:val="p"/>
              </m:rPr>
              <m:t>,</m:t>
            </m:r>
            <m:bar>
              <m:barPr>
                <m:pos m:val="bot"/>
              </m:barPr>
              <m:e>
                <m:r>
                  <m:t>t</m:t>
                </m:r>
              </m:e>
            </m:bar>
          </m:e>
        </m:d>
      </m:oMath>
      <w:r>
        <w:t xml:space="preserve">, obtiene</w:t>
      </w:r>
      <w:r>
        <w:t xml:space="preserve"> </w:t>
      </w:r>
      <m:oMath>
        <m:bar>
          <m:barPr>
            <m:pos m:val="bot"/>
          </m:barPr>
          <m:e>
            <m:r>
              <m:t>t</m:t>
            </m:r>
          </m:e>
        </m:bar>
        <m:r>
          <m:rPr>
            <m:sty m:val="p"/>
          </m:rPr>
          <m:t>−</m:t>
        </m:r>
        <m:bar>
          <m:barPr>
            <m:pos m:val="top"/>
          </m:barPr>
          <m:e>
            <m:r>
              <m:t>β</m:t>
            </m:r>
          </m:e>
        </m:bar>
        <m:r>
          <m:t> </m:t>
        </m:r>
        <m:bar>
          <m:barPr>
            <m:pos m:val="bot"/>
          </m:barPr>
          <m:e>
            <m:r>
              <m:t>q</m:t>
            </m:r>
          </m:e>
        </m:bar>
        <m:r>
          <m:rPr>
            <m:sty m:val="p"/>
          </m:rPr>
          <m:t>=</m:t>
        </m:r>
        <m:bar>
          <m:barPr>
            <m:pos m:val="bot"/>
          </m:barPr>
          <m:e>
            <m:r>
              <m:t>U</m:t>
            </m:r>
          </m:e>
        </m:bar>
        <m:r>
          <m:rPr>
            <m:sty m:val="p"/>
          </m:rPr>
          <m:t>−</m:t>
        </m:r>
        <m:r>
          <m:t>Δ</m:t>
        </m:r>
        <m:r>
          <m:t>β</m:t>
        </m:r>
        <m:r>
          <m:t> </m:t>
        </m:r>
        <m:bar>
          <m:barPr>
            <m:pos m:val="bot"/>
          </m:barPr>
          <m:e>
            <m:r>
              <m:t>q</m:t>
            </m:r>
          </m:e>
        </m:bar>
      </m:oMath>
      <w:r>
        <w:t xml:space="preserve">: de ahí</w:t>
      </w:r>
      <w:r>
        <w:t xml:space="preserve"> </w:t>
      </w:r>
      <m:oMath>
        <m:sSub>
          <m:e>
            <m:r>
              <m:rPr>
                <m:sty m:val="p"/>
              </m:rPr>
              <m:t>I</m:t>
            </m:r>
            <m:r>
              <m:rPr>
                <m:sty m:val="p"/>
              </m:rPr>
              <m:t>C</m:t>
            </m:r>
          </m:e>
          <m:sub>
            <m:r>
              <m:t>2</m:t>
            </m:r>
          </m:sub>
        </m:sSub>
      </m:oMath>
      <w:r>
        <w:t xml:space="preserve">. Sumando las 2,</w:t>
      </w:r>
      <w:r>
        <w:t xml:space="preserve"> </w:t>
      </w:r>
      <m:oMath>
        <m:r>
          <m:t>Δ</m:t>
        </m:r>
        <m:r>
          <m:t>β</m:t>
        </m:r>
        <m:r>
          <m:t> </m:t>
        </m:r>
        <m:d>
          <m:dPr>
            <m:begChr m:val="("/>
            <m:sepChr m:val=""/>
            <m:endChr m:val=")"/>
            <m:grow/>
          </m:dPr>
          <m:e>
            <m:bar>
              <m:barPr>
                <m:pos m:val="bot"/>
              </m:barPr>
              <m:e>
                <m:r>
                  <m:t>q</m:t>
                </m:r>
              </m:e>
            </m:bar>
            <m:r>
              <m:rPr>
                <m:sty m:val="p"/>
              </m:rPr>
              <m:t>−</m:t>
            </m:r>
            <m:bar>
              <m:barPr>
                <m:pos m:val="top"/>
              </m:barPr>
              <m:e>
                <m:r>
                  <m:t>q</m:t>
                </m:r>
              </m:e>
            </m:bar>
          </m:e>
        </m:d>
        <m:r>
          <m:rPr>
            <m:sty m:val="p"/>
          </m:rPr>
          <m:t>≥</m:t>
        </m:r>
        <m:r>
          <m:t>0</m:t>
        </m:r>
      </m:oMath>
      <w:r>
        <w:t xml:space="preserve">: la eficiente produce al menos tanto como la ineficiente.</w:t>
      </w:r>
    </w:p>
    <w:p>
      <w:pPr>
        <w:numPr>
          <w:ilvl w:val="0"/>
          <w:numId w:val="1126"/>
        </w:numPr>
      </w:pPr>
      <w:r>
        <w:rPr>
          <w:i/>
          <w:iCs/>
        </w:rPr>
        <w:t xml:space="preserve">Restricciones activas</w:t>
      </w:r>
      <w:r>
        <w:t xml:space="preserve">. Como cada euro de renta resta</w:t>
      </w:r>
      <w:r>
        <w:t xml:space="preserve"> </w:t>
      </w:r>
      <m:oMath>
        <m:r>
          <m:t>1</m:t>
        </m:r>
        <m:r>
          <m:rPr>
            <m:sty m:val="p"/>
          </m:rPr>
          <m:t>−</m:t>
        </m:r>
        <m:r>
          <m:t>α</m:t>
        </m:r>
        <m:r>
          <m:rPr>
            <m:sty m:val="p"/>
          </m:rPr>
          <m:t>&gt;</m:t>
        </m:r>
        <m:r>
          <m:t>0</m:t>
        </m:r>
      </m:oMath>
      <w:r>
        <w:t xml:space="preserve"> </w:t>
      </w:r>
      <w:r>
        <w:t xml:space="preserve">de bienestar, el regulador deja la menor renta compatible:</w:t>
      </w:r>
      <w:r>
        <w:t xml:space="preserve"> </w:t>
      </w:r>
      <m:oMath>
        <m:bar>
          <m:barPr>
            <m:pos m:val="top"/>
          </m:barPr>
          <m:e>
            <m:r>
              <m:t>U</m:t>
            </m:r>
          </m:e>
        </m:bar>
        <m:r>
          <m:rPr>
            <m:sty m:val="p"/>
          </m:rPr>
          <m:t>=</m:t>
        </m:r>
        <m:r>
          <m:t>0</m:t>
        </m:r>
      </m:oMath>
      <w:r>
        <w:t xml:space="preserve"> </w:t>
      </w:r>
      <w:r>
        <w:t xml:space="preserve">(</w:t>
      </w:r>
      <m:oMath>
        <m:sSub>
          <m:e>
            <m:r>
              <m:rPr>
                <m:sty m:val="p"/>
              </m:rPr>
              <m:t>P</m:t>
            </m:r>
            <m:r>
              <m:rPr>
                <m:sty m:val="p"/>
              </m:rPr>
              <m:t>C</m:t>
            </m:r>
          </m:e>
          <m:sub>
            <m:r>
              <m:t>2</m:t>
            </m:r>
          </m:sub>
        </m:sSub>
      </m:oMath>
      <w:r>
        <w:t xml:space="preserve">) y</w:t>
      </w:r>
      <w:r>
        <w:t xml:space="preserve"> </w:t>
      </w:r>
      <m:oMath>
        <m:bar>
          <m:barPr>
            <m:pos m:val="bot"/>
          </m:barPr>
          <m:e>
            <m:r>
              <m:t>U</m:t>
            </m:r>
          </m:e>
        </m:bar>
        <m:r>
          <m:rPr>
            <m:sty m:val="p"/>
          </m:rPr>
          <m:t>=</m:t>
        </m:r>
        <m:r>
          <m:t>Δ</m:t>
        </m:r>
        <m:r>
          <m:t>β</m:t>
        </m:r>
        <m:r>
          <m:t> </m:t>
        </m:r>
        <m:bar>
          <m:barPr>
            <m:pos m:val="top"/>
          </m:barPr>
          <m:e>
            <m:r>
              <m:t>q</m:t>
            </m:r>
          </m:e>
        </m:bar>
      </m:oMath>
      <w:r>
        <w:t xml:space="preserve"> </w:t>
      </w:r>
      <w:r>
        <w:t xml:space="preserve">(</w:t>
      </w:r>
      <m:oMath>
        <m:sSub>
          <m:e>
            <m:r>
              <m:rPr>
                <m:sty m:val="p"/>
              </m:rPr>
              <m:t>I</m:t>
            </m:r>
            <m:r>
              <m:rPr>
                <m:sty m:val="p"/>
              </m:rPr>
              <m:t>C</m:t>
            </m:r>
          </m:e>
          <m:sub>
            <m:r>
              <m:t>1</m:t>
            </m:r>
          </m:sub>
        </m:sSub>
      </m:oMath>
      <w:r>
        <w:t xml:space="preserve">);</w:t>
      </w:r>
      <w:r>
        <w:t xml:space="preserve"> </w:t>
      </w:r>
      <m:oMath>
        <m:sSub>
          <m:e>
            <m:r>
              <m:rPr>
                <m:sty m:val="p"/>
              </m:rPr>
              <m:t>P</m:t>
            </m:r>
            <m:r>
              <m:rPr>
                <m:sty m:val="p"/>
              </m:rPr>
              <m:t>C</m:t>
            </m:r>
          </m:e>
          <m:sub>
            <m:r>
              <m:t>1</m:t>
            </m:r>
          </m:sub>
        </m:sSub>
      </m:oMath>
      <w:r>
        <w:t xml:space="preserve"> </w:t>
      </w:r>
      <w:r>
        <w:t xml:space="preserve">se cumple sola.</w:t>
      </w:r>
    </w:p>
    <w:p>
      <w:pPr>
        <w:numPr>
          <w:ilvl w:val="0"/>
          <w:numId w:val="1126"/>
        </w:numPr>
      </w:pPr>
      <w:r>
        <w:rPr>
          <w:i/>
          <w:iCs/>
        </w:rPr>
        <w:t xml:space="preserve">Problema reducido</w:t>
      </w:r>
      <w:r>
        <w:t xml:space="preserve">:</w:t>
      </w:r>
    </w:p>
    <w:p>
      <w:pPr>
        <w:pStyle w:val="BodyText"/>
        <w:keepNext/>
      </w:pPr>
      <m:oMathPara>
        <m:oMathParaPr>
          <m:jc m:val="center"/>
        </m:oMathParaPr>
        <m:oMath>
          <m:limLow>
            <m:e>
              <m:r>
                <m:rPr>
                  <m:sty m:val="p"/>
                </m:rPr>
                <m:t>max</m:t>
              </m:r>
            </m:e>
            <m:lim>
              <m:bar>
                <m:barPr>
                  <m:pos m:val="bot"/>
                </m:barPr>
                <m:e>
                  <m:r>
                    <m:t>q</m:t>
                  </m:r>
                </m:e>
              </m:bar>
              <m:r>
                <m:rPr>
                  <m:sty m:val="p"/>
                </m:rPr>
                <m:t>,</m:t>
              </m:r>
              <m:bar>
                <m:barPr>
                  <m:pos m:val="top"/>
                </m:barPr>
                <m:e>
                  <m:r>
                    <m:t>q</m:t>
                  </m:r>
                </m:e>
              </m:bar>
            </m:lim>
          </m:limLow>
          <m:r>
            <m:t> </m:t>
          </m:r>
          <m:r>
            <m:t>ν</m:t>
          </m:r>
          <m:d>
            <m:dPr>
              <m:begChr m:val="["/>
              <m:sepChr m:val=""/>
              <m:endChr m:val="]"/>
              <m:grow/>
            </m:dPr>
            <m:e>
              <m:r>
                <m:t>S</m:t>
              </m:r>
              <m:d>
                <m:dPr>
                  <m:begChr m:val="("/>
                  <m:sepChr m:val=""/>
                  <m:endChr m:val=")"/>
                  <m:grow/>
                </m:dPr>
                <m:e>
                  <m:bar>
                    <m:barPr>
                      <m:pos m:val="bot"/>
                    </m:barPr>
                    <m:e>
                      <m:r>
                        <m:t>q</m:t>
                      </m:r>
                    </m:e>
                  </m:bar>
                </m:e>
              </m:d>
              <m:r>
                <m:rPr>
                  <m:sty m:val="p"/>
                </m:rPr>
                <m:t>−</m:t>
              </m:r>
              <m:bar>
                <m:barPr>
                  <m:pos m:val="bot"/>
                </m:barPr>
                <m:e>
                  <m:r>
                    <m:t>β</m:t>
                  </m:r>
                </m:e>
              </m:bar>
              <m:r>
                <m:t> </m:t>
              </m:r>
              <m:bar>
                <m:barPr>
                  <m:pos m:val="bot"/>
                </m:barPr>
                <m:e>
                  <m:r>
                    <m:t>q</m:t>
                  </m:r>
                </m:e>
              </m:bar>
            </m:e>
          </m:d>
          <m:r>
            <m:rPr>
              <m:sty m:val="p"/>
            </m:rPr>
            <m:t>+</m:t>
          </m:r>
          <m:d>
            <m:dPr>
              <m:begChr m:val="("/>
              <m:sepChr m:val=""/>
              <m:endChr m:val=")"/>
              <m:grow/>
            </m:dPr>
            <m:e>
              <m:r>
                <m:t>1</m:t>
              </m:r>
              <m:r>
                <m:rPr>
                  <m:sty m:val="p"/>
                </m:rPr>
                <m:t>−</m:t>
              </m:r>
              <m:r>
                <m:t>ν</m:t>
              </m:r>
            </m:e>
          </m:d>
          <m:d>
            <m:dPr>
              <m:begChr m:val="["/>
              <m:sepChr m:val=""/>
              <m:endChr m:val="]"/>
              <m:grow/>
            </m:dPr>
            <m:e>
              <m:r>
                <m:t>S</m:t>
              </m:r>
              <m:d>
                <m:dPr>
                  <m:begChr m:val="("/>
                  <m:sepChr m:val=""/>
                  <m:endChr m:val=")"/>
                  <m:grow/>
                </m:dPr>
                <m:e>
                  <m:bar>
                    <m:barPr>
                      <m:pos m:val="top"/>
                    </m:barPr>
                    <m:e>
                      <m:r>
                        <m:t>q</m:t>
                      </m:r>
                    </m:e>
                  </m:bar>
                </m:e>
              </m:d>
              <m:r>
                <m:rPr>
                  <m:sty m:val="p"/>
                </m:rPr>
                <m:t>−</m:t>
              </m:r>
              <m:bar>
                <m:barPr>
                  <m:pos m:val="top"/>
                </m:barPr>
                <m:e>
                  <m:r>
                    <m:t>β</m:t>
                  </m:r>
                </m:e>
              </m:bar>
              <m:r>
                <m:t> </m:t>
              </m:r>
              <m:bar>
                <m:barPr>
                  <m:pos m:val="top"/>
                </m:barPr>
                <m:e>
                  <m:r>
                    <m:t>q</m:t>
                  </m:r>
                </m:e>
              </m:bar>
            </m:e>
          </m:d>
          <m:r>
            <m:rPr>
              <m:sty m:val="p"/>
            </m:rPr>
            <m:t>−</m:t>
          </m:r>
          <m:r>
            <m:t>ν</m:t>
          </m:r>
          <m:r>
            <m:t> </m:t>
          </m:r>
          <m:d>
            <m:dPr>
              <m:begChr m:val="("/>
              <m:sepChr m:val=""/>
              <m:endChr m:val=")"/>
              <m:grow/>
            </m:dPr>
            <m:e>
              <m:r>
                <m:t>1</m:t>
              </m:r>
              <m:r>
                <m:rPr>
                  <m:sty m:val="p"/>
                </m:rPr>
                <m:t>−</m:t>
              </m:r>
              <m:r>
                <m:t>α</m:t>
              </m:r>
            </m:e>
          </m:d>
          <m:r>
            <m:t> </m:t>
          </m:r>
          <m:r>
            <m:t>Δ</m:t>
          </m:r>
          <m:r>
            <m:t>β</m:t>
          </m:r>
          <m:r>
            <m:t> </m:t>
          </m:r>
          <m:bar>
            <m:barPr>
              <m:pos m:val="top"/>
            </m:barPr>
            <m:e>
              <m:r>
                <m:t>q</m:t>
              </m:r>
            </m:e>
          </m:bar>
          <m:r>
            <m:rPr>
              <m:sty m:val="p"/>
            </m:rPr>
            <m:t>.</m:t>
          </m:r>
        </m:oMath>
      </m:oMathPara>
    </w:p>
    <w:p>
      <w:pPr>
        <w:numPr>
          <w:ilvl w:val="0"/>
          <w:numId w:val="1126"/>
        </w:numPr>
      </w:pPr>
      <w:r>
        <w:rPr>
          <w:i/>
          <w:iCs/>
        </w:rPr>
        <w:t xml:space="preserve">Condiciones de primer orden</w:t>
      </w:r>
      <w:r>
        <w:t xml:space="preserve">:</w:t>
      </w:r>
      <w:r>
        <w:t xml:space="preserve"> </w:t>
      </w:r>
      <m:oMath>
        <m:r>
          <m:t>S</m:t>
        </m:r>
        <m:r>
          <m:rPr>
            <m:sty m:val="p"/>
          </m:rPr>
          <m:t>′</m:t>
        </m:r>
        <m:d>
          <m:dPr>
            <m:begChr m:val="("/>
            <m:sepChr m:val=""/>
            <m:endChr m:val=")"/>
            <m:grow/>
          </m:dPr>
          <m:e>
            <m:bar>
              <m:barPr>
                <m:pos m:val="bot"/>
              </m:barPr>
              <m:e>
                <m:r>
                  <m:t>q</m:t>
                </m:r>
              </m:e>
            </m:bar>
          </m:e>
        </m:d>
        <m:r>
          <m:rPr>
            <m:sty m:val="p"/>
          </m:rPr>
          <m:t>=</m:t>
        </m:r>
        <m:r>
          <m:t>p</m:t>
        </m:r>
        <m:d>
          <m:dPr>
            <m:begChr m:val="("/>
            <m:sepChr m:val=""/>
            <m:endChr m:val=")"/>
            <m:grow/>
          </m:dPr>
          <m:e>
            <m:bar>
              <m:barPr>
                <m:pos m:val="bot"/>
              </m:barPr>
              <m:e>
                <m:r>
                  <m:t>q</m:t>
                </m:r>
              </m:e>
            </m:bar>
          </m:e>
        </m:d>
        <m:r>
          <m:rPr>
            <m:sty m:val="p"/>
          </m:rPr>
          <m:t>=</m:t>
        </m:r>
        <m:bar>
          <m:barPr>
            <m:pos m:val="bot"/>
          </m:barPr>
          <m:e>
            <m:r>
              <m:t>β</m:t>
            </m:r>
          </m:e>
        </m:bar>
      </m:oMath>
      <w:r>
        <w:t xml:space="preserve">, y</w:t>
      </w:r>
      <w:r>
        <w:t xml:space="preserve"> </w:t>
      </w:r>
      <m:oMath>
        <m:d>
          <m:dPr>
            <m:begChr m:val="("/>
            <m:sepChr m:val=""/>
            <m:endChr m:val=")"/>
            <m:grow/>
          </m:dPr>
          <m:e>
            <m:r>
              <m:t>1</m:t>
            </m:r>
            <m:r>
              <m:rPr>
                <m:sty m:val="p"/>
              </m:rPr>
              <m:t>−</m:t>
            </m:r>
            <m:r>
              <m:t>ν</m:t>
            </m:r>
          </m:e>
        </m:d>
        <m:d>
          <m:dPr>
            <m:begChr m:val="["/>
            <m:sepChr m:val=""/>
            <m:endChr m:val="]"/>
            <m:grow/>
          </m:dPr>
          <m:e>
            <m:r>
              <m:t>p</m:t>
            </m:r>
            <m:d>
              <m:dPr>
                <m:begChr m:val="("/>
                <m:sepChr m:val=""/>
                <m:endChr m:val=")"/>
                <m:grow/>
              </m:dPr>
              <m:e>
                <m:bar>
                  <m:barPr>
                    <m:pos m:val="top"/>
                  </m:barPr>
                  <m:e>
                    <m:r>
                      <m:t>q</m:t>
                    </m:r>
                  </m:e>
                </m:bar>
              </m:e>
            </m:d>
            <m:r>
              <m:rPr>
                <m:sty m:val="p"/>
              </m:rPr>
              <m:t>−</m:t>
            </m:r>
            <m:bar>
              <m:barPr>
                <m:pos m:val="top"/>
              </m:barPr>
              <m:e>
                <m:r>
                  <m:t>β</m:t>
                </m:r>
              </m:e>
            </m:bar>
          </m:e>
        </m:d>
        <m:r>
          <m:rPr>
            <m:sty m:val="p"/>
          </m:rPr>
          <m:t>=</m:t>
        </m:r>
        <m:r>
          <m:t>ν</m:t>
        </m:r>
        <m:r>
          <m:t> </m:t>
        </m:r>
        <m:d>
          <m:dPr>
            <m:begChr m:val="("/>
            <m:sepChr m:val=""/>
            <m:endChr m:val=")"/>
            <m:grow/>
          </m:dPr>
          <m:e>
            <m:r>
              <m:t>1</m:t>
            </m:r>
            <m:r>
              <m:rPr>
                <m:sty m:val="p"/>
              </m:rPr>
              <m:t>−</m:t>
            </m:r>
            <m:r>
              <m:t>α</m:t>
            </m:r>
          </m:e>
        </m:d>
        <m:r>
          <m:t> </m:t>
        </m:r>
        <m:r>
          <m:t>Δ</m:t>
        </m:r>
        <m:r>
          <m:t>β</m:t>
        </m:r>
      </m:oMath>
      <w:r>
        <w:t xml:space="preserve">, que es (</w:t>
      </w:r>
      <w:hyperlink w:anchor="eq_baron_myerson">
        <w:r>
          <w:rPr>
            <w:rStyle w:val="Hyperlink"/>
          </w:rPr>
          <w:t xml:space="preserve">7</w:t>
        </w:r>
      </w:hyperlink>
      <w:r>
        <w:t xml:space="preserve">). Subir la cantidad de la ineficiente añade eficiencia cuando ese es el tipo (probabilidad</w:t>
      </w:r>
      <w:r>
        <w:t xml:space="preserve"> </w:t>
      </w:r>
      <m:oMath>
        <m:r>
          <m:t>1</m:t>
        </m:r>
        <m:r>
          <m:rPr>
            <m:sty m:val="p"/>
          </m:rPr>
          <m:t>−</m:t>
        </m:r>
        <m:r>
          <m:t>ν</m:t>
        </m:r>
      </m:oMath>
      <w:r>
        <w:t xml:space="preserve">), pero encarece en</w:t>
      </w:r>
      <w:r>
        <w:t xml:space="preserve"> </w:t>
      </w:r>
      <m:oMath>
        <m:r>
          <m:t>Δ</m:t>
        </m:r>
        <m:r>
          <m:t>β</m:t>
        </m:r>
      </m:oMath>
      <w:r>
        <w:t xml:space="preserve"> </w:t>
      </w:r>
      <w:r>
        <w:t xml:space="preserve">por unidad la renta que se cede a la eficiente (probabilidad</w:t>
      </w:r>
      <w:r>
        <w:t xml:space="preserve"> </w:t>
      </w:r>
      <m:oMath>
        <m:r>
          <m:t>ν</m:t>
        </m:r>
      </m:oMath>
      <w:r>
        <w:t xml:space="preserve">). Las de segundo orden se cumplen porque</w:t>
      </w:r>
      <w:r>
        <w:t xml:space="preserve"> </w:t>
      </w:r>
      <m:oMath>
        <m:r>
          <m:t>S</m:t>
        </m:r>
        <m:r>
          <m:rPr>
            <m:sty m:val="p"/>
          </m:rPr>
          <m:t>″</m:t>
        </m:r>
        <m:r>
          <m:rPr>
            <m:sty m:val="p"/>
          </m:rPr>
          <m:t>=</m:t>
        </m:r>
        <m:r>
          <m:t>p</m:t>
        </m:r>
        <m:r>
          <m:rPr>
            <m:sty m:val="p"/>
          </m:rPr>
          <m:t>′</m:t>
        </m:r>
        <m:r>
          <m:rPr>
            <m:sty m:val="p"/>
          </m:rPr>
          <m:t>&lt;</m:t>
        </m:r>
        <m:r>
          <m:t>0</m:t>
        </m:r>
      </m:oMath>
      <w:r>
        <w:t xml:space="preserve">.</w:t>
      </w:r>
    </w:p>
    <w:p>
      <w:pPr>
        <w:numPr>
          <w:ilvl w:val="0"/>
          <w:numId w:val="1126"/>
        </w:numPr>
      </w:pPr>
      <w:r>
        <w:rPr>
          <w:i/>
          <w:iCs/>
        </w:rPr>
        <w:t xml:space="preserve">Comprobación de</w:t>
      </w:r>
      <w:r>
        <w:rPr>
          <w:i/>
          <w:iCs/>
        </w:rPr>
        <w:t xml:space="preserve"> </w:t>
      </w:r>
      <m:oMath>
        <m:sSub>
          <m:e>
            <m:r>
              <m:rPr>
                <m:sty m:val="p"/>
              </m:rPr>
              <m:t>I</m:t>
            </m:r>
            <m:r>
              <m:rPr>
                <m:sty m:val="p"/>
              </m:rPr>
              <m:t>C</m:t>
            </m:r>
          </m:e>
          <m:sub>
            <m:r>
              <m:t>2</m:t>
            </m:r>
          </m:sub>
        </m:sSub>
      </m:oMath>
      <w:r>
        <w:t xml:space="preserve">:</w:t>
      </w:r>
      <w:r>
        <w:t xml:space="preserve"> </w:t>
      </w:r>
      <m:oMath>
        <m:bar>
          <m:barPr>
            <m:pos m:val="top"/>
          </m:barPr>
          <m:e>
            <m:r>
              <m:t>U</m:t>
            </m:r>
          </m:e>
        </m:bar>
        <m:r>
          <m:rPr>
            <m:sty m:val="p"/>
          </m:rPr>
          <m:t>=</m:t>
        </m:r>
        <m:r>
          <m:t>0</m:t>
        </m:r>
        <m:r>
          <m:rPr>
            <m:sty m:val="p"/>
          </m:rPr>
          <m:t>≥</m:t>
        </m:r>
        <m:bar>
          <m:barPr>
            <m:pos m:val="bot"/>
          </m:barPr>
          <m:e>
            <m:r>
              <m:t>U</m:t>
            </m:r>
          </m:e>
        </m:bar>
        <m:r>
          <m:rPr>
            <m:sty m:val="p"/>
          </m:rPr>
          <m:t>−</m:t>
        </m:r>
        <m:r>
          <m:t>Δ</m:t>
        </m:r>
        <m:r>
          <m:t>β</m:t>
        </m:r>
        <m:r>
          <m:t> </m:t>
        </m:r>
        <m:bar>
          <m:barPr>
            <m:pos m:val="bot"/>
          </m:barPr>
          <m:e>
            <m:r>
              <m:t>q</m:t>
            </m:r>
          </m:e>
        </m:bar>
        <m:r>
          <m:rPr>
            <m:sty m:val="p"/>
          </m:rPr>
          <m:t>=</m:t>
        </m:r>
        <m:r>
          <m:t>Δ</m:t>
        </m:r>
        <m:r>
          <m:t>β</m:t>
        </m:r>
        <m:r>
          <m:t> </m:t>
        </m:r>
        <m:d>
          <m:dPr>
            <m:begChr m:val="("/>
            <m:sepChr m:val=""/>
            <m:endChr m:val=")"/>
            <m:grow/>
          </m:dPr>
          <m:e>
            <m:bar>
              <m:barPr>
                <m:pos m:val="top"/>
              </m:barPr>
              <m:e>
                <m:r>
                  <m:t>q</m:t>
                </m:r>
              </m:e>
            </m:bar>
            <m:r>
              <m:rPr>
                <m:sty m:val="p"/>
              </m:rPr>
              <m:t>−</m:t>
            </m:r>
            <m:bar>
              <m:barPr>
                <m:pos m:val="bot"/>
              </m:barPr>
              <m:e>
                <m:r>
                  <m:t>q</m:t>
                </m:r>
              </m:e>
            </m:bar>
          </m:e>
        </m:d>
      </m:oMath>
      <w:r>
        <w:t xml:space="preserve">, porque</w:t>
      </w:r>
      <w:r>
        <w:t xml:space="preserve"> </w:t>
      </w:r>
      <m:oMath>
        <m:bar>
          <m:barPr>
            <m:pos m:val="bot"/>
          </m:barPr>
          <m:e>
            <m:r>
              <m:t>q</m:t>
            </m:r>
          </m:e>
        </m:bar>
        <m:r>
          <m:rPr>
            <m:sty m:val="p"/>
          </m:rPr>
          <m:t>&gt;</m:t>
        </m:r>
        <m:bar>
          <m:barPr>
            <m:pos m:val="top"/>
          </m:barPr>
          <m:e>
            <m:r>
              <m:t>q</m:t>
            </m:r>
          </m:e>
        </m:bar>
      </m:oMath>
      <w:r>
        <w:t xml:space="preserve">.</w:t>
      </w:r>
    </w:p>
    <w:p>
      <w:pPr>
        <w:numPr>
          <w:ilvl w:val="0"/>
          <w:numId w:val="1126"/>
        </w:numPr>
      </w:pPr>
      <w:r>
        <w:rPr>
          <w:i/>
          <w:iCs/>
        </w:rPr>
        <w:t xml:space="preserve">Cierre</w:t>
      </w:r>
      <w:r>
        <w:t xml:space="preserve">: si</w:t>
      </w:r>
      <w:r>
        <w:t xml:space="preserve"> </w:t>
      </w:r>
      <m:oMath>
        <m:r>
          <m:t>p</m:t>
        </m:r>
        <m:d>
          <m:dPr>
            <m:begChr m:val="("/>
            <m:sepChr m:val=""/>
            <m:endChr m:val=")"/>
            <m:grow/>
          </m:dPr>
          <m:e>
            <m:r>
              <m:t>0</m:t>
            </m:r>
          </m:e>
        </m:d>
        <m:r>
          <m:rPr>
            <m:sty m:val="p"/>
          </m:rPr>
          <m:t>≤</m:t>
        </m:r>
        <m:bar>
          <m:barPr>
            <m:pos m:val="top"/>
          </m:barPr>
          <m:e>
            <m:r>
              <m:t>β</m:t>
            </m:r>
          </m:e>
        </m:bar>
        <m:r>
          <m:rPr>
            <m:sty m:val="p"/>
          </m:rPr>
          <m:t>+</m:t>
        </m:r>
        <m:d>
          <m:dPr>
            <m:begChr m:val="("/>
            <m:sepChr m:val=""/>
            <m:endChr m:val=")"/>
            <m:grow/>
          </m:dPr>
          <m:e>
            <m:r>
              <m:t>1</m:t>
            </m:r>
            <m:r>
              <m:rPr>
                <m:sty m:val="p"/>
              </m:rPr>
              <m:t>−</m:t>
            </m:r>
            <m:r>
              <m:t>α</m:t>
            </m:r>
          </m:e>
        </m:d>
        <m:r>
          <m:t> </m:t>
        </m:r>
        <m:f>
          <m:fPr>
            <m:type m:val="bar"/>
          </m:fPr>
          <m:num>
            <m:r>
              <m:t>ν</m:t>
            </m:r>
          </m:num>
          <m:den>
            <m:r>
              <m:t>1</m:t>
            </m:r>
            <m:r>
              <m:rPr>
                <m:sty m:val="p"/>
              </m:rPr>
              <m:t>−</m:t>
            </m:r>
            <m:r>
              <m:t>ν</m:t>
            </m:r>
          </m:den>
        </m:f>
        <m:r>
          <m:t> </m:t>
        </m:r>
        <m:r>
          <m:t>Δ</m:t>
        </m:r>
        <m:r>
          <m:t>β</m:t>
        </m:r>
      </m:oMath>
      <w:r>
        <w:t xml:space="preserve">, lo óptimo es</w:t>
      </w:r>
      <w:r>
        <w:t xml:space="preserve"> </w:t>
      </w:r>
      <m:oMath>
        <m:bar>
          <m:barPr>
            <m:pos m:val="top"/>
          </m:barPr>
          <m:e>
            <m:r>
              <m:t>q</m:t>
            </m:r>
          </m:e>
        </m:bar>
        <m:r>
          <m:rPr>
            <m:sty m:val="p"/>
          </m:rPr>
          <m:t>=</m:t>
        </m:r>
        <m:r>
          <m:t>0</m:t>
        </m:r>
      </m:oMath>
      <w:r>
        <w:t xml:space="preserve">: no contratar con la ineficiente para no dejar renta a la eficiente. En el ejemplo (</w:t>
      </w:r>
      <m:oMath>
        <m:r>
          <m:t>p</m:t>
        </m:r>
        <m:r>
          <m:rPr>
            <m:sty m:val="p"/>
          </m:rPr>
          <m:t>=</m:t>
        </m:r>
        <m:r>
          <m:t>100</m:t>
        </m:r>
        <m:r>
          <m:rPr>
            <m:sty m:val="p"/>
          </m:rPr>
          <m:t>−</m:t>
        </m:r>
        <m:r>
          <m:t>q</m:t>
        </m:r>
      </m:oMath>
      <w:r>
        <w:t xml:space="preserve">,</w:t>
      </w:r>
      <w:r>
        <w:t xml:space="preserve"> </w:t>
      </w:r>
      <m:oMath>
        <m:bar>
          <m:barPr>
            <m:pos m:val="bot"/>
          </m:barPr>
          <m:e>
            <m:r>
              <m:t>β</m:t>
            </m:r>
          </m:e>
        </m:bar>
        <m:r>
          <m:rPr>
            <m:sty m:val="p"/>
          </m:rPr>
          <m:t>=</m:t>
        </m:r>
        <m:r>
          <m:t>20</m:t>
        </m:r>
      </m:oMath>
      <w:r>
        <w:t xml:space="preserve">,</w:t>
      </w:r>
      <w:r>
        <w:t xml:space="preserve"> </w:t>
      </w:r>
      <m:oMath>
        <m:bar>
          <m:barPr>
            <m:pos m:val="top"/>
          </m:barPr>
          <m:e>
            <m:r>
              <m:t>β</m:t>
            </m:r>
          </m:e>
        </m:bar>
        <m:r>
          <m:rPr>
            <m:sty m:val="p"/>
          </m:rPr>
          <m:t>=</m:t>
        </m:r>
        <m:r>
          <m:t>40</m:t>
        </m:r>
      </m:oMath>
      <w:r>
        <w:t xml:space="preserve">,</w:t>
      </w:r>
      <w:r>
        <w:t xml:space="preserve"> </w:t>
      </w:r>
      <m:oMath>
        <m:r>
          <m:t>α</m:t>
        </m:r>
        <m:r>
          <m:rPr>
            <m:sty m:val="p"/>
          </m:rPr>
          <m:t>=</m:t>
        </m:r>
        <m:r>
          <m:t>0</m:t>
        </m:r>
      </m:oMath>
      <w:r>
        <w:t xml:space="preserve">), si</w:t>
      </w:r>
      <w:r>
        <w:t xml:space="preserve"> </w:t>
      </w:r>
      <m:oMath>
        <m:r>
          <m:t>100</m:t>
        </m:r>
        <m:r>
          <m:rPr>
            <m:sty m:val="p"/>
          </m:rPr>
          <m:t>≤</m:t>
        </m:r>
        <m:r>
          <m:t>40</m:t>
        </m:r>
        <m:r>
          <m:rPr>
            <m:sty m:val="p"/>
          </m:rPr>
          <m:t>+</m:t>
        </m:r>
        <m:r>
          <m:t>20</m:t>
        </m:r>
        <m:r>
          <m:t> </m:t>
        </m:r>
        <m:r>
          <m:t>ν</m:t>
        </m:r>
        <m:r>
          <m:rPr>
            <m:sty m:val="p"/>
          </m:rPr>
          <m:t>/</m:t>
        </m:r>
        <m:d>
          <m:dPr>
            <m:begChr m:val="("/>
            <m:sepChr m:val=""/>
            <m:endChr m:val=")"/>
            <m:grow/>
          </m:dPr>
          <m:e>
            <m:r>
              <m:t>1</m:t>
            </m:r>
            <m:r>
              <m:rPr>
                <m:sty m:val="p"/>
              </m:rPr>
              <m:t>−</m:t>
            </m:r>
            <m:r>
              <m:t>ν</m:t>
            </m:r>
          </m:e>
        </m:d>
      </m:oMath>
      <w:r>
        <w:t xml:space="preserve">, es decir, si</w:t>
      </w:r>
      <w:r>
        <w:t xml:space="preserve"> </w:t>
      </w:r>
      <m:oMath>
        <m:r>
          <m:t>ν</m:t>
        </m:r>
        <m:r>
          <m:rPr>
            <m:sty m:val="p"/>
          </m:rPr>
          <m:t>≥</m:t>
        </m:r>
        <m:r>
          <m:t>3</m:t>
        </m:r>
        <m:r>
          <m:rPr>
            <m:sty m:val="p"/>
          </m:rPr>
          <m:t>/</m:t>
        </m:r>
        <m:r>
          <m:t>4</m:t>
        </m:r>
      </m:oMath>
      <w:r>
        <w:t xml:space="preserve">. ∎</w:t>
      </w:r>
    </w:p>
    <w:bookmarkEnd w:id="192"/>
    <w:bookmarkStart w:id="193" w:name="anexo_laffont_tirole"/>
    <w:p>
      <w:pPr>
        <w:pStyle w:val="Heading2"/>
      </w:pPr>
      <w:r>
        <w:t xml:space="preserve">A.3. Menú de contratos de</w:t>
      </w:r>
      <w:r>
        <w:t xml:space="preserve"> </w:t>
      </w:r>
      <w:r>
        <w:rPr>
          <w:smallCaps/>
        </w:rPr>
        <w:t xml:space="preserve">Laffont</w:t>
      </w:r>
      <w:r>
        <w:t xml:space="preserve"> </w:t>
      </w:r>
      <w:r>
        <w:t xml:space="preserve">y</w:t>
      </w:r>
      <w:r>
        <w:t xml:space="preserve"> </w:t>
      </w:r>
      <w:r>
        <w:rPr>
          <w:smallCaps/>
        </w:rPr>
        <w:t xml:space="preserve">Tirole</w:t>
      </w:r>
    </w:p>
    <w:p>
      <w:pPr>
        <w:numPr>
          <w:ilvl w:val="0"/>
          <w:numId w:val="1127"/>
        </w:numPr>
      </w:pPr>
      <w:r>
        <w:rPr>
          <w:i/>
          <w:iCs/>
        </w:rPr>
        <w:t xml:space="preserve">Restricciones</w:t>
      </w:r>
      <w:r>
        <w:t xml:space="preserve">. Si la empresa eficiente elige el contrato de la ineficiente, tiene que llegar al coste</w:t>
      </w:r>
      <w:r>
        <w:t xml:space="preserve"> </w:t>
      </w:r>
      <m:oMath>
        <m:bar>
          <m:barPr>
            <m:pos m:val="top"/>
          </m:barPr>
          <m:e>
            <m:r>
              <m:t>C</m:t>
            </m:r>
          </m:e>
        </m:bar>
        <m:r>
          <m:rPr>
            <m:sty m:val="p"/>
          </m:rPr>
          <m:t>=</m:t>
        </m:r>
        <m:bar>
          <m:barPr>
            <m:pos m:val="top"/>
          </m:barPr>
          <m:e>
            <m:r>
              <m:t>β</m:t>
            </m:r>
          </m:e>
        </m:bar>
        <m:r>
          <m:rPr>
            <m:sty m:val="p"/>
          </m:rPr>
          <m:t>−</m:t>
        </m:r>
        <m:bar>
          <m:barPr>
            <m:pos m:val="top"/>
          </m:barPr>
          <m:e>
            <m:r>
              <m:t>e</m:t>
            </m:r>
          </m:e>
        </m:bar>
      </m:oMath>
      <w:r>
        <w:t xml:space="preserve">, para lo que le basta un esfuerzo</w:t>
      </w:r>
      <w:r>
        <w:t xml:space="preserve"> </w:t>
      </w:r>
      <m:oMath>
        <m:bar>
          <m:barPr>
            <m:pos m:val="bot"/>
          </m:barPr>
          <m:e>
            <m:r>
              <m:t>β</m:t>
            </m:r>
          </m:e>
        </m:bar>
        <m:r>
          <m:rPr>
            <m:sty m:val="p"/>
          </m:rPr>
          <m:t>−</m:t>
        </m:r>
        <m:bar>
          <m:barPr>
            <m:pos m:val="top"/>
          </m:barPr>
          <m:e>
            <m:r>
              <m:t>C</m:t>
            </m:r>
          </m:e>
        </m:bar>
        <m:r>
          <m:rPr>
            <m:sty m:val="p"/>
          </m:rPr>
          <m:t>=</m:t>
        </m:r>
        <m:bar>
          <m:barPr>
            <m:pos m:val="top"/>
          </m:barPr>
          <m:e>
            <m:r>
              <m:t>e</m:t>
            </m:r>
          </m:e>
        </m:bar>
        <m:r>
          <m:rPr>
            <m:sty m:val="p"/>
          </m:rPr>
          <m:t>−</m:t>
        </m:r>
        <m:r>
          <m:t>Δ</m:t>
        </m:r>
        <m:r>
          <m:t>β</m:t>
        </m:r>
      </m:oMath>
      <w:r>
        <w:t xml:space="preserve">, y obtiene</w:t>
      </w:r>
      <w:r>
        <w:t xml:space="preserve"> </w:t>
      </w:r>
      <m:oMath>
        <m:bar>
          <m:barPr>
            <m:pos m:val="top"/>
          </m:barPr>
          <m:e>
            <m:r>
              <m:t>t</m:t>
            </m:r>
          </m:e>
        </m:bar>
        <m:r>
          <m:rPr>
            <m:sty m:val="p"/>
          </m:rPr>
          <m:t>−</m:t>
        </m:r>
        <m:r>
          <m:t>ψ</m:t>
        </m:r>
        <m:d>
          <m:dPr>
            <m:begChr m:val="("/>
            <m:sepChr m:val=""/>
            <m:endChr m:val=")"/>
            <m:grow/>
          </m:dPr>
          <m:e>
            <m:bar>
              <m:barPr>
                <m:pos m:val="top"/>
              </m:barPr>
              <m:e>
                <m:r>
                  <m:t>e</m:t>
                </m:r>
              </m:e>
            </m:bar>
            <m:r>
              <m:rPr>
                <m:sty m:val="p"/>
              </m:rPr>
              <m:t>−</m:t>
            </m:r>
            <m:r>
              <m:t>Δ</m:t>
            </m:r>
            <m:r>
              <m:t>β</m:t>
            </m:r>
          </m:e>
        </m:d>
        <m:r>
          <m:rPr>
            <m:sty m:val="p"/>
          </m:rPr>
          <m:t>=</m:t>
        </m:r>
        <m:bar>
          <m:barPr>
            <m:pos m:val="top"/>
          </m:barPr>
          <m:e>
            <m:r>
              <m:t>U</m:t>
            </m:r>
          </m:e>
        </m:bar>
        <m:r>
          <m:rPr>
            <m:sty m:val="p"/>
          </m:rPr>
          <m:t>+</m:t>
        </m:r>
        <m:r>
          <m:t>ψ</m:t>
        </m:r>
        <m:d>
          <m:dPr>
            <m:begChr m:val="("/>
            <m:sepChr m:val=""/>
            <m:endChr m:val=")"/>
            <m:grow/>
          </m:dPr>
          <m:e>
            <m:bar>
              <m:barPr>
                <m:pos m:val="top"/>
              </m:barPr>
              <m:e>
                <m:r>
                  <m:t>e</m:t>
                </m:r>
              </m:e>
            </m:bar>
          </m:e>
        </m:d>
        <m:r>
          <m:rPr>
            <m:sty m:val="p"/>
          </m:rPr>
          <m:t>−</m:t>
        </m:r>
        <m:r>
          <m:t>ψ</m:t>
        </m:r>
        <m:d>
          <m:dPr>
            <m:begChr m:val="("/>
            <m:sepChr m:val=""/>
            <m:endChr m:val=")"/>
            <m:grow/>
          </m:dPr>
          <m:e>
            <m:bar>
              <m:barPr>
                <m:pos m:val="top"/>
              </m:barPr>
              <m:e>
                <m:r>
                  <m:t>e</m:t>
                </m:r>
              </m:e>
            </m:bar>
            <m:r>
              <m:rPr>
                <m:sty m:val="p"/>
              </m:rPr>
              <m:t>−</m:t>
            </m:r>
            <m:r>
              <m:t>Δ</m:t>
            </m:r>
            <m:r>
              <m:t>β</m:t>
            </m:r>
          </m:e>
        </m:d>
        <m:r>
          <m:rPr>
            <m:sty m:val="p"/>
          </m:rPr>
          <m:t>=</m:t>
        </m:r>
        <m:bar>
          <m:barPr>
            <m:pos m:val="top"/>
          </m:barPr>
          <m:e>
            <m:r>
              <m:t>U</m:t>
            </m:r>
          </m:e>
        </m:bar>
        <m:r>
          <m:rPr>
            <m:sty m:val="p"/>
          </m:rPr>
          <m:t>+</m:t>
        </m:r>
        <m:r>
          <m:t>Φ</m:t>
        </m:r>
        <m:d>
          <m:dPr>
            <m:begChr m:val="("/>
            <m:sepChr m:val=""/>
            <m:endChr m:val=")"/>
            <m:grow/>
          </m:dPr>
          <m:e>
            <m:bar>
              <m:barPr>
                <m:pos m:val="top"/>
              </m:barPr>
              <m:e>
                <m:r>
                  <m:t>e</m:t>
                </m:r>
              </m:e>
            </m:bar>
          </m:e>
        </m:d>
      </m:oMath>
      <w:r>
        <w:t xml:space="preserve">. De ahí</w:t>
      </w:r>
      <w:r>
        <w:t xml:space="preserve"> </w:t>
      </w:r>
      <m:oMath>
        <m:sSub>
          <m:e>
            <m:r>
              <m:rPr>
                <m:sty m:val="p"/>
              </m:rPr>
              <m:t>I</m:t>
            </m:r>
            <m:r>
              <m:rPr>
                <m:sty m:val="p"/>
              </m:rPr>
              <m:t>C</m:t>
            </m:r>
          </m:e>
          <m:sub>
            <m:r>
              <m:t>1</m:t>
            </m:r>
          </m:sub>
        </m:sSub>
      </m:oMath>
      <w:r>
        <w:t xml:space="preserve">:</w:t>
      </w:r>
      <w:r>
        <w:t xml:space="preserve"> </w:t>
      </w:r>
      <m:oMath>
        <m:bar>
          <m:barPr>
            <m:pos m:val="bot"/>
          </m:barPr>
          <m:e>
            <m:r>
              <m:t>U</m:t>
            </m:r>
          </m:e>
        </m:bar>
        <m:r>
          <m:rPr>
            <m:sty m:val="p"/>
          </m:rPr>
          <m:t>≥</m:t>
        </m:r>
        <m:bar>
          <m:barPr>
            <m:pos m:val="top"/>
          </m:barPr>
          <m:e>
            <m:r>
              <m:t>U</m:t>
            </m:r>
          </m:e>
        </m:bar>
        <m:r>
          <m:rPr>
            <m:sty m:val="p"/>
          </m:rPr>
          <m:t>+</m:t>
        </m:r>
        <m:r>
          <m:t>Φ</m:t>
        </m:r>
        <m:d>
          <m:dPr>
            <m:begChr m:val="("/>
            <m:sepChr m:val=""/>
            <m:endChr m:val=")"/>
            <m:grow/>
          </m:dPr>
          <m:e>
            <m:bar>
              <m:barPr>
                <m:pos m:val="top"/>
              </m:barPr>
              <m:e>
                <m:r>
                  <m:t>e</m:t>
                </m:r>
              </m:e>
            </m:bar>
          </m:e>
        </m:d>
      </m:oMath>
      <w:r>
        <w:t xml:space="preserve">. Si la ineficiente imitara a la eficiente, necesitaría un esfuerzo</w:t>
      </w:r>
      <w:r>
        <w:t xml:space="preserve"> </w:t>
      </w:r>
      <m:oMath>
        <m:bar>
          <m:barPr>
            <m:pos m:val="bot"/>
          </m:barPr>
          <m:e>
            <m:r>
              <m:t>e</m:t>
            </m:r>
          </m:e>
        </m:bar>
        <m:r>
          <m:rPr>
            <m:sty m:val="p"/>
          </m:rPr>
          <m:t>+</m:t>
        </m:r>
        <m:r>
          <m:t>Δ</m:t>
        </m:r>
        <m:r>
          <m:t>β</m:t>
        </m:r>
      </m:oMath>
      <w:r>
        <w:t xml:space="preserve"> </w:t>
      </w:r>
      <w:r>
        <w:t xml:space="preserve">y obtendría</w:t>
      </w:r>
      <w:r>
        <w:t xml:space="preserve"> </w:t>
      </w:r>
      <m:oMath>
        <m:bar>
          <m:barPr>
            <m:pos m:val="bot"/>
          </m:barPr>
          <m:e>
            <m:r>
              <m:t>U</m:t>
            </m:r>
          </m:e>
        </m:bar>
        <m:r>
          <m:rPr>
            <m:sty m:val="p"/>
          </m:rPr>
          <m:t>−</m:t>
        </m:r>
        <m:r>
          <m:t>Φ</m:t>
        </m:r>
        <m:d>
          <m:dPr>
            <m:begChr m:val="("/>
            <m:sepChr m:val=""/>
            <m:endChr m:val=")"/>
            <m:grow/>
          </m:dPr>
          <m:e>
            <m:bar>
              <m:barPr>
                <m:pos m:val="bot"/>
              </m:barPr>
              <m:e>
                <m:r>
                  <m:t>e</m:t>
                </m:r>
              </m:e>
            </m:bar>
            <m:r>
              <m:rPr>
                <m:sty m:val="p"/>
              </m:rPr>
              <m:t>+</m:t>
            </m:r>
            <m:r>
              <m:t>Δ</m:t>
            </m:r>
            <m:r>
              <m:t>β</m:t>
            </m:r>
          </m:e>
        </m:d>
      </m:oMath>
      <w:r>
        <w:t xml:space="preserve">:</w:t>
      </w:r>
      <w:r>
        <w:t xml:space="preserve"> </w:t>
      </w:r>
      <m:oMath>
        <m:sSub>
          <m:e>
            <m:r>
              <m:rPr>
                <m:sty m:val="p"/>
              </m:rPr>
              <m:t>I</m:t>
            </m:r>
            <m:r>
              <m:rPr>
                <m:sty m:val="p"/>
              </m:rPr>
              <m:t>C</m:t>
            </m:r>
          </m:e>
          <m:sub>
            <m:r>
              <m:t>2</m:t>
            </m:r>
          </m:sub>
        </m:sSub>
      </m:oMath>
      <w:r>
        <w:t xml:space="preserve"> </w:t>
      </w:r>
      <w:r>
        <w:t xml:space="preserve">es</w:t>
      </w:r>
      <w:r>
        <w:t xml:space="preserve"> </w:t>
      </w:r>
      <m:oMath>
        <m:bar>
          <m:barPr>
            <m:pos m:val="top"/>
          </m:barPr>
          <m:e>
            <m:r>
              <m:t>U</m:t>
            </m:r>
          </m:e>
        </m:bar>
        <m:r>
          <m:rPr>
            <m:sty m:val="p"/>
          </m:rPr>
          <m:t>≥</m:t>
        </m:r>
        <m:bar>
          <m:barPr>
            <m:pos m:val="bot"/>
          </m:barPr>
          <m:e>
            <m:r>
              <m:t>U</m:t>
            </m:r>
          </m:e>
        </m:bar>
        <m:r>
          <m:rPr>
            <m:sty m:val="p"/>
          </m:rPr>
          <m:t>−</m:t>
        </m:r>
        <m:r>
          <m:t>Φ</m:t>
        </m:r>
        <m:d>
          <m:dPr>
            <m:begChr m:val="("/>
            <m:sepChr m:val=""/>
            <m:endChr m:val=")"/>
            <m:grow/>
          </m:dPr>
          <m:e>
            <m:bar>
              <m:barPr>
                <m:pos m:val="bot"/>
              </m:barPr>
              <m:e>
                <m:r>
                  <m:t>e</m:t>
                </m:r>
              </m:e>
            </m:bar>
            <m:r>
              <m:rPr>
                <m:sty m:val="p"/>
              </m:rPr>
              <m:t>+</m:t>
            </m:r>
            <m:r>
              <m:t>Δ</m:t>
            </m:r>
            <m:r>
              <m:t>β</m:t>
            </m:r>
          </m:e>
        </m:d>
      </m:oMath>
      <w:r>
        <w:t xml:space="preserve">.</w:t>
      </w:r>
    </w:p>
    <w:p>
      <w:pPr>
        <w:numPr>
          <w:ilvl w:val="0"/>
          <w:numId w:val="1127"/>
        </w:numPr>
      </w:pPr>
      <w:r>
        <w:rPr>
          <w:i/>
          <w:iCs/>
        </w:rPr>
        <w:t xml:space="preserve">Restricciones activas</w:t>
      </w:r>
      <w:r>
        <w:t xml:space="preserve">. Como cada euro de renta cuesta</w:t>
      </w:r>
      <w:r>
        <w:t xml:space="preserve"> </w:t>
      </w:r>
      <m:oMath>
        <m:r>
          <m:t>λ</m:t>
        </m:r>
        <m:r>
          <m:rPr>
            <m:sty m:val="p"/>
          </m:rPr>
          <m:t>&gt;</m:t>
        </m:r>
        <m:r>
          <m:t>0</m:t>
        </m:r>
      </m:oMath>
      <w:r>
        <w:t xml:space="preserve">,</w:t>
      </w:r>
      <w:r>
        <w:t xml:space="preserve"> </w:t>
      </w:r>
      <m:oMath>
        <m:bar>
          <m:barPr>
            <m:pos m:val="top"/>
          </m:barPr>
          <m:e>
            <m:r>
              <m:t>U</m:t>
            </m:r>
          </m:e>
        </m:bar>
        <m:r>
          <m:rPr>
            <m:sty m:val="p"/>
          </m:rPr>
          <m:t>=</m:t>
        </m:r>
        <m:r>
          <m:t>0</m:t>
        </m:r>
      </m:oMath>
      <w:r>
        <w:t xml:space="preserve"> </w:t>
      </w:r>
      <w:r>
        <w:t xml:space="preserve">(</w:t>
      </w:r>
      <m:oMath>
        <m:sSub>
          <m:e>
            <m:r>
              <m:rPr>
                <m:sty m:val="p"/>
              </m:rPr>
              <m:t>P</m:t>
            </m:r>
            <m:r>
              <m:rPr>
                <m:sty m:val="p"/>
              </m:rPr>
              <m:t>C</m:t>
            </m:r>
          </m:e>
          <m:sub>
            <m:r>
              <m:t>2</m:t>
            </m:r>
          </m:sub>
        </m:sSub>
      </m:oMath>
      <w:r>
        <w:t xml:space="preserve">) y</w:t>
      </w:r>
      <w:r>
        <w:t xml:space="preserve"> </w:t>
      </w:r>
      <m:oMath>
        <m:bar>
          <m:barPr>
            <m:pos m:val="bot"/>
          </m:barPr>
          <m:e>
            <m:r>
              <m:t>U</m:t>
            </m:r>
          </m:e>
        </m:bar>
        <m:r>
          <m:rPr>
            <m:sty m:val="p"/>
          </m:rPr>
          <m:t>=</m:t>
        </m:r>
        <m:r>
          <m:t>Φ</m:t>
        </m:r>
        <m:d>
          <m:dPr>
            <m:begChr m:val="("/>
            <m:sepChr m:val=""/>
            <m:endChr m:val=")"/>
            <m:grow/>
          </m:dPr>
          <m:e>
            <m:bar>
              <m:barPr>
                <m:pos m:val="top"/>
              </m:barPr>
              <m:e>
                <m:r>
                  <m:t>e</m:t>
                </m:r>
              </m:e>
            </m:bar>
          </m:e>
        </m:d>
      </m:oMath>
      <w:r>
        <w:t xml:space="preserve"> </w:t>
      </w:r>
      <w:r>
        <w:t xml:space="preserve">(</w:t>
      </w:r>
      <m:oMath>
        <m:sSub>
          <m:e>
            <m:r>
              <m:rPr>
                <m:sty m:val="p"/>
              </m:rPr>
              <m:t>I</m:t>
            </m:r>
            <m:r>
              <m:rPr>
                <m:sty m:val="p"/>
              </m:rPr>
              <m:t>C</m:t>
            </m:r>
          </m:e>
          <m:sub>
            <m:r>
              <m:t>1</m:t>
            </m:r>
          </m:sub>
        </m:sSub>
      </m:oMath>
      <w:r>
        <w:t xml:space="preserve">).</w:t>
      </w:r>
    </w:p>
    <w:p>
      <w:pPr>
        <w:numPr>
          <w:ilvl w:val="0"/>
          <w:numId w:val="1127"/>
        </w:numPr>
      </w:pPr>
      <w:r>
        <w:rPr>
          <w:i/>
          <w:iCs/>
        </w:rPr>
        <w:t xml:space="preserve">Problema reducido</w:t>
      </w:r>
      <w:r>
        <w:t xml:space="preserve">. Sustituyendo y quitando las constantes (</w:t>
      </w:r>
      <m:oMath>
        <m:r>
          <m:t>S</m:t>
        </m:r>
      </m:oMath>
      <w:r>
        <w:t xml:space="preserve">,</w:t>
      </w:r>
      <w:r>
        <w:t xml:space="preserve"> </w:t>
      </w:r>
      <m:oMath>
        <m:bar>
          <m:barPr>
            <m:pos m:val="bot"/>
          </m:barPr>
          <m:e>
            <m:r>
              <m:t>β</m:t>
            </m:r>
          </m:e>
        </m:bar>
      </m:oMath>
      <w:r>
        <w:t xml:space="preserve">,</w:t>
      </w:r>
      <w:r>
        <w:t xml:space="preserve"> </w:t>
      </w:r>
      <m:oMath>
        <m:bar>
          <m:barPr>
            <m:pos m:val="top"/>
          </m:barPr>
          <m:e>
            <m:r>
              <m:t>β</m:t>
            </m:r>
          </m:e>
        </m:bar>
      </m:oMath>
      <w:r>
        <w:t xml:space="preserve">), el regulador elige</w:t>
      </w:r>
      <w:r>
        <w:t xml:space="preserve"> </w:t>
      </w:r>
      <m:oMath>
        <m:bar>
          <m:barPr>
            <m:pos m:val="bot"/>
          </m:barPr>
          <m:e>
            <m:r>
              <m:t>e</m:t>
            </m:r>
          </m:e>
        </m:bar>
      </m:oMath>
      <w:r>
        <w:t xml:space="preserve"> </w:t>
      </w:r>
      <w:r>
        <w:t xml:space="preserve">y</w:t>
      </w:r>
      <w:r>
        <w:t xml:space="preserve"> </w:t>
      </w:r>
      <m:oMath>
        <m:bar>
          <m:barPr>
            <m:pos m:val="top"/>
          </m:barPr>
          <m:e>
            <m:r>
              <m:t>e</m:t>
            </m:r>
          </m:e>
        </m:bar>
      </m:oMath>
      <w:r>
        <w:t xml:space="preserve"> </w:t>
      </w:r>
      <w:r>
        <w:t xml:space="preserve">para maximizar</w:t>
      </w:r>
    </w:p>
    <w:p>
      <w:pPr>
        <w:pStyle w:val="BodyText"/>
        <w:keepNext/>
      </w:pPr>
      <m:oMathPara>
        <m:oMathParaPr>
          <m:jc m:val="center"/>
        </m:oMathParaPr>
        <m:oMath>
          <m:r>
            <m:rPr>
              <m:sty m:val="p"/>
            </m:rPr>
            <m:t>−</m:t>
          </m:r>
          <m:r>
            <m:t>ν</m:t>
          </m:r>
          <m:r>
            <m:t> </m:t>
          </m:r>
          <m:d>
            <m:dPr>
              <m:begChr m:val="("/>
              <m:sepChr m:val=""/>
              <m:endChr m:val=")"/>
              <m:grow/>
            </m:dPr>
            <m:e>
              <m:r>
                <m:t>1</m:t>
              </m:r>
              <m:r>
                <m:rPr>
                  <m:sty m:val="p"/>
                </m:rPr>
                <m:t>+</m:t>
              </m:r>
              <m:r>
                <m:t>λ</m:t>
              </m:r>
            </m:e>
          </m:d>
          <m:d>
            <m:dPr>
              <m:begChr m:val="["/>
              <m:sepChr m:val=""/>
              <m:endChr m:val="]"/>
              <m:grow/>
            </m:dPr>
            <m:e>
              <m:r>
                <m:t>ψ</m:t>
              </m:r>
              <m:d>
                <m:dPr>
                  <m:begChr m:val="("/>
                  <m:sepChr m:val=""/>
                  <m:endChr m:val=")"/>
                  <m:grow/>
                </m:dPr>
                <m:e>
                  <m:bar>
                    <m:barPr>
                      <m:pos m:val="bot"/>
                    </m:barPr>
                    <m:e>
                      <m:r>
                        <m:t>e</m:t>
                      </m:r>
                    </m:e>
                  </m:bar>
                </m:e>
              </m:d>
              <m:r>
                <m:rPr>
                  <m:sty m:val="p"/>
                </m:rPr>
                <m:t>−</m:t>
              </m:r>
              <m:bar>
                <m:barPr>
                  <m:pos m:val="bot"/>
                </m:barPr>
                <m:e>
                  <m:r>
                    <m:t>e</m:t>
                  </m:r>
                </m:e>
              </m:bar>
            </m:e>
          </m:d>
          <m:r>
            <m:rPr>
              <m:sty m:val="p"/>
            </m:rPr>
            <m:t>−</m:t>
          </m:r>
          <m:r>
            <m:t>ν</m:t>
          </m:r>
          <m:r>
            <m:t> </m:t>
          </m:r>
          <m:r>
            <m:t>λ</m:t>
          </m:r>
          <m:r>
            <m:t> </m:t>
          </m:r>
          <m:r>
            <m:t>Φ</m:t>
          </m:r>
          <m:d>
            <m:dPr>
              <m:begChr m:val="("/>
              <m:sepChr m:val=""/>
              <m:endChr m:val=")"/>
              <m:grow/>
            </m:dPr>
            <m:e>
              <m:bar>
                <m:barPr>
                  <m:pos m:val="top"/>
                </m:barPr>
                <m:e>
                  <m:r>
                    <m:t>e</m:t>
                  </m:r>
                </m:e>
              </m:bar>
            </m:e>
          </m:d>
          <m:r>
            <m:rPr>
              <m:sty m:val="p"/>
            </m:rPr>
            <m:t>−</m:t>
          </m:r>
          <m:d>
            <m:dPr>
              <m:begChr m:val="("/>
              <m:sepChr m:val=""/>
              <m:endChr m:val=")"/>
              <m:grow/>
            </m:dPr>
            <m:e>
              <m:r>
                <m:t>1</m:t>
              </m:r>
              <m:r>
                <m:rPr>
                  <m:sty m:val="p"/>
                </m:rPr>
                <m:t>−</m:t>
              </m:r>
              <m:r>
                <m:t>ν</m:t>
              </m:r>
            </m:e>
          </m:d>
          <m:r>
            <m:t> </m:t>
          </m:r>
          <m:d>
            <m:dPr>
              <m:begChr m:val="("/>
              <m:sepChr m:val=""/>
              <m:endChr m:val=")"/>
              <m:grow/>
            </m:dPr>
            <m:e>
              <m:r>
                <m:t>1</m:t>
              </m:r>
              <m:r>
                <m:rPr>
                  <m:sty m:val="p"/>
                </m:rPr>
                <m:t>+</m:t>
              </m:r>
              <m:r>
                <m:t>λ</m:t>
              </m:r>
            </m:e>
          </m:d>
          <m:d>
            <m:dPr>
              <m:begChr m:val="["/>
              <m:sepChr m:val=""/>
              <m:endChr m:val="]"/>
              <m:grow/>
            </m:dPr>
            <m:e>
              <m:r>
                <m:t>ψ</m:t>
              </m:r>
              <m:d>
                <m:dPr>
                  <m:begChr m:val="("/>
                  <m:sepChr m:val=""/>
                  <m:endChr m:val=")"/>
                  <m:grow/>
                </m:dPr>
                <m:e>
                  <m:bar>
                    <m:barPr>
                      <m:pos m:val="top"/>
                    </m:barPr>
                    <m:e>
                      <m:r>
                        <m:t>e</m:t>
                      </m:r>
                    </m:e>
                  </m:bar>
                </m:e>
              </m:d>
              <m:r>
                <m:rPr>
                  <m:sty m:val="p"/>
                </m:rPr>
                <m:t>−</m:t>
              </m:r>
              <m:bar>
                <m:barPr>
                  <m:pos m:val="top"/>
                </m:barPr>
                <m:e>
                  <m:r>
                    <m:t>e</m:t>
                  </m:r>
                </m:e>
              </m:bar>
            </m:e>
          </m:d>
          <m:r>
            <m:rPr>
              <m:sty m:val="p"/>
            </m:rPr>
            <m:t>.</m:t>
          </m:r>
        </m:oMath>
      </m:oMathPara>
    </w:p>
    <w:p>
      <w:pPr>
        <w:numPr>
          <w:ilvl w:val="0"/>
          <w:numId w:val="1127"/>
        </w:numPr>
      </w:pPr>
      <w:r>
        <w:rPr>
          <w:i/>
          <w:iCs/>
        </w:rPr>
        <w:t xml:space="preserve">Condiciones de primer orden</w:t>
      </w:r>
      <w:r>
        <w:t xml:space="preserve">. Respecto a</w:t>
      </w:r>
      <w:r>
        <w:t xml:space="preserve"> </w:t>
      </w:r>
      <m:oMath>
        <m:bar>
          <m:barPr>
            <m:pos m:val="bot"/>
          </m:barPr>
          <m:e>
            <m:r>
              <m:t>e</m:t>
            </m:r>
          </m:e>
        </m:bar>
      </m:oMath>
      <w:r>
        <w:t xml:space="preserve">:</w:t>
      </w:r>
      <w:r>
        <w:t xml:space="preserve"> </w:t>
      </w:r>
      <m:oMath>
        <m:r>
          <m:t>ν</m:t>
        </m:r>
        <m:r>
          <m:t> </m:t>
        </m:r>
        <m:d>
          <m:dPr>
            <m:begChr m:val="("/>
            <m:sepChr m:val=""/>
            <m:endChr m:val=")"/>
            <m:grow/>
          </m:dPr>
          <m:e>
            <m:r>
              <m:t>1</m:t>
            </m:r>
            <m:r>
              <m:rPr>
                <m:sty m:val="p"/>
              </m:rPr>
              <m:t>+</m:t>
            </m:r>
            <m:r>
              <m:t>λ</m:t>
            </m:r>
          </m:e>
        </m:d>
        <m:d>
          <m:dPr>
            <m:begChr m:val="["/>
            <m:sepChr m:val=""/>
            <m:endChr m:val="]"/>
            <m:grow/>
          </m:dPr>
          <m:e>
            <m:r>
              <m:t>1</m:t>
            </m:r>
            <m:r>
              <m:rPr>
                <m:sty m:val="p"/>
              </m:rPr>
              <m:t>−</m:t>
            </m:r>
            <m:r>
              <m:t>ψ</m:t>
            </m:r>
            <m:r>
              <m:rPr>
                <m:sty m:val="p"/>
              </m:rPr>
              <m:t>′</m:t>
            </m:r>
            <m:d>
              <m:dPr>
                <m:begChr m:val="("/>
                <m:sepChr m:val=""/>
                <m:endChr m:val=")"/>
                <m:grow/>
              </m:dPr>
              <m:e>
                <m:bar>
                  <m:barPr>
                    <m:pos m:val="bot"/>
                  </m:barPr>
                  <m:e>
                    <m:r>
                      <m:t>e</m:t>
                    </m:r>
                  </m:e>
                </m:bar>
              </m:e>
            </m:d>
          </m:e>
        </m:d>
        <m:r>
          <m:rPr>
            <m:sty m:val="p"/>
          </m:rPr>
          <m:t>=</m:t>
        </m:r>
        <m:r>
          <m:t>0</m:t>
        </m:r>
      </m:oMath>
      <w:r>
        <w:t xml:space="preserve">, de donde</w:t>
      </w:r>
      <w:r>
        <w:t xml:space="preserve"> </w:t>
      </w:r>
      <m:oMath>
        <m:r>
          <m:t>ψ</m:t>
        </m:r>
        <m:r>
          <m:rPr>
            <m:sty m:val="p"/>
          </m:rPr>
          <m:t>′</m:t>
        </m:r>
        <m:d>
          <m:dPr>
            <m:begChr m:val="("/>
            <m:sepChr m:val=""/>
            <m:endChr m:val=")"/>
            <m:grow/>
          </m:dPr>
          <m:e>
            <m:bar>
              <m:barPr>
                <m:pos m:val="bot"/>
              </m:barPr>
              <m:e>
                <m:r>
                  <m:t>e</m:t>
                </m:r>
              </m:e>
            </m:bar>
          </m:e>
        </m:d>
        <m:r>
          <m:rPr>
            <m:sty m:val="p"/>
          </m:rPr>
          <m:t>=</m:t>
        </m:r>
        <m:r>
          <m:t>1</m:t>
        </m:r>
      </m:oMath>
      <w:r>
        <w:t xml:space="preserve">. Respecto a</w:t>
      </w:r>
      <w:r>
        <w:t xml:space="preserve"> </w:t>
      </w:r>
      <m:oMath>
        <m:bar>
          <m:barPr>
            <m:pos m:val="top"/>
          </m:barPr>
          <m:e>
            <m:r>
              <m:t>e</m:t>
            </m:r>
          </m:e>
        </m:bar>
      </m:oMath>
      <w:r>
        <w:t xml:space="preserve">:</w:t>
      </w:r>
      <w:r>
        <w:t xml:space="preserve"> </w:t>
      </w:r>
      <m:oMath>
        <m:d>
          <m:dPr>
            <m:begChr m:val="("/>
            <m:sepChr m:val=""/>
            <m:endChr m:val=")"/>
            <m:grow/>
          </m:dPr>
          <m:e>
            <m:r>
              <m:t>1</m:t>
            </m:r>
            <m:r>
              <m:rPr>
                <m:sty m:val="p"/>
              </m:rPr>
              <m:t>−</m:t>
            </m:r>
            <m:r>
              <m:t>ν</m:t>
            </m:r>
          </m:e>
        </m:d>
        <m:r>
          <m:t> </m:t>
        </m:r>
        <m:d>
          <m:dPr>
            <m:begChr m:val="("/>
            <m:sepChr m:val=""/>
            <m:endChr m:val=")"/>
            <m:grow/>
          </m:dPr>
          <m:e>
            <m:r>
              <m:t>1</m:t>
            </m:r>
            <m:r>
              <m:rPr>
                <m:sty m:val="p"/>
              </m:rPr>
              <m:t>+</m:t>
            </m:r>
            <m:r>
              <m:t>λ</m:t>
            </m:r>
          </m:e>
        </m:d>
        <m:d>
          <m:dPr>
            <m:begChr m:val="["/>
            <m:sepChr m:val=""/>
            <m:endChr m:val="]"/>
            <m:grow/>
          </m:dPr>
          <m:e>
            <m:r>
              <m:t>1</m:t>
            </m:r>
            <m:r>
              <m:rPr>
                <m:sty m:val="p"/>
              </m:rPr>
              <m:t>−</m:t>
            </m:r>
            <m:r>
              <m:t>ψ</m:t>
            </m:r>
            <m:r>
              <m:rPr>
                <m:sty m:val="p"/>
              </m:rPr>
              <m:t>′</m:t>
            </m:r>
            <m:d>
              <m:dPr>
                <m:begChr m:val="("/>
                <m:sepChr m:val=""/>
                <m:endChr m:val=")"/>
                <m:grow/>
              </m:dPr>
              <m:e>
                <m:bar>
                  <m:barPr>
                    <m:pos m:val="top"/>
                  </m:barPr>
                  <m:e>
                    <m:r>
                      <m:t>e</m:t>
                    </m:r>
                  </m:e>
                </m:bar>
              </m:e>
            </m:d>
          </m:e>
        </m:d>
        <m:r>
          <m:rPr>
            <m:sty m:val="p"/>
          </m:rPr>
          <m:t>−</m:t>
        </m:r>
        <m:r>
          <m:t>ν</m:t>
        </m:r>
        <m:r>
          <m:t> </m:t>
        </m:r>
        <m:r>
          <m:t>λ</m:t>
        </m:r>
        <m:r>
          <m:t> </m:t>
        </m:r>
        <m:r>
          <m:t>Φ</m:t>
        </m:r>
        <m:r>
          <m:rPr>
            <m:sty m:val="p"/>
          </m:rPr>
          <m:t>′</m:t>
        </m:r>
        <m:d>
          <m:dPr>
            <m:begChr m:val="("/>
            <m:sepChr m:val=""/>
            <m:endChr m:val=")"/>
            <m:grow/>
          </m:dPr>
          <m:e>
            <m:bar>
              <m:barPr>
                <m:pos m:val="top"/>
              </m:barPr>
              <m:e>
                <m:r>
                  <m:t>e</m:t>
                </m:r>
              </m:e>
            </m:bar>
          </m:e>
        </m:d>
        <m:r>
          <m:rPr>
            <m:sty m:val="p"/>
          </m:rPr>
          <m:t>=</m:t>
        </m:r>
        <m:r>
          <m:t>0</m:t>
        </m:r>
      </m:oMath>
      <w:r>
        <w:t xml:space="preserve">, de donde</w:t>
      </w:r>
    </w:p>
    <w:p>
      <w:pPr>
        <w:pStyle w:val="BodyText"/>
        <w:keepNext/>
      </w:pPr>
      <m:oMathPara>
        <m:oMathParaPr>
          <m:jc m:val="center"/>
        </m:oMathParaPr>
        <m:oMath>
          <m:r>
            <m:t>ψ</m:t>
          </m:r>
          <m:r>
            <m:rPr>
              <m:sty m:val="p"/>
            </m:rPr>
            <m:t>′</m:t>
          </m:r>
          <m:d>
            <m:dPr>
              <m:begChr m:val="("/>
              <m:sepChr m:val=""/>
              <m:endChr m:val=")"/>
              <m:grow/>
            </m:dPr>
            <m:e>
              <m:bar>
                <m:barPr>
                  <m:pos m:val="top"/>
                </m:barPr>
                <m:e>
                  <m:r>
                    <m:t>e</m:t>
                  </m:r>
                </m:e>
              </m:bar>
            </m:e>
          </m:d>
          <m:r>
            <m:rPr>
              <m:sty m:val="p"/>
            </m:rPr>
            <m:t>=</m:t>
          </m:r>
          <m:r>
            <m:t>1</m:t>
          </m:r>
          <m:r>
            <m:rPr>
              <m:sty m:val="p"/>
            </m:rPr>
            <m:t>−</m:t>
          </m:r>
          <m:f>
            <m:fPr>
              <m:type m:val="bar"/>
            </m:fPr>
            <m:num>
              <m:r>
                <m:t>λ</m:t>
              </m:r>
            </m:num>
            <m:den>
              <m:r>
                <m:t>1</m:t>
              </m:r>
              <m:r>
                <m:rPr>
                  <m:sty m:val="p"/>
                </m:rPr>
                <m:t>+</m:t>
              </m:r>
              <m:r>
                <m:t>λ</m:t>
              </m:r>
            </m:den>
          </m:f>
          <m:r>
            <m:rPr>
              <m:sty m:val="p"/>
            </m:rPr>
            <m:t>⋅</m:t>
          </m:r>
          <m:f>
            <m:fPr>
              <m:type m:val="bar"/>
            </m:fPr>
            <m:num>
              <m:r>
                <m:t>ν</m:t>
              </m:r>
            </m:num>
            <m:den>
              <m:r>
                <m:t>1</m:t>
              </m:r>
              <m:r>
                <m:rPr>
                  <m:sty m:val="p"/>
                </m:rPr>
                <m:t>−</m:t>
              </m:r>
              <m:r>
                <m:t>ν</m:t>
              </m:r>
            </m:den>
          </m:f>
          <m:r>
            <m:rPr>
              <m:sty m:val="p"/>
            </m:rPr>
            <m:t>⋅</m:t>
          </m:r>
          <m:r>
            <m:t>Φ</m:t>
          </m:r>
          <m:r>
            <m:rPr>
              <m:sty m:val="p"/>
            </m:rPr>
            <m:t>′</m:t>
          </m:r>
          <m:d>
            <m:dPr>
              <m:begChr m:val="("/>
              <m:sepChr m:val=""/>
              <m:endChr m:val=")"/>
              <m:grow/>
            </m:dPr>
            <m:e>
              <m:bar>
                <m:barPr>
                  <m:pos m:val="top"/>
                </m:barPr>
                <m:e>
                  <m:r>
                    <m:t>e</m:t>
                  </m:r>
                </m:e>
              </m:bar>
            </m:e>
          </m:d>
          <m:r>
            <m:rPr>
              <m:sty m:val="p"/>
            </m:rPr>
            <m:t>,</m:t>
          </m:r>
        </m:oMath>
      </m:oMathPara>
    </w:p>
    <w:p>
      <w:pPr>
        <w:numPr>
          <w:ilvl w:val="0"/>
          <w:numId w:val="1000"/>
        </w:numPr>
      </w:pPr>
      <w:r>
        <w:t xml:space="preserve">que es (</w:t>
      </w:r>
      <w:hyperlink w:anchor="eq_laffont_tirole">
        <w:r>
          <w:rPr>
            <w:rStyle w:val="Hyperlink"/>
          </w:rPr>
          <w:t xml:space="preserve">9</w:t>
        </w:r>
      </w:hyperlink>
      <w:r>
        <w:t xml:space="preserve">). Como</w:t>
      </w:r>
      <w:r>
        <w:t xml:space="preserve"> </w:t>
      </w:r>
      <m:oMath>
        <m:r>
          <m:t>ψ</m:t>
        </m:r>
      </m:oMath>
      <w:r>
        <w:t xml:space="preserve"> </w:t>
      </w:r>
      <w:r>
        <w:t xml:space="preserve">es convexa,</w:t>
      </w:r>
      <w:r>
        <w:t xml:space="preserve"> </w:t>
      </w:r>
      <m:oMath>
        <m:r>
          <m:t>Φ</m:t>
        </m:r>
        <m:r>
          <m:rPr>
            <m:sty m:val="p"/>
          </m:rPr>
          <m:t>′</m:t>
        </m:r>
        <m:d>
          <m:dPr>
            <m:begChr m:val="("/>
            <m:sepChr m:val=""/>
            <m:endChr m:val=")"/>
            <m:grow/>
          </m:dPr>
          <m:e>
            <m:r>
              <m:t>e</m:t>
            </m:r>
          </m:e>
        </m:d>
        <m:r>
          <m:rPr>
            <m:sty m:val="p"/>
          </m:rPr>
          <m:t>=</m:t>
        </m:r>
        <m:r>
          <m:t>ψ</m:t>
        </m:r>
        <m:r>
          <m:rPr>
            <m:sty m:val="p"/>
          </m:rPr>
          <m:t>′</m:t>
        </m:r>
        <m:d>
          <m:dPr>
            <m:begChr m:val="("/>
            <m:sepChr m:val=""/>
            <m:endChr m:val=")"/>
            <m:grow/>
          </m:dPr>
          <m:e>
            <m:r>
              <m:t>e</m:t>
            </m:r>
          </m:e>
        </m:d>
        <m:r>
          <m:rPr>
            <m:sty m:val="p"/>
          </m:rPr>
          <m:t>−</m:t>
        </m:r>
        <m:r>
          <m:t>ψ</m:t>
        </m:r>
        <m:r>
          <m:rPr>
            <m:sty m:val="p"/>
          </m:rPr>
          <m:t>′</m:t>
        </m:r>
        <m:d>
          <m:dPr>
            <m:begChr m:val="("/>
            <m:sepChr m:val=""/>
            <m:endChr m:val=")"/>
            <m:grow/>
          </m:dPr>
          <m:e>
            <m:r>
              <m:t>e</m:t>
            </m:r>
            <m:r>
              <m:rPr>
                <m:sty m:val="p"/>
              </m:rPr>
              <m:t>−</m:t>
            </m:r>
            <m:r>
              <m:t>Δ</m:t>
            </m:r>
            <m:r>
              <m:t>β</m:t>
            </m:r>
          </m:e>
        </m:d>
        <m:r>
          <m:rPr>
            <m:sty m:val="p"/>
          </m:rPr>
          <m:t>&gt;</m:t>
        </m:r>
        <m:r>
          <m:t>0</m:t>
        </m:r>
      </m:oMath>
      <w:r>
        <w:t xml:space="preserve">, así que</w:t>
      </w:r>
      <w:r>
        <w:t xml:space="preserve"> </w:t>
      </w:r>
      <m:oMath>
        <m:r>
          <m:t>ψ</m:t>
        </m:r>
        <m:r>
          <m:rPr>
            <m:sty m:val="p"/>
          </m:rPr>
          <m:t>′</m:t>
        </m:r>
        <m:d>
          <m:dPr>
            <m:begChr m:val="("/>
            <m:sepChr m:val=""/>
            <m:endChr m:val=")"/>
            <m:grow/>
          </m:dPr>
          <m:e>
            <m:bar>
              <m:barPr>
                <m:pos m:val="top"/>
              </m:barPr>
              <m:e>
                <m:r>
                  <m:t>e</m:t>
                </m:r>
              </m:e>
            </m:bar>
          </m:e>
        </m:d>
        <m:r>
          <m:rPr>
            <m:sty m:val="p"/>
          </m:rPr>
          <m:t>&lt;</m:t>
        </m:r>
        <m:r>
          <m:t>1</m:t>
        </m:r>
      </m:oMath>
      <w:r>
        <w:t xml:space="preserve"> </w:t>
      </w:r>
      <w:r>
        <w:t xml:space="preserve">y</w:t>
      </w:r>
      <w:r>
        <w:t xml:space="preserve"> </w:t>
      </w:r>
      <m:oMath>
        <m:bar>
          <m:barPr>
            <m:pos m:val="top"/>
          </m:barPr>
          <m:e>
            <m:r>
              <m:t>e</m:t>
            </m:r>
          </m:e>
        </m:bar>
        <m:r>
          <m:rPr>
            <m:sty m:val="p"/>
          </m:rPr>
          <m:t>&lt;</m:t>
        </m:r>
        <m:sSup>
          <m:e>
            <m:r>
              <m:t>e</m:t>
            </m:r>
          </m:e>
          <m:sup>
            <m:r>
              <m:rPr>
                <m:sty m:val="p"/>
              </m:rPr>
              <m:t>*</m:t>
            </m:r>
          </m:sup>
        </m:sSup>
      </m:oMath>
      <w:r>
        <w:t xml:space="preserve">. La condición de segundo orden se cumple si</w:t>
      </w:r>
      <w:r>
        <w:t xml:space="preserve"> </w:t>
      </w:r>
      <m:oMath>
        <m:r>
          <m:t>ψ</m:t>
        </m:r>
        <m:r>
          <m:rPr>
            <m:sty m:val="p"/>
          </m:rPr>
          <m:t>‴</m:t>
        </m:r>
        <m:r>
          <m:rPr>
            <m:sty m:val="p"/>
          </m:rPr>
          <m:t>≥</m:t>
        </m:r>
        <m:r>
          <m:t>0</m:t>
        </m:r>
      </m:oMath>
      <w:r>
        <w:t xml:space="preserve">, que hace a</w:t>
      </w:r>
      <w:r>
        <w:t xml:space="preserve"> </w:t>
      </w:r>
      <m:oMath>
        <m:r>
          <m:t>Φ</m:t>
        </m:r>
      </m:oMath>
      <w:r>
        <w:t xml:space="preserve"> </w:t>
      </w:r>
      <w:r>
        <w:t xml:space="preserve">convexa.</w:t>
      </w:r>
    </w:p>
    <w:p>
      <w:pPr>
        <w:numPr>
          <w:ilvl w:val="0"/>
          <w:numId w:val="1127"/>
        </w:numPr>
      </w:pPr>
      <w:r>
        <w:rPr>
          <w:i/>
          <w:iCs/>
        </w:rPr>
        <w:t xml:space="preserve">Comprobación de</w:t>
      </w:r>
      <w:r>
        <w:rPr>
          <w:i/>
          <w:iCs/>
        </w:rPr>
        <w:t xml:space="preserve"> </w:t>
      </w:r>
      <m:oMath>
        <m:sSub>
          <m:e>
            <m:r>
              <m:rPr>
                <m:sty m:val="p"/>
              </m:rPr>
              <m:t>I</m:t>
            </m:r>
            <m:r>
              <m:rPr>
                <m:sty m:val="p"/>
              </m:rPr>
              <m:t>C</m:t>
            </m:r>
          </m:e>
          <m:sub>
            <m:r>
              <m:t>2</m:t>
            </m:r>
          </m:sub>
        </m:sSub>
      </m:oMath>
      <w:r>
        <w:t xml:space="preserve">: como</w:t>
      </w:r>
      <w:r>
        <w:t xml:space="preserve"> </w:t>
      </w:r>
      <m:oMath>
        <m:bar>
          <m:barPr>
            <m:pos m:val="bot"/>
          </m:barPr>
          <m:e>
            <m:r>
              <m:t>e</m:t>
            </m:r>
          </m:e>
        </m:bar>
        <m:r>
          <m:rPr>
            <m:sty m:val="p"/>
          </m:rPr>
          <m:t>=</m:t>
        </m:r>
        <m:sSup>
          <m:e>
            <m:r>
              <m:t>e</m:t>
            </m:r>
          </m:e>
          <m:sup>
            <m:r>
              <m:rPr>
                <m:sty m:val="p"/>
              </m:rPr>
              <m:t>*</m:t>
            </m:r>
          </m:sup>
        </m:sSup>
        <m:r>
          <m:rPr>
            <m:sty m:val="p"/>
          </m:rPr>
          <m:t>&gt;</m:t>
        </m:r>
        <m:bar>
          <m:barPr>
            <m:pos m:val="top"/>
          </m:barPr>
          <m:e>
            <m:r>
              <m:t>e</m:t>
            </m:r>
          </m:e>
        </m:bar>
      </m:oMath>
      <w:r>
        <w:t xml:space="preserve">,</w:t>
      </w:r>
      <w:r>
        <w:t xml:space="preserve"> </w:t>
      </w:r>
      <m:oMath>
        <m:bar>
          <m:barPr>
            <m:pos m:val="bot"/>
          </m:barPr>
          <m:e>
            <m:r>
              <m:t>e</m:t>
            </m:r>
          </m:e>
        </m:bar>
        <m:r>
          <m:rPr>
            <m:sty m:val="p"/>
          </m:rPr>
          <m:t>+</m:t>
        </m:r>
        <m:r>
          <m:t>Δ</m:t>
        </m:r>
        <m:r>
          <m:t>β</m:t>
        </m:r>
        <m:r>
          <m:rPr>
            <m:sty m:val="p"/>
          </m:rPr>
          <m:t>&gt;</m:t>
        </m:r>
        <m:bar>
          <m:barPr>
            <m:pos m:val="top"/>
          </m:barPr>
          <m:e>
            <m:r>
              <m:t>e</m:t>
            </m:r>
          </m:e>
        </m:bar>
      </m:oMath>
      <w:r>
        <w:t xml:space="preserve"> </w:t>
      </w:r>
      <w:r>
        <w:t xml:space="preserve">y, al ser</w:t>
      </w:r>
      <w:r>
        <w:t xml:space="preserve"> </w:t>
      </w:r>
      <m:oMath>
        <m:r>
          <m:t>Φ</m:t>
        </m:r>
      </m:oMath>
      <w:r>
        <w:t xml:space="preserve"> </w:t>
      </w:r>
      <w:r>
        <w:t xml:space="preserve">creciente,</w:t>
      </w:r>
      <w:r>
        <w:t xml:space="preserve"> </w:t>
      </w:r>
      <m:oMath>
        <m:bar>
          <m:barPr>
            <m:pos m:val="bot"/>
          </m:barPr>
          <m:e>
            <m:r>
              <m:t>U</m:t>
            </m:r>
          </m:e>
        </m:bar>
        <m:r>
          <m:rPr>
            <m:sty m:val="p"/>
          </m:rPr>
          <m:t>−</m:t>
        </m:r>
        <m:r>
          <m:t>Φ</m:t>
        </m:r>
        <m:d>
          <m:dPr>
            <m:begChr m:val="("/>
            <m:sepChr m:val=""/>
            <m:endChr m:val=")"/>
            <m:grow/>
          </m:dPr>
          <m:e>
            <m:bar>
              <m:barPr>
                <m:pos m:val="bot"/>
              </m:barPr>
              <m:e>
                <m:r>
                  <m:t>e</m:t>
                </m:r>
              </m:e>
            </m:bar>
            <m:r>
              <m:rPr>
                <m:sty m:val="p"/>
              </m:rPr>
              <m:t>+</m:t>
            </m:r>
            <m:r>
              <m:t>Δ</m:t>
            </m:r>
            <m:r>
              <m:t>β</m:t>
            </m:r>
          </m:e>
        </m:d>
        <m:r>
          <m:rPr>
            <m:sty m:val="p"/>
          </m:rPr>
          <m:t>=</m:t>
        </m:r>
        <m:r>
          <m:t>Φ</m:t>
        </m:r>
        <m:d>
          <m:dPr>
            <m:begChr m:val="("/>
            <m:sepChr m:val=""/>
            <m:endChr m:val=")"/>
            <m:grow/>
          </m:dPr>
          <m:e>
            <m:bar>
              <m:barPr>
                <m:pos m:val="top"/>
              </m:barPr>
              <m:e>
                <m:r>
                  <m:t>e</m:t>
                </m:r>
              </m:e>
            </m:bar>
          </m:e>
        </m:d>
        <m:r>
          <m:rPr>
            <m:sty m:val="p"/>
          </m:rPr>
          <m:t>−</m:t>
        </m:r>
        <m:r>
          <m:t>Φ</m:t>
        </m:r>
        <m:d>
          <m:dPr>
            <m:begChr m:val="("/>
            <m:sepChr m:val=""/>
            <m:endChr m:val=")"/>
            <m:grow/>
          </m:dPr>
          <m:e>
            <m:bar>
              <m:barPr>
                <m:pos m:val="bot"/>
              </m:barPr>
              <m:e>
                <m:r>
                  <m:t>e</m:t>
                </m:r>
              </m:e>
            </m:bar>
            <m:r>
              <m:rPr>
                <m:sty m:val="p"/>
              </m:rPr>
              <m:t>+</m:t>
            </m:r>
            <m:r>
              <m:t>Δ</m:t>
            </m:r>
            <m:r>
              <m:t>β</m:t>
            </m:r>
          </m:e>
        </m:d>
        <m:r>
          <m:rPr>
            <m:sty m:val="p"/>
          </m:rPr>
          <m:t>&lt;</m:t>
        </m:r>
        <m:r>
          <m:t>0</m:t>
        </m:r>
        <m:r>
          <m:rPr>
            <m:sty m:val="p"/>
          </m:rPr>
          <m:t>=</m:t>
        </m:r>
        <m:bar>
          <m:barPr>
            <m:pos m:val="top"/>
          </m:barPr>
          <m:e>
            <m:r>
              <m:t>U</m:t>
            </m:r>
          </m:e>
        </m:bar>
      </m:oMath>
      <w:r>
        <w:t xml:space="preserve">: la ineficiente no quiere el contrato de la eficiente. ∎</w:t>
      </w:r>
    </w:p>
    <w:p>
      <w:pPr>
        <w:numPr>
          <w:ilvl w:val="0"/>
          <w:numId w:val="1127"/>
        </w:numPr>
      </w:pPr>
      <w:r>
        <w:rPr>
          <w:i/>
          <w:iCs/>
        </w:rPr>
        <w:t xml:space="preserve">Coste proporcional a la producción</w:t>
      </w:r>
      <w:r>
        <w:t xml:space="preserve">: con</w:t>
      </w:r>
      <w:r>
        <w:t xml:space="preserve"> </w:t>
      </w:r>
      <m:oMath>
        <m:r>
          <m:t>C</m:t>
        </m:r>
        <m:r>
          <m:rPr>
            <m:sty m:val="p"/>
          </m:rPr>
          <m:t>=</m:t>
        </m:r>
        <m:d>
          <m:dPr>
            <m:begChr m:val="("/>
            <m:sepChr m:val=""/>
            <m:endChr m:val=")"/>
            <m:grow/>
          </m:dPr>
          <m:e>
            <m:r>
              <m:t>β</m:t>
            </m:r>
            <m:r>
              <m:rPr>
                <m:sty m:val="p"/>
              </m:rPr>
              <m:t>−</m:t>
            </m:r>
            <m:r>
              <m:t>e</m:t>
            </m:r>
          </m:e>
        </m:d>
        <m:r>
          <m:t> </m:t>
        </m:r>
        <m:r>
          <m:t>q</m:t>
        </m:r>
      </m:oMath>
      <w:r>
        <w:t xml:space="preserve">, el esfuerzo ahorra</w:t>
      </w:r>
      <w:r>
        <w:t xml:space="preserve"> </w:t>
      </w:r>
      <m:oMath>
        <m:r>
          <m:t>q</m:t>
        </m:r>
      </m:oMath>
      <w:r>
        <w:t xml:space="preserve"> </w:t>
      </w:r>
      <w:r>
        <w:t xml:space="preserve">por unidad y la condición de información completa es</w:t>
      </w:r>
      <w:r>
        <w:t xml:space="preserve"> </w:t>
      </w:r>
      <m:oMath>
        <m:r>
          <m:t>ψ</m:t>
        </m:r>
        <m:r>
          <m:rPr>
            <m:sty m:val="p"/>
          </m:rPr>
          <m:t>′</m:t>
        </m:r>
        <m:d>
          <m:dPr>
            <m:begChr m:val="("/>
            <m:sepChr m:val=""/>
            <m:endChr m:val=")"/>
            <m:grow/>
          </m:dPr>
          <m:e>
            <m:sSup>
              <m:e>
                <m:r>
                  <m:t>e</m:t>
                </m:r>
              </m:e>
              <m:sup>
                <m:r>
                  <m:rPr>
                    <m:sty m:val="p"/>
                  </m:rPr>
                  <m:t>*</m:t>
                </m:r>
              </m:sup>
            </m:sSup>
          </m:e>
        </m:d>
        <m:r>
          <m:rPr>
            <m:sty m:val="p"/>
          </m:rPr>
          <m:t>=</m:t>
        </m:r>
        <m:r>
          <m:t>q</m:t>
        </m:r>
      </m:oMath>
      <w:r>
        <w:t xml:space="preserve"> </w:t>
      </w:r>
      <w:r>
        <w:t xml:space="preserve">(</w:t>
      </w:r>
      <w:hyperlink w:anchor="ref_LaffontTirole1993Theory">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1993, cap. 2</w:t>
        </w:r>
      </w:hyperlink>
      <w:r>
        <w:t xml:space="preserve">)</w:t>
      </w:r>
      <w:r>
        <w:t xml:space="preserve">; con un proyecto de tamaño dado, como aquí,</w:t>
      </w:r>
      <w:r>
        <w:t xml:space="preserve"> </w:t>
      </w:r>
      <m:oMath>
        <m:r>
          <m:t>ψ</m:t>
        </m:r>
        <m:r>
          <m:rPr>
            <m:sty m:val="p"/>
          </m:rPr>
          <m:t>′</m:t>
        </m:r>
        <m:d>
          <m:dPr>
            <m:begChr m:val="("/>
            <m:sepChr m:val=""/>
            <m:endChr m:val=")"/>
            <m:grow/>
          </m:dPr>
          <m:e>
            <m:sSup>
              <m:e>
                <m:r>
                  <m:t>e</m:t>
                </m:r>
              </m:e>
              <m:sup>
                <m:r>
                  <m:rPr>
                    <m:sty m:val="p"/>
                  </m:rPr>
                  <m:t>*</m:t>
                </m:r>
              </m:sup>
            </m:sSup>
          </m:e>
        </m:d>
        <m:r>
          <m:rPr>
            <m:sty m:val="p"/>
          </m:rPr>
          <m:t>=</m:t>
        </m:r>
        <m:r>
          <m:t>1</m:t>
        </m:r>
      </m:oMath>
      <w:r>
        <w:t xml:space="preserve">.</w:t>
      </w:r>
    </w:p>
    <w:p>
      <w:pPr>
        <w:numPr>
          <w:ilvl w:val="0"/>
          <w:numId w:val="1127"/>
        </w:numPr>
      </w:pPr>
      <w:r>
        <w:rPr>
          <w:i/>
          <w:iCs/>
        </w:rPr>
        <w:t xml:space="preserve">Por qué un contrato de potencia</w:t>
      </w:r>
      <w:r>
        <w:rPr>
          <w:i/>
          <w:iCs/>
        </w:rPr>
        <w:t xml:space="preserve"> </w:t>
      </w:r>
      <m:oMath>
        <m:r>
          <m:t>b</m:t>
        </m:r>
      </m:oMath>
      <w:r>
        <w:rPr>
          <w:i/>
          <w:iCs/>
        </w:rPr>
        <w:t xml:space="preserve"> </w:t>
      </w:r>
      <w:r>
        <w:rPr>
          <w:i/>
          <w:iCs/>
        </w:rPr>
        <w:t xml:space="preserve">induce</w:t>
      </w:r>
      <w:r>
        <w:rPr>
          <w:i/>
          <w:iCs/>
        </w:rPr>
        <w:t xml:space="preserve"> </w:t>
      </w:r>
      <m:oMath>
        <m:r>
          <m:t>ψ</m:t>
        </m:r>
        <m:r>
          <m:rPr>
            <m:sty m:val="p"/>
          </m:rPr>
          <m:t>′</m:t>
        </m:r>
        <m:d>
          <m:dPr>
            <m:begChr m:val="("/>
            <m:sepChr m:val=""/>
            <m:endChr m:val=")"/>
            <m:grow/>
          </m:dPr>
          <m:e>
            <m:r>
              <m:t>e</m:t>
            </m:r>
          </m:e>
        </m:d>
        <m:r>
          <m:rPr>
            <m:sty m:val="p"/>
          </m:rPr>
          <m:t>=</m:t>
        </m:r>
        <m:r>
          <m:t>b</m:t>
        </m:r>
      </m:oMath>
      <w:r>
        <w:t xml:space="preserve">: con</w:t>
      </w:r>
      <w:r>
        <w:t xml:space="preserve"> </w:t>
      </w:r>
      <m:oMath>
        <m:r>
          <m:t>t</m:t>
        </m:r>
        <m:d>
          <m:dPr>
            <m:begChr m:val="("/>
            <m:sepChr m:val=""/>
            <m:endChr m:val=")"/>
            <m:grow/>
          </m:dPr>
          <m:e>
            <m:r>
              <m:t>C</m:t>
            </m:r>
          </m:e>
        </m:d>
        <m:r>
          <m:rPr>
            <m:sty m:val="p"/>
          </m:rPr>
          <m:t>=</m:t>
        </m:r>
        <m:r>
          <m:t>a</m:t>
        </m:r>
        <m:r>
          <m:rPr>
            <m:sty m:val="p"/>
          </m:rPr>
          <m:t>−</m:t>
        </m:r>
        <m:r>
          <m:t>b</m:t>
        </m:r>
        <m:r>
          <m:t> </m:t>
        </m:r>
        <m:d>
          <m:dPr>
            <m:begChr m:val="("/>
            <m:sepChr m:val=""/>
            <m:endChr m:val=")"/>
            <m:grow/>
          </m:dPr>
          <m:e>
            <m:r>
              <m:t>C</m:t>
            </m:r>
            <m:r>
              <m:rPr>
                <m:sty m:val="p"/>
              </m:rPr>
              <m:t>−</m:t>
            </m:r>
            <m:sSup>
              <m:e>
                <m:r>
                  <m:t>C</m:t>
                </m:r>
              </m:e>
              <m:sup>
                <m:r>
                  <m:t>a</m:t>
                </m:r>
              </m:sup>
            </m:sSup>
          </m:e>
        </m:d>
      </m:oMath>
      <w:r>
        <w:t xml:space="preserve"> </w:t>
      </w:r>
      <w:r>
        <w:t xml:space="preserve">y</w:t>
      </w:r>
      <w:r>
        <w:t xml:space="preserve"> </w:t>
      </w:r>
      <m:oMath>
        <m:r>
          <m:t>C</m:t>
        </m:r>
        <m:r>
          <m:rPr>
            <m:sty m:val="p"/>
          </m:rPr>
          <m:t>=</m:t>
        </m:r>
        <m:r>
          <m:t>β</m:t>
        </m:r>
        <m:r>
          <m:rPr>
            <m:sty m:val="p"/>
          </m:rPr>
          <m:t>−</m:t>
        </m:r>
        <m:r>
          <m:t>e</m:t>
        </m:r>
      </m:oMath>
      <w:r>
        <w:t xml:space="preserve">, la empresa maximiza</w:t>
      </w:r>
      <w:r>
        <w:t xml:space="preserve"> </w:t>
      </w:r>
      <m:oMath>
        <m:r>
          <m:t>a</m:t>
        </m:r>
        <m:r>
          <m:rPr>
            <m:sty m:val="p"/>
          </m:rPr>
          <m:t>−</m:t>
        </m:r>
        <m:r>
          <m:t>b</m:t>
        </m:r>
        <m:r>
          <m:t> </m:t>
        </m:r>
        <m:d>
          <m:dPr>
            <m:begChr m:val="("/>
            <m:sepChr m:val=""/>
            <m:endChr m:val=")"/>
            <m:grow/>
          </m:dPr>
          <m:e>
            <m:r>
              <m:t>β</m:t>
            </m:r>
            <m:r>
              <m:rPr>
                <m:sty m:val="p"/>
              </m:rPr>
              <m:t>−</m:t>
            </m:r>
            <m:r>
              <m:t>e</m:t>
            </m:r>
            <m:r>
              <m:rPr>
                <m:sty m:val="p"/>
              </m:rPr>
              <m:t>−</m:t>
            </m:r>
            <m:sSup>
              <m:e>
                <m:r>
                  <m:t>C</m:t>
                </m:r>
              </m:e>
              <m:sup>
                <m:r>
                  <m:t>a</m:t>
                </m:r>
              </m:sup>
            </m:sSup>
          </m:e>
        </m:d>
        <m:r>
          <m:rPr>
            <m:sty m:val="p"/>
          </m:rPr>
          <m:t>−</m:t>
        </m:r>
        <m:r>
          <m:t>ψ</m:t>
        </m:r>
        <m:d>
          <m:dPr>
            <m:begChr m:val="("/>
            <m:sepChr m:val=""/>
            <m:endChr m:val=")"/>
            <m:grow/>
          </m:dPr>
          <m:e>
            <m:r>
              <m:t>e</m:t>
            </m:r>
          </m:e>
        </m:d>
      </m:oMath>
      <w:r>
        <w:t xml:space="preserve">, y la condición de primer orden es</w:t>
      </w:r>
      <w:r>
        <w:t xml:space="preserve"> </w:t>
      </w:r>
      <m:oMath>
        <m:r>
          <m:t>ψ</m:t>
        </m:r>
        <m:r>
          <m:rPr>
            <m:sty m:val="p"/>
          </m:rPr>
          <m:t>′</m:t>
        </m:r>
        <m:d>
          <m:dPr>
            <m:begChr m:val="("/>
            <m:sepChr m:val=""/>
            <m:endChr m:val=")"/>
            <m:grow/>
          </m:dPr>
          <m:e>
            <m:r>
              <m:t>e</m:t>
            </m:r>
          </m:e>
        </m:d>
        <m:r>
          <m:rPr>
            <m:sty m:val="p"/>
          </m:rPr>
          <m:t>=</m:t>
        </m:r>
        <m:r>
          <m:t>b</m:t>
        </m:r>
      </m:oMath>
      <w:r>
        <w:t xml:space="preserve">. Con</w:t>
      </w:r>
      <w:r>
        <w:t xml:space="preserve"> </w:t>
      </w:r>
      <m:oMath>
        <m:r>
          <m:t>b</m:t>
        </m:r>
        <m:r>
          <m:rPr>
            <m:sty m:val="p"/>
          </m:rPr>
          <m:t>=</m:t>
        </m:r>
        <m:r>
          <m:t>1</m:t>
        </m:r>
      </m:oMath>
      <w:r>
        <w:t xml:space="preserve"> </w:t>
      </w:r>
      <w:r>
        <w:t xml:space="preserve">se esfuerza como en el óptimo; con</w:t>
      </w:r>
      <w:r>
        <w:t xml:space="preserve"> </w:t>
      </w:r>
      <m:oMath>
        <m:r>
          <m:t>b</m:t>
        </m:r>
        <m:r>
          <m:rPr>
            <m:sty m:val="p"/>
          </m:rPr>
          <m:t>→</m:t>
        </m:r>
        <m:r>
          <m:t>0</m:t>
        </m:r>
      </m:oMath>
      <w:r>
        <w:t xml:space="preserve">, nada. ∎</w:t>
      </w:r>
    </w:p>
    <w:p>
      <w:pPr>
        <w:numPr>
          <w:ilvl w:val="0"/>
          <w:numId w:val="1127"/>
        </w:numPr>
      </w:pPr>
      <w:r>
        <w:rPr>
          <w:i/>
          <w:iCs/>
        </w:rPr>
        <w:t xml:space="preserve">Ejemplo</w:t>
      </w:r>
      <w:r>
        <w:t xml:space="preserve"> </w:t>
      </w:r>
      <w:r>
        <w:t xml:space="preserve">(</w:t>
      </w:r>
      <m:oMath>
        <m:r>
          <m:t>ψ</m:t>
        </m:r>
        <m:d>
          <m:dPr>
            <m:begChr m:val="("/>
            <m:sepChr m:val=""/>
            <m:endChr m:val=")"/>
            <m:grow/>
          </m:dPr>
          <m:e>
            <m:r>
              <m:t>e</m:t>
            </m:r>
          </m:e>
        </m:d>
        <m:r>
          <m:rPr>
            <m:sty m:val="p"/>
          </m:rPr>
          <m:t>=</m:t>
        </m:r>
        <m:sSup>
          <m:e>
            <m:r>
              <m:t>e</m:t>
            </m:r>
          </m:e>
          <m:sup>
            <m:r>
              <m:t>2</m:t>
            </m:r>
          </m:sup>
        </m:sSup>
        <m:r>
          <m:rPr>
            <m:sty m:val="p"/>
          </m:rPr>
          <m:t>/</m:t>
        </m:r>
        <m:r>
          <m:t>40</m:t>
        </m:r>
      </m:oMath>
      <w:r>
        <w:t xml:space="preserve">,</w:t>
      </w:r>
      <w:r>
        <w:t xml:space="preserve"> </w:t>
      </w:r>
      <m:oMath>
        <m:bar>
          <m:barPr>
            <m:pos m:val="bot"/>
          </m:barPr>
          <m:e>
            <m:r>
              <m:t>β</m:t>
            </m:r>
          </m:e>
        </m:bar>
        <m:r>
          <m:rPr>
            <m:sty m:val="p"/>
          </m:rPr>
          <m:t>=</m:t>
        </m:r>
        <m:r>
          <m:t>100</m:t>
        </m:r>
      </m:oMath>
      <w:r>
        <w:t xml:space="preserve">,</w:t>
      </w:r>
      <w:r>
        <w:t xml:space="preserve"> </w:t>
      </w:r>
      <m:oMath>
        <m:bar>
          <m:barPr>
            <m:pos m:val="top"/>
          </m:barPr>
          <m:e>
            <m:r>
              <m:t>β</m:t>
            </m:r>
          </m:e>
        </m:bar>
        <m:r>
          <m:rPr>
            <m:sty m:val="p"/>
          </m:rPr>
          <m:t>=</m:t>
        </m:r>
        <m:r>
          <m:t>110</m:t>
        </m:r>
      </m:oMath>
      <w:r>
        <w:t xml:space="preserve">,</w:t>
      </w:r>
      <w:r>
        <w:t xml:space="preserve"> </w:t>
      </w:r>
      <m:oMath>
        <m:r>
          <m:t>ν</m:t>
        </m:r>
        <m:r>
          <m:rPr>
            <m:sty m:val="p"/>
          </m:rPr>
          <m:t>=</m:t>
        </m:r>
        <m:f>
          <m:fPr>
            <m:type m:val="lin"/>
          </m:fPr>
          <m:num>
            <m:r>
              <m:t>1</m:t>
            </m:r>
          </m:num>
          <m:den>
            <m:r>
              <m:t>2</m:t>
            </m:r>
          </m:den>
        </m:f>
      </m:oMath>
      <w:r>
        <w:t xml:space="preserve">,</w:t>
      </w:r>
      <w:r>
        <w:t xml:space="preserve"> </w:t>
      </w:r>
      <m:oMath>
        <m:r>
          <m:t>λ</m:t>
        </m:r>
        <m:r>
          <m:rPr>
            <m:sty m:val="p"/>
          </m:rPr>
          <m:t>=</m:t>
        </m:r>
        <m:r>
          <m:t>0</m:t>
        </m:r>
        <m:r>
          <m:rPr>
            <m:sty m:val="p"/>
          </m:rPr>
          <m:t>,</m:t>
        </m:r>
        <m:r>
          <m:t>25</m:t>
        </m:r>
      </m:oMath>
      <w:r>
        <w:t xml:space="preserve">):</w:t>
      </w:r>
      <w:r>
        <w:t xml:space="preserve"> </w:t>
      </w:r>
      <m:oMath>
        <m:r>
          <m:t>ψ</m:t>
        </m:r>
        <m:r>
          <m:rPr>
            <m:sty m:val="p"/>
          </m:rPr>
          <m:t>′</m:t>
        </m:r>
        <m:d>
          <m:dPr>
            <m:begChr m:val="("/>
            <m:sepChr m:val=""/>
            <m:endChr m:val=")"/>
            <m:grow/>
          </m:dPr>
          <m:e>
            <m:r>
              <m:t>e</m:t>
            </m:r>
          </m:e>
        </m:d>
        <m:r>
          <m:rPr>
            <m:sty m:val="p"/>
          </m:rPr>
          <m:t>=</m:t>
        </m:r>
        <m:r>
          <m:t>e</m:t>
        </m:r>
        <m:r>
          <m:rPr>
            <m:sty m:val="p"/>
          </m:rPr>
          <m:t>/</m:t>
        </m:r>
        <m:r>
          <m:t>20</m:t>
        </m:r>
      </m:oMath>
      <w:r>
        <w:t xml:space="preserve">;</w:t>
      </w:r>
      <w:r>
        <w:t xml:space="preserve"> </w:t>
      </w:r>
      <m:oMath>
        <m:r>
          <m:t>Φ</m:t>
        </m:r>
        <m:d>
          <m:dPr>
            <m:begChr m:val="("/>
            <m:sepChr m:val=""/>
            <m:endChr m:val=")"/>
            <m:grow/>
          </m:dPr>
          <m:e>
            <m:r>
              <m:t>e</m:t>
            </m:r>
          </m:e>
        </m:d>
        <m:r>
          <m:rPr>
            <m:sty m:val="p"/>
          </m:rPr>
          <m:t>=</m:t>
        </m:r>
        <m:d>
          <m:dPr>
            <m:begChr m:val="["/>
            <m:sepChr m:val=""/>
            <m:endChr m:val="]"/>
            <m:grow/>
          </m:dPr>
          <m:e>
            <m:sSup>
              <m:e>
                <m:r>
                  <m:t>e</m:t>
                </m:r>
              </m:e>
              <m:sup>
                <m:r>
                  <m:t>2</m:t>
                </m:r>
              </m:sup>
            </m:sSup>
            <m:r>
              <m:rPr>
                <m:sty m:val="p"/>
              </m:rPr>
              <m:t>−</m:t>
            </m:r>
            <m:sSup>
              <m:e>
                <m:d>
                  <m:dPr>
                    <m:begChr m:val="("/>
                    <m:sepChr m:val=""/>
                    <m:endChr m:val=")"/>
                    <m:grow/>
                  </m:dPr>
                  <m:e>
                    <m:r>
                      <m:t>e</m:t>
                    </m:r>
                    <m:r>
                      <m:rPr>
                        <m:sty m:val="p"/>
                      </m:rPr>
                      <m:t>−</m:t>
                    </m:r>
                    <m:r>
                      <m:t>10</m:t>
                    </m:r>
                  </m:e>
                </m:d>
              </m:e>
              <m:sup>
                <m:r>
                  <m:t>2</m:t>
                </m:r>
              </m:sup>
            </m:sSup>
          </m:e>
        </m:d>
        <m:r>
          <m:rPr>
            <m:sty m:val="p"/>
          </m:rPr>
          <m:t>/</m:t>
        </m:r>
        <m:r>
          <m:t>40</m:t>
        </m:r>
        <m:r>
          <m:rPr>
            <m:sty m:val="p"/>
          </m:rPr>
          <m:t>=</m:t>
        </m:r>
        <m:r>
          <m:t>e</m:t>
        </m:r>
        <m:r>
          <m:rPr>
            <m:sty m:val="p"/>
          </m:rPr>
          <m:t>/</m:t>
        </m:r>
        <m:r>
          <m:t>2</m:t>
        </m:r>
        <m:r>
          <m:rPr>
            <m:sty m:val="p"/>
          </m:rPr>
          <m:t>−</m:t>
        </m:r>
        <m:r>
          <m:t>2</m:t>
        </m:r>
        <m:r>
          <m:rPr>
            <m:sty m:val="p"/>
          </m:rPr>
          <m:t>,</m:t>
        </m:r>
        <m:r>
          <m:t>5</m:t>
        </m:r>
      </m:oMath>
      <w:r>
        <w:t xml:space="preserve"> </w:t>
      </w:r>
      <w:r>
        <w:t xml:space="preserve">y</w:t>
      </w:r>
      <w:r>
        <w:t xml:space="preserve"> </w:t>
      </w:r>
      <m:oMath>
        <m:r>
          <m:t>Φ</m:t>
        </m:r>
        <m:r>
          <m:rPr>
            <m:sty m:val="p"/>
          </m:rPr>
          <m:t>′</m:t>
        </m:r>
        <m:r>
          <m:rPr>
            <m:sty m:val="p"/>
          </m:rPr>
          <m:t>=</m:t>
        </m:r>
        <m:f>
          <m:fPr>
            <m:type m:val="lin"/>
          </m:fPr>
          <m:num>
            <m:r>
              <m:t>1</m:t>
            </m:r>
          </m:num>
          <m:den>
            <m:r>
              <m:t>2</m:t>
            </m:r>
          </m:den>
        </m:f>
      </m:oMath>
      <w:r>
        <w:t xml:space="preserve">;</w:t>
      </w:r>
      <w:r>
        <w:t xml:space="preserve"> </w:t>
      </w:r>
      <m:oMath>
        <m:r>
          <m:t>ψ</m:t>
        </m:r>
        <m:r>
          <m:rPr>
            <m:sty m:val="p"/>
          </m:rPr>
          <m:t>′</m:t>
        </m:r>
        <m:d>
          <m:dPr>
            <m:begChr m:val="("/>
            <m:sepChr m:val=""/>
            <m:endChr m:val=")"/>
            <m:grow/>
          </m:dPr>
          <m:e>
            <m:bar>
              <m:barPr>
                <m:pos m:val="top"/>
              </m:barPr>
              <m:e>
                <m:r>
                  <m:t>e</m:t>
                </m:r>
              </m:e>
            </m:bar>
          </m:e>
        </m:d>
        <m:r>
          <m:rPr>
            <m:sty m:val="p"/>
          </m:rPr>
          <m:t>=</m:t>
        </m:r>
        <m:r>
          <m:t>1</m:t>
        </m:r>
        <m:r>
          <m:rPr>
            <m:sty m:val="p"/>
          </m:rPr>
          <m:t>−</m:t>
        </m:r>
        <m:r>
          <m:t>0</m:t>
        </m:r>
        <m:r>
          <m:rPr>
            <m:sty m:val="p"/>
          </m:rPr>
          <m:t>,</m:t>
        </m:r>
        <m:r>
          <m:t>2</m:t>
        </m:r>
        <m:r>
          <m:rPr>
            <m:sty m:val="p"/>
          </m:rPr>
          <m:t>⋅</m:t>
        </m:r>
        <m:r>
          <m:t>1</m:t>
        </m:r>
        <m:r>
          <m:rPr>
            <m:sty m:val="p"/>
          </m:rPr>
          <m:t>⋅</m:t>
        </m:r>
        <m:f>
          <m:fPr>
            <m:type m:val="lin"/>
          </m:fPr>
          <m:num>
            <m:r>
              <m:t>1</m:t>
            </m:r>
          </m:num>
          <m:den>
            <m:r>
              <m:t>2</m:t>
            </m:r>
          </m:den>
        </m:f>
        <m:r>
          <m:rPr>
            <m:sty m:val="p"/>
          </m:rPr>
          <m:t>=</m:t>
        </m:r>
        <m:r>
          <m:t>0</m:t>
        </m:r>
        <m:r>
          <m:rPr>
            <m:sty m:val="p"/>
          </m:rPr>
          <m:t>,</m:t>
        </m:r>
        <m:r>
          <m:t>9</m:t>
        </m:r>
      </m:oMath>
      <w:r>
        <w:t xml:space="preserve">, así que</w:t>
      </w:r>
      <w:r>
        <w:t xml:space="preserve"> </w:t>
      </w:r>
      <m:oMath>
        <m:bar>
          <m:barPr>
            <m:pos m:val="top"/>
          </m:barPr>
          <m:e>
            <m:r>
              <m:t>e</m:t>
            </m:r>
          </m:e>
        </m:bar>
        <m:r>
          <m:rPr>
            <m:sty m:val="p"/>
          </m:rPr>
          <m:t>=</m:t>
        </m:r>
        <m:r>
          <m:t>18</m:t>
        </m:r>
      </m:oMath>
      <w:r>
        <w:t xml:space="preserve">;</w:t>
      </w:r>
      <w:r>
        <w:t xml:space="preserve"> </w:t>
      </w:r>
      <m:oMath>
        <m:bar>
          <m:barPr>
            <m:pos m:val="bot"/>
          </m:barPr>
          <m:e>
            <m:r>
              <m:t>U</m:t>
            </m:r>
          </m:e>
        </m:bar>
        <m:r>
          <m:rPr>
            <m:sty m:val="p"/>
          </m:rPr>
          <m:t>=</m:t>
        </m:r>
        <m:r>
          <m:t>Φ</m:t>
        </m:r>
        <m:d>
          <m:dPr>
            <m:begChr m:val="("/>
            <m:sepChr m:val=""/>
            <m:endChr m:val=")"/>
            <m:grow/>
          </m:dPr>
          <m:e>
            <m:r>
              <m:t>18</m:t>
            </m:r>
          </m:e>
        </m:d>
        <m:r>
          <m:rPr>
            <m:sty m:val="p"/>
          </m:rPr>
          <m:t>=</m:t>
        </m:r>
        <m:r>
          <m:t>6</m:t>
        </m:r>
        <m:r>
          <m:rPr>
            <m:sty m:val="p"/>
          </m:rPr>
          <m:t>,</m:t>
        </m:r>
        <m:r>
          <m:t>5</m:t>
        </m:r>
      </m:oMath>
      <w:r>
        <w:t xml:space="preserve">;</w:t>
      </w:r>
      <w:r>
        <w:t xml:space="preserve"> </w:t>
      </w:r>
      <m:oMath>
        <m:bar>
          <m:barPr>
            <m:pos m:val="top"/>
          </m:barPr>
          <m:e>
            <m:r>
              <m:t>t</m:t>
            </m:r>
          </m:e>
        </m:bar>
        <m:r>
          <m:rPr>
            <m:sty m:val="p"/>
          </m:rPr>
          <m:t>=</m:t>
        </m:r>
        <m:r>
          <m:t>ψ</m:t>
        </m:r>
        <m:d>
          <m:dPr>
            <m:begChr m:val="("/>
            <m:sepChr m:val=""/>
            <m:endChr m:val=")"/>
            <m:grow/>
          </m:dPr>
          <m:e>
            <m:r>
              <m:t>18</m:t>
            </m:r>
          </m:e>
        </m:d>
        <m:r>
          <m:rPr>
            <m:sty m:val="p"/>
          </m:rPr>
          <m:t>=</m:t>
        </m:r>
        <m:r>
          <m:t>8</m:t>
        </m:r>
        <m:r>
          <m:rPr>
            <m:sty m:val="p"/>
          </m:rPr>
          <m:t>,</m:t>
        </m:r>
        <m:r>
          <m:t>1</m:t>
        </m:r>
      </m:oMath>
      <w:r>
        <w:t xml:space="preserve"> </w:t>
      </w:r>
      <w:r>
        <w:t xml:space="preserve">y</w:t>
      </w:r>
      <w:r>
        <w:t xml:space="preserve"> </w:t>
      </w:r>
      <m:oMath>
        <m:bar>
          <m:barPr>
            <m:pos m:val="bot"/>
          </m:barPr>
          <m:e>
            <m:r>
              <m:t>t</m:t>
            </m:r>
          </m:e>
        </m:bar>
        <m:r>
          <m:rPr>
            <m:sty m:val="p"/>
          </m:rPr>
          <m:t>=</m:t>
        </m:r>
        <m:r>
          <m:t>ψ</m:t>
        </m:r>
        <m:d>
          <m:dPr>
            <m:begChr m:val="("/>
            <m:sepChr m:val=""/>
            <m:endChr m:val=")"/>
            <m:grow/>
          </m:dPr>
          <m:e>
            <m:r>
              <m:t>20</m:t>
            </m:r>
          </m:e>
        </m:d>
        <m:r>
          <m:rPr>
            <m:sty m:val="p"/>
          </m:rPr>
          <m:t>+</m:t>
        </m:r>
        <m:r>
          <m:t>6</m:t>
        </m:r>
        <m:r>
          <m:rPr>
            <m:sty m:val="p"/>
          </m:rPr>
          <m:t>,</m:t>
        </m:r>
        <m:r>
          <m:t>5</m:t>
        </m:r>
        <m:r>
          <m:rPr>
            <m:sty m:val="p"/>
          </m:rPr>
          <m:t>=</m:t>
        </m:r>
        <m:r>
          <m:t>16</m:t>
        </m:r>
        <m:r>
          <m:rPr>
            <m:sty m:val="p"/>
          </m:rPr>
          <m:t>,</m:t>
        </m:r>
        <m:r>
          <m:t>5</m:t>
        </m:r>
      </m:oMath>
      <w:r>
        <w:t xml:space="preserve">. El bienestar esperado, sin</w:t>
      </w:r>
      <w:r>
        <w:t xml:space="preserve"> </w:t>
      </w:r>
      <m:oMath>
        <m:r>
          <m:t>S</m:t>
        </m:r>
      </m:oMath>
      <w:r>
        <w:t xml:space="preserve">, es</w:t>
      </w:r>
      <w:r>
        <w:t xml:space="preserve"> </w:t>
      </w:r>
      <m:oMath>
        <m:r>
          <m:rPr>
            <m:sty m:val="p"/>
          </m:rPr>
          <m:t>−</m:t>
        </m:r>
        <m:r>
          <m:t>1</m:t>
        </m:r>
        <m:r>
          <m:rPr>
            <m:sty m:val="p"/>
          </m:rPr>
          <m:t>,</m:t>
        </m:r>
        <m:r>
          <m:t>25</m:t>
        </m:r>
        <m:r>
          <m:rPr>
            <m:sty m:val="p"/>
          </m:rPr>
          <m:t>⋅</m:t>
        </m:r>
        <m:r>
          <m:t>95</m:t>
        </m:r>
        <m:r>
          <m:rPr>
            <m:sty m:val="p"/>
          </m:rPr>
          <m:t>,</m:t>
        </m:r>
        <m:r>
          <m:t>05</m:t>
        </m:r>
        <m:r>
          <m:rPr>
            <m:sty m:val="p"/>
          </m:rPr>
          <m:t>−</m:t>
        </m:r>
        <m:r>
          <m:t>0</m:t>
        </m:r>
        <m:r>
          <m:rPr>
            <m:sty m:val="p"/>
          </m:rPr>
          <m:t>,</m:t>
        </m:r>
        <m:r>
          <m:t>25</m:t>
        </m:r>
        <m:r>
          <m:rPr>
            <m:sty m:val="p"/>
          </m:rPr>
          <m:t>⋅</m:t>
        </m:r>
        <m:r>
          <m:t>0</m:t>
        </m:r>
        <m:r>
          <m:rPr>
            <m:sty m:val="p"/>
          </m:rPr>
          <m:t>,</m:t>
        </m:r>
        <m:r>
          <m:t>5</m:t>
        </m:r>
        <m:r>
          <m:rPr>
            <m:sty m:val="p"/>
          </m:rPr>
          <m:t>⋅</m:t>
        </m:r>
        <m:r>
          <m:t>6</m:t>
        </m:r>
        <m:r>
          <m:rPr>
            <m:sty m:val="p"/>
          </m:rPr>
          <m:t>,</m:t>
        </m:r>
        <m:r>
          <m:t>5</m:t>
        </m:r>
        <m:r>
          <m:rPr>
            <m:sty m:val="p"/>
          </m:rPr>
          <m:t>=</m:t>
        </m:r>
        <m:r>
          <m:rPr>
            <m:sty m:val="p"/>
          </m:rPr>
          <m:t>−</m:t>
        </m:r>
        <m:r>
          <m:t>119</m:t>
        </m:r>
        <m:r>
          <m:rPr>
            <m:sty m:val="p"/>
          </m:rPr>
          <m:t>,</m:t>
        </m:r>
        <m:r>
          <m:t>625</m:t>
        </m:r>
      </m:oMath>
      <w:r>
        <w:t xml:space="preserve">, frente a</w:t>
      </w:r>
      <w:r>
        <w:t xml:space="preserve"> </w:t>
      </w:r>
      <m:oMath>
        <m:r>
          <m:rPr>
            <m:sty m:val="p"/>
          </m:rPr>
          <m:t>−</m:t>
        </m:r>
        <m:r>
          <m:t>119</m:t>
        </m:r>
        <m:r>
          <m:rPr>
            <m:sty m:val="p"/>
          </m:rPr>
          <m:t>,</m:t>
        </m:r>
        <m:r>
          <m:t>6875</m:t>
        </m:r>
      </m:oMath>
      <w:r>
        <w:t xml:space="preserve"> </w:t>
      </w:r>
      <w:r>
        <w:t xml:space="preserve">si se pidiera</w:t>
      </w:r>
      <w:r>
        <w:t xml:space="preserve"> </w:t>
      </w:r>
      <m:oMath>
        <m:bar>
          <m:barPr>
            <m:pos m:val="top"/>
          </m:barPr>
          <m:e>
            <m:r>
              <m:t>e</m:t>
            </m:r>
          </m:e>
        </m:bar>
        <m:r>
          <m:rPr>
            <m:sty m:val="p"/>
          </m:rPr>
          <m:t>=</m:t>
        </m:r>
        <m:r>
          <m:t>20</m:t>
        </m:r>
      </m:oMath>
      <w:r>
        <w:t xml:space="preserve"> </w:t>
      </w:r>
      <w:r>
        <w:t xml:space="preserve">con una renta de</w:t>
      </w:r>
      <w:r>
        <w:t xml:space="preserve"> </w:t>
      </w:r>
      <m:oMath>
        <m:r>
          <m:t>Φ</m:t>
        </m:r>
        <m:d>
          <m:dPr>
            <m:begChr m:val="("/>
            <m:sepChr m:val=""/>
            <m:endChr m:val=")"/>
            <m:grow/>
          </m:dPr>
          <m:e>
            <m:r>
              <m:t>20</m:t>
            </m:r>
          </m:e>
        </m:d>
        <m:r>
          <m:rPr>
            <m:sty m:val="p"/>
          </m:rPr>
          <m:t>=</m:t>
        </m:r>
        <m:r>
          <m:t>7</m:t>
        </m:r>
        <m:r>
          <m:rPr>
            <m:sty m:val="p"/>
          </m:rPr>
          <m:t>,</m:t>
        </m:r>
        <m:r>
          <m:t>5</m:t>
        </m:r>
      </m:oMath>
      <w:r>
        <w:t xml:space="preserve"> </w:t>
      </w:r>
      <w:r>
        <w:t xml:space="preserve">(tabla </w:t>
      </w:r>
      <w:hyperlink w:anchor="tab_ejemplo_laffont_tirole">
        <w:r>
          <w:rPr>
            <w:rStyle w:val="Hyperlink"/>
          </w:rPr>
          <w:t xml:space="preserve">3</w:t>
        </w:r>
      </w:hyperlink>
      <w:r>
        <w:t xml:space="preserve">).</w:t>
      </w:r>
    </w:p>
    <w:bookmarkEnd w:id="193"/>
    <w:bookmarkStart w:id="194" w:name="anexo_yardstick"/>
    <w:p>
      <w:pPr>
        <w:pStyle w:val="Heading2"/>
      </w:pPr>
      <w:r>
        <w:t xml:space="preserve">A.4. Competencia por comparación</w:t>
      </w:r>
    </w:p>
    <w:p>
      <w:pPr>
        <w:numPr>
          <w:ilvl w:val="0"/>
          <w:numId w:val="1128"/>
        </w:numPr>
      </w:pPr>
      <w:r>
        <w:t xml:space="preserve">La empresa</w:t>
      </w:r>
      <w:r>
        <w:t xml:space="preserve"> </w:t>
      </w:r>
      <m:oMath>
        <m:r>
          <m:t>i</m:t>
        </m:r>
      </m:oMath>
      <w:r>
        <w:t xml:space="preserve"> </w:t>
      </w:r>
      <w:r>
        <w:t xml:space="preserve">obtiene</w:t>
      </w:r>
      <w:r>
        <w:t xml:space="preserve"> </w:t>
      </w:r>
      <m:oMath>
        <m:sSub>
          <m:e>
            <m:r>
              <m:t>Π</m:t>
            </m:r>
          </m:e>
          <m:sub>
            <m:r>
              <m:t>i</m:t>
            </m:r>
          </m:sub>
        </m:sSub>
        <m:r>
          <m:rPr>
            <m:sty m:val="p"/>
          </m:rPr>
          <m:t>=</m:t>
        </m:r>
        <m:d>
          <m:dPr>
            <m:begChr m:val="("/>
            <m:sepChr m:val=""/>
            <m:endChr m:val=")"/>
            <m:grow/>
          </m:dPr>
          <m:e>
            <m:sSub>
              <m:e>
                <m:r>
                  <m:t>p</m:t>
                </m:r>
              </m:e>
              <m:sub>
                <m:r>
                  <m:t>i</m:t>
                </m:r>
              </m:sub>
            </m:sSub>
            <m:r>
              <m:rPr>
                <m:sty m:val="p"/>
              </m:rPr>
              <m:t>−</m:t>
            </m:r>
            <m:sSub>
              <m:e>
                <m:r>
                  <m:t>c</m:t>
                </m:r>
              </m:e>
              <m:sub>
                <m:r>
                  <m:t>i</m:t>
                </m:r>
              </m:sub>
            </m:sSub>
          </m:e>
        </m:d>
        <m:r>
          <m:t> </m:t>
        </m:r>
        <m:r>
          <m:t>q</m:t>
        </m:r>
        <m:d>
          <m:dPr>
            <m:begChr m:val="("/>
            <m:sepChr m:val=""/>
            <m:endChr m:val=")"/>
            <m:grow/>
          </m:dPr>
          <m:e>
            <m:sSub>
              <m:e>
                <m:r>
                  <m:t>p</m:t>
                </m:r>
              </m:e>
              <m:sub>
                <m:r>
                  <m:t>i</m:t>
                </m:r>
              </m:sub>
            </m:sSub>
          </m:e>
        </m:d>
        <m:r>
          <m:rPr>
            <m:sty m:val="p"/>
          </m:rPr>
          <m:t>+</m:t>
        </m:r>
        <m:sSub>
          <m:e>
            <m:r>
              <m:t>T</m:t>
            </m:r>
          </m:e>
          <m:sub>
            <m:r>
              <m:t>i</m:t>
            </m:r>
          </m:sub>
        </m:sSub>
        <m:r>
          <m:rPr>
            <m:sty m:val="p"/>
          </m:rPr>
          <m:t>−</m:t>
        </m:r>
        <m:r>
          <m:t>R</m:t>
        </m:r>
        <m:d>
          <m:dPr>
            <m:begChr m:val="("/>
            <m:sepChr m:val=""/>
            <m:endChr m:val=")"/>
            <m:grow/>
          </m:dPr>
          <m:e>
            <m:sSub>
              <m:e>
                <m:r>
                  <m:t>c</m:t>
                </m:r>
              </m:e>
              <m:sub>
                <m:r>
                  <m:t>i</m:t>
                </m:r>
              </m:sub>
            </m:sSub>
          </m:e>
        </m:d>
      </m:oMath>
      <w:r>
        <w:t xml:space="preserve">, con</w:t>
      </w:r>
      <w:r>
        <w:t xml:space="preserve"> </w:t>
      </w:r>
      <m:oMath>
        <m:sSub>
          <m:e>
            <m:r>
              <m:t>p</m:t>
            </m:r>
          </m:e>
          <m:sub>
            <m:r>
              <m:t>i</m:t>
            </m:r>
          </m:sub>
        </m:sSub>
        <m:r>
          <m:rPr>
            <m:sty m:val="p"/>
          </m:rPr>
          <m:t>=</m:t>
        </m:r>
        <m:sSub>
          <m:e>
            <m:acc>
              <m:accPr>
                <m:chr m:val="‾"/>
              </m:accPr>
              <m:e>
                <m:r>
                  <m:t>c</m:t>
                </m:r>
              </m:e>
            </m:acc>
          </m:e>
          <m:sub>
            <m:r>
              <m:rPr>
                <m:sty m:val="p"/>
              </m:rPr>
              <m:t>−</m:t>
            </m:r>
            <m:r>
              <m:t>i</m:t>
            </m:r>
          </m:sub>
        </m:sSub>
      </m:oMath>
      <w:r>
        <w:t xml:space="preserve"> </w:t>
      </w:r>
      <w:r>
        <w:t xml:space="preserve">y</w:t>
      </w:r>
      <w:r>
        <w:t xml:space="preserve"> </w:t>
      </w:r>
      <m:oMath>
        <m:sSub>
          <m:e>
            <m:r>
              <m:t>T</m:t>
            </m:r>
          </m:e>
          <m:sub>
            <m:r>
              <m:t>i</m:t>
            </m:r>
          </m:sub>
        </m:sSub>
        <m:r>
          <m:rPr>
            <m:sty m:val="p"/>
          </m:rPr>
          <m:t>=</m:t>
        </m:r>
        <m:sSub>
          <m:e>
            <m:acc>
              <m:accPr>
                <m:chr m:val="‾"/>
              </m:accPr>
              <m:e>
                <m:r>
                  <m:t>R</m:t>
                </m:r>
              </m:e>
            </m:acc>
          </m:e>
          <m:sub>
            <m:r>
              <m:rPr>
                <m:sty m:val="p"/>
              </m:rPr>
              <m:t>−</m:t>
            </m:r>
            <m:r>
              <m:t>i</m:t>
            </m:r>
          </m:sub>
        </m:sSub>
      </m:oMath>
      <w:r>
        <w:t xml:space="preserve"> </w:t>
      </w:r>
      <w:r>
        <w:t xml:space="preserve">(</w:t>
      </w:r>
      <w:hyperlink w:anchor="eq_yardstick">
        <w:r>
          <w:rPr>
            <w:rStyle w:val="Hyperlink"/>
          </w:rPr>
          <w:t xml:space="preserve">12</w:t>
        </w:r>
      </w:hyperlink>
      <w:r>
        <w:t xml:space="preserve">), que no dependen de su</w:t>
      </w:r>
      <w:r>
        <w:t xml:space="preserve"> </w:t>
      </w:r>
      <m:oMath>
        <m:sSub>
          <m:e>
            <m:r>
              <m:t>c</m:t>
            </m:r>
          </m:e>
          <m:sub>
            <m:r>
              <m:t>i</m:t>
            </m:r>
          </m:sub>
        </m:sSub>
      </m:oMath>
      <w:r>
        <w:t xml:space="preserve">. Derivando respecto a</w:t>
      </w:r>
      <w:r>
        <w:t xml:space="preserve"> </w:t>
      </w:r>
      <m:oMath>
        <m:sSub>
          <m:e>
            <m:r>
              <m:t>c</m:t>
            </m:r>
          </m:e>
          <m:sub>
            <m:r>
              <m:t>i</m:t>
            </m:r>
          </m:sub>
        </m:sSub>
      </m:oMath>
      <w:r>
        <w:t xml:space="preserve">, la condición de primer orden es</w:t>
      </w:r>
      <w:r>
        <w:t xml:space="preserve"> </w:t>
      </w:r>
      <m:oMath>
        <m:r>
          <m:rPr>
            <m:sty m:val="p"/>
          </m:rPr>
          <m:t>−</m:t>
        </m:r>
        <m:r>
          <m:t>q</m:t>
        </m:r>
        <m:d>
          <m:dPr>
            <m:begChr m:val="("/>
            <m:sepChr m:val=""/>
            <m:endChr m:val=")"/>
            <m:grow/>
          </m:dPr>
          <m:e>
            <m:sSub>
              <m:e>
                <m:acc>
                  <m:accPr>
                    <m:chr m:val="‾"/>
                  </m:accPr>
                  <m:e>
                    <m:r>
                      <m:t>c</m:t>
                    </m:r>
                  </m:e>
                </m:acc>
              </m:e>
              <m:sub>
                <m:r>
                  <m:rPr>
                    <m:sty m:val="p"/>
                  </m:rPr>
                  <m:t>−</m:t>
                </m:r>
                <m:r>
                  <m:t>i</m:t>
                </m:r>
              </m:sub>
            </m:sSub>
          </m:e>
        </m:d>
        <m:r>
          <m:rPr>
            <m:sty m:val="p"/>
          </m:rPr>
          <m:t>−</m:t>
        </m:r>
        <m:r>
          <m:t>R</m:t>
        </m:r>
        <m:r>
          <m:rPr>
            <m:sty m:val="p"/>
          </m:rPr>
          <m:t>′</m:t>
        </m:r>
        <m:d>
          <m:dPr>
            <m:begChr m:val="("/>
            <m:sepChr m:val=""/>
            <m:endChr m:val=")"/>
            <m:grow/>
          </m:dPr>
          <m:e>
            <m:sSub>
              <m:e>
                <m:r>
                  <m:t>c</m:t>
                </m:r>
              </m:e>
              <m:sub>
                <m:r>
                  <m:t>i</m:t>
                </m:r>
              </m:sub>
            </m:sSub>
          </m:e>
        </m:d>
        <m:r>
          <m:rPr>
            <m:sty m:val="p"/>
          </m:rPr>
          <m:t>=</m:t>
        </m:r>
        <m:r>
          <m:t>0</m:t>
        </m:r>
      </m:oMath>
      <w:r>
        <w:t xml:space="preserve">, y la de segundo orden,</w:t>
      </w:r>
      <w:r>
        <w:t xml:space="preserve"> </w:t>
      </w:r>
      <m:oMath>
        <m:r>
          <m:rPr>
            <m:sty m:val="p"/>
          </m:rPr>
          <m:t>−</m:t>
        </m:r>
        <m:r>
          <m:t>R</m:t>
        </m:r>
        <m:r>
          <m:rPr>
            <m:sty m:val="p"/>
          </m:rPr>
          <m:t>″</m:t>
        </m:r>
        <m:d>
          <m:dPr>
            <m:begChr m:val="("/>
            <m:sepChr m:val=""/>
            <m:endChr m:val=")"/>
            <m:grow/>
          </m:dPr>
          <m:e>
            <m:sSub>
              <m:e>
                <m:r>
                  <m:t>c</m:t>
                </m:r>
              </m:e>
              <m:sub>
                <m:r>
                  <m:t>i</m:t>
                </m:r>
              </m:sub>
            </m:sSub>
          </m:e>
        </m:d>
        <m:r>
          <m:rPr>
            <m:sty m:val="p"/>
          </m:rPr>
          <m:t>&lt;</m:t>
        </m:r>
        <m:r>
          <m:t>0</m:t>
        </m:r>
      </m:oMath>
      <w:r>
        <w:t xml:space="preserve">, se cumple si reducir costes es cada vez más caro (</w:t>
      </w:r>
      <m:oMath>
        <m:r>
          <m:t>R</m:t>
        </m:r>
        <m:r>
          <m:rPr>
            <m:sty m:val="p"/>
          </m:rPr>
          <m:t>″</m:t>
        </m:r>
        <m:r>
          <m:rPr>
            <m:sty m:val="p"/>
          </m:rPr>
          <m:t>&gt;</m:t>
        </m:r>
        <m:r>
          <m:t>0</m:t>
        </m:r>
      </m:oMath>
      <w:r>
        <w:t xml:space="preserve">).</w:t>
      </w:r>
    </w:p>
    <w:p>
      <w:pPr>
        <w:numPr>
          <w:ilvl w:val="0"/>
          <w:numId w:val="1128"/>
        </w:numPr>
      </w:pPr>
      <w:r>
        <w:rPr>
          <w:i/>
          <w:iCs/>
        </w:rPr>
        <w:t xml:space="preserve">Equilibrio simétrico</w:t>
      </w:r>
      <w:r>
        <w:t xml:space="preserve">: si todas eligen</w:t>
      </w:r>
      <w:r>
        <w:t xml:space="preserve"> </w:t>
      </w:r>
      <m:oMath>
        <m:sSup>
          <m:e>
            <m:r>
              <m:t>c</m:t>
            </m:r>
          </m:e>
          <m:sup>
            <m:r>
              <m:rPr>
                <m:sty m:val="p"/>
              </m:rPr>
              <m:t>*</m:t>
            </m:r>
          </m:sup>
        </m:sSup>
      </m:oMath>
      <w:r>
        <w:t xml:space="preserve">, entonces</w:t>
      </w:r>
      <w:r>
        <w:t xml:space="preserve"> </w:t>
      </w:r>
      <m:oMath>
        <m:sSub>
          <m:e>
            <m:acc>
              <m:accPr>
                <m:chr m:val="‾"/>
              </m:accPr>
              <m:e>
                <m:r>
                  <m:t>c</m:t>
                </m:r>
              </m:e>
            </m:acc>
          </m:e>
          <m:sub>
            <m:r>
              <m:rPr>
                <m:sty m:val="p"/>
              </m:rPr>
              <m:t>−</m:t>
            </m:r>
            <m:r>
              <m:t>i</m:t>
            </m:r>
          </m:sub>
        </m:sSub>
        <m:r>
          <m:rPr>
            <m:sty m:val="p"/>
          </m:rPr>
          <m:t>=</m:t>
        </m:r>
        <m:sSup>
          <m:e>
            <m:r>
              <m:t>c</m:t>
            </m:r>
          </m:e>
          <m:sup>
            <m:r>
              <m:rPr>
                <m:sty m:val="p"/>
              </m:rPr>
              <m:t>*</m:t>
            </m:r>
          </m:sup>
        </m:sSup>
      </m:oMath>
      <w:r>
        <w:t xml:space="preserve"> </w:t>
      </w:r>
      <w:r>
        <w:t xml:space="preserve">y</w:t>
      </w:r>
      <w:r>
        <w:t xml:space="preserve"> </w:t>
      </w:r>
      <m:oMath>
        <m:r>
          <m:rPr>
            <m:sty m:val="p"/>
          </m:rPr>
          <m:t>−</m:t>
        </m:r>
        <m:r>
          <m:t>R</m:t>
        </m:r>
        <m:r>
          <m:rPr>
            <m:sty m:val="p"/>
          </m:rPr>
          <m:t>′</m:t>
        </m:r>
        <m:d>
          <m:dPr>
            <m:begChr m:val="("/>
            <m:sepChr m:val=""/>
            <m:endChr m:val=")"/>
            <m:grow/>
          </m:dPr>
          <m:e>
            <m:sSup>
              <m:e>
                <m:r>
                  <m:t>c</m:t>
                </m:r>
              </m:e>
              <m:sup>
                <m:r>
                  <m:rPr>
                    <m:sty m:val="p"/>
                  </m:rPr>
                  <m:t>*</m:t>
                </m:r>
              </m:sup>
            </m:sSup>
          </m:e>
        </m:d>
        <m:r>
          <m:rPr>
            <m:sty m:val="p"/>
          </m:rPr>
          <m:t>=</m:t>
        </m:r>
        <m:r>
          <m:t>q</m:t>
        </m:r>
        <m:d>
          <m:dPr>
            <m:begChr m:val="("/>
            <m:sepChr m:val=""/>
            <m:endChr m:val=")"/>
            <m:grow/>
          </m:dPr>
          <m:e>
            <m:sSup>
              <m:e>
                <m:r>
                  <m:t>c</m:t>
                </m:r>
              </m:e>
              <m:sup>
                <m:r>
                  <m:rPr>
                    <m:sty m:val="p"/>
                  </m:rPr>
                  <m:t>*</m:t>
                </m:r>
              </m:sup>
            </m:sSup>
          </m:e>
        </m:d>
      </m:oMath>
      <w:r>
        <w:t xml:space="preserve">. Es la misma condición que elegiría un planificador que maximiza</w:t>
      </w:r>
      <w:r>
        <w:t xml:space="preserve"> </w:t>
      </w:r>
      <m:oMath>
        <m:nary>
          <m:naryPr>
            <m:chr m:val="∫"/>
            <m:limLoc m:val="subSup"/>
            <m:subHide m:val="off"/>
            <m:supHide m:val="off"/>
          </m:naryPr>
          <m:sub>
            <m:r>
              <m:t>c</m:t>
            </m:r>
          </m:sub>
          <m:sup>
            <m:r>
              <m:rPr>
                <m:sty m:val="p"/>
              </m:rPr>
              <m:t>∞</m:t>
            </m:r>
          </m:sup>
          <m:e>
            <m:r>
              <m:t>q</m:t>
            </m:r>
          </m:e>
        </m:nary>
        <m:d>
          <m:dPr>
            <m:begChr m:val="("/>
            <m:sepChr m:val=""/>
            <m:endChr m:val=")"/>
            <m:grow/>
          </m:dPr>
          <m:e>
            <m:r>
              <m:t>x</m:t>
            </m:r>
          </m:e>
        </m:d>
        <m:r>
          <m:t> </m:t>
        </m:r>
        <m:r>
          <m:t>d</m:t>
        </m:r>
        <m:r>
          <m:t>x</m:t>
        </m:r>
        <m:r>
          <m:rPr>
            <m:sty m:val="p"/>
          </m:rPr>
          <m:t>−</m:t>
        </m:r>
        <m:r>
          <m:t>R</m:t>
        </m:r>
        <m:d>
          <m:dPr>
            <m:begChr m:val="("/>
            <m:sepChr m:val=""/>
            <m:endChr m:val=")"/>
            <m:grow/>
          </m:dPr>
          <m:e>
            <m:r>
              <m:t>c</m:t>
            </m:r>
          </m:e>
        </m:d>
      </m:oMath>
      <w:r>
        <w:t xml:space="preserve">, el excedente de los consumidores con</w:t>
      </w:r>
      <w:r>
        <w:t xml:space="preserve"> </w:t>
      </w:r>
      <m:oMath>
        <m:r>
          <m:t>p</m:t>
        </m:r>
        <m:r>
          <m:rPr>
            <m:sty m:val="p"/>
          </m:rPr>
          <m:t>=</m:t>
        </m:r>
        <m:r>
          <m:t>c</m:t>
        </m:r>
      </m:oMath>
      <w:r>
        <w:t xml:space="preserve"> </w:t>
      </w:r>
      <w:r>
        <w:t xml:space="preserve">menos el gasto en reducir costes: el coste es el eficiente. Además,</w:t>
      </w:r>
      <w:r>
        <w:t xml:space="preserve"> </w:t>
      </w:r>
      <m:oMath>
        <m:sSub>
          <m:e>
            <m:r>
              <m:t>p</m:t>
            </m:r>
          </m:e>
          <m:sub>
            <m:r>
              <m:t>i</m:t>
            </m:r>
          </m:sub>
        </m:sSub>
        <m:r>
          <m:rPr>
            <m:sty m:val="p"/>
          </m:rPr>
          <m:t>=</m:t>
        </m:r>
        <m:sSup>
          <m:e>
            <m:r>
              <m:t>c</m:t>
            </m:r>
          </m:e>
          <m:sup>
            <m:r>
              <m:rPr>
                <m:sty m:val="p"/>
              </m:rPr>
              <m:t>*</m:t>
            </m:r>
          </m:sup>
        </m:sSup>
      </m:oMath>
      <w:r>
        <w:t xml:space="preserve"> </w:t>
      </w:r>
      <w:r>
        <w:t xml:space="preserve">y</w:t>
      </w:r>
      <w:r>
        <w:t xml:space="preserve"> </w:t>
      </w:r>
      <m:oMath>
        <m:sSub>
          <m:e>
            <m:r>
              <m:t>T</m:t>
            </m:r>
          </m:e>
          <m:sub>
            <m:r>
              <m:t>i</m:t>
            </m:r>
          </m:sub>
        </m:sSub>
        <m:r>
          <m:rPr>
            <m:sty m:val="p"/>
          </m:rPr>
          <m:t>=</m:t>
        </m:r>
        <m:r>
          <m:t>R</m:t>
        </m:r>
        <m:d>
          <m:dPr>
            <m:begChr m:val="("/>
            <m:sepChr m:val=""/>
            <m:endChr m:val=")"/>
            <m:grow/>
          </m:dPr>
          <m:e>
            <m:sSup>
              <m:e>
                <m:r>
                  <m:t>c</m:t>
                </m:r>
              </m:e>
              <m:sup>
                <m:r>
                  <m:rPr>
                    <m:sty m:val="p"/>
                  </m:rPr>
                  <m:t>*</m:t>
                </m:r>
              </m:sup>
            </m:sSup>
          </m:e>
        </m:d>
      </m:oMath>
      <w:r>
        <w:t xml:space="preserve">, así que</w:t>
      </w:r>
      <w:r>
        <w:t xml:space="preserve"> </w:t>
      </w:r>
      <m:oMath>
        <m:sSub>
          <m:e>
            <m:r>
              <m:t>Π</m:t>
            </m:r>
          </m:e>
          <m:sub>
            <m:r>
              <m:t>i</m:t>
            </m:r>
          </m:sub>
        </m:sSub>
        <m:r>
          <m:rPr>
            <m:sty m:val="p"/>
          </m:rPr>
          <m:t>=</m:t>
        </m:r>
        <m:r>
          <m:t>0</m:t>
        </m:r>
      </m:oMath>
      <w:r>
        <w:t xml:space="preserve">: no hay rentas.</w:t>
      </w:r>
    </w:p>
    <w:p>
      <w:pPr>
        <w:numPr>
          <w:ilvl w:val="0"/>
          <w:numId w:val="1128"/>
        </w:numPr>
      </w:pPr>
      <w:r>
        <w:t xml:space="preserve">Con los precios dados,</w:t>
      </w:r>
      <w:r>
        <w:t xml:space="preserve"> </w:t>
      </w:r>
      <m:oMath>
        <m:sSup>
          <m:e>
            <m:r>
              <m:t>c</m:t>
            </m:r>
          </m:e>
          <m:sup>
            <m:r>
              <m:rPr>
                <m:sty m:val="p"/>
              </m:rPr>
              <m:t>*</m:t>
            </m:r>
          </m:sup>
        </m:sSup>
      </m:oMath>
      <w:r>
        <w:t xml:space="preserve"> </w:t>
      </w:r>
      <w:r>
        <w:t xml:space="preserve">es la mejor respuesta de cada empresa: es un equilibrio de</w:t>
      </w:r>
      <w:r>
        <w:t xml:space="preserve"> </w:t>
      </w:r>
      <w:r>
        <w:rPr>
          <w:smallCaps/>
        </w:rPr>
        <w:t xml:space="preserve">Nash</w:t>
      </w:r>
      <w:r>
        <w:t xml:space="preserve"> </w:t>
      </w:r>
      <w:hyperlink r:id="rId70">
        <w:r>
          <w:rPr>
            <w:rStyle w:val="Referenciaatema"/>
          </w:rPr>
          <w:t xml:space="preserve">[ver tema 3.A.14]</w:t>
        </w:r>
      </w:hyperlink>
      <w:r>
        <w:t xml:space="preserve">. ∎</w:t>
      </w:r>
    </w:p>
    <w:bookmarkEnd w:id="194"/>
    <w:bookmarkStart w:id="195" w:name="anexo_acceso"/>
    <w:p>
      <w:pPr>
        <w:pStyle w:val="Heading2"/>
      </w:pPr>
      <w:r>
        <w:t xml:space="preserve">A.5. Precio de acceso a la red</w:t>
      </w:r>
    </w:p>
    <w:p>
      <w:pPr>
        <w:numPr>
          <w:ilvl w:val="0"/>
          <w:numId w:val="1129"/>
        </w:numPr>
      </w:pPr>
      <w:r>
        <w:t xml:space="preserve">Notación:</w:t>
      </w:r>
      <w:r>
        <w:t xml:space="preserve"> </w:t>
      </w:r>
      <m:oMath>
        <m:r>
          <m:t>p</m:t>
        </m:r>
      </m:oMath>
      <w:r>
        <w:t xml:space="preserve">, precio del servicio final del incumbente;</w:t>
      </w:r>
      <w:r>
        <w:t xml:space="preserve"> </w:t>
      </w:r>
      <m:oMath>
        <m:sSub>
          <m:e>
            <m:r>
              <m:t>c</m:t>
            </m:r>
          </m:e>
          <m:sub>
            <m:r>
              <m:t>a</m:t>
            </m:r>
          </m:sub>
        </m:sSub>
      </m:oMath>
      <w:r>
        <w:t xml:space="preserve">, su coste por unidad de acceso;</w:t>
      </w:r>
      <w:r>
        <w:t xml:space="preserve"> </w:t>
      </w:r>
      <m:oMath>
        <m:sSub>
          <m:e>
            <m:r>
              <m:t>c</m:t>
            </m:r>
          </m:e>
          <m:sub>
            <m:r>
              <m:t>I</m:t>
            </m:r>
          </m:sub>
        </m:sSub>
      </m:oMath>
      <w:r>
        <w:t xml:space="preserve">, su coste propio por el resto del servicio;</w:t>
      </w:r>
      <w:r>
        <w:t xml:space="preserve"> </w:t>
      </w:r>
      <m:oMath>
        <m:sSub>
          <m:e>
            <m:r>
              <m:t>c</m:t>
            </m:r>
          </m:e>
          <m:sub>
            <m:r>
              <m:t>E</m:t>
            </m:r>
          </m:sub>
        </m:sSub>
      </m:oMath>
      <w:r>
        <w:t xml:space="preserve">, el coste propio del entrante, y</w:t>
      </w:r>
      <w:r>
        <w:t xml:space="preserve"> </w:t>
      </w:r>
      <m:oMath>
        <m:r>
          <m:t>A</m:t>
        </m:r>
      </m:oMath>
      <w:r>
        <w:t xml:space="preserve">, el peaje que este paga por unidad de acceso.</w:t>
      </w:r>
    </w:p>
    <w:p>
      <w:pPr>
        <w:numPr>
          <w:ilvl w:val="0"/>
          <w:numId w:val="1129"/>
        </w:numPr>
      </w:pPr>
      <w:r>
        <w:rPr>
          <w:i/>
          <w:iCs/>
        </w:rPr>
        <w:t xml:space="preserve">Regla del precio eficiente de los componentes</w:t>
      </w:r>
      <w:r>
        <w:t xml:space="preserve">:</w:t>
      </w:r>
      <w:r>
        <w:t xml:space="preserve"> </w:t>
      </w:r>
      <m:oMath>
        <m:r>
          <m:t>A</m:t>
        </m:r>
      </m:oMath>
      <w:r>
        <w:t xml:space="preserve"> </w:t>
      </w:r>
      <w:r>
        <w:t xml:space="preserve">tiene que cubrir 2 cosas, lo que cuesta dar el acceso y el margen al que renuncia el incumbente por cada cliente que pasa al entrante (su coste de oportunidad):</w:t>
      </w:r>
      <w:r>
        <w:t xml:space="preserve"> </w:t>
      </w:r>
      <m:oMath>
        <m:r>
          <m:t>A</m:t>
        </m:r>
        <m:r>
          <m:rPr>
            <m:sty m:val="p"/>
          </m:rPr>
          <m:t>=</m:t>
        </m:r>
        <m:sSub>
          <m:e>
            <m:r>
              <m:t>c</m:t>
            </m:r>
          </m:e>
          <m:sub>
            <m:r>
              <m:t>a</m:t>
            </m:r>
          </m:sub>
        </m:sSub>
        <m:r>
          <m:rPr>
            <m:sty m:val="p"/>
          </m:rPr>
          <m:t>+</m:t>
        </m:r>
        <m:d>
          <m:dPr>
            <m:begChr m:val="("/>
            <m:sepChr m:val=""/>
            <m:endChr m:val=")"/>
            <m:grow/>
          </m:dPr>
          <m:e>
            <m:r>
              <m:t>p</m:t>
            </m:r>
            <m:r>
              <m:rPr>
                <m:sty m:val="p"/>
              </m:rPr>
              <m:t>−</m:t>
            </m:r>
            <m:sSub>
              <m:e>
                <m:r>
                  <m:t>c</m:t>
                </m:r>
              </m:e>
              <m:sub>
                <m:r>
                  <m:t>a</m:t>
                </m:r>
              </m:sub>
            </m:sSub>
            <m:r>
              <m:rPr>
                <m:sty m:val="p"/>
              </m:rPr>
              <m:t>−</m:t>
            </m:r>
            <m:sSub>
              <m:e>
                <m:r>
                  <m:t>c</m:t>
                </m:r>
              </m:e>
              <m:sub>
                <m:r>
                  <m:t>I</m:t>
                </m:r>
              </m:sub>
            </m:sSub>
          </m:e>
        </m:d>
        <m:r>
          <m:rPr>
            <m:sty m:val="p"/>
          </m:rPr>
          <m:t>=</m:t>
        </m:r>
        <m:r>
          <m:t>p</m:t>
        </m:r>
        <m:r>
          <m:rPr>
            <m:sty m:val="p"/>
          </m:rPr>
          <m:t>−</m:t>
        </m:r>
        <m:sSub>
          <m:e>
            <m:r>
              <m:t>c</m:t>
            </m:r>
          </m:e>
          <m:sub>
            <m:r>
              <m:t>I</m:t>
            </m:r>
          </m:sub>
        </m:sSub>
      </m:oMath>
      <w:r>
        <w:t xml:space="preserve"> </w:t>
      </w:r>
      <w:r>
        <w:t xml:space="preserve">(</w:t>
      </w:r>
      <w:hyperlink w:anchor="eq_ecpr">
        <w:r>
          <w:rPr>
            <w:rStyle w:val="Hyperlink"/>
          </w:rPr>
          <w:t xml:space="preserve">13</w:t>
        </w:r>
      </w:hyperlink>
      <w:r>
        <w:t xml:space="preserve">). Al entrante le compensa si</w:t>
      </w:r>
      <w:r>
        <w:t xml:space="preserve"> </w:t>
      </w:r>
      <m:oMath>
        <m:r>
          <m:t>A</m:t>
        </m:r>
        <m:r>
          <m:rPr>
            <m:sty m:val="p"/>
          </m:rPr>
          <m:t>+</m:t>
        </m:r>
        <m:sSub>
          <m:e>
            <m:r>
              <m:t>c</m:t>
            </m:r>
          </m:e>
          <m:sub>
            <m:r>
              <m:t>E</m:t>
            </m:r>
          </m:sub>
        </m:sSub>
        <m:r>
          <m:rPr>
            <m:sty m:val="p"/>
          </m:rPr>
          <m:t>≤</m:t>
        </m:r>
        <m:r>
          <m:t>p</m:t>
        </m:r>
      </m:oMath>
      <w:r>
        <w:t xml:space="preserve">, es decir, si</w:t>
      </w:r>
      <w:r>
        <w:t xml:space="preserve"> </w:t>
      </w:r>
      <m:oMath>
        <m:sSub>
          <m:e>
            <m:r>
              <m:t>c</m:t>
            </m:r>
          </m:e>
          <m:sub>
            <m:r>
              <m:t>E</m:t>
            </m:r>
          </m:sub>
        </m:sSub>
        <m:r>
          <m:rPr>
            <m:sty m:val="p"/>
          </m:rPr>
          <m:t>≤</m:t>
        </m:r>
        <m:sSub>
          <m:e>
            <m:r>
              <m:t>c</m:t>
            </m:r>
          </m:e>
          <m:sub>
            <m:r>
              <m:t>I</m:t>
            </m:r>
          </m:sub>
        </m:sSub>
      </m:oMath>
      <w:r>
        <w:t xml:space="preserve">.</w:t>
      </w:r>
    </w:p>
    <w:p>
      <w:pPr>
        <w:numPr>
          <w:ilvl w:val="0"/>
          <w:numId w:val="1129"/>
        </w:numPr>
      </w:pPr>
      <w:r>
        <w:rPr>
          <w:i/>
          <w:iCs/>
        </w:rPr>
        <w:t xml:space="preserve">Sustitución imperfecta</w:t>
      </w:r>
      <w:r>
        <w:t xml:space="preserve">: si cada unidad que vende el entrante le quita al incumbente solo</w:t>
      </w:r>
      <w:r>
        <w:t xml:space="preserve"> </w:t>
      </w:r>
      <m:oMath>
        <m:r>
          <m:t>d</m:t>
        </m:r>
        <m:r>
          <m:rPr>
            <m:sty m:val="p"/>
          </m:rPr>
          <m:t>≤</m:t>
        </m:r>
        <m:r>
          <m:t>1</m:t>
        </m:r>
      </m:oMath>
      <w:r>
        <w:t xml:space="preserve"> </w:t>
      </w:r>
      <w:r>
        <w:t xml:space="preserve">unidades (el</w:t>
      </w:r>
      <w:r>
        <w:t xml:space="preserve"> </w:t>
      </w:r>
      <w:r>
        <w:rPr>
          <w:i/>
          <w:iCs/>
        </w:rPr>
        <w:t xml:space="preserve">ratio de desvío</w:t>
      </w:r>
      <w:r>
        <w:t xml:space="preserve">), el coste de oportunidad se multiplica por</w:t>
      </w:r>
      <w:r>
        <w:t xml:space="preserve"> </w:t>
      </w:r>
      <m:oMath>
        <m:r>
          <m:t>d</m:t>
        </m:r>
      </m:oMath>
      <w:r>
        <w:t xml:space="preserve">:</w:t>
      </w:r>
      <w:r>
        <w:t xml:space="preserve"> </w:t>
      </w:r>
      <m:oMath>
        <m:r>
          <m:t>A</m:t>
        </m:r>
        <m:r>
          <m:rPr>
            <m:sty m:val="p"/>
          </m:rPr>
          <m:t>=</m:t>
        </m:r>
        <m:sSub>
          <m:e>
            <m:r>
              <m:t>c</m:t>
            </m:r>
          </m:e>
          <m:sub>
            <m:r>
              <m:t>a</m:t>
            </m:r>
          </m:sub>
        </m:sSub>
        <m:r>
          <m:rPr>
            <m:sty m:val="p"/>
          </m:rPr>
          <m:t>+</m:t>
        </m:r>
        <m:r>
          <m:t>d</m:t>
        </m:r>
        <m:r>
          <m:t> </m:t>
        </m:r>
        <m:d>
          <m:dPr>
            <m:begChr m:val="("/>
            <m:sepChr m:val=""/>
            <m:endChr m:val=")"/>
            <m:grow/>
          </m:dPr>
          <m:e>
            <m:r>
              <m:t>p</m:t>
            </m:r>
            <m:r>
              <m:rPr>
                <m:sty m:val="p"/>
              </m:rPr>
              <m:t>−</m:t>
            </m:r>
            <m:sSub>
              <m:e>
                <m:r>
                  <m:t>c</m:t>
                </m:r>
              </m:e>
              <m:sub>
                <m:r>
                  <m:t>a</m:t>
                </m:r>
              </m:sub>
            </m:sSub>
            <m:r>
              <m:rPr>
                <m:sty m:val="p"/>
              </m:rPr>
              <m:t>−</m:t>
            </m:r>
            <m:sSub>
              <m:e>
                <m:r>
                  <m:t>c</m:t>
                </m:r>
              </m:e>
              <m:sub>
                <m:r>
                  <m:t>I</m:t>
                </m:r>
              </m:sub>
            </m:sSub>
          </m:e>
        </m:d>
      </m:oMath>
      <w:r>
        <w:t xml:space="preserve"> </w:t>
      </w:r>
      <w:r>
        <w:t xml:space="preserve">(</w:t>
      </w:r>
      <w:hyperlink w:anchor="ref_ArmstrongDoyleVickers1996Access">
        <w:r>
          <w:rPr>
            <w:rStyle w:val="Hyperlink"/>
            <w:smallCaps/>
          </w:rPr>
          <w:t xml:space="preserve">Armstrong</w:t>
        </w:r>
        <w:r>
          <w:rPr>
            <w:rStyle w:val="Hyperlink"/>
          </w:rPr>
          <w:t xml:space="preserve">,</w:t>
        </w:r>
        <w:r>
          <w:rPr>
            <w:rStyle w:val="Hyperlink"/>
          </w:rPr>
          <w:t xml:space="preserve"> </w:t>
        </w:r>
        <w:r>
          <w:rPr>
            <w:rStyle w:val="Hyperlink"/>
            <w:smallCaps/>
          </w:rPr>
          <w:t xml:space="preserve">Doyle</w:t>
        </w:r>
        <w:r>
          <w:rPr>
            <w:rStyle w:val="Hyperlink"/>
          </w:rPr>
          <w:t xml:space="preserve"> </w:t>
        </w:r>
        <w:r>
          <w:rPr>
            <w:rStyle w:val="Hyperlink"/>
          </w:rPr>
          <w:t xml:space="preserve">y</w:t>
        </w:r>
        <w:r>
          <w:rPr>
            <w:rStyle w:val="Hyperlink"/>
          </w:rPr>
          <w:t xml:space="preserve"> </w:t>
        </w:r>
        <w:r>
          <w:rPr>
            <w:rStyle w:val="Hyperlink"/>
            <w:smallCaps/>
          </w:rPr>
          <w:t xml:space="preserve">Vickers</w:t>
        </w:r>
        <w:r>
          <w:rPr>
            <w:rStyle w:val="Hyperlink"/>
          </w:rPr>
          <w:t xml:space="preserve">, 1996</w:t>
        </w:r>
      </w:hyperlink>
      <w:r>
        <w:t xml:space="preserve">)</w:t>
      </w:r>
      <w:r>
        <w:t xml:space="preserve">. La regla simple es el caso</w:t>
      </w:r>
      <w:r>
        <w:t xml:space="preserve"> </w:t>
      </w:r>
      <m:oMath>
        <m:r>
          <m:t>d</m:t>
        </m:r>
        <m:r>
          <m:rPr>
            <m:sty m:val="p"/>
          </m:rPr>
          <m:t>=</m:t>
        </m:r>
        <m:r>
          <m:t>1</m:t>
        </m:r>
      </m:oMath>
      <w:r>
        <w:t xml:space="preserve">.</w:t>
      </w:r>
    </w:p>
    <w:p>
      <w:pPr>
        <w:numPr>
          <w:ilvl w:val="0"/>
          <w:numId w:val="1129"/>
        </w:numPr>
      </w:pPr>
      <w:r>
        <w:rPr>
          <w:i/>
          <w:iCs/>
        </w:rPr>
        <w:t xml:space="preserve">Fondos públicos costosos</w:t>
      </w:r>
      <w:r>
        <w:t xml:space="preserve">: si el incumbente tiene que cubrir sus costes, el precio de acceso óptimo añade al coste de oportunidad un recargo de tipo</w:t>
      </w:r>
      <w:r>
        <w:t xml:space="preserve"> </w:t>
      </w:r>
      <w:r>
        <w:rPr>
          <w:smallCaps/>
        </w:rPr>
        <w:t xml:space="preserve">Ramsey</w:t>
      </w:r>
      <w:r>
        <w:t xml:space="preserve">, mayor cuanto menos elástica es la demanda de acceso</w:t>
      </w:r>
      <w:r>
        <w:t xml:space="preserve"> </w:t>
      </w:r>
      <w:r>
        <w:t xml:space="preserve">(</w:t>
      </w:r>
      <w:hyperlink w:anchor="ref_ArmstrongDoyleVickers1996Access">
        <w:r>
          <w:rPr>
            <w:rStyle w:val="Hyperlink"/>
            <w:smallCaps/>
          </w:rPr>
          <w:t xml:space="preserve">Armstrong</w:t>
        </w:r>
        <w:r>
          <w:rPr>
            <w:rStyle w:val="Hyperlink"/>
          </w:rPr>
          <w:t xml:space="preserve">,</w:t>
        </w:r>
        <w:r>
          <w:rPr>
            <w:rStyle w:val="Hyperlink"/>
          </w:rPr>
          <w:t xml:space="preserve"> </w:t>
        </w:r>
        <w:r>
          <w:rPr>
            <w:rStyle w:val="Hyperlink"/>
            <w:smallCaps/>
          </w:rPr>
          <w:t xml:space="preserve">Doyle</w:t>
        </w:r>
        <w:r>
          <w:rPr>
            <w:rStyle w:val="Hyperlink"/>
          </w:rPr>
          <w:t xml:space="preserve"> </w:t>
        </w:r>
        <w:r>
          <w:rPr>
            <w:rStyle w:val="Hyperlink"/>
          </w:rPr>
          <w:t xml:space="preserve">y</w:t>
        </w:r>
        <w:r>
          <w:rPr>
            <w:rStyle w:val="Hyperlink"/>
          </w:rPr>
          <w:t xml:space="preserve"> </w:t>
        </w:r>
        <w:r>
          <w:rPr>
            <w:rStyle w:val="Hyperlink"/>
            <w:smallCaps/>
          </w:rPr>
          <w:t xml:space="preserve">Vickers</w:t>
        </w:r>
        <w:r>
          <w:rPr>
            <w:rStyle w:val="Hyperlink"/>
          </w:rPr>
          <w:t xml:space="preserve">, 1996</w:t>
        </w:r>
      </w:hyperlink>
      <w:r>
        <w:t xml:space="preserve">)</w:t>
      </w:r>
      <w:r>
        <w:t xml:space="preserve">.</w:t>
      </w:r>
    </w:p>
    <w:p>
      <w:pPr>
        <w:numPr>
          <w:ilvl w:val="0"/>
          <w:numId w:val="1129"/>
        </w:numPr>
      </w:pPr>
      <w:r>
        <w:rPr>
          <w:i/>
          <w:iCs/>
        </w:rPr>
        <w:t xml:space="preserve">Limitación</w:t>
      </w:r>
      <w:r>
        <w:t xml:space="preserve">: la regla toma</w:t>
      </w:r>
      <w:r>
        <w:t xml:space="preserve"> </w:t>
      </w:r>
      <m:oMath>
        <m:r>
          <m:t>p</m:t>
        </m:r>
      </m:oMath>
      <w:r>
        <w:t xml:space="preserve"> </w:t>
      </w:r>
      <w:r>
        <w:t xml:space="preserve">como dado; si</w:t>
      </w:r>
      <w:r>
        <w:t xml:space="preserve"> </w:t>
      </w:r>
      <m:oMath>
        <m:r>
          <m:t>p</m:t>
        </m:r>
      </m:oMath>
      <w:r>
        <w:t xml:space="preserve"> </w:t>
      </w:r>
      <w:r>
        <w:t xml:space="preserve">es de monopolio, el margen de monopolio pasa al precio de acceso. Por eso solo es óptima con el precio final regulado. ∎</w:t>
      </w:r>
    </w:p>
    <w:bookmarkEnd w:id="195"/>
    <w:bookmarkEnd w:id="196"/>
    <w:bookmarkStart w:id="200" w:name="anexo_mercado_relevante"/>
    <w:p>
      <w:pPr>
        <w:pStyle w:val="Heading1"/>
      </w:pPr>
      <w:r>
        <w:t xml:space="preserve">B. Anexo: el mercado relevante en la práctica</w:t>
      </w:r>
    </w:p>
    <w:bookmarkStart w:id="197" w:name="anexo_perdida_critica"/>
    <w:p>
      <w:pPr>
        <w:pStyle w:val="Heading2"/>
      </w:pPr>
      <w:r>
        <w:t xml:space="preserve">B.1. Pérdida crítica y falacia del celofán</w:t>
      </w:r>
    </w:p>
    <w:p>
      <w:pPr>
        <w:numPr>
          <w:ilvl w:val="0"/>
          <w:numId w:val="1130"/>
        </w:numPr>
      </w:pPr>
      <w:r>
        <w:t xml:space="preserve">Sea</w:t>
      </w:r>
      <w:r>
        <w:t xml:space="preserve"> </w:t>
      </w:r>
      <m:oMath>
        <m:r>
          <m:rPr>
            <m:sty m:val="p"/>
            <m:scr m:val="script"/>
          </m:rPr>
          <m:t>L</m:t>
        </m:r>
        <m:r>
          <m:rPr>
            <m:sty m:val="p"/>
          </m:rPr>
          <m:t>=</m:t>
        </m:r>
        <m:d>
          <m:dPr>
            <m:begChr m:val="("/>
            <m:sepChr m:val=""/>
            <m:endChr m:val=")"/>
            <m:grow/>
          </m:dPr>
          <m:e>
            <m:r>
              <m:t>p</m:t>
            </m:r>
            <m:r>
              <m:rPr>
                <m:sty m:val="p"/>
              </m:rPr>
              <m:t>−</m:t>
            </m:r>
            <m:r>
              <m:t>c</m:t>
            </m:r>
          </m:e>
        </m:d>
        <m:r>
          <m:rPr>
            <m:sty m:val="p"/>
          </m:rPr>
          <m:t>/</m:t>
        </m:r>
        <m:r>
          <m:t>p</m:t>
        </m:r>
      </m:oMath>
      <w:r>
        <w:t xml:space="preserve"> </w:t>
      </w:r>
      <w:r>
        <w:t xml:space="preserve">el margen relativo inicial, con</w:t>
      </w:r>
      <w:r>
        <w:t xml:space="preserve"> </w:t>
      </w:r>
      <m:oMath>
        <m:r>
          <m:t>c</m:t>
        </m:r>
      </m:oMath>
      <w:r>
        <w:t xml:space="preserve"> </w:t>
      </w:r>
      <w:r>
        <w:t xml:space="preserve">el coste marginal (constante), y</w:t>
      </w:r>
      <w:r>
        <w:t xml:space="preserve"> </w:t>
      </w:r>
      <m:oMath>
        <m:r>
          <m:t>τ</m:t>
        </m:r>
      </m:oMath>
      <w:r>
        <w:t xml:space="preserve"> </w:t>
      </w:r>
      <w:r>
        <w:t xml:space="preserve">la subida relativa del precio que se contrasta. Si con la subida se pierde una fracción</w:t>
      </w:r>
      <w:r>
        <w:t xml:space="preserve"> </w:t>
      </w:r>
      <m:oMath>
        <m:r>
          <m:rPr>
            <m:sty m:val="p"/>
          </m:rPr>
          <m:t>ℓ</m:t>
        </m:r>
      </m:oMath>
      <w:r>
        <w:t xml:space="preserve"> </w:t>
      </w:r>
      <w:r>
        <w:t xml:space="preserve">de las ventas, el beneficio no cambia cuando</w:t>
      </w:r>
    </w:p>
    <w:p>
      <w:pPr>
        <w:pStyle w:val="BodyText"/>
        <w:keepNext/>
      </w:pPr>
      <m:oMathPara>
        <m:oMathParaPr>
          <m:jc m:val="center"/>
        </m:oMathParaPr>
        <m:oMath>
          <m:d>
            <m:dPr>
              <m:begChr m:val="["/>
              <m:sepChr m:val=""/>
              <m:endChr m:val="]"/>
              <m:grow/>
            </m:dPr>
            <m:e>
              <m:r>
                <m:t>p</m:t>
              </m:r>
              <m:r>
                <m:t> </m:t>
              </m:r>
              <m:d>
                <m:dPr>
                  <m:begChr m:val="("/>
                  <m:sepChr m:val=""/>
                  <m:endChr m:val=")"/>
                  <m:grow/>
                </m:dPr>
                <m:e>
                  <m:r>
                    <m:t>1</m:t>
                  </m:r>
                  <m:r>
                    <m:rPr>
                      <m:sty m:val="p"/>
                    </m:rPr>
                    <m:t>+</m:t>
                  </m:r>
                  <m:r>
                    <m:t>τ</m:t>
                  </m:r>
                </m:e>
              </m:d>
              <m:r>
                <m:rPr>
                  <m:sty m:val="p"/>
                </m:rPr>
                <m:t>−</m:t>
              </m:r>
              <m:r>
                <m:t>c</m:t>
              </m:r>
            </m:e>
          </m:d>
          <m:r>
            <m:t> </m:t>
          </m:r>
          <m:r>
            <m:t>q</m:t>
          </m:r>
          <m:r>
            <m:t> </m:t>
          </m:r>
          <m:d>
            <m:dPr>
              <m:begChr m:val="("/>
              <m:sepChr m:val=""/>
              <m:endChr m:val=")"/>
              <m:grow/>
            </m:dPr>
            <m:e>
              <m:r>
                <m:t>1</m:t>
              </m:r>
              <m:r>
                <m:rPr>
                  <m:sty m:val="p"/>
                </m:rPr>
                <m:t>−</m:t>
              </m:r>
              <m:r>
                <m:rPr>
                  <m:sty m:val="p"/>
                </m:rPr>
                <m:t>ℓ</m:t>
              </m:r>
            </m:e>
          </m:d>
          <m:r>
            <m:rPr>
              <m:sty m:val="p"/>
            </m:rPr>
            <m:t>=</m:t>
          </m:r>
          <m:d>
            <m:dPr>
              <m:begChr m:val="("/>
              <m:sepChr m:val=""/>
              <m:endChr m:val=")"/>
              <m:grow/>
            </m:dPr>
            <m:e>
              <m:r>
                <m:t>p</m:t>
              </m:r>
              <m:r>
                <m:rPr>
                  <m:sty m:val="p"/>
                </m:rPr>
                <m:t>−</m:t>
              </m:r>
              <m:r>
                <m:t>c</m:t>
              </m:r>
            </m:e>
          </m:d>
          <m:r>
            <m:t> </m:t>
          </m:r>
          <m:r>
            <m:t>q</m:t>
          </m:r>
          <m:r>
            <m:t> </m:t>
          </m:r>
          <m:r>
            <m:rPr>
              <m:sty m:val="p"/>
            </m:rPr>
            <m:t>⇔</m:t>
          </m:r>
          <m:r>
            <m:t> </m:t>
          </m:r>
          <m:d>
            <m:dPr>
              <m:begChr m:val="("/>
              <m:sepChr m:val=""/>
              <m:endChr m:val=")"/>
              <m:grow/>
            </m:dPr>
            <m:e>
              <m:r>
                <m:rPr>
                  <m:sty m:val="p"/>
                  <m:scr m:val="script"/>
                </m:rPr>
                <m:t>L</m:t>
              </m:r>
              <m:r>
                <m:rPr>
                  <m:sty m:val="p"/>
                </m:rPr>
                <m:t>+</m:t>
              </m:r>
              <m:r>
                <m:t>τ</m:t>
              </m:r>
            </m:e>
          </m:d>
          <m:d>
            <m:dPr>
              <m:begChr m:val="("/>
              <m:sepChr m:val=""/>
              <m:endChr m:val=")"/>
              <m:grow/>
            </m:dPr>
            <m:e>
              <m:r>
                <m:t>1</m:t>
              </m:r>
              <m:r>
                <m:rPr>
                  <m:sty m:val="p"/>
                </m:rPr>
                <m:t>−</m:t>
              </m:r>
              <m:r>
                <m:rPr>
                  <m:sty m:val="p"/>
                </m:rPr>
                <m:t>ℓ</m:t>
              </m:r>
            </m:e>
          </m:d>
          <m:r>
            <m:rPr>
              <m:sty m:val="p"/>
            </m:rPr>
            <m:t>=</m:t>
          </m:r>
          <m:r>
            <m:rPr>
              <m:sty m:val="p"/>
              <m:scr m:val="script"/>
            </m:rPr>
            <m:t>L</m:t>
          </m:r>
          <m:r>
            <m:t> </m:t>
          </m:r>
          <m:r>
            <m:rPr>
              <m:sty m:val="p"/>
            </m:rPr>
            <m:t>⇔</m:t>
          </m:r>
          <m:r>
            <m:t> </m:t>
          </m:r>
          <m:r>
            <m:rPr>
              <m:sty m:val="p"/>
            </m:rPr>
            <m:t>ℓ</m:t>
          </m:r>
          <m:r>
            <m:rPr>
              <m:sty m:val="p"/>
            </m:rPr>
            <m:t>=</m:t>
          </m:r>
          <m:sSup>
            <m:e>
              <m:r>
                <m:rPr>
                  <m:sty m:val="p"/>
                </m:rPr>
                <m:t>ℓ</m:t>
              </m:r>
            </m:e>
            <m:sup>
              <m:r>
                <m:t>c</m:t>
              </m:r>
            </m:sup>
          </m:sSup>
          <m:r>
            <m:rPr>
              <m:sty m:val="p"/>
            </m:rPr>
            <m:t>≡</m:t>
          </m:r>
          <m:f>
            <m:fPr>
              <m:type m:val="bar"/>
            </m:fPr>
            <m:num>
              <m:r>
                <m:t>τ</m:t>
              </m:r>
            </m:num>
            <m:den>
              <m:r>
                <m:t>τ</m:t>
              </m:r>
              <m:r>
                <m:rPr>
                  <m:sty m:val="p"/>
                </m:rPr>
                <m:t>+</m:t>
              </m:r>
              <m:r>
                <m:rPr>
                  <m:sty m:val="p"/>
                  <m:scr m:val="script"/>
                </m:rPr>
                <m:t>L</m:t>
              </m:r>
            </m:den>
          </m:f>
          <m:r>
            <m:rPr>
              <m:sty m:val="p"/>
            </m:rPr>
            <m:t>.</m:t>
          </m:r>
        </m:oMath>
      </m:oMathPara>
    </w:p>
    <w:p>
      <w:pPr>
        <w:numPr>
          <w:ilvl w:val="0"/>
          <w:numId w:val="1000"/>
        </w:numPr>
      </w:pPr>
      <w:r>
        <w:t xml:space="preserve">Es la</w:t>
      </w:r>
      <w:r>
        <w:t xml:space="preserve"> </w:t>
      </w:r>
      <w:r>
        <w:rPr>
          <w:i/>
          <w:iCs/>
        </w:rPr>
        <w:t xml:space="preserve">pérdida crítica</w:t>
      </w:r>
      <w:r>
        <w:t xml:space="preserve"> </w:t>
      </w:r>
      <w:r>
        <w:t xml:space="preserve">(</w:t>
      </w:r>
      <w:hyperlink w:anchor="ref_HarrisSimons1989Focusing">
        <w:r>
          <w:rPr>
            <w:rStyle w:val="Hyperlink"/>
            <w:smallCaps/>
          </w:rPr>
          <w:t xml:space="preserve">Harris</w:t>
        </w:r>
        <w:r>
          <w:rPr>
            <w:rStyle w:val="Hyperlink"/>
          </w:rPr>
          <w:t xml:space="preserve"> </w:t>
        </w:r>
        <w:r>
          <w:rPr>
            <w:rStyle w:val="Hyperlink"/>
          </w:rPr>
          <w:t xml:space="preserve">y</w:t>
        </w:r>
        <w:r>
          <w:rPr>
            <w:rStyle w:val="Hyperlink"/>
          </w:rPr>
          <w:t xml:space="preserve"> </w:t>
        </w:r>
        <w:r>
          <w:rPr>
            <w:rStyle w:val="Hyperlink"/>
            <w:smallCaps/>
          </w:rPr>
          <w:t xml:space="preserve">Simons</w:t>
        </w:r>
        <w:r>
          <w:rPr>
            <w:rStyle w:val="Hyperlink"/>
          </w:rPr>
          <w:t xml:space="preserve">, 1989</w:t>
        </w:r>
      </w:hyperlink>
      <w:r>
        <w:t xml:space="preserve">)</w:t>
      </w:r>
      <w:r>
        <w:t xml:space="preserve">: si la pérdida real es menor, la subida es rentable y el mercado candidato es el relevante.</w:t>
      </w:r>
    </w:p>
    <w:p>
      <w:pPr>
        <w:numPr>
          <w:ilvl w:val="0"/>
          <w:numId w:val="1130"/>
        </w:numPr>
      </w:pPr>
      <w:r>
        <w:t xml:space="preserve">Con</w:t>
      </w:r>
      <w:r>
        <w:t xml:space="preserve"> </w:t>
      </w:r>
      <m:oMath>
        <m:r>
          <m:t>τ</m:t>
        </m:r>
        <m:r>
          <m:rPr>
            <m:sty m:val="p"/>
          </m:rPr>
          <m:t>=</m:t>
        </m:r>
        <m:r>
          <m:t>5</m:t>
        </m:r>
      </m:oMath>
      <w:r>
        <w:t xml:space="preserve"> %: si</w:t>
      </w:r>
      <w:r>
        <w:t xml:space="preserve"> </w:t>
      </w:r>
      <m:oMath>
        <m:r>
          <m:rPr>
            <m:sty m:val="p"/>
            <m:scr m:val="script"/>
          </m:rPr>
          <m:t>L</m:t>
        </m:r>
        <m:r>
          <m:rPr>
            <m:sty m:val="p"/>
          </m:rPr>
          <m:t>=</m:t>
        </m:r>
        <m:r>
          <m:t>20</m:t>
        </m:r>
      </m:oMath>
      <w:r>
        <w:t xml:space="preserve"> %, la pérdida crítica es del 20 %; si</w:t>
      </w:r>
      <w:r>
        <w:t xml:space="preserve"> </w:t>
      </w:r>
      <m:oMath>
        <m:r>
          <m:rPr>
            <m:sty m:val="p"/>
            <m:scr m:val="script"/>
          </m:rPr>
          <m:t>L</m:t>
        </m:r>
        <m:r>
          <m:rPr>
            <m:sty m:val="p"/>
          </m:rPr>
          <m:t>=</m:t>
        </m:r>
        <m:r>
          <m:t>50</m:t>
        </m:r>
      </m:oMath>
      <w:r>
        <w:t xml:space="preserve"> %, de algo menos del 10 %. Cuanto mayor es el margen, menos ventas basta perder para que la subida no compense.</w:t>
      </w:r>
    </w:p>
    <w:p>
      <w:pPr>
        <w:numPr>
          <w:ilvl w:val="0"/>
          <w:numId w:val="1130"/>
        </w:numPr>
      </w:pPr>
      <w:r>
        <w:rPr>
          <w:i/>
          <w:iCs/>
        </w:rPr>
        <w:t xml:space="preserve">Pérdida real aproximada</w:t>
      </w:r>
      <w:r>
        <w:t xml:space="preserve">: con una elasticidad</w:t>
      </w:r>
      <w:r>
        <w:t xml:space="preserve"> </w:t>
      </w:r>
      <m:oMath>
        <m:d>
          <m:dPr>
            <m:begChr m:val="|"/>
            <m:sepChr m:val=""/>
            <m:endChr m:val="|"/>
            <m:grow/>
          </m:dPr>
          <m:e>
            <m:sSub>
              <m:e>
                <m:r>
                  <m:t>ε</m:t>
                </m:r>
              </m:e>
              <m:sub>
                <m:r>
                  <m:t>q</m:t>
                </m:r>
                <m:r>
                  <m:rPr>
                    <m:sty m:val="p"/>
                  </m:rPr>
                  <m:t>,</m:t>
                </m:r>
                <m:r>
                  <m:t>p</m:t>
                </m:r>
              </m:sub>
            </m:sSub>
          </m:e>
        </m:d>
      </m:oMath>
      <w:r>
        <w:t xml:space="preserve"> </w:t>
      </w:r>
      <w:r>
        <w:t xml:space="preserve">de la demanda del conjunto candidato, se pierde en torno a</w:t>
      </w:r>
      <w:r>
        <w:t xml:space="preserve"> </w:t>
      </w:r>
      <m:oMath>
        <m:r>
          <m:rPr>
            <m:sty m:val="p"/>
          </m:rPr>
          <m:t>ℓ</m:t>
        </m:r>
        <m:r>
          <m:rPr>
            <m:sty m:val="p"/>
          </m:rPr>
          <m:t>≈</m:t>
        </m:r>
        <m:d>
          <m:dPr>
            <m:begChr m:val="|"/>
            <m:sepChr m:val=""/>
            <m:endChr m:val="|"/>
            <m:grow/>
          </m:dPr>
          <m:e>
            <m:sSub>
              <m:e>
                <m:r>
                  <m:t>ε</m:t>
                </m:r>
              </m:e>
              <m:sub>
                <m:r>
                  <m:t>q</m:t>
                </m:r>
                <m:r>
                  <m:rPr>
                    <m:sty m:val="p"/>
                  </m:rPr>
                  <m:t>,</m:t>
                </m:r>
                <m:r>
                  <m:t>p</m:t>
                </m:r>
              </m:sub>
            </m:sSub>
          </m:e>
        </m:d>
        <m:r>
          <m:t> </m:t>
        </m:r>
        <m:r>
          <m:t>τ</m:t>
        </m:r>
      </m:oMath>
      <w:r>
        <w:t xml:space="preserve">, y el test sale rentable si</w:t>
      </w:r>
      <w:r>
        <w:t xml:space="preserve"> </w:t>
      </w:r>
      <m:oMath>
        <m:d>
          <m:dPr>
            <m:begChr m:val="|"/>
            <m:sepChr m:val=""/>
            <m:endChr m:val="|"/>
            <m:grow/>
          </m:dPr>
          <m:e>
            <m:sSub>
              <m:e>
                <m:r>
                  <m:t>ε</m:t>
                </m:r>
              </m:e>
              <m:sub>
                <m:r>
                  <m:t>q</m:t>
                </m:r>
                <m:r>
                  <m:rPr>
                    <m:sty m:val="p"/>
                  </m:rPr>
                  <m:t>,</m:t>
                </m:r>
                <m:r>
                  <m:t>p</m:t>
                </m:r>
              </m:sub>
            </m:sSub>
          </m:e>
        </m:d>
        <m:r>
          <m:rPr>
            <m:sty m:val="p"/>
          </m:rPr>
          <m:t>&lt;</m:t>
        </m:r>
        <m:r>
          <m:t>1</m:t>
        </m:r>
        <m:r>
          <m:rPr>
            <m:sty m:val="p"/>
          </m:rPr>
          <m:t>/</m:t>
        </m:r>
        <m:d>
          <m:dPr>
            <m:begChr m:val="("/>
            <m:sepChr m:val=""/>
            <m:endChr m:val=")"/>
            <m:grow/>
          </m:dPr>
          <m:e>
            <m:r>
              <m:t>τ</m:t>
            </m:r>
            <m:r>
              <m:rPr>
                <m:sty m:val="p"/>
              </m:rPr>
              <m:t>+</m:t>
            </m:r>
            <m:r>
              <m:rPr>
                <m:sty m:val="p"/>
                <m:scr m:val="script"/>
              </m:rPr>
              <m:t>L</m:t>
            </m:r>
          </m:e>
        </m:d>
      </m:oMath>
      <w:r>
        <w:t xml:space="preserve">.</w:t>
      </w:r>
    </w:p>
    <w:p>
      <w:pPr>
        <w:numPr>
          <w:ilvl w:val="0"/>
          <w:numId w:val="1130"/>
        </w:numPr>
      </w:pPr>
      <w:r>
        <w:rPr>
          <w:i/>
          <w:iCs/>
        </w:rPr>
        <w:t xml:space="preserve">Falacia del celofán</w:t>
      </w:r>
      <w:r>
        <w:t xml:space="preserve">: si el precio ya es el del monopolista,</w:t>
      </w:r>
      <w:r>
        <w:t xml:space="preserve"> </w:t>
      </w:r>
      <m:oMath>
        <m:r>
          <m:rPr>
            <m:sty m:val="p"/>
            <m:scr m:val="script"/>
          </m:rPr>
          <m:t>L</m:t>
        </m:r>
        <m:r>
          <m:rPr>
            <m:sty m:val="p"/>
          </m:rPr>
          <m:t>=</m:t>
        </m:r>
        <m:r>
          <m:t>1</m:t>
        </m:r>
        <m:r>
          <m:rPr>
            <m:sty m:val="p"/>
          </m:rPr>
          <m:t>/</m:t>
        </m:r>
        <m:d>
          <m:dPr>
            <m:begChr m:val="|"/>
            <m:sepChr m:val=""/>
            <m:endChr m:val="|"/>
            <m:grow/>
          </m:dPr>
          <m:e>
            <m:sSub>
              <m:e>
                <m:r>
                  <m:t>ε</m:t>
                </m:r>
              </m:e>
              <m:sub>
                <m:r>
                  <m:t>q</m:t>
                </m:r>
                <m:r>
                  <m:rPr>
                    <m:sty m:val="p"/>
                  </m:rPr>
                  <m:t>,</m:t>
                </m:r>
                <m:r>
                  <m:t>p</m:t>
                </m:r>
              </m:sub>
            </m:sSub>
          </m:e>
        </m:d>
      </m:oMath>
      <w:r>
        <w:t xml:space="preserve"> </w:t>
      </w:r>
      <w:r>
        <w:t xml:space="preserve">(</w:t>
      </w:r>
      <w:hyperlink w:anchor="eq_lerner">
        <w:r>
          <w:rPr>
            <w:rStyle w:val="Hyperlink"/>
          </w:rPr>
          <w:t xml:space="preserve">1</w:t>
        </w:r>
      </w:hyperlink>
      <w:r>
        <w:t xml:space="preserve">), y la condición pasa a ser</w:t>
      </w:r>
      <w:r>
        <w:t xml:space="preserve"> </w:t>
      </w:r>
      <m:oMath>
        <m:d>
          <m:dPr>
            <m:begChr m:val="|"/>
            <m:sepChr m:val=""/>
            <m:endChr m:val="|"/>
            <m:grow/>
          </m:dPr>
          <m:e>
            <m:sSub>
              <m:e>
                <m:r>
                  <m:t>ε</m:t>
                </m:r>
              </m:e>
              <m:sub>
                <m:r>
                  <m:t>q</m:t>
                </m:r>
                <m:r>
                  <m:rPr>
                    <m:sty m:val="p"/>
                  </m:rPr>
                  <m:t>,</m:t>
                </m:r>
                <m:r>
                  <m:t>p</m:t>
                </m:r>
              </m:sub>
            </m:sSub>
          </m:e>
        </m:d>
        <m:r>
          <m:t> </m:t>
        </m:r>
        <m:r>
          <m:t>τ</m:t>
        </m:r>
        <m:r>
          <m:rPr>
            <m:sty m:val="p"/>
          </m:rPr>
          <m:t>+</m:t>
        </m:r>
        <m:r>
          <m:t>1</m:t>
        </m:r>
        <m:r>
          <m:rPr>
            <m:sty m:val="p"/>
          </m:rPr>
          <m:t>&lt;</m:t>
        </m:r>
        <m:r>
          <m:t>1</m:t>
        </m:r>
      </m:oMath>
      <w:r>
        <w:t xml:space="preserve">, que no se cumple con ninguna</w:t>
      </w:r>
      <w:r>
        <w:t xml:space="preserve"> </w:t>
      </w:r>
      <m:oMath>
        <m:r>
          <m:t>τ</m:t>
        </m:r>
        <m:r>
          <m:rPr>
            <m:sty m:val="p"/>
          </m:rPr>
          <m:t>&gt;</m:t>
        </m:r>
        <m:r>
          <m:t>0</m:t>
        </m:r>
      </m:oMath>
      <w:r>
        <w:t xml:space="preserve">: a precios de monopolio, ninguna subida adicional es rentable y el mercado sale más amplio de lo que es</w:t>
      </w:r>
      <w:r>
        <w:t xml:space="preserve"> </w:t>
      </w:r>
      <w:r>
        <w:t xml:space="preserve">(</w:t>
      </w:r>
      <w:hyperlink w:anchor="ref_CE2024DefinicionMercado">
        <w:r>
          <w:rPr>
            <w:rStyle w:val="Hyperlink"/>
            <w:smallCaps/>
          </w:rPr>
          <w:t xml:space="preserve">Comisión Europea</w:t>
        </w:r>
        <w:r>
          <w:rPr>
            <w:rStyle w:val="Hyperlink"/>
          </w:rPr>
          <w:t xml:space="preserve">, 2024, n. 55</w:t>
        </w:r>
      </w:hyperlink>
      <w:r>
        <w:t xml:space="preserve">)</w:t>
      </w:r>
      <w:r>
        <w:t xml:space="preserve">. ∎</w:t>
      </w:r>
    </w:p>
    <w:bookmarkEnd w:id="197"/>
    <w:bookmarkStart w:id="198" w:name="anexo_herramientas_mercado"/>
    <w:p>
      <w:pPr>
        <w:pStyle w:val="Heading2"/>
      </w:pPr>
      <w:r>
        <w:t xml:space="preserve">B.2. Herramientas</w:t>
      </w:r>
    </w:p>
    <w:p>
      <w:pPr>
        <w:numPr>
          <w:ilvl w:val="0"/>
          <w:numId w:val="1131"/>
        </w:numPr>
      </w:pPr>
      <w:r>
        <w:rPr>
          <w:i/>
          <w:iCs/>
        </w:rPr>
        <w:t xml:space="preserve">Elasticidades y ratios de desvío</w:t>
      </w:r>
      <w:r>
        <w:t xml:space="preserve">: el ratio de desvío del producto</w:t>
      </w:r>
      <w:r>
        <w:t xml:space="preserve"> </w:t>
      </w:r>
      <m:oMath>
        <m:r>
          <m:t>i</m:t>
        </m:r>
      </m:oMath>
      <w:r>
        <w:t xml:space="preserve"> </w:t>
      </w:r>
      <w:r>
        <w:t xml:space="preserve">al</w:t>
      </w:r>
      <w:r>
        <w:t xml:space="preserve"> </w:t>
      </w:r>
      <m:oMath>
        <m:r>
          <m:t>j</m:t>
        </m:r>
      </m:oMath>
      <w:r>
        <w:t xml:space="preserve"> </w:t>
      </w:r>
      <w:r>
        <w:t xml:space="preserve">es la parte de las ventas que pierde</w:t>
      </w:r>
      <w:r>
        <w:t xml:space="preserve"> </w:t>
      </w:r>
      <m:oMath>
        <m:r>
          <m:t>i</m:t>
        </m:r>
      </m:oMath>
      <w:r>
        <w:t xml:space="preserve"> </w:t>
      </w:r>
      <w:r>
        <w:t xml:space="preserve">al subir su precio que se lleva</w:t>
      </w:r>
      <w:r>
        <w:t xml:space="preserve"> </w:t>
      </w:r>
      <m:oMath>
        <m:r>
          <m:t>j</m:t>
        </m:r>
      </m:oMath>
      <w:r>
        <w:t xml:space="preserve">,</w:t>
      </w:r>
      <w:r>
        <w:t xml:space="preserve"> </w:t>
      </w:r>
      <m:oMath>
        <m:r>
          <m:rPr>
            <m:sty m:val="p"/>
          </m:rPr>
          <m:t>−</m:t>
        </m:r>
        <m:r>
          <m:t> </m:t>
        </m:r>
        <m:d>
          <m:dPr>
            <m:begChr m:val="("/>
            <m:sepChr m:val=""/>
            <m:endChr m:val=")"/>
            <m:grow/>
          </m:dPr>
          <m:e>
            <m:r>
              <m:rPr>
                <m:sty m:val="p"/>
              </m:rPr>
              <m:t>∂</m:t>
            </m:r>
            <m:sSub>
              <m:e>
                <m:r>
                  <m:t>q</m:t>
                </m:r>
              </m:e>
              <m:sub>
                <m:r>
                  <m:t>j</m:t>
                </m:r>
              </m:sub>
            </m:sSub>
            <m:r>
              <m:rPr>
                <m:sty m:val="p"/>
              </m:rPr>
              <m:t>/</m:t>
            </m:r>
            <m:r>
              <m:rPr>
                <m:sty m:val="p"/>
              </m:rPr>
              <m:t>∂</m:t>
            </m:r>
            <m:sSub>
              <m:e>
                <m:r>
                  <m:t>p</m:t>
                </m:r>
              </m:e>
              <m:sub>
                <m:r>
                  <m:t>i</m:t>
                </m:r>
              </m:sub>
            </m:sSub>
          </m:e>
        </m:d>
        <m:r>
          <m:rPr>
            <m:sty m:val="p"/>
          </m:rPr>
          <m:t>/</m:t>
        </m:r>
        <m:d>
          <m:dPr>
            <m:begChr m:val="("/>
            <m:sepChr m:val=""/>
            <m:endChr m:val=")"/>
            <m:grow/>
          </m:dPr>
          <m:e>
            <m:r>
              <m:rPr>
                <m:sty m:val="p"/>
              </m:rPr>
              <m:t>∂</m:t>
            </m:r>
            <m:sSub>
              <m:e>
                <m:r>
                  <m:t>q</m:t>
                </m:r>
              </m:e>
              <m:sub>
                <m:r>
                  <m:t>i</m:t>
                </m:r>
              </m:sub>
            </m:sSub>
            <m:r>
              <m:rPr>
                <m:sty m:val="p"/>
              </m:rPr>
              <m:t>/</m:t>
            </m:r>
            <m:r>
              <m:rPr>
                <m:sty m:val="p"/>
              </m:rPr>
              <m:t>∂</m:t>
            </m:r>
            <m:sSub>
              <m:e>
                <m:r>
                  <m:t>p</m:t>
                </m:r>
              </m:e>
              <m:sub>
                <m:r>
                  <m:t>i</m:t>
                </m:r>
              </m:sub>
            </m:sSub>
          </m:e>
        </m:d>
      </m:oMath>
      <w:r>
        <w:t xml:space="preserve">; cuanto mayor, más cercanos son.</w:t>
      </w:r>
    </w:p>
    <w:p>
      <w:pPr>
        <w:numPr>
          <w:ilvl w:val="0"/>
          <w:numId w:val="1131"/>
        </w:numPr>
      </w:pPr>
      <w:r>
        <w:rPr>
          <w:i/>
          <w:iCs/>
        </w:rPr>
        <w:t xml:space="preserve">Correlación de precios</w:t>
      </w:r>
      <w:r>
        <w:t xml:space="preserve">: los productos del mismo mercado sufren perturbaciones parecidas y sus precios se mueven juntos</w:t>
      </w:r>
      <w:r>
        <w:t xml:space="preserve"> </w:t>
      </w:r>
      <w:r>
        <w:t xml:space="preserve">(</w:t>
      </w:r>
      <w:hyperlink w:anchor="ref_StiglerSherwin1985Extent">
        <w:r>
          <w:rPr>
            <w:rStyle w:val="Hyperlink"/>
            <w:smallCaps/>
          </w:rPr>
          <w:t xml:space="preserve">Stigler</w:t>
        </w:r>
        <w:r>
          <w:rPr>
            <w:rStyle w:val="Hyperlink"/>
          </w:rPr>
          <w:t xml:space="preserve"> </w:t>
        </w:r>
        <w:r>
          <w:rPr>
            <w:rStyle w:val="Hyperlink"/>
          </w:rPr>
          <w:t xml:space="preserve">y</w:t>
        </w:r>
        <w:r>
          <w:rPr>
            <w:rStyle w:val="Hyperlink"/>
          </w:rPr>
          <w:t xml:space="preserve"> </w:t>
        </w:r>
        <w:r>
          <w:rPr>
            <w:rStyle w:val="Hyperlink"/>
            <w:smallCaps/>
          </w:rPr>
          <w:t xml:space="preserve">Sherwin</w:t>
        </w:r>
        <w:r>
          <w:rPr>
            <w:rStyle w:val="Hyperlink"/>
          </w:rPr>
          <w:t xml:space="preserve">, 1985</w:t>
        </w:r>
      </w:hyperlink>
      <w:r>
        <w:t xml:space="preserve">)</w:t>
      </w:r>
      <w:r>
        <w:t xml:space="preserve">. Es, como mucho, una condición necesaria: 2 distribuidoras eléctricas de países distintos tienen precios correlacionados porque lo están sus costes, y no compiten.</w:t>
      </w:r>
    </w:p>
    <w:p>
      <w:pPr>
        <w:numPr>
          <w:ilvl w:val="0"/>
          <w:numId w:val="1131"/>
        </w:numPr>
      </w:pPr>
      <w:r>
        <w:rPr>
          <w:i/>
          <w:iCs/>
        </w:rPr>
        <w:t xml:space="preserve">Flujos de comercio</w:t>
      </w:r>
      <w:r>
        <w:t xml:space="preserve"> </w:t>
      </w:r>
      <w:r>
        <w:t xml:space="preserve">para el mercado geográfico</w:t>
      </w:r>
      <w:r>
        <w:t xml:space="preserve"> </w:t>
      </w:r>
      <w:r>
        <w:t xml:space="preserve">(</w:t>
      </w:r>
      <w:hyperlink w:anchor="ref_ElzingaHogarty1973Problem">
        <w:r>
          <w:rPr>
            <w:rStyle w:val="Hyperlink"/>
            <w:smallCaps/>
          </w:rPr>
          <w:t xml:space="preserve">Elzinga</w:t>
        </w:r>
        <w:r>
          <w:rPr>
            <w:rStyle w:val="Hyperlink"/>
          </w:rPr>
          <w:t xml:space="preserve"> </w:t>
        </w:r>
        <w:r>
          <w:rPr>
            <w:rStyle w:val="Hyperlink"/>
          </w:rPr>
          <w:t xml:space="preserve">y</w:t>
        </w:r>
        <w:r>
          <w:rPr>
            <w:rStyle w:val="Hyperlink"/>
          </w:rPr>
          <w:t xml:space="preserve"> </w:t>
        </w:r>
        <w:r>
          <w:rPr>
            <w:rStyle w:val="Hyperlink"/>
            <w:smallCaps/>
          </w:rPr>
          <w:t xml:space="preserve">Hogarty</w:t>
        </w:r>
        <w:r>
          <w:rPr>
            <w:rStyle w:val="Hyperlink"/>
          </w:rPr>
          <w:t xml:space="preserve">, 1973</w:t>
        </w:r>
      </w:hyperlink>
      <w:r>
        <w:t xml:space="preserve">)</w:t>
      </w:r>
      <w:r>
        <w:t xml:space="preserve">: una zona es un mercado si casi nada de lo que se consume en ella viene de fuera y casi nada de lo que se produce en ella sale.</w:t>
      </w:r>
    </w:p>
    <w:p>
      <w:pPr>
        <w:numPr>
          <w:ilvl w:val="0"/>
          <w:numId w:val="1131"/>
        </w:numPr>
      </w:pPr>
      <w:r>
        <w:rPr>
          <w:i/>
          <w:iCs/>
        </w:rPr>
        <w:t xml:space="preserve">Pruebas cualitativas</w:t>
      </w:r>
      <w:r>
        <w:t xml:space="preserve">: las características, los usos y la evolución de los precios del producto; las encuestas a clientes y competidores; los costes de cambiar de proveedor; y la sustitución por la oferta (si otras empresas pueden pasar a fabricar el producto en poco tiempo y sin grandes costes).</w:t>
      </w:r>
    </w:p>
    <w:p>
      <w:pPr>
        <w:numPr>
          <w:ilvl w:val="0"/>
          <w:numId w:val="1131"/>
        </w:numPr>
      </w:pPr>
      <w:r>
        <w:rPr>
          <w:i/>
          <w:iCs/>
        </w:rPr>
        <w:t xml:space="preserve">Mercados geográficos</w:t>
      </w:r>
      <w:r>
        <w:t xml:space="preserve">: pueden ser locales (estaciones de servicio, hospitales), nacionales (por la regulación, la lengua o los costes de transporte), europeos o mundiales (aviones comerciales).</w:t>
      </w:r>
    </w:p>
    <w:bookmarkEnd w:id="198"/>
    <w:bookmarkStart w:id="199" w:name="anexo_usos_mercado"/>
    <w:p>
      <w:pPr>
        <w:pStyle w:val="Heading2"/>
      </w:pPr>
      <w:r>
        <w:t xml:space="preserve">B.3. Usos de la definición</w:t>
      </w:r>
    </w:p>
    <w:p>
      <w:pPr>
        <w:numPr>
          <w:ilvl w:val="0"/>
          <w:numId w:val="1132"/>
        </w:numPr>
      </w:pPr>
      <w:r>
        <w:rPr>
          <w:i/>
          <w:iCs/>
        </w:rPr>
        <w:t xml:space="preserve">Acuerdos</w:t>
      </w:r>
      <w:r>
        <w:t xml:space="preserve"> </w:t>
      </w:r>
      <w:r>
        <w:t xml:space="preserve">(art. 101 del TFUE): los de menor importancia no restringen la competencia de forma sensible si las cuotas no superan el 10 % entre competidores o el 15 % entre no competidores</w:t>
      </w:r>
      <w:r>
        <w:t xml:space="preserve"> </w:t>
      </w:r>
      <w:r>
        <w:t xml:space="preserve">(</w:t>
      </w:r>
      <w:hyperlink w:anchor="ref_CE2014DeMinimis">
        <w:r>
          <w:rPr>
            <w:rStyle w:val="Hyperlink"/>
            <w:smallCaps/>
          </w:rPr>
          <w:t xml:space="preserve">Comisión Europea</w:t>
        </w:r>
        <w:r>
          <w:rPr>
            <w:rStyle w:val="Hyperlink"/>
          </w:rPr>
          <w:t xml:space="preserve">, 2014</w:t>
        </w:r>
      </w:hyperlink>
      <w:r>
        <w:t xml:space="preserve">, puntos 8-9)</w:t>
      </w:r>
      <w:r>
        <w:t xml:space="preserve">; los verticales quedan exentos por categorías hasta el 30 %</w:t>
      </w:r>
      <w:r>
        <w:t xml:space="preserve"> </w:t>
      </w:r>
      <w:r>
        <w:t xml:space="preserve">(</w:t>
      </w:r>
      <w:hyperlink w:anchor="ref_UE2022RECAV">
        <w:r>
          <w:rPr>
            <w:rStyle w:val="Hyperlink"/>
            <w:smallCaps/>
          </w:rPr>
          <w:t xml:space="preserve">Comisión Europea</w:t>
        </w:r>
        <w:r>
          <w:rPr>
            <w:rStyle w:val="Hyperlink"/>
          </w:rPr>
          <w:t xml:space="preserve">, 2022</w:t>
        </w:r>
      </w:hyperlink>
      <w:r>
        <w:t xml:space="preserve">, art. 3)</w:t>
      </w:r>
      <w:r>
        <w:t xml:space="preserve">.</w:t>
      </w:r>
    </w:p>
    <w:p>
      <w:pPr>
        <w:numPr>
          <w:ilvl w:val="0"/>
          <w:numId w:val="1132"/>
        </w:numPr>
      </w:pPr>
      <w:r>
        <w:rPr>
          <w:i/>
          <w:iCs/>
        </w:rPr>
        <w:t xml:space="preserve">Abuso</w:t>
      </w:r>
      <w:r>
        <w:t xml:space="preserve"> </w:t>
      </w:r>
      <w:r>
        <w:t xml:space="preserve">(art. 102): cuota del 50 % o más como presunción de dominancia</w:t>
      </w:r>
      <w:r>
        <w:t xml:space="preserve"> </w:t>
      </w:r>
      <w:r>
        <w:t xml:space="preserve">(</w:t>
      </w:r>
      <w:hyperlink w:anchor="ref_TJUE1991AKZO">
        <w:r>
          <w:rPr>
            <w:rStyle w:val="Hyperlink"/>
            <w:smallCaps/>
          </w:rPr>
          <w:t xml:space="preserve">Tribunal de Justicia de las Comunidades Europeas</w:t>
        </w:r>
        <w:r>
          <w:rPr>
            <w:rStyle w:val="Hyperlink"/>
          </w:rPr>
          <w:t xml:space="preserve">, 1991</w:t>
        </w:r>
      </w:hyperlink>
      <w:r>
        <w:t xml:space="preserve">)</w:t>
      </w:r>
      <w:r>
        <w:t xml:space="preserve">; por debajo del 40 %, en general improbable</w:t>
      </w:r>
      <w:r>
        <w:t xml:space="preserve"> </w:t>
      </w:r>
      <w:r>
        <w:t xml:space="preserve">(</w:t>
      </w:r>
      <w:hyperlink w:anchor="ref_CE2026DirectricesExclusion">
        <w:r>
          <w:rPr>
            <w:rStyle w:val="Hyperlink"/>
            <w:smallCaps/>
          </w:rPr>
          <w:t xml:space="preserve">Comisión Europea</w:t>
        </w:r>
        <w:r>
          <w:rPr>
            <w:rStyle w:val="Hyperlink"/>
          </w:rPr>
          <w:t xml:space="preserve">, 2026d</w:t>
        </w:r>
      </w:hyperlink>
      <w:r>
        <w:t xml:space="preserve">, punto 24)</w:t>
      </w:r>
      <w:r>
        <w:t xml:space="preserve">.</w:t>
      </w:r>
    </w:p>
    <w:p>
      <w:pPr>
        <w:numPr>
          <w:ilvl w:val="0"/>
          <w:numId w:val="1132"/>
        </w:numPr>
      </w:pPr>
      <w:r>
        <w:rPr>
          <w:i/>
          <w:iCs/>
        </w:rPr>
        <w:t xml:space="preserve">Concentraciones</w:t>
      </w:r>
      <w:r>
        <w:t xml:space="preserve">: cuotas e IHH antes y después</w:t>
      </w:r>
      <w:r>
        <w:t xml:space="preserve"> </w:t>
      </w:r>
      <w:r>
        <w:t xml:space="preserve">(</w:t>
      </w:r>
      <w:hyperlink w:anchor="ref_UE2004Reglamento139">
        <w:r>
          <w:rPr>
            <w:rStyle w:val="Hyperlink"/>
            <w:smallCaps/>
          </w:rPr>
          <w:t xml:space="preserve">Consejo de la Unión Europea</w:t>
        </w:r>
        <w:r>
          <w:rPr>
            <w:rStyle w:val="Hyperlink"/>
          </w:rPr>
          <w:t xml:space="preserve">, 2004</w:t>
        </w:r>
      </w:hyperlink>
      <w:r>
        <w:t xml:space="preserve">;</w:t>
      </w:r>
      <w:r>
        <w:t xml:space="preserve"> </w:t>
      </w:r>
      <w:hyperlink w:anchor="ref_CE2004Horizontales">
        <w:r>
          <w:rPr>
            <w:rStyle w:val="Hyperlink"/>
            <w:smallCaps/>
          </w:rPr>
          <w:t xml:space="preserve">Comisión Europea</w:t>
        </w:r>
        <w:r>
          <w:rPr>
            <w:rStyle w:val="Hyperlink"/>
          </w:rPr>
          <w:t xml:space="preserve">, 2004</w:t>
        </w:r>
      </w:hyperlink>
      <w:r>
        <w:t xml:space="preserve">)</w:t>
      </w:r>
      <w:r>
        <w:t xml:space="preserve">.</w:t>
      </w:r>
    </w:p>
    <w:p>
      <w:pPr>
        <w:numPr>
          <w:ilvl w:val="0"/>
          <w:numId w:val="1132"/>
        </w:numPr>
      </w:pPr>
      <w:r>
        <w:rPr>
          <w:i/>
          <w:iCs/>
        </w:rPr>
        <w:t xml:space="preserve">Regulación ex ante de las telecomunicaciones</w:t>
      </w:r>
      <w:r>
        <w:t xml:space="preserve">: la Comisión recomienda 2 mercados mayoristas para el análisis de los reguladores nacionales, el de acceso local en una ubicación fija y el de capacidad dedicada</w:t>
      </w:r>
      <w:r>
        <w:t xml:space="preserve"> </w:t>
      </w:r>
      <w:r>
        <w:t xml:space="preserve">(</w:t>
      </w:r>
      <w:hyperlink w:anchor="ref_UE2020RecomendacionMercados">
        <w:r>
          <w:rPr>
            <w:rStyle w:val="Hyperlink"/>
            <w:smallCaps/>
          </w:rPr>
          <w:t xml:space="preserve">Comisión Europea</w:t>
        </w:r>
        <w:r>
          <w:rPr>
            <w:rStyle w:val="Hyperlink"/>
          </w:rPr>
          <w:t xml:space="preserve">, 2020</w:t>
        </w:r>
      </w:hyperlink>
      <w:r>
        <w:t xml:space="preserve">)</w:t>
      </w:r>
      <w:r>
        <w:t xml:space="preserve">; el regulador puede añadir otros si cumplen los 3 criterios (</w:t>
      </w:r>
      <w:hyperlink w:anchor="sec_aplicaciones">
        <w:r>
          <w:rPr>
            <w:rStyle w:val="Hyperlink"/>
          </w:rPr>
          <w:t xml:space="preserve">III.4</w:t>
        </w:r>
      </w:hyperlink>
      <w:r>
        <w:t xml:space="preserve">).</w:t>
      </w:r>
    </w:p>
    <w:bookmarkEnd w:id="199"/>
    <w:bookmarkEnd w:id="200"/>
    <w:bookmarkStart w:id="205" w:name="anexo_peltzman"/>
    <w:p>
      <w:pPr>
        <w:pStyle w:val="Heading1"/>
      </w:pPr>
      <w:r>
        <w:t xml:space="preserve">C. Anexo: teoría positiva, el modelo de</w:t>
      </w:r>
      <w:r>
        <w:t xml:space="preserve"> </w:t>
      </w:r>
      <w:r>
        <w:rPr>
          <w:smallCaps/>
        </w:rPr>
        <w:t xml:space="preserve">Peltzman</w:t>
      </w:r>
    </w:p>
    <w:p>
      <w:pPr>
        <w:numPr>
          <w:ilvl w:val="0"/>
          <w:numId w:val="1133"/>
        </w:numPr>
      </w:pPr>
      <w:r>
        <w:rPr>
          <w:i/>
          <w:iCs/>
        </w:rPr>
        <w:t xml:space="preserve">Planteamiento</w:t>
      </w:r>
      <w:r>
        <w:t xml:space="preserve">. El regulador elige el precio</w:t>
      </w:r>
      <w:r>
        <w:t xml:space="preserve"> </w:t>
      </w:r>
      <m:oMath>
        <m:r>
          <m:t>p</m:t>
        </m:r>
      </m:oMath>
      <w:r>
        <w:t xml:space="preserve"> </w:t>
      </w:r>
      <w:r>
        <w:t xml:space="preserve">para maximizar su apoyo político</w:t>
      </w:r>
      <w:r>
        <w:t xml:space="preserve"> </w:t>
      </w:r>
      <m:oMath>
        <m:r>
          <m:rPr>
            <m:sty m:val="p"/>
            <m:scr m:val="script"/>
          </m:rPr>
          <m:t>A</m:t>
        </m:r>
        <m:d>
          <m:dPr>
            <m:begChr m:val="("/>
            <m:sepChr m:val=""/>
            <m:endChr m:val=")"/>
            <m:grow/>
          </m:dPr>
          <m:e>
            <m:r>
              <m:t>p</m:t>
            </m:r>
            <m:r>
              <m:rPr>
                <m:sty m:val="p"/>
              </m:rPr>
              <m:t>,</m:t>
            </m:r>
            <m:r>
              <m:t>B</m:t>
            </m:r>
            <m:d>
              <m:dPr>
                <m:begChr m:val="("/>
                <m:sepChr m:val=""/>
                <m:endChr m:val=")"/>
                <m:grow/>
              </m:dPr>
              <m:e>
                <m:r>
                  <m:t>p</m:t>
                </m:r>
              </m:e>
            </m:d>
          </m:e>
        </m:d>
      </m:oMath>
      <w:r>
        <w:t xml:space="preserve">, con</w:t>
      </w:r>
      <w:r>
        <w:t xml:space="preserve"> </w:t>
      </w:r>
      <m:oMath>
        <m:r>
          <m:rPr>
            <m:sty m:val="p"/>
          </m:rPr>
          <m:t>∂</m:t>
        </m:r>
        <m:r>
          <m:rPr>
            <m:sty m:val="p"/>
            <m:scr m:val="script"/>
          </m:rPr>
          <m:t>A</m:t>
        </m:r>
        <m:r>
          <m:rPr>
            <m:sty m:val="p"/>
          </m:rPr>
          <m:t>/</m:t>
        </m:r>
        <m:r>
          <m:rPr>
            <m:sty m:val="p"/>
          </m:rPr>
          <m:t>∂</m:t>
        </m:r>
        <m:r>
          <m:t>p</m:t>
        </m:r>
        <m:r>
          <m:rPr>
            <m:sty m:val="p"/>
          </m:rPr>
          <m:t>&lt;</m:t>
        </m:r>
        <m:r>
          <m:t>0</m:t>
        </m:r>
      </m:oMath>
      <w:r>
        <w:t xml:space="preserve"> </w:t>
      </w:r>
      <w:r>
        <w:t xml:space="preserve">(los consumidores le retiran apoyo cuando sube el precio) y</w:t>
      </w:r>
      <w:r>
        <w:t xml:space="preserve"> </w:t>
      </w:r>
      <m:oMath>
        <m:r>
          <m:rPr>
            <m:sty m:val="p"/>
          </m:rPr>
          <m:t>∂</m:t>
        </m:r>
        <m:r>
          <m:rPr>
            <m:sty m:val="p"/>
            <m:scr m:val="script"/>
          </m:rPr>
          <m:t>A</m:t>
        </m:r>
        <m:r>
          <m:rPr>
            <m:sty m:val="p"/>
          </m:rPr>
          <m:t>/</m:t>
        </m:r>
        <m:r>
          <m:rPr>
            <m:sty m:val="p"/>
          </m:rPr>
          <m:t>∂</m:t>
        </m:r>
        <m:r>
          <m:t>B</m:t>
        </m:r>
        <m:r>
          <m:rPr>
            <m:sty m:val="p"/>
          </m:rPr>
          <m:t>&gt;</m:t>
        </m:r>
        <m:r>
          <m:t>0</m:t>
        </m:r>
      </m:oMath>
      <w:r>
        <w:t xml:space="preserve"> </w:t>
      </w:r>
      <w:r>
        <w:t xml:space="preserve">(la industria se lo da cuando gana más)</w:t>
      </w:r>
      <w:r>
        <w:t xml:space="preserve"> </w:t>
      </w:r>
      <w:r>
        <w:t xml:space="preserve">(</w:t>
      </w:r>
      <w:hyperlink w:anchor="ref_Peltzman1976Toward">
        <w:r>
          <w:rPr>
            <w:rStyle w:val="Hyperlink"/>
            <w:smallCaps/>
          </w:rPr>
          <w:t xml:space="preserve">Peltzman</w:t>
        </w:r>
        <w:r>
          <w:rPr>
            <w:rStyle w:val="Hyperlink"/>
          </w:rPr>
          <w:t xml:space="preserve">, 1976</w:t>
        </w:r>
      </w:hyperlink>
      <w:r>
        <w:t xml:space="preserve">)</w:t>
      </w:r>
      <w:r>
        <w:t xml:space="preserve">. El beneficio de la industria,</w:t>
      </w:r>
      <w:r>
        <w:t xml:space="preserve"> </w:t>
      </w:r>
      <m:oMath>
        <m:r>
          <m:t>B</m:t>
        </m:r>
        <m:d>
          <m:dPr>
            <m:begChr m:val="("/>
            <m:sepChr m:val=""/>
            <m:endChr m:val=")"/>
            <m:grow/>
          </m:dPr>
          <m:e>
            <m:r>
              <m:t>p</m:t>
            </m:r>
          </m:e>
        </m:d>
      </m:oMath>
      <w:r>
        <w:t xml:space="preserve">, es nulo con el precio competitivo,</w:t>
      </w:r>
      <w:r>
        <w:t xml:space="preserve"> </w:t>
      </w:r>
      <m:oMath>
        <m:sSup>
          <m:e>
            <m:r>
              <m:t>p</m:t>
            </m:r>
          </m:e>
          <m:sup>
            <m:r>
              <m:t>c</m:t>
            </m:r>
          </m:sup>
        </m:sSup>
      </m:oMath>
      <w:r>
        <w:t xml:space="preserve">, y máximo con el de monopolio,</w:t>
      </w:r>
      <w:r>
        <w:t xml:space="preserve"> </w:t>
      </w:r>
      <m:oMath>
        <m:sSup>
          <m:e>
            <m:r>
              <m:t>p</m:t>
            </m:r>
          </m:e>
          <m:sup>
            <m:r>
              <m:t>M</m:t>
            </m:r>
          </m:sup>
        </m:sSup>
      </m:oMath>
      <w:r>
        <w:t xml:space="preserve">.</w:t>
      </w:r>
    </w:p>
    <w:p>
      <w:pPr>
        <w:numPr>
          <w:ilvl w:val="0"/>
          <w:numId w:val="1133"/>
        </w:numPr>
      </w:pPr>
      <w:r>
        <w:rPr>
          <w:i/>
          <w:iCs/>
        </w:rPr>
        <w:t xml:space="preserve">Gráficamente</w:t>
      </w:r>
      <w:r>
        <w:t xml:space="preserve"> </w:t>
      </w:r>
      <w:r>
        <w:t xml:space="preserve">(gráfico </w:t>
      </w:r>
      <w:hyperlink w:anchor="fig_peltzman">
        <w:r>
          <w:rPr>
            <w:rStyle w:val="Hyperlink"/>
          </w:rPr>
          <w:t xml:space="preserve">9</w:t>
        </w:r>
      </w:hyperlink>
      <w:r>
        <w:t xml:space="preserve">), en el plano</w:t>
      </w:r>
      <w:r>
        <w:t xml:space="preserve"> </w:t>
      </w:r>
      <m:oMath>
        <m:d>
          <m:dPr>
            <m:begChr m:val="("/>
            <m:sepChr m:val=""/>
            <m:endChr m:val=")"/>
            <m:grow/>
          </m:dPr>
          <m:e>
            <m:r>
              <m:t>p</m:t>
            </m:r>
            <m:r>
              <m:rPr>
                <m:sty m:val="p"/>
              </m:rPr>
              <m:t>,</m:t>
            </m:r>
            <m:r>
              <m:t>B</m:t>
            </m:r>
          </m:e>
        </m:d>
      </m:oMath>
      <w:r>
        <w:t xml:space="preserve">, las curvas de iso-apoyo son crecientes: un precio más alto solo deja igual al regulador si la industria gana más. Su pendiente es la relación marginal de sustitución política,</w:t>
      </w:r>
      <w:r>
        <w:t xml:space="preserve"> </w:t>
      </w:r>
      <m:oMath>
        <m:sSub>
          <m:e>
            <m:d>
              <m:dPr>
                <m:begChr m:val=""/>
                <m:sepChr m:val=""/>
                <m:endChr m:val="|"/>
                <m:grow/>
              </m:dPr>
              <m:e>
                <m:r>
                  <m:t>d</m:t>
                </m:r>
                <m:r>
                  <m:t>B</m:t>
                </m:r>
                <m:r>
                  <m:rPr>
                    <m:sty m:val="p"/>
                  </m:rPr>
                  <m:t>/</m:t>
                </m:r>
                <m:r>
                  <m:t>d</m:t>
                </m:r>
                <m:r>
                  <m:t>p</m:t>
                </m:r>
              </m:e>
            </m:d>
          </m:e>
          <m:sub>
            <m:r>
              <m:rPr>
                <m:sty m:val="p"/>
                <m:scr m:val="script"/>
              </m:rPr>
              <m:t>A</m:t>
            </m:r>
          </m:sub>
        </m:sSub>
        <m:r>
          <m:rPr>
            <m:sty m:val="p"/>
          </m:rPr>
          <m:t>=</m:t>
        </m:r>
        <m:r>
          <m:rPr>
            <m:sty m:val="p"/>
          </m:rPr>
          <m:t>−</m:t>
        </m:r>
        <m:d>
          <m:dPr>
            <m:begChr m:val="("/>
            <m:sepChr m:val=""/>
            <m:endChr m:val=")"/>
            <m:grow/>
          </m:dPr>
          <m:e>
            <m:r>
              <m:rPr>
                <m:sty m:val="p"/>
              </m:rPr>
              <m:t>∂</m:t>
            </m:r>
            <m:r>
              <m:rPr>
                <m:sty m:val="p"/>
                <m:scr m:val="script"/>
              </m:rPr>
              <m:t>A</m:t>
            </m:r>
            <m:r>
              <m:rPr>
                <m:sty m:val="p"/>
              </m:rPr>
              <m:t>/</m:t>
            </m:r>
            <m:r>
              <m:rPr>
                <m:sty m:val="p"/>
              </m:rPr>
              <m:t>∂</m:t>
            </m:r>
            <m:r>
              <m:t>p</m:t>
            </m:r>
          </m:e>
        </m:d>
        <m:r>
          <m:rPr>
            <m:sty m:val="p"/>
          </m:rPr>
          <m:t>/</m:t>
        </m:r>
        <m:d>
          <m:dPr>
            <m:begChr m:val="("/>
            <m:sepChr m:val=""/>
            <m:endChr m:val=")"/>
            <m:grow/>
          </m:dPr>
          <m:e>
            <m:r>
              <m:rPr>
                <m:sty m:val="p"/>
              </m:rPr>
              <m:t>∂</m:t>
            </m:r>
            <m:r>
              <m:rPr>
                <m:sty m:val="p"/>
                <m:scr m:val="script"/>
              </m:rPr>
              <m:t>A</m:t>
            </m:r>
            <m:r>
              <m:rPr>
                <m:sty m:val="p"/>
              </m:rPr>
              <m:t>/</m:t>
            </m:r>
            <m:r>
              <m:rPr>
                <m:sty m:val="p"/>
              </m:rPr>
              <m:t>∂</m:t>
            </m:r>
            <m:r>
              <m:t>B</m:t>
            </m:r>
          </m:e>
        </m:d>
        <m:r>
          <m:rPr>
            <m:sty m:val="p"/>
          </m:rPr>
          <m:t>&gt;</m:t>
        </m:r>
        <m:r>
          <m:t>0</m:t>
        </m:r>
      </m:oMath>
      <w:r>
        <w:t xml:space="preserve">, y el apoyo crece hacia arriba y a la izquierda.</w:t>
      </w:r>
    </w:p>
    <w:p>
      <w:pPr>
        <w:numPr>
          <w:ilvl w:val="0"/>
          <w:numId w:val="1133"/>
        </w:numPr>
      </w:pPr>
      <w:r>
        <w:rPr>
          <w:i/>
          <w:iCs/>
        </w:rPr>
        <w:t xml:space="preserve">Óptimo</w:t>
      </w:r>
      <w:r>
        <w:t xml:space="preserve">: la tangencia entre la curva de beneficios y la curva de iso-apoyo más alta,</w:t>
      </w:r>
    </w:p>
    <w:p>
      <w:pPr>
        <w:pStyle w:val="BodyText"/>
        <w:keepNext/>
      </w:pPr>
      <m:oMathPara>
        <m:oMathParaPr>
          <m:jc m:val="center"/>
        </m:oMathParaPr>
        <m:oMath>
          <m:r>
            <m:t>B</m:t>
          </m:r>
          <m:r>
            <m:rPr>
              <m:sty m:val="p"/>
            </m:rPr>
            <m:t>′</m:t>
          </m:r>
          <m:d>
            <m:dPr>
              <m:begChr m:val="("/>
              <m:sepChr m:val=""/>
              <m:endChr m:val=")"/>
              <m:grow/>
            </m:dPr>
            <m:e>
              <m:sSup>
                <m:e>
                  <m:r>
                    <m:t>p</m:t>
                  </m:r>
                </m:e>
                <m:sup>
                  <m:r>
                    <m:rPr>
                      <m:sty m:val="p"/>
                    </m:rPr>
                    <m:t>*</m:t>
                  </m:r>
                </m:sup>
              </m:sSup>
            </m:e>
          </m:d>
          <m:r>
            <m:rPr>
              <m:sty m:val="p"/>
            </m:rPr>
            <m:t>=</m:t>
          </m:r>
          <m:r>
            <m:rPr>
              <m:sty m:val="p"/>
            </m:rPr>
            <m:t>−</m:t>
          </m:r>
          <m:f>
            <m:fPr>
              <m:type m:val="bar"/>
            </m:fPr>
            <m:num>
              <m:r>
                <m:rPr>
                  <m:sty m:val="p"/>
                </m:rPr>
                <m:t>∂</m:t>
              </m:r>
              <m:r>
                <m:rPr>
                  <m:sty m:val="p"/>
                  <m:scr m:val="script"/>
                </m:rPr>
                <m:t>A</m:t>
              </m:r>
              <m:r>
                <m:rPr>
                  <m:sty m:val="p"/>
                </m:rPr>
                <m:t>/</m:t>
              </m:r>
              <m:r>
                <m:rPr>
                  <m:sty m:val="p"/>
                </m:rPr>
                <m:t>∂</m:t>
              </m:r>
              <m:r>
                <m:t>p</m:t>
              </m:r>
            </m:num>
            <m:den>
              <m:r>
                <m:rPr>
                  <m:sty m:val="p"/>
                </m:rPr>
                <m:t>∂</m:t>
              </m:r>
              <m:r>
                <m:rPr>
                  <m:sty m:val="p"/>
                  <m:scr m:val="script"/>
                </m:rPr>
                <m:t>A</m:t>
              </m:r>
              <m:r>
                <m:rPr>
                  <m:sty m:val="p"/>
                </m:rPr>
                <m:t>/</m:t>
              </m:r>
              <m:r>
                <m:rPr>
                  <m:sty m:val="p"/>
                </m:rPr>
                <m:t>∂</m:t>
              </m:r>
              <m:r>
                <m:t>B</m:t>
              </m:r>
            </m:den>
          </m:f>
          <m:r>
            <m:rPr>
              <m:sty m:val="p"/>
            </m:rPr>
            <m:t>&gt;</m:t>
          </m:r>
          <m:r>
            <m:t>0</m:t>
          </m:r>
          <m:r>
            <m:rPr>
              <m:sty m:val="p"/>
            </m:rPr>
            <m:t>,</m:t>
          </m:r>
        </m:oMath>
      </m:oMathPara>
    </w:p>
    <w:p>
      <w:pPr>
        <w:numPr>
          <w:ilvl w:val="0"/>
          <w:numId w:val="1000"/>
        </w:numPr>
      </w:pPr>
      <w:r>
        <w:t xml:space="preserve">que es la condición de primer orden del cuerpo (</w:t>
      </w:r>
      <w:hyperlink w:anchor="sec_compromiso_captura">
        <w:r>
          <w:rPr>
            <w:rStyle w:val="Hyperlink"/>
          </w:rPr>
          <w:t xml:space="preserve">II.5</w:t>
        </w:r>
      </w:hyperlink>
      <w:r>
        <w:t xml:space="preserve">). Como</w:t>
      </w:r>
      <w:r>
        <w:t xml:space="preserve"> </w:t>
      </w:r>
      <m:oMath>
        <m:r>
          <m:t>B</m:t>
        </m:r>
        <m:r>
          <m:rPr>
            <m:sty m:val="p"/>
          </m:rPr>
          <m:t>′</m:t>
        </m:r>
        <m:d>
          <m:dPr>
            <m:begChr m:val="("/>
            <m:sepChr m:val=""/>
            <m:endChr m:val=")"/>
            <m:grow/>
          </m:dPr>
          <m:e>
            <m:sSup>
              <m:e>
                <m:r>
                  <m:t>p</m:t>
                </m:r>
              </m:e>
              <m:sup>
                <m:r>
                  <m:rPr>
                    <m:sty m:val="p"/>
                  </m:rPr>
                  <m:t>*</m:t>
                </m:r>
              </m:sup>
            </m:sSup>
          </m:e>
        </m:d>
        <m:r>
          <m:rPr>
            <m:sty m:val="p"/>
          </m:rPr>
          <m:t>&gt;</m:t>
        </m:r>
        <m:r>
          <m:t>0</m:t>
        </m:r>
      </m:oMath>
      <w:r>
        <w:t xml:space="preserve">, el precio está en el tramo creciente del beneficio:</w:t>
      </w:r>
      <w:r>
        <w:t xml:space="preserve"> </w:t>
      </w:r>
      <m:oMath>
        <m:sSup>
          <m:e>
            <m:r>
              <m:t>p</m:t>
            </m:r>
          </m:e>
          <m:sup>
            <m:r>
              <m:t>c</m:t>
            </m:r>
          </m:sup>
        </m:sSup>
        <m:r>
          <m:rPr>
            <m:sty m:val="p"/>
          </m:rPr>
          <m:t>&lt;</m:t>
        </m:r>
        <m:sSup>
          <m:e>
            <m:r>
              <m:t>p</m:t>
            </m:r>
          </m:e>
          <m:sup>
            <m:r>
              <m:rPr>
                <m:sty m:val="p"/>
              </m:rPr>
              <m:t>*</m:t>
            </m:r>
          </m:sup>
        </m:sSup>
        <m:r>
          <m:rPr>
            <m:sty m:val="p"/>
          </m:rPr>
          <m:t>&lt;</m:t>
        </m:r>
        <m:sSup>
          <m:e>
            <m:r>
              <m:t>p</m:t>
            </m:r>
          </m:e>
          <m:sup>
            <m:r>
              <m:t>M</m:t>
            </m:r>
          </m:sup>
        </m:sSup>
      </m:oMath>
      <w:r>
        <w:t xml:space="preserve">. El regulador no entrega todo a la industria (la teoría de la captura pura de</w:t>
      </w:r>
      <w:r>
        <w:t xml:space="preserve"> </w:t>
      </w:r>
      <w:r>
        <w:rPr>
          <w:smallCaps/>
        </w:rPr>
        <w:t xml:space="preserve">Stigler</w:t>
      </w:r>
      <w:r>
        <w:t xml:space="preserve">) ni todo a los consumidores (la teoría normativa): reparte.</w:t>
      </w:r>
    </w:p>
    <w:p>
      <w:pPr>
        <w:numPr>
          <w:ilvl w:val="0"/>
          <w:numId w:val="1133"/>
        </w:numPr>
      </w:pPr>
      <w:r>
        <w:rPr>
          <w:i/>
          <w:iCs/>
        </w:rPr>
        <w:t xml:space="preserve">Implicación</w:t>
      </w:r>
      <w:r>
        <w:t xml:space="preserve">: la regulación es más probable en las industrias más competitivas o más monopolísticas, donde uno de los 2 grupos tiene más que ganar con ella</w:t>
      </w:r>
      <w:r>
        <w:t xml:space="preserve"> </w:t>
      </w:r>
      <w:r>
        <w:t xml:space="preserve">(</w:t>
      </w:r>
      <w:hyperlink w:anchor="ref_Peltzman1976Toward">
        <w:r>
          <w:rPr>
            <w:rStyle w:val="Hyperlink"/>
            <w:smallCaps/>
          </w:rPr>
          <w:t xml:space="preserve">Peltzman</w:t>
        </w:r>
        <w:r>
          <w:rPr>
            <w:rStyle w:val="Hyperlink"/>
          </w:rPr>
          <w:t xml:space="preserve">, 1976</w:t>
        </w:r>
      </w:hyperlink>
      <w:r>
        <w:t xml:space="preserve">)</w:t>
      </w:r>
      <w:r>
        <w:t xml:space="preserve">. ∎</w:t>
      </w:r>
    </w:p>
    <w:bookmarkStart w:id="204" w:name="fig_peltzman"/>
    <w:p>
      <w:pPr>
        <w:pStyle w:val="ImageCaption"/>
      </w:pPr>
      <w:r>
        <w:t xml:space="preserve">Gráfico 9.–</w:t>
      </w:r>
      <w:r>
        <w:t xml:space="preserve"> </w:t>
      </w:r>
      <w:r>
        <w:t xml:space="preserve">Modelo de</w:t>
      </w:r>
      <w:r>
        <w:t xml:space="preserve"> </w:t>
      </w:r>
      <w:r>
        <w:rPr>
          <w:smallCaps/>
        </w:rPr>
        <w:t xml:space="preserve">Peltzman</w:t>
      </w:r>
      <w:r>
        <w:t xml:space="preserve">: el regulador elige un precio intermedio entre el de competencia y el de monopolio</w:t>
      </w:r>
    </w:p>
    <w:p>
      <w:pPr>
        <w:pStyle w:val="CaptionedFigure"/>
      </w:pPr>
      <w:r>
        <w:drawing>
          <wp:inline>
            <wp:extent cx="3159114" cy="2363983"/>
            <wp:effectExtent b="0" l="0" r="0" t="0"/>
            <wp:docPr descr="Gráfico 9.– Modelo de Peltzman: el regulador elige un precio intermedio entre el de competencia y el de monopolio" title="" id="202" name="Picture"/>
            <a:graphic>
              <a:graphicData uri="http://schemas.openxmlformats.org/drawingml/2006/picture">
                <pic:pic>
                  <pic:nvPicPr>
                    <pic:cNvPr descr="C:\Users\vgutierrez\Documents\src\victorgutierrezmarcos.github.io-revision\oposicion\temario\fuentes\3A20\graficos/peltzman.png" id="203" name="Picture"/>
                    <pic:cNvPicPr>
                      <a:picLocks noChangeArrowheads="1" noChangeAspect="1"/>
                    </pic:cNvPicPr>
                  </pic:nvPicPr>
                  <pic:blipFill>
                    <a:blip r:embed="rId201"/>
                    <a:stretch>
                      <a:fillRect/>
                    </a:stretch>
                  </pic:blipFill>
                  <pic:spPr bwMode="auto">
                    <a:xfrm>
                      <a:off x="0" y="0"/>
                      <a:ext cx="3159114" cy="2363983"/>
                    </a:xfrm>
                    <a:prstGeom prst="rect">
                      <a:avLst/>
                    </a:prstGeom>
                    <a:noFill/>
                    <a:ln w="9525">
                      <a:noFill/>
                      <a:headEnd/>
                      <a:tailEnd/>
                    </a:ln>
                  </pic:spPr>
                </pic:pic>
              </a:graphicData>
            </a:graphic>
          </wp:inline>
        </w:drawing>
      </w:r>
    </w:p>
    <w:bookmarkEnd w:id="204"/>
    <w:p>
      <w:pPr>
        <w:pStyle w:val="Piedeimagen"/>
      </w:pPr>
      <w:r>
        <w:t xml:space="preserve">Fuente: elaboración propia a partir de</w:t>
      </w:r>
      <w:r>
        <w:t xml:space="preserve"> </w:t>
      </w:r>
      <w:r>
        <w:rPr>
          <w:smallCaps/>
        </w:rPr>
        <w:t xml:space="preserve">Peltzman</w:t>
      </w:r>
      <w:r>
        <w:t xml:space="preserve"> </w:t>
      </w:r>
      <w:r>
        <w:t xml:space="preserve">(</w:t>
      </w:r>
      <w:hyperlink w:anchor="ref_Peltzman1976Toward">
        <w:r>
          <w:rPr>
            <w:rStyle w:val="Hyperlink"/>
          </w:rPr>
          <w:t xml:space="preserve">1976</w:t>
        </w:r>
      </w:hyperlink>
      <w:r>
        <w:t xml:space="preserve">)</w:t>
      </w:r>
      <w:r>
        <w:t xml:space="preserve">.</w:t>
      </w:r>
    </w:p>
    <w:bookmarkEnd w:id="205"/>
    <w:bookmarkStart w:id="208" w:name="anexo_marco_normativo"/>
    <w:p>
      <w:pPr>
        <w:pStyle w:val="Heading1"/>
      </w:pPr>
      <w:r>
        <w:t xml:space="preserve">D. Anexo: marco normativo e instituciones de la regulación</w:t>
      </w:r>
    </w:p>
    <w:bookmarkStart w:id="206" w:name="anexo_instituciones"/>
    <w:p>
      <w:pPr>
        <w:pStyle w:val="Heading2"/>
      </w:pPr>
      <w:r>
        <w:t xml:space="preserve">D.1. Instituciones regulatorias</w:t>
      </w:r>
    </w:p>
    <w:p>
      <w:pPr>
        <w:keepNext/>
        <w:numPr>
          <w:ilvl w:val="0"/>
          <w:numId w:val="1134"/>
        </w:numPr>
      </w:pPr>
      <w:r>
        <w:t xml:space="preserve">Los Estados combinan varios instrumentos:</w:t>
      </w:r>
    </w:p>
    <w:p>
      <w:pPr>
        <w:numPr>
          <w:ilvl w:val="1"/>
          <w:numId w:val="1135"/>
        </w:numPr>
      </w:pPr>
      <w:r>
        <w:t xml:space="preserve">la</w:t>
      </w:r>
      <w:r>
        <w:t xml:space="preserve"> </w:t>
      </w:r>
      <w:r>
        <w:rPr>
          <w:i/>
          <w:iCs/>
        </w:rPr>
        <w:t xml:space="preserve">legislación</w:t>
      </w:r>
      <w:r>
        <w:t xml:space="preserve">, que regula directamente, pero choca con la falta de conocimientos técnicos de los legisladores, su vulnerabilidad ante los grupos organizados y el peso del corto plazo;</w:t>
      </w:r>
    </w:p>
    <w:p>
      <w:pPr>
        <w:numPr>
          <w:ilvl w:val="1"/>
          <w:numId w:val="1135"/>
        </w:numPr>
      </w:pPr>
      <w:r>
        <w:t xml:space="preserve">los</w:t>
      </w:r>
      <w:r>
        <w:t xml:space="preserve"> </w:t>
      </w:r>
      <w:r>
        <w:rPr>
          <w:i/>
          <w:iCs/>
        </w:rPr>
        <w:t xml:space="preserve">contratos de concesión</w:t>
      </w:r>
      <w:r>
        <w:t xml:space="preserve">, que venden a una empresa el derecho a explotar el monopolio durante un tiempo (</w:t>
      </w:r>
      <w:hyperlink w:anchor="sec_competencia_por_mercado">
        <w:r>
          <w:rPr>
            <w:rStyle w:val="Hyperlink"/>
          </w:rPr>
          <w:t xml:space="preserve">III.2</w:t>
        </w:r>
      </w:hyperlink>
      <w:r>
        <w:t xml:space="preserve">);</w:t>
      </w:r>
    </w:p>
    <w:p>
      <w:pPr>
        <w:numPr>
          <w:ilvl w:val="1"/>
          <w:numId w:val="1135"/>
        </w:numPr>
      </w:pPr>
      <w:r>
        <w:t xml:space="preserve">las</w:t>
      </w:r>
      <w:r>
        <w:t xml:space="preserve"> </w:t>
      </w:r>
      <w:r>
        <w:rPr>
          <w:i/>
          <w:iCs/>
        </w:rPr>
        <w:t xml:space="preserve">comisiones reguladoras independientes</w:t>
      </w:r>
      <w:r>
        <w:t xml:space="preserve">, con pocos miembros que deciden con el apoyo de equipos técnicos; más independencia de los poderes ejecutivo y legislativo suele asociarse a mejores resultados, porque protege el compromiso (</w:t>
      </w:r>
      <w:hyperlink w:anchor="sec_compromiso_captura">
        <w:r>
          <w:rPr>
            <w:rStyle w:val="Hyperlink"/>
          </w:rPr>
          <w:t xml:space="preserve">II.5</w:t>
        </w:r>
      </w:hyperlink>
      <w:r>
        <w:t xml:space="preserve">);</w:t>
      </w:r>
    </w:p>
    <w:p>
      <w:pPr>
        <w:numPr>
          <w:ilvl w:val="1"/>
          <w:numId w:val="1135"/>
        </w:numPr>
      </w:pPr>
      <w:r>
        <w:t xml:space="preserve">la</w:t>
      </w:r>
      <w:r>
        <w:t xml:space="preserve"> </w:t>
      </w:r>
      <w:r>
        <w:rPr>
          <w:i/>
          <w:iCs/>
        </w:rPr>
        <w:t xml:space="preserve">provisión directa</w:t>
      </w:r>
      <w:r>
        <w:t xml:space="preserve"> </w:t>
      </w:r>
      <w:r>
        <w:t xml:space="preserve">por una empresa pública, habitual en Europa antes de las privatizaciones de los años 80 y 90</w:t>
      </w:r>
      <w:r>
        <w:t xml:space="preserve"> </w:t>
      </w:r>
      <w:hyperlink r:id="rId176">
        <w:r>
          <w:rPr>
            <w:rStyle w:val="Referenciaatema"/>
          </w:rPr>
          <w:t xml:space="preserve">[ver tema 4.B.15]</w:t>
        </w:r>
      </w:hyperlink>
      <w:r>
        <w:t xml:space="preserve">.</w:t>
      </w:r>
    </w:p>
    <w:p>
      <w:pPr>
        <w:numPr>
          <w:ilvl w:val="0"/>
          <w:numId w:val="1134"/>
        </w:numPr>
      </w:pPr>
      <w:r>
        <w:t xml:space="preserve">En España, desde la Ley 3/2013 un solo organismo, la CNMC, vela por la competencia en toda la economía y supervisa a la vez los sectores regulados: energía, telecomunicaciones y audiovisual, ferrocarril y aeropuertos, y correos</w:t>
      </w:r>
      <w:r>
        <w:t xml:space="preserve"> </w:t>
      </w:r>
      <w:r>
        <w:t xml:space="preserve">(</w:t>
      </w:r>
      <w:hyperlink w:anchor="ref_Ley3_2013CNMC">
        <w:r>
          <w:rPr>
            <w:rStyle w:val="Hyperlink"/>
            <w:smallCaps/>
          </w:rPr>
          <w:t xml:space="preserve">Jefatura del Estado</w:t>
        </w:r>
        <w:r>
          <w:rPr>
            <w:rStyle w:val="Hyperlink"/>
          </w:rPr>
          <w:t xml:space="preserve">, 2013a</w:t>
        </w:r>
      </w:hyperlink>
      <w:r>
        <w:t xml:space="preserve">)</w:t>
      </w:r>
      <w:r>
        <w:t xml:space="preserve">.</w:t>
      </w:r>
    </w:p>
    <w:p>
      <w:pPr>
        <w:numPr>
          <w:ilvl w:val="0"/>
          <w:numId w:val="1134"/>
        </w:numPr>
      </w:pPr>
      <w:r>
        <w:t xml:space="preserve">En la Unión Europea, la Comisión aplica los arts. 101 y 102 del TFUE y el control de las concentraciones</w:t>
      </w:r>
      <w:r>
        <w:t xml:space="preserve"> </w:t>
      </w:r>
      <w:r>
        <w:t xml:space="preserve">(</w:t>
      </w:r>
      <w:hyperlink w:anchor="ref_UE2016TFUE">
        <w:r>
          <w:rPr>
            <w:rStyle w:val="Hyperlink"/>
            <w:smallCaps/>
          </w:rPr>
          <w:t xml:space="preserve">Unión Europea</w:t>
        </w:r>
        <w:r>
          <w:rPr>
            <w:rStyle w:val="Hyperlink"/>
          </w:rPr>
          <w:t xml:space="preserve">, 2016</w:t>
        </w:r>
      </w:hyperlink>
      <w:r>
        <w:t xml:space="preserve">;</w:t>
      </w:r>
      <w:r>
        <w:t xml:space="preserve"> </w:t>
      </w:r>
      <w:hyperlink w:anchor="ref_UE2004Reglamento139">
        <w:r>
          <w:rPr>
            <w:rStyle w:val="Hyperlink"/>
            <w:smallCaps/>
          </w:rPr>
          <w:t xml:space="preserve">Consejo de la Unión Europea</w:t>
        </w:r>
        <w:r>
          <w:rPr>
            <w:rStyle w:val="Hyperlink"/>
          </w:rPr>
          <w:t xml:space="preserve">, 2004</w:t>
        </w:r>
      </w:hyperlink>
      <w:r>
        <w:t xml:space="preserve">)</w:t>
      </w:r>
      <w:r>
        <w:t xml:space="preserve">, y desde 2023 designa y supervisa a los guardianes de acceso de la DMA</w:t>
      </w:r>
      <w:r>
        <w:t xml:space="preserve"> </w:t>
      </w:r>
      <w:r>
        <w:t xml:space="preserve">(</w:t>
      </w:r>
      <w:hyperlink w:anchor="ref_UE2022DMA">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2022</w:t>
        </w:r>
      </w:hyperlink>
      <w:r>
        <w:t xml:space="preserve">)</w:t>
      </w:r>
      <w:r>
        <w:t xml:space="preserve">.</w:t>
      </w:r>
    </w:p>
    <w:p>
      <w:pPr>
        <w:numPr>
          <w:ilvl w:val="0"/>
          <w:numId w:val="1134"/>
        </w:numPr>
      </w:pPr>
      <w:r>
        <w:t xml:space="preserve">En el Reino Unido, cada sector tiene su regulador independiente; el de la energía, Ofgem, fija los ingresos de las redes con el modelo RIIO</w:t>
      </w:r>
      <w:r>
        <w:t xml:space="preserve"> </w:t>
      </w:r>
      <w:r>
        <w:t xml:space="preserve">(</w:t>
      </w:r>
      <w:hyperlink w:anchor="ref_Ofgem2025RIIO3ET">
        <w:r>
          <w:rPr>
            <w:rStyle w:val="Hyperlink"/>
            <w:smallCaps/>
          </w:rPr>
          <w:t xml:space="preserve">Ofgem</w:t>
        </w:r>
        <w:r>
          <w:rPr>
            <w:rStyle w:val="Hyperlink"/>
          </w:rPr>
          <w:t xml:space="preserve">, 2025a</w:t>
        </w:r>
      </w:hyperlink>
      <w:r>
        <w:t xml:space="preserve">)</w:t>
      </w:r>
      <w:r>
        <w:t xml:space="preserve">.</w:t>
      </w:r>
    </w:p>
    <w:bookmarkEnd w:id="206"/>
    <w:bookmarkStart w:id="207" w:name="anexo_normas"/>
    <w:p>
      <w:pPr>
        <w:pStyle w:val="Heading2"/>
      </w:pPr>
      <w:r>
        <w:t xml:space="preserve">D.2. Normas de referencia</w:t>
      </w:r>
    </w:p>
    <w:p>
      <w:pPr>
        <w:keepNext/>
        <w:numPr>
          <w:ilvl w:val="0"/>
          <w:numId w:val="1136"/>
        </w:numPr>
      </w:pPr>
      <w:r>
        <w:rPr>
          <w:i/>
          <w:iCs/>
        </w:rPr>
        <w:t xml:space="preserve">Unión Europea</w:t>
      </w:r>
      <w:r>
        <w:t xml:space="preserve">:</w:t>
      </w:r>
    </w:p>
    <w:p>
      <w:pPr>
        <w:numPr>
          <w:ilvl w:val="1"/>
          <w:numId w:val="1137"/>
        </w:numPr>
      </w:pPr>
      <w:r>
        <w:t xml:space="preserve">Tratado de Funcionamiento de la Unión Europea, arts. 101 (acuerdos), 102 (abuso de posición dominante), 106 (empresas públicas y servicios de interés económico general) y 107-109 (ayudas de Estado)</w:t>
      </w:r>
      <w:r>
        <w:t xml:space="preserve"> </w:t>
      </w:r>
      <w:r>
        <w:t xml:space="preserve">(</w:t>
      </w:r>
      <w:hyperlink w:anchor="ref_UE2016TFUE">
        <w:r>
          <w:rPr>
            <w:rStyle w:val="Hyperlink"/>
            <w:smallCaps/>
          </w:rPr>
          <w:t xml:space="preserve">Unión Europea</w:t>
        </w:r>
        <w:r>
          <w:rPr>
            <w:rStyle w:val="Hyperlink"/>
          </w:rPr>
          <w:t xml:space="preserve">, 2016</w:t>
        </w:r>
      </w:hyperlink>
      <w:r>
        <w:t xml:space="preserve">)</w:t>
      </w:r>
      <w:r>
        <w:t xml:space="preserve">;</w:t>
      </w:r>
    </w:p>
    <w:p>
      <w:pPr>
        <w:numPr>
          <w:ilvl w:val="1"/>
          <w:numId w:val="1137"/>
        </w:numPr>
      </w:pPr>
      <w:r>
        <w:t xml:space="preserve">Reglamento (CE) 139/2004, de control de las concentraciones</w:t>
      </w:r>
      <w:r>
        <w:t xml:space="preserve"> </w:t>
      </w:r>
      <w:r>
        <w:t xml:space="preserve">(</w:t>
      </w:r>
      <w:hyperlink w:anchor="ref_UE2004Reglamento139">
        <w:r>
          <w:rPr>
            <w:rStyle w:val="Hyperlink"/>
            <w:smallCaps/>
          </w:rPr>
          <w:t xml:space="preserve">Consejo de la Unión Europea</w:t>
        </w:r>
        <w:r>
          <w:rPr>
            <w:rStyle w:val="Hyperlink"/>
          </w:rPr>
          <w:t xml:space="preserve">, 2004</w:t>
        </w:r>
      </w:hyperlink>
      <w:r>
        <w:t xml:space="preserve">)</w:t>
      </w:r>
      <w:r>
        <w:t xml:space="preserve">, y las Directrices sobre concentraciones horizontales de 2004, en revisión</w:t>
      </w:r>
      <w:r>
        <w:t xml:space="preserve"> </w:t>
      </w:r>
      <w:r>
        <w:t xml:space="preserve">(</w:t>
      </w:r>
      <w:hyperlink w:anchor="ref_CE2004Horizontales">
        <w:r>
          <w:rPr>
            <w:rStyle w:val="Hyperlink"/>
            <w:smallCaps/>
          </w:rPr>
          <w:t xml:space="preserve">Comisión Europea</w:t>
        </w:r>
        <w:r>
          <w:rPr>
            <w:rStyle w:val="Hyperlink"/>
          </w:rPr>
          <w:t xml:space="preserve">, 2004</w:t>
        </w:r>
      </w:hyperlink>
      <w:r>
        <w:t xml:space="preserve">,</w:t>
      </w:r>
      <w:r>
        <w:t xml:space="preserve"> </w:t>
      </w:r>
      <w:hyperlink w:anchor="ref_CE2026RevisionMerger">
        <w:r>
          <w:rPr>
            <w:rStyle w:val="Hyperlink"/>
          </w:rPr>
          <w:t xml:space="preserve">2026b</w:t>
        </w:r>
      </w:hyperlink>
      <w:r>
        <w:t xml:space="preserve">)</w:t>
      </w:r>
      <w:r>
        <w:t xml:space="preserve">;</w:t>
      </w:r>
    </w:p>
    <w:p>
      <w:pPr>
        <w:numPr>
          <w:ilvl w:val="1"/>
          <w:numId w:val="1137"/>
        </w:numPr>
      </w:pPr>
      <w:r>
        <w:t xml:space="preserve">Reglamento (UE) 2022/720, de exención por categorías de los acuerdos verticales</w:t>
      </w:r>
      <w:r>
        <w:t xml:space="preserve"> </w:t>
      </w:r>
      <w:r>
        <w:t xml:space="preserve">(</w:t>
      </w:r>
      <w:hyperlink w:anchor="ref_UE2022RECAV">
        <w:r>
          <w:rPr>
            <w:rStyle w:val="Hyperlink"/>
            <w:smallCaps/>
          </w:rPr>
          <w:t xml:space="preserve">Comisión Europea</w:t>
        </w:r>
        <w:r>
          <w:rPr>
            <w:rStyle w:val="Hyperlink"/>
          </w:rPr>
          <w:t xml:space="preserve">, 2022</w:t>
        </w:r>
      </w:hyperlink>
      <w:r>
        <w:t xml:space="preserve">)</w:t>
      </w:r>
      <w:r>
        <w:t xml:space="preserve">, y Comunicación</w:t>
      </w:r>
      <w:r>
        <w:t xml:space="preserve"> </w:t>
      </w:r>
      <w:r>
        <w:rPr>
          <w:i/>
          <w:iCs/>
        </w:rPr>
        <w:t xml:space="preserve">de minimis</w:t>
      </w:r>
      <w:r>
        <w:t xml:space="preserve"> </w:t>
      </w:r>
      <w:r>
        <w:t xml:space="preserve">de 2014</w:t>
      </w:r>
      <w:r>
        <w:t xml:space="preserve"> </w:t>
      </w:r>
      <w:r>
        <w:t xml:space="preserve">(</w:t>
      </w:r>
      <w:hyperlink w:anchor="ref_CE2014DeMinimis">
        <w:r>
          <w:rPr>
            <w:rStyle w:val="Hyperlink"/>
            <w:smallCaps/>
          </w:rPr>
          <w:t xml:space="preserve">Comisión Europea</w:t>
        </w:r>
        <w:r>
          <w:rPr>
            <w:rStyle w:val="Hyperlink"/>
          </w:rPr>
          <w:t xml:space="preserve">, 2014</w:t>
        </w:r>
      </w:hyperlink>
      <w:r>
        <w:t xml:space="preserve">)</w:t>
      </w:r>
      <w:r>
        <w:t xml:space="preserve">;</w:t>
      </w:r>
    </w:p>
    <w:p>
      <w:pPr>
        <w:numPr>
          <w:ilvl w:val="1"/>
          <w:numId w:val="1137"/>
        </w:numPr>
      </w:pPr>
      <w:r>
        <w:t xml:space="preserve">Comunicación de 2024 sobre la definición del mercado de referencia</w:t>
      </w:r>
      <w:r>
        <w:t xml:space="preserve"> </w:t>
      </w:r>
      <w:r>
        <w:t xml:space="preserve">(</w:t>
      </w:r>
      <w:hyperlink w:anchor="ref_CE2024DefinicionMercado">
        <w:r>
          <w:rPr>
            <w:rStyle w:val="Hyperlink"/>
            <w:smallCaps/>
          </w:rPr>
          <w:t xml:space="preserve">Comisión Europea</w:t>
        </w:r>
        <w:r>
          <w:rPr>
            <w:rStyle w:val="Hyperlink"/>
          </w:rPr>
          <w:t xml:space="preserve">, 2024</w:t>
        </w:r>
      </w:hyperlink>
      <w:r>
        <w:t xml:space="preserve">)</w:t>
      </w:r>
      <w:r>
        <w:t xml:space="preserve"> </w:t>
      </w:r>
      <w:r>
        <w:t xml:space="preserve">y Directrices de 2026 sobre los abusos excluyentes, que sustituyen a las Orientaciones de 2009</w:t>
      </w:r>
      <w:r>
        <w:t xml:space="preserve"> </w:t>
      </w:r>
      <w:r>
        <w:t xml:space="preserve">(</w:t>
      </w:r>
      <w:hyperlink w:anchor="ref_CE2026DirectricesExclusion">
        <w:r>
          <w:rPr>
            <w:rStyle w:val="Hyperlink"/>
            <w:smallCaps/>
          </w:rPr>
          <w:t xml:space="preserve">Comisión Europea</w:t>
        </w:r>
        <w:r>
          <w:rPr>
            <w:rStyle w:val="Hyperlink"/>
          </w:rPr>
          <w:t xml:space="preserve">, 2026d</w:t>
        </w:r>
      </w:hyperlink>
      <w:r>
        <w:t xml:space="preserve">)</w:t>
      </w:r>
      <w:r>
        <w:t xml:space="preserve">;</w:t>
      </w:r>
    </w:p>
    <w:p>
      <w:pPr>
        <w:numPr>
          <w:ilvl w:val="1"/>
          <w:numId w:val="1137"/>
        </w:numPr>
      </w:pPr>
      <w:r>
        <w:t xml:space="preserve">Reglamento (UE) 2022/1925, de Mercados Digitales</w:t>
      </w:r>
      <w:r>
        <w:t xml:space="preserve"> </w:t>
      </w:r>
      <w:r>
        <w:t xml:space="preserve">(</w:t>
      </w:r>
      <w:hyperlink w:anchor="ref_UE2022DMA">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2022</w:t>
        </w:r>
      </w:hyperlink>
      <w:r>
        <w:t xml:space="preserve">)</w:t>
      </w:r>
      <w:r>
        <w:t xml:space="preserve">;</w:t>
      </w:r>
    </w:p>
    <w:p>
      <w:pPr>
        <w:numPr>
          <w:ilvl w:val="1"/>
          <w:numId w:val="1137"/>
        </w:numPr>
      </w:pPr>
      <w:r>
        <w:t xml:space="preserve">Directiva (UE) 2018/1972, Código Europeo de las Comunicaciones Electrónicas</w:t>
      </w:r>
      <w:r>
        <w:t xml:space="preserve"> </w:t>
      </w:r>
      <w:r>
        <w:t xml:space="preserve">(</w:t>
      </w:r>
      <w:hyperlink w:anchor="ref_UE2018CECE">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2018</w:t>
        </w:r>
      </w:hyperlink>
      <w:r>
        <w:t xml:space="preserve">)</w:t>
      </w:r>
      <w:r>
        <w:t xml:space="preserve">, y Recomendación (UE) 2020/2245 sobre los mercados pertinentes</w:t>
      </w:r>
      <w:r>
        <w:t xml:space="preserve"> </w:t>
      </w:r>
      <w:r>
        <w:t xml:space="preserve">(</w:t>
      </w:r>
      <w:hyperlink w:anchor="ref_UE2020RecomendacionMercados">
        <w:r>
          <w:rPr>
            <w:rStyle w:val="Hyperlink"/>
            <w:smallCaps/>
          </w:rPr>
          <w:t xml:space="preserve">Comisión Europea</w:t>
        </w:r>
        <w:r>
          <w:rPr>
            <w:rStyle w:val="Hyperlink"/>
          </w:rPr>
          <w:t xml:space="preserve">, 2020</w:t>
        </w:r>
      </w:hyperlink>
      <w:r>
        <w:t xml:space="preserve">)</w:t>
      </w:r>
      <w:r>
        <w:t xml:space="preserve">;</w:t>
      </w:r>
    </w:p>
    <w:p>
      <w:pPr>
        <w:numPr>
          <w:ilvl w:val="1"/>
          <w:numId w:val="1137"/>
        </w:numPr>
      </w:pPr>
      <w:r>
        <w:t xml:space="preserve">Directiva 2012/34/UE, del espacio ferroviario europeo único (cánones)</w:t>
      </w:r>
      <w:r>
        <w:t xml:space="preserve"> </w:t>
      </w:r>
      <w:r>
        <w:t xml:space="preserve">(</w:t>
      </w:r>
      <w:hyperlink w:anchor="ref_UE2012Directiva34">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2012</w:t>
        </w:r>
      </w:hyperlink>
      <w:r>
        <w:t xml:space="preserve">)</w:t>
      </w:r>
      <w:r>
        <w:t xml:space="preserve">.</w:t>
      </w:r>
    </w:p>
    <w:p>
      <w:pPr>
        <w:keepNext/>
        <w:numPr>
          <w:ilvl w:val="0"/>
          <w:numId w:val="1136"/>
        </w:numPr>
      </w:pPr>
      <w:r>
        <w:rPr>
          <w:i/>
          <w:iCs/>
        </w:rPr>
        <w:t xml:space="preserve">España</w:t>
      </w:r>
      <w:r>
        <w:t xml:space="preserve">:</w:t>
      </w:r>
    </w:p>
    <w:p>
      <w:pPr>
        <w:numPr>
          <w:ilvl w:val="1"/>
          <w:numId w:val="1138"/>
        </w:numPr>
      </w:pPr>
      <w:r>
        <w:t xml:space="preserve">Ley 15/2007, de Defensa de la Competencia</w:t>
      </w:r>
      <w:r>
        <w:t xml:space="preserve"> </w:t>
      </w:r>
      <w:r>
        <w:t xml:space="preserve">(</w:t>
      </w:r>
      <w:hyperlink w:anchor="ref_BOE2007LDC">
        <w:r>
          <w:rPr>
            <w:rStyle w:val="Hyperlink"/>
            <w:smallCaps/>
          </w:rPr>
          <w:t xml:space="preserve">Jefatura del Estado</w:t>
        </w:r>
        <w:r>
          <w:rPr>
            <w:rStyle w:val="Hyperlink"/>
          </w:rPr>
          <w:t xml:space="preserve">, 2007</w:t>
        </w:r>
      </w:hyperlink>
      <w:r>
        <w:t xml:space="preserve">)</w:t>
      </w:r>
      <w:r>
        <w:t xml:space="preserve">, y Ley 3/2013, de creación de la CNMC</w:t>
      </w:r>
      <w:r>
        <w:t xml:space="preserve"> </w:t>
      </w:r>
      <w:r>
        <w:t xml:space="preserve">(</w:t>
      </w:r>
      <w:hyperlink w:anchor="ref_Ley3_2013CNMC">
        <w:r>
          <w:rPr>
            <w:rStyle w:val="Hyperlink"/>
            <w:smallCaps/>
          </w:rPr>
          <w:t xml:space="preserve">Jefatura del Estado</w:t>
        </w:r>
        <w:r>
          <w:rPr>
            <w:rStyle w:val="Hyperlink"/>
          </w:rPr>
          <w:t xml:space="preserve">, 2013a</w:t>
        </w:r>
      </w:hyperlink>
      <w:r>
        <w:t xml:space="preserve">)</w:t>
      </w:r>
      <w:r>
        <w:t xml:space="preserve"> </w:t>
      </w:r>
      <w:hyperlink r:id="rId21">
        <w:r>
          <w:rPr>
            <w:rStyle w:val="Referenciaatema"/>
          </w:rPr>
          <w:t xml:space="preserve">[ver tema 4.A.15]</w:t>
        </w:r>
      </w:hyperlink>
      <w:r>
        <w:t xml:space="preserve">;</w:t>
      </w:r>
    </w:p>
    <w:p>
      <w:pPr>
        <w:numPr>
          <w:ilvl w:val="1"/>
          <w:numId w:val="1138"/>
        </w:numPr>
      </w:pPr>
      <w:r>
        <w:t xml:space="preserve">Ley 24/2013, del Sector Eléctrico: actividades reguladas, separación de actividades y acceso de terceros a las redes</w:t>
      </w:r>
      <w:r>
        <w:t xml:space="preserve"> </w:t>
      </w:r>
      <w:r>
        <w:t xml:space="preserve">(</w:t>
      </w:r>
      <w:hyperlink w:anchor="ref_Ley24_2013SectorElectrico">
        <w:r>
          <w:rPr>
            <w:rStyle w:val="Hyperlink"/>
            <w:smallCaps/>
          </w:rPr>
          <w:t xml:space="preserve">Jefatura del Estado</w:t>
        </w:r>
        <w:r>
          <w:rPr>
            <w:rStyle w:val="Hyperlink"/>
          </w:rPr>
          <w:t xml:space="preserve">, 2013b</w:t>
        </w:r>
      </w:hyperlink>
      <w:r>
        <w:t xml:space="preserve">)</w:t>
      </w:r>
      <w:r>
        <w:t xml:space="preserve">;</w:t>
      </w:r>
    </w:p>
    <w:p>
      <w:pPr>
        <w:numPr>
          <w:ilvl w:val="1"/>
          <w:numId w:val="1138"/>
        </w:numPr>
      </w:pPr>
      <w:r>
        <w:t xml:space="preserve">Ley 38/2015, del Sector Ferroviario</w:t>
      </w:r>
      <w:r>
        <w:t xml:space="preserve"> </w:t>
      </w:r>
      <w:r>
        <w:t xml:space="preserve">(</w:t>
      </w:r>
      <w:hyperlink w:anchor="ref_BOE2015LSF">
        <w:r>
          <w:rPr>
            <w:rStyle w:val="Hyperlink"/>
            <w:smallCaps/>
          </w:rPr>
          <w:t xml:space="preserve">Jefatura del Estado</w:t>
        </w:r>
        <w:r>
          <w:rPr>
            <w:rStyle w:val="Hyperlink"/>
          </w:rPr>
          <w:t xml:space="preserve">, 2015b</w:t>
        </w:r>
      </w:hyperlink>
      <w:r>
        <w:t xml:space="preserve">)</w:t>
      </w:r>
      <w:r>
        <w:t xml:space="preserve">, y Ley 11/2022, General de Telecomunicaciones</w:t>
      </w:r>
      <w:r>
        <w:t xml:space="preserve"> </w:t>
      </w:r>
      <w:r>
        <w:t xml:space="preserve">(</w:t>
      </w:r>
      <w:hyperlink w:anchor="ref_Ley11_2022Telecomunicaciones">
        <w:r>
          <w:rPr>
            <w:rStyle w:val="Hyperlink"/>
            <w:smallCaps/>
          </w:rPr>
          <w:t xml:space="preserve">Jefatura del Estado</w:t>
        </w:r>
        <w:r>
          <w:rPr>
            <w:rStyle w:val="Hyperlink"/>
          </w:rPr>
          <w:t xml:space="preserve">, 2022b</w:t>
        </w:r>
      </w:hyperlink>
      <w:r>
        <w:t xml:space="preserve">)</w:t>
      </w:r>
      <w:r>
        <w:t xml:space="preserve">;</w:t>
      </w:r>
    </w:p>
    <w:p>
      <w:pPr>
        <w:numPr>
          <w:ilvl w:val="1"/>
          <w:numId w:val="1138"/>
        </w:numPr>
      </w:pPr>
      <w:r>
        <w:t xml:space="preserve">DORA 2027-2031 de Aena</w:t>
      </w:r>
      <w:r>
        <w:t xml:space="preserve"> </w:t>
      </w:r>
      <w:r>
        <w:t xml:space="preserve">(</w:t>
      </w:r>
      <w:hyperlink w:anchor="ref_BOE2026DORA">
        <w:r>
          <w:rPr>
            <w:rStyle w:val="Hyperlink"/>
            <w:smallCaps/>
          </w:rPr>
          <w:t xml:space="preserve">Dirección General de Aviación Civil</w:t>
        </w:r>
        <w:r>
          <w:rPr>
            <w:rStyle w:val="Hyperlink"/>
          </w:rPr>
          <w:t xml:space="preserve">, 2026</w:t>
        </w:r>
      </w:hyperlink>
      <w:r>
        <w:t xml:space="preserve">)</w:t>
      </w:r>
      <w:r>
        <w:t xml:space="preserve">;</w:t>
      </w:r>
    </w:p>
    <w:p>
      <w:pPr>
        <w:numPr>
          <w:ilvl w:val="1"/>
          <w:numId w:val="1138"/>
        </w:numPr>
      </w:pPr>
      <w:r>
        <w:t xml:space="preserve">circulares de la CNMC: 2/2019 (tasa de retribución financiera)</w:t>
      </w:r>
      <w:r>
        <w:t xml:space="preserve"> </w:t>
      </w:r>
      <w:r>
        <w:t xml:space="preserve">(</w:t>
      </w:r>
      <w:hyperlink w:anchor="ref_CNMC2019Circular2">
        <w:r>
          <w:rPr>
            <w:rStyle w:val="Hyperlink"/>
            <w:smallCaps/>
          </w:rPr>
          <w:t xml:space="preserve">Comisión Nacional de los Mercados y la Competencia</w:t>
        </w:r>
        <w:r>
          <w:rPr>
            <w:rStyle w:val="Hyperlink"/>
          </w:rPr>
          <w:t xml:space="preserve">, 2019</w:t>
        </w:r>
      </w:hyperlink>
      <w:r>
        <w:t xml:space="preserve">)</w:t>
      </w:r>
      <w:r>
        <w:t xml:space="preserve"> </w:t>
      </w:r>
      <w:r>
        <w:t xml:space="preserve">y su reforma, la 9/2025</w:t>
      </w:r>
      <w:r>
        <w:t xml:space="preserve"> </w:t>
      </w:r>
      <w:r>
        <w:t xml:space="preserve">(</w:t>
      </w:r>
      <w:hyperlink w:anchor="ref_CNMC2025Circular9">
        <w:r>
          <w:rPr>
            <w:rStyle w:val="Hyperlink"/>
            <w:smallCaps/>
          </w:rPr>
          <w:t xml:space="preserve">Comisión Nacional de los Mercados y la Competencia</w:t>
        </w:r>
        <w:r>
          <w:rPr>
            <w:rStyle w:val="Hyperlink"/>
          </w:rPr>
          <w:t xml:space="preserve">, 2025d</w:t>
        </w:r>
      </w:hyperlink>
      <w:r>
        <w:t xml:space="preserve">)</w:t>
      </w:r>
      <w:r>
        <w:t xml:space="preserve">; 8/2025, de la retribución de la distribución eléctrica</w:t>
      </w:r>
      <w:r>
        <w:t xml:space="preserve"> </w:t>
      </w:r>
      <w:r>
        <w:t xml:space="preserve">(</w:t>
      </w:r>
      <w:hyperlink w:anchor="ref_CNMC2025Circular8">
        <w:r>
          <w:rPr>
            <w:rStyle w:val="Hyperlink"/>
            <w:smallCaps/>
          </w:rPr>
          <w:t xml:space="preserve">Comisión Nacional de los Mercados y la Competencia</w:t>
        </w:r>
        <w:r>
          <w:rPr>
            <w:rStyle w:val="Hyperlink"/>
          </w:rPr>
          <w:t xml:space="preserve">, 2025b</w:t>
        </w:r>
      </w:hyperlink>
      <w:r>
        <w:t xml:space="preserve">)</w:t>
      </w:r>
      <w:r>
        <w:t xml:space="preserve">; 3/2020, de los peajes eléctricos</w:t>
      </w:r>
      <w:r>
        <w:t xml:space="preserve"> </w:t>
      </w:r>
      <w:r>
        <w:t xml:space="preserve">(</w:t>
      </w:r>
      <w:hyperlink w:anchor="ref_CNMC2020Circular3">
        <w:r>
          <w:rPr>
            <w:rStyle w:val="Hyperlink"/>
            <w:smallCaps/>
          </w:rPr>
          <w:t xml:space="preserve">Comisión Nacional de los Mercados y la Competencia</w:t>
        </w:r>
        <w:r>
          <w:rPr>
            <w:rStyle w:val="Hyperlink"/>
          </w:rPr>
          <w:t xml:space="preserve">, 2020</w:t>
        </w:r>
      </w:hyperlink>
      <w:r>
        <w:t xml:space="preserve">)</w:t>
      </w:r>
      <w:r>
        <w:t xml:space="preserve">; 5/2026, de la tasa de retribución del gas</w:t>
      </w:r>
      <w:r>
        <w:t xml:space="preserve"> </w:t>
      </w:r>
      <w:r>
        <w:t xml:space="preserve">(</w:t>
      </w:r>
      <w:hyperlink w:anchor="ref_CNMC2026Circular5">
        <w:r>
          <w:rPr>
            <w:rStyle w:val="Hyperlink"/>
            <w:smallCaps/>
          </w:rPr>
          <w:t xml:space="preserve">Comisión Nacional de los Mercados y la Competencia</w:t>
        </w:r>
        <w:r>
          <w:rPr>
            <w:rStyle w:val="Hyperlink"/>
          </w:rPr>
          <w:t xml:space="preserve">, 2026b</w:t>
        </w:r>
      </w:hyperlink>
      <w:r>
        <w:t xml:space="preserve">)</w:t>
      </w:r>
      <w:r>
        <w:t xml:space="preserve">;</w:t>
      </w:r>
    </w:p>
    <w:p>
      <w:pPr>
        <w:numPr>
          <w:ilvl w:val="1"/>
          <w:numId w:val="1138"/>
        </w:numPr>
      </w:pPr>
      <w:r>
        <w:t xml:space="preserve">Ley 2/2015, de desindexación de la economía española</w:t>
      </w:r>
      <w:r>
        <w:t xml:space="preserve"> </w:t>
      </w:r>
      <w:r>
        <w:t xml:space="preserve">(</w:t>
      </w:r>
      <w:hyperlink w:anchor="ref_BOE2015Desindexacion">
        <w:r>
          <w:rPr>
            <w:rStyle w:val="Hyperlink"/>
            <w:smallCaps/>
          </w:rPr>
          <w:t xml:space="preserve">Jefatura del Estado</w:t>
        </w:r>
        <w:r>
          <w:rPr>
            <w:rStyle w:val="Hyperlink"/>
          </w:rPr>
          <w:t xml:space="preserve">, 2015a</w:t>
        </w:r>
      </w:hyperlink>
      <w:r>
        <w:t xml:space="preserve">)</w:t>
      </w:r>
      <w:r>
        <w:t xml:space="preserve">, y Real Decreto 55/2017</w:t>
      </w:r>
      <w:r>
        <w:t xml:space="preserve"> </w:t>
      </w:r>
      <w:r>
        <w:t xml:space="preserve">(</w:t>
      </w:r>
      <w:hyperlink w:anchor="ref_BOE2017RD55">
        <w:r>
          <w:rPr>
            <w:rStyle w:val="Hyperlink"/>
            <w:smallCaps/>
          </w:rPr>
          <w:t xml:space="preserve">Ministerio de Hacienda y Función Pública</w:t>
        </w:r>
        <w:r>
          <w:rPr>
            <w:rStyle w:val="Hyperlink"/>
          </w:rPr>
          <w:t xml:space="preserve">, 2017</w:t>
        </w:r>
      </w:hyperlink>
      <w:r>
        <w:t xml:space="preserve">)</w:t>
      </w:r>
      <w:r>
        <w:t xml:space="preserve">.</w:t>
      </w:r>
    </w:p>
    <w:p>
      <w:pPr>
        <w:numPr>
          <w:ilvl w:val="0"/>
          <w:numId w:val="1136"/>
        </w:numPr>
      </w:pPr>
      <w:r>
        <w:rPr>
          <w:i/>
          <w:iCs/>
        </w:rPr>
        <w:t xml:space="preserve">Estados Unidos</w:t>
      </w:r>
      <w:r>
        <w:t xml:space="preserve">: leyes Sherman (1890) y Clayton (1914); directrices de concentraciones de 1982 y 2023</w:t>
      </w:r>
      <w:r>
        <w:t xml:space="preserve"> </w:t>
      </w:r>
      <w:r>
        <w:t xml:space="preserve">(</w:t>
      </w:r>
      <w:hyperlink w:anchor="ref_DOJ1982Merger">
        <w:r>
          <w:rPr>
            <w:rStyle w:val="Hyperlink"/>
            <w:smallCaps/>
          </w:rPr>
          <w:t xml:space="preserve">U.S. Department of Justice</w:t>
        </w:r>
        <w:r>
          <w:rPr>
            <w:rStyle w:val="Hyperlink"/>
          </w:rPr>
          <w:t xml:space="preserve">, 1982</w:t>
        </w:r>
      </w:hyperlink>
      <w:r>
        <w:t xml:space="preserve">;</w:t>
      </w:r>
      <w:r>
        <w:t xml:space="preserve"> </w:t>
      </w:r>
      <w:hyperlink w:anchor="ref_DOJFTC2023Merger">
        <w:r>
          <w:rPr>
            <w:rStyle w:val="Hyperlink"/>
            <w:smallCaps/>
          </w:rPr>
          <w:t xml:space="preserve">U.S. Department of Justice</w:t>
        </w:r>
        <w:r>
          <w:rPr>
            <w:rStyle w:val="Hyperlink"/>
          </w:rPr>
          <w:t xml:space="preserve"> </w:t>
        </w:r>
        <w:r>
          <w:rPr>
            <w:rStyle w:val="Hyperlink"/>
          </w:rPr>
          <w:t xml:space="preserve">y</w:t>
        </w:r>
        <w:r>
          <w:rPr>
            <w:rStyle w:val="Hyperlink"/>
          </w:rPr>
          <w:t xml:space="preserve"> </w:t>
        </w:r>
        <w:r>
          <w:rPr>
            <w:rStyle w:val="Hyperlink"/>
            <w:smallCaps/>
          </w:rPr>
          <w:t xml:space="preserve">Federal Trade Commission</w:t>
        </w:r>
        <w:r>
          <w:rPr>
            <w:rStyle w:val="Hyperlink"/>
          </w:rPr>
          <w:t xml:space="preserve">, 2023</w:t>
        </w:r>
      </w:hyperlink>
      <w:r>
        <w:t xml:space="preserve">)</w:t>
      </w:r>
      <w:r>
        <w:t xml:space="preserve"> </w:t>
      </w:r>
      <w:hyperlink r:id="rId28">
        <w:r>
          <w:rPr>
            <w:rStyle w:val="Referenciaatema"/>
          </w:rPr>
          <w:t xml:space="preserve">[ver tema 3.A.15]</w:t>
        </w:r>
      </w:hyperlink>
      <w:r>
        <w:t xml:space="preserve">.</w:t>
      </w:r>
    </w:p>
    <w:bookmarkEnd w:id="207"/>
    <w:bookmarkEnd w:id="208"/>
    <w:bookmarkStart w:id="215" w:name="anexo_bloque"/>
    <w:p>
      <w:pPr>
        <w:pStyle w:val="Heading1"/>
      </w:pPr>
      <w:r>
        <w:t xml:space="preserve">E. Anexo: qué estudia cada tema del bloque</w:t>
      </w:r>
    </w:p>
    <w:p>
      <w:pPr>
        <w:numPr>
          <w:ilvl w:val="0"/>
          <w:numId w:val="1139"/>
        </w:numPr>
      </w:pPr>
      <w:r>
        <w:rPr>
          <w:i/>
          <w:iCs/>
        </w:rPr>
        <w:t xml:space="preserve">Competencia perfecta en un mercado</w:t>
      </w:r>
      <w:r>
        <w:t xml:space="preserve"> </w:t>
      </w:r>
      <w:hyperlink r:id="rId25">
        <w:r>
          <w:rPr>
            <w:rStyle w:val="Referenciaatema"/>
          </w:rPr>
          <w:t xml:space="preserve">[ver tema 3.A.16]</w:t>
        </w:r>
      </w:hyperlink>
      <w:r>
        <w:t xml:space="preserve">: equilibrio parcial, plazos y bienestar medido con excedentes; la lista común de supuestos de las estructuras de mercado.</w:t>
      </w:r>
    </w:p>
    <w:p>
      <w:pPr>
        <w:numPr>
          <w:ilvl w:val="0"/>
          <w:numId w:val="1139"/>
        </w:numPr>
      </w:pPr>
      <w:r>
        <w:rPr>
          <w:i/>
          <w:iCs/>
        </w:rPr>
        <w:t xml:space="preserve">Este tema</w:t>
      </w:r>
      <w:r>
        <w:t xml:space="preserve">: el poder de mercado y su regulación óptima, también con información asimétrica, y la teoría positiva de la regulación (captura).</w:t>
      </w:r>
    </w:p>
    <w:p>
      <w:pPr>
        <w:numPr>
          <w:ilvl w:val="0"/>
          <w:numId w:val="1139"/>
        </w:numPr>
      </w:pPr>
      <w:r>
        <w:rPr>
          <w:i/>
          <w:iCs/>
        </w:rPr>
        <w:t xml:space="preserve">Equilibrio general</w:t>
      </w:r>
      <w:r>
        <w:t xml:space="preserve"> </w:t>
      </w:r>
      <w:hyperlink r:id="rId209">
        <w:r>
          <w:rPr>
            <w:rStyle w:val="Referenciaatema"/>
          </w:rPr>
          <w:t xml:space="preserve">[ver tema 3.A.21]</w:t>
        </w:r>
      </w:hyperlink>
      <w:r>
        <w:t xml:space="preserve">: la competencia perfecta en todos los mercados a la vez: excesos de demanda, ley de</w:t>
      </w:r>
      <w:r>
        <w:t xml:space="preserve"> </w:t>
      </w:r>
      <w:r>
        <w:rPr>
          <w:smallCaps/>
        </w:rPr>
        <w:t xml:space="preserve">Walras</w:t>
      </w:r>
      <w:r>
        <w:t xml:space="preserve">, existencia, unicidad y estabilidad.</w:t>
      </w:r>
    </w:p>
    <w:p>
      <w:pPr>
        <w:numPr>
          <w:ilvl w:val="0"/>
          <w:numId w:val="1139"/>
        </w:numPr>
      </w:pPr>
      <w:r>
        <w:rPr>
          <w:i/>
          <w:iCs/>
        </w:rPr>
        <w:t xml:space="preserve">Teoremas del bienestar</w:t>
      </w:r>
      <w:r>
        <w:t xml:space="preserve"> </w:t>
      </w:r>
      <w:hyperlink r:id="rId22">
        <w:r>
          <w:rPr>
            <w:rStyle w:val="Referenciaatema"/>
          </w:rPr>
          <w:t xml:space="preserve">[ver tema 3.A.22]</w:t>
        </w:r>
      </w:hyperlink>
      <w:r>
        <w:t xml:space="preserve">: el óptimo de</w:t>
      </w:r>
      <w:r>
        <w:t xml:space="preserve"> </w:t>
      </w:r>
      <w:r>
        <w:rPr>
          <w:smallCaps/>
        </w:rPr>
        <w:t xml:space="preserve">Pareto</w:t>
      </w:r>
      <w:r>
        <w:t xml:space="preserve">, los 2 teoremas fundamentales con todos sus supuestos y su demostración, y el</w:t>
      </w:r>
      <w:r>
        <w:t xml:space="preserve"> </w:t>
      </w:r>
      <w:r>
        <w:rPr>
          <w:i/>
          <w:iCs/>
        </w:rPr>
        <w:t xml:space="preserve">second best</w:t>
      </w:r>
      <w:r>
        <w:t xml:space="preserve">.</w:t>
      </w:r>
    </w:p>
    <w:p>
      <w:pPr>
        <w:numPr>
          <w:ilvl w:val="0"/>
          <w:numId w:val="1139"/>
        </w:numPr>
      </w:pPr>
      <w:r>
        <w:rPr>
          <w:i/>
          <w:iCs/>
        </w:rPr>
        <w:t xml:space="preserve">Fallos de mercado</w:t>
      </w:r>
      <w:r>
        <w:t xml:space="preserve"> </w:t>
      </w:r>
      <w:hyperlink r:id="rId23">
        <w:r>
          <w:rPr>
            <w:rStyle w:val="Referenciaatema"/>
          </w:rPr>
          <w:t xml:space="preserve">[ver tema 3.A.23]</w:t>
        </w:r>
      </w:hyperlink>
      <w:r>
        <w:t xml:space="preserve">: las externalidades y los bienes públicos, cómo puede intervenir el sector público y los fallos del propio sector público.</w:t>
      </w:r>
    </w:p>
    <w:p>
      <w:pPr>
        <w:numPr>
          <w:ilvl w:val="0"/>
          <w:numId w:val="1139"/>
        </w:numPr>
      </w:pPr>
      <w:r>
        <w:rPr>
          <w:i/>
          <w:iCs/>
        </w:rPr>
        <w:t xml:space="preserve">Funciones de bienestar social y elección colectiva</w:t>
      </w:r>
      <w:r>
        <w:t xml:space="preserve"> </w:t>
      </w:r>
      <w:hyperlink r:id="rId210">
        <w:r>
          <w:rPr>
            <w:rStyle w:val="Referenciaatema"/>
          </w:rPr>
          <w:t xml:space="preserve">[ver tema 3.A.24]</w:t>
        </w:r>
      </w:hyperlink>
      <w:r>
        <w:t xml:space="preserve">: cómo elegir entre los óptimos y cómo decide la sociedad (votación, teorema de</w:t>
      </w:r>
      <w:r>
        <w:t xml:space="preserve"> </w:t>
      </w:r>
      <w:r>
        <w:rPr>
          <w:smallCaps/>
        </w:rPr>
        <w:t xml:space="preserve">Arrow</w:t>
      </w:r>
      <w:r>
        <w:t xml:space="preserve">).</w:t>
      </w:r>
    </w:p>
    <w:p>
      <w:pPr>
        <w:numPr>
          <w:ilvl w:val="0"/>
          <w:numId w:val="1139"/>
        </w:numPr>
      </w:pPr>
      <w:r>
        <w:rPr>
          <w:i/>
          <w:iCs/>
        </w:rPr>
        <w:t xml:space="preserve">Cambio climático</w:t>
      </w:r>
      <w:r>
        <w:t xml:space="preserve"> </w:t>
      </w:r>
      <w:hyperlink r:id="rId211">
        <w:r>
          <w:rPr>
            <w:rStyle w:val="Referenciaatema"/>
          </w:rPr>
          <w:t xml:space="preserve">[ver tema 3.B.31]</w:t>
        </w:r>
      </w:hyperlink>
      <w:r>
        <w:t xml:space="preserve">: la mayor externalidad global y los acuerdos y medidas para hacerle frente.</w:t>
      </w:r>
    </w:p>
    <w:p>
      <w:pPr>
        <w:numPr>
          <w:ilvl w:val="0"/>
          <w:numId w:val="1139"/>
        </w:numPr>
      </w:pPr>
      <w:r>
        <w:t xml:space="preserve">En el cuarto ejercicio, los mecanismos de decisión del sector público y la burocracia</w:t>
      </w:r>
      <w:r>
        <w:t xml:space="preserve"> </w:t>
      </w:r>
      <w:hyperlink r:id="rId139">
        <w:r>
          <w:rPr>
            <w:rStyle w:val="Referenciaatema"/>
          </w:rPr>
          <w:t xml:space="preserve">[ver tema 4.B.2]</w:t>
        </w:r>
      </w:hyperlink>
      <w:r>
        <w:t xml:space="preserve">, la evaluación de políticas</w:t>
      </w:r>
      <w:r>
        <w:t xml:space="preserve"> </w:t>
      </w:r>
      <w:hyperlink r:id="rId212">
        <w:r>
          <w:rPr>
            <w:rStyle w:val="Referenciaatema"/>
          </w:rPr>
          <w:t xml:space="preserve">[ver tema 4.B.6]</w:t>
        </w:r>
      </w:hyperlink>
      <w:r>
        <w:t xml:space="preserve">, la imposición indirecta y la fiscalidad verde</w:t>
      </w:r>
      <w:r>
        <w:t xml:space="preserve"> </w:t>
      </w:r>
      <w:hyperlink r:id="rId213">
        <w:r>
          <w:rPr>
            <w:rStyle w:val="Referenciaatema"/>
          </w:rPr>
          <w:t xml:space="preserve">[ver tema 4.B.13]</w:t>
        </w:r>
      </w:hyperlink>
      <w:r>
        <w:t xml:space="preserve">, el federalismo fiscal</w:t>
      </w:r>
      <w:r>
        <w:t xml:space="preserve"> </w:t>
      </w:r>
      <w:hyperlink r:id="rId214">
        <w:r>
          <w:rPr>
            <w:rStyle w:val="Referenciaatema"/>
          </w:rPr>
          <w:t xml:space="preserve">[ver tema 4.B.14]</w:t>
        </w:r>
      </w:hyperlink>
      <w:r>
        <w:t xml:space="preserve"> </w:t>
      </w:r>
      <w:r>
        <w:t xml:space="preserve">y la empresa pública</w:t>
      </w:r>
      <w:r>
        <w:t xml:space="preserve"> </w:t>
      </w:r>
      <w:hyperlink r:id="rId176">
        <w:r>
          <w:rPr>
            <w:rStyle w:val="Referenciaatema"/>
          </w:rPr>
          <w:t xml:space="preserve">[ver tema 4.B.15]</w:t>
        </w:r>
      </w:hyperlink>
      <w:r>
        <w:t xml:space="preserve">.</w:t>
      </w:r>
    </w:p>
    <w:bookmarkEnd w:id="215"/>
    <w:bookmarkStart w:id="219" w:name="anexo_test"/>
    <w:p>
      <w:pPr>
        <w:pStyle w:val="Heading1"/>
      </w:pPr>
      <w:r>
        <w:t xml:space="preserve">F. Anexo: aspectos para el test y preguntas del tribunal</w:t>
      </w:r>
    </w:p>
    <w:p>
      <w:pPr>
        <w:pStyle w:val="Cajadeanotaciones"/>
        <w:keepLines/>
      </w:pPr>
      <w:r>
        <w:t xml:space="preserve">Preguntas tipo test del primer ejercicio:</w:t>
      </w:r>
      <w:r>
        <w:t xml:space="preserve"> </w:t>
      </w:r>
      <w:hyperlink r:id="rId216">
        <w:r>
          <w:rPr>
            <w:rStyle w:val="Hyperlink"/>
          </w:rPr>
          <w:t xml:space="preserve">simulador de test</w:t>
        </w:r>
      </w:hyperlink>
      <w:r>
        <w:t xml:space="preserve">.</w:t>
      </w:r>
    </w:p>
    <w:bookmarkStart w:id="217" w:name="lo_que_se_suele_preguntar_en_el_test"/>
    <w:p>
      <w:pPr>
        <w:pStyle w:val="Heading4"/>
      </w:pPr>
      <w:r>
        <w:t xml:space="preserve">Lo que se suele preguntar en el test</w:t>
      </w:r>
    </w:p>
    <w:p>
      <w:pPr>
        <w:numPr>
          <w:ilvl w:val="0"/>
          <w:numId w:val="1140"/>
        </w:numPr>
      </w:pPr>
      <w:r>
        <w:rPr>
          <w:i/>
          <w:iCs/>
        </w:rPr>
        <w:t xml:space="preserve">Índice de</w:t>
      </w:r>
      <w:r>
        <w:rPr>
          <w:i/>
          <w:iCs/>
        </w:rPr>
        <w:t xml:space="preserve"> </w:t>
      </w:r>
      <w:r>
        <w:rPr>
          <w:i/>
          <w:iCs/>
          <w:smallCaps/>
        </w:rPr>
        <w:t xml:space="preserve">Lerner</w:t>
      </w:r>
      <w:r>
        <w:t xml:space="preserve">:</w:t>
      </w:r>
      <w:r>
        <w:t xml:space="preserve"> </w:t>
      </w:r>
      <m:oMath>
        <m:r>
          <m:rPr>
            <m:sty m:val="p"/>
            <m:scr m:val="script"/>
          </m:rPr>
          <m:t>L</m:t>
        </m:r>
        <m:r>
          <m:rPr>
            <m:sty m:val="p"/>
          </m:rPr>
          <m:t>=</m:t>
        </m:r>
        <m:d>
          <m:dPr>
            <m:begChr m:val="("/>
            <m:sepChr m:val=""/>
            <m:endChr m:val=")"/>
            <m:grow/>
          </m:dPr>
          <m:e>
            <m:r>
              <m:t>p</m:t>
            </m:r>
            <m:r>
              <m:rPr>
                <m:sty m:val="p"/>
              </m:rPr>
              <m:t>−</m:t>
            </m:r>
            <m:r>
              <m:rPr>
                <m:sty m:val="p"/>
              </m:rPr>
              <m:t>C</m:t>
            </m:r>
            <m:r>
              <m:rPr>
                <m:sty m:val="p"/>
              </m:rPr>
              <m:t>M</m:t>
            </m:r>
            <m:r>
              <m:rPr>
                <m:sty m:val="p"/>
              </m:rPr>
              <m:t>g</m:t>
            </m:r>
          </m:e>
        </m:d>
        <m:r>
          <m:rPr>
            <m:sty m:val="p"/>
          </m:rPr>
          <m:t>/</m:t>
        </m:r>
        <m:r>
          <m:t>p</m:t>
        </m:r>
        <m:r>
          <m:rPr>
            <m:sty m:val="p"/>
          </m:rPr>
          <m:t>=</m:t>
        </m:r>
        <m:r>
          <m:t>1</m:t>
        </m:r>
        <m:r>
          <m:rPr>
            <m:sty m:val="p"/>
          </m:rPr>
          <m:t>/</m:t>
        </m:r>
        <m:d>
          <m:dPr>
            <m:begChr m:val="|"/>
            <m:sepChr m:val=""/>
            <m:endChr m:val="|"/>
            <m:grow/>
          </m:dPr>
          <m:e>
            <m:sSub>
              <m:e>
                <m:r>
                  <m:t>ε</m:t>
                </m:r>
              </m:e>
              <m:sub>
                <m:r>
                  <m:t>q</m:t>
                </m:r>
                <m:r>
                  <m:rPr>
                    <m:sty m:val="p"/>
                  </m:rPr>
                  <m:t>,</m:t>
                </m:r>
                <m:r>
                  <m:t>p</m:t>
                </m:r>
              </m:sub>
            </m:sSub>
          </m:e>
        </m:d>
      </m:oMath>
      <w:r>
        <w:t xml:space="preserve"> </w:t>
      </w:r>
      <w:r>
        <w:t xml:space="preserve">en el óptimo del monopolista; entre 0 y 1; el monopolista opera en el tramo elástico (</w:t>
      </w:r>
      <m:oMath>
        <m:d>
          <m:dPr>
            <m:begChr m:val="|"/>
            <m:sepChr m:val=""/>
            <m:endChr m:val="|"/>
            <m:grow/>
          </m:dPr>
          <m:e>
            <m:sSub>
              <m:e>
                <m:r>
                  <m:t>ε</m:t>
                </m:r>
              </m:e>
              <m:sub>
                <m:r>
                  <m:t>q</m:t>
                </m:r>
                <m:r>
                  <m:rPr>
                    <m:sty m:val="p"/>
                  </m:rPr>
                  <m:t>,</m:t>
                </m:r>
                <m:r>
                  <m:t>p</m:t>
                </m:r>
              </m:sub>
            </m:sSub>
          </m:e>
        </m:d>
        <m:r>
          <m:rPr>
            <m:sty m:val="p"/>
          </m:rPr>
          <m:t>&gt;</m:t>
        </m:r>
        <m:r>
          <m:t>1</m:t>
        </m:r>
      </m:oMath>
      <w:r>
        <w:t xml:space="preserve">).</w:t>
      </w:r>
    </w:p>
    <w:p>
      <w:pPr>
        <w:numPr>
          <w:ilvl w:val="0"/>
          <w:numId w:val="1140"/>
        </w:numPr>
      </w:pPr>
      <w:r>
        <w:rPr>
          <w:i/>
          <w:iCs/>
        </w:rPr>
        <w:t xml:space="preserve">IHH</w:t>
      </w:r>
      <w:r>
        <w:t xml:space="preserve">:</w:t>
      </w:r>
      <w:r>
        <w:t xml:space="preserve"> </w:t>
      </w:r>
      <m:oMath>
        <m:nary>
          <m:naryPr>
            <m:chr m:val="∑"/>
            <m:limLoc m:val="undOvr"/>
            <m:subHide m:val="off"/>
            <m:supHide m:val="on"/>
          </m:naryPr>
          <m:sub>
            <m:r>
              <m:t>i</m:t>
            </m:r>
          </m:sub>
          <m:sup>
            <m:r>
              <m:t>​</m:t>
            </m:r>
          </m:sup>
          <m:e>
            <m:sSup>
              <m:e>
                <m:d>
                  <m:dPr>
                    <m:begChr m:val="("/>
                    <m:sepChr m:val=""/>
                    <m:endChr m:val=")"/>
                    <m:grow/>
                  </m:dPr>
                  <m:e>
                    <m:r>
                      <m:t>100</m:t>
                    </m:r>
                    <m:r>
                      <m:t> </m:t>
                    </m:r>
                    <m:sSub>
                      <m:e>
                        <m:r>
                          <m:t>s</m:t>
                        </m:r>
                      </m:e>
                      <m:sub>
                        <m:r>
                          <m:t>i</m:t>
                        </m:r>
                      </m:sub>
                    </m:sSub>
                  </m:e>
                </m:d>
              </m:e>
              <m:sup>
                <m:r>
                  <m:t>2</m:t>
                </m:r>
              </m:sup>
            </m:sSup>
          </m:e>
        </m:nary>
      </m:oMath>
      <w:r>
        <w:t xml:space="preserve">, de 0 a 10.000; con</w:t>
      </w:r>
      <w:r>
        <w:t xml:space="preserve"> </w:t>
      </w:r>
      <m:oMath>
        <m:r>
          <m:t>n</m:t>
        </m:r>
      </m:oMath>
      <w:r>
        <w:t xml:space="preserve"> </w:t>
      </w:r>
      <w:r>
        <w:t xml:space="preserve">empresas iguales,</w:t>
      </w:r>
      <w:r>
        <w:t xml:space="preserve"> </w:t>
      </w:r>
      <m:oMath>
        <m:r>
          <m:t>10.000</m:t>
        </m:r>
        <m:r>
          <m:rPr>
            <m:sty m:val="p"/>
          </m:rPr>
          <m:t>/</m:t>
        </m:r>
        <m:r>
          <m:t>n</m:t>
        </m:r>
      </m:oMath>
      <w:r>
        <w:t xml:space="preserve">. Monopolio: 10.000.</w:t>
      </w:r>
    </w:p>
    <w:p>
      <w:pPr>
        <w:numPr>
          <w:ilvl w:val="0"/>
          <w:numId w:val="1140"/>
        </w:numPr>
      </w:pPr>
      <w:r>
        <w:rPr>
          <w:i/>
          <w:iCs/>
        </w:rPr>
        <w:t xml:space="preserve">SSNIP</w:t>
      </w:r>
      <w:r>
        <w:t xml:space="preserve">: subida del 5 al 10 %, «pequeña pero significativa y no transitoria»; el mercado relevante es el</w:t>
      </w:r>
      <w:r>
        <w:t xml:space="preserve"> </w:t>
      </w:r>
      <w:r>
        <w:rPr>
          <w:i/>
          <w:iCs/>
        </w:rPr>
        <w:t xml:space="preserve">menor</w:t>
      </w:r>
      <w:r>
        <w:t xml:space="preserve"> </w:t>
      </w:r>
      <w:r>
        <w:t xml:space="preserve">conjunto en el que la subida es rentable. Pérdida crítica:</w:t>
      </w:r>
      <w:r>
        <w:t xml:space="preserve"> </w:t>
      </w:r>
      <m:oMath>
        <m:sSup>
          <m:e>
            <m:r>
              <m:rPr>
                <m:sty m:val="p"/>
              </m:rPr>
              <m:t>ℓ</m:t>
            </m:r>
          </m:e>
          <m:sup>
            <m:r>
              <m:t>c</m:t>
            </m:r>
          </m:sup>
        </m:sSup>
        <m:r>
          <m:rPr>
            <m:sty m:val="p"/>
          </m:rPr>
          <m:t>=</m:t>
        </m:r>
        <m:r>
          <m:t>τ</m:t>
        </m:r>
        <m:r>
          <m:rPr>
            <m:sty m:val="p"/>
          </m:rPr>
          <m:t>/</m:t>
        </m:r>
        <m:d>
          <m:dPr>
            <m:begChr m:val="("/>
            <m:sepChr m:val=""/>
            <m:endChr m:val=")"/>
            <m:grow/>
          </m:dPr>
          <m:e>
            <m:r>
              <m:t>τ</m:t>
            </m:r>
            <m:r>
              <m:rPr>
                <m:sty m:val="p"/>
              </m:rPr>
              <m:t>+</m:t>
            </m:r>
            <m:r>
              <m:rPr>
                <m:sty m:val="p"/>
                <m:scr m:val="script"/>
              </m:rPr>
              <m:t>L</m:t>
            </m:r>
          </m:e>
        </m:d>
      </m:oMath>
      <w:r>
        <w:t xml:space="preserve">.</w:t>
      </w:r>
      <w:r>
        <w:t xml:space="preserve"> </w:t>
      </w:r>
      <w:r>
        <w:rPr>
          <w:i/>
          <w:iCs/>
        </w:rPr>
        <w:t xml:space="preserve">Celofán</w:t>
      </w:r>
      <w:r>
        <w:t xml:space="preserve">: con precios ya de monopolio, el mercado sale demasiado amplio. SSNDQ: la variante con la calidad, para productos de precio cero.</w:t>
      </w:r>
    </w:p>
    <w:p>
      <w:pPr>
        <w:numPr>
          <w:ilvl w:val="0"/>
          <w:numId w:val="1140"/>
        </w:numPr>
      </w:pPr>
      <w:r>
        <w:rPr>
          <w:i/>
          <w:iCs/>
        </w:rPr>
        <w:t xml:space="preserve">Umbrales</w:t>
      </w:r>
      <w:r>
        <w:t xml:space="preserve">: 50 % presunción de dominancia</w:t>
      </w:r>
      <w:r>
        <w:t xml:space="preserve"> </w:t>
      </w:r>
      <w:r>
        <w:t xml:space="preserve">(</w:t>
      </w:r>
      <w:hyperlink w:anchor="ref_TJUE1991AKZO">
        <w:r>
          <w:rPr>
            <w:rStyle w:val="Hyperlink"/>
            <w:smallCaps/>
          </w:rPr>
          <w:t xml:space="preserve">Tribunal de Justicia de las Comunidades Europeas</w:t>
        </w:r>
        <w:r>
          <w:rPr>
            <w:rStyle w:val="Hyperlink"/>
          </w:rPr>
          <w:t xml:space="preserve">, 1991</w:t>
        </w:r>
      </w:hyperlink>
      <w:r>
        <w:t xml:space="preserve">)</w:t>
      </w:r>
      <w:r>
        <w:t xml:space="preserve">; por debajo del 40 %, dominancia improbable</w:t>
      </w:r>
      <w:r>
        <w:t xml:space="preserve"> </w:t>
      </w:r>
      <w:r>
        <w:t xml:space="preserve">(</w:t>
      </w:r>
      <w:hyperlink w:anchor="ref_CE2026DirectricesExclusion">
        <w:r>
          <w:rPr>
            <w:rStyle w:val="Hyperlink"/>
            <w:smallCaps/>
          </w:rPr>
          <w:t xml:space="preserve">Comisión Europea</w:t>
        </w:r>
        <w:r>
          <w:rPr>
            <w:rStyle w:val="Hyperlink"/>
          </w:rPr>
          <w:t xml:space="preserve">, 2026d</w:t>
        </w:r>
      </w:hyperlink>
      <w:r>
        <w:t xml:space="preserve">, punto 24)</w:t>
      </w:r>
      <w:r>
        <w:t xml:space="preserve">; 30 % acuerdos verticales</w:t>
      </w:r>
      <w:r>
        <w:t xml:space="preserve"> </w:t>
      </w:r>
      <w:r>
        <w:t xml:space="preserve">(</w:t>
      </w:r>
      <w:hyperlink w:anchor="ref_UE2022RECAV">
        <w:r>
          <w:rPr>
            <w:rStyle w:val="Hyperlink"/>
            <w:smallCaps/>
          </w:rPr>
          <w:t xml:space="preserve">Comisión Europea</w:t>
        </w:r>
        <w:r>
          <w:rPr>
            <w:rStyle w:val="Hyperlink"/>
          </w:rPr>
          <w:t xml:space="preserve">, 2022</w:t>
        </w:r>
      </w:hyperlink>
      <w:r>
        <w:t xml:space="preserve">)</w:t>
      </w:r>
      <w:r>
        <w:t xml:space="preserve">; 10 y 15 %</w:t>
      </w:r>
      <w:r>
        <w:t xml:space="preserve"> </w:t>
      </w:r>
      <w:r>
        <w:rPr>
          <w:i/>
          <w:iCs/>
        </w:rPr>
        <w:t xml:space="preserve">de minimis</w:t>
      </w:r>
      <w:r>
        <w:t xml:space="preserve"> </w:t>
      </w:r>
      <w:r>
        <w:t xml:space="preserve">(</w:t>
      </w:r>
      <w:hyperlink w:anchor="ref_CE2014DeMinimis">
        <w:r>
          <w:rPr>
            <w:rStyle w:val="Hyperlink"/>
            <w:smallCaps/>
          </w:rPr>
          <w:t xml:space="preserve">Comisión Europea</w:t>
        </w:r>
        <w:r>
          <w:rPr>
            <w:rStyle w:val="Hyperlink"/>
          </w:rPr>
          <w:t xml:space="preserve">, 2014</w:t>
        </w:r>
      </w:hyperlink>
      <w:r>
        <w:t xml:space="preserve">)</w:t>
      </w:r>
      <w:r>
        <w:t xml:space="preserve">.</w:t>
      </w:r>
    </w:p>
    <w:p>
      <w:pPr>
        <w:numPr>
          <w:ilvl w:val="0"/>
          <w:numId w:val="1140"/>
        </w:numPr>
      </w:pPr>
      <w:r>
        <w:rPr>
          <w:i/>
          <w:iCs/>
        </w:rPr>
        <w:t xml:space="preserve">Ramsey-Boiteux</w:t>
      </w:r>
      <w:r>
        <w:t xml:space="preserve">: el margen crece con</w:t>
      </w:r>
      <w:r>
        <w:t xml:space="preserve"> </w:t>
      </w:r>
      <m:oMath>
        <m:r>
          <m:t>λ</m:t>
        </m:r>
      </m:oMath>
      <w:r>
        <w:t xml:space="preserve">; con</w:t>
      </w:r>
      <w:r>
        <w:t xml:space="preserve"> </w:t>
      </w:r>
      <m:oMath>
        <m:r>
          <m:t>λ</m:t>
        </m:r>
        <m:r>
          <m:rPr>
            <m:sty m:val="p"/>
          </m:rPr>
          <m:t>=</m:t>
        </m:r>
        <m:r>
          <m:t>0</m:t>
        </m:r>
      </m:oMath>
      <w:r>
        <w:t xml:space="preserve">,</w:t>
      </w:r>
      <w:r>
        <w:t xml:space="preserve"> </w:t>
      </w:r>
      <m:oMath>
        <m:r>
          <m:t>p</m:t>
        </m:r>
        <m:r>
          <m:rPr>
            <m:sty m:val="p"/>
          </m:rPr>
          <m:t>=</m:t>
        </m:r>
        <m:r>
          <m:rPr>
            <m:sty m:val="p"/>
          </m:rPr>
          <m:t>C</m:t>
        </m:r>
        <m:r>
          <m:rPr>
            <m:sty m:val="p"/>
          </m:rPr>
          <m:t>M</m:t>
        </m:r>
        <m:r>
          <m:rPr>
            <m:sty m:val="p"/>
          </m:rPr>
          <m:t>g</m:t>
        </m:r>
      </m:oMath>
      <w:r>
        <w:t xml:space="preserve">; con</w:t>
      </w:r>
      <w:r>
        <w:t xml:space="preserve"> </w:t>
      </w:r>
      <m:oMath>
        <m:r>
          <m:t>λ</m:t>
        </m:r>
        <m:r>
          <m:rPr>
            <m:sty m:val="p"/>
          </m:rPr>
          <m:t>→</m:t>
        </m:r>
        <m:r>
          <m:rPr>
            <m:sty m:val="p"/>
          </m:rPr>
          <m:t>∞</m:t>
        </m:r>
      </m:oMath>
      <w:r>
        <w:t xml:space="preserve">, monopolio.</w:t>
      </w:r>
    </w:p>
    <w:p>
      <w:pPr>
        <w:numPr>
          <w:ilvl w:val="0"/>
          <w:numId w:val="1140"/>
        </w:numPr>
      </w:pPr>
      <w:r>
        <w:rPr>
          <w:i/>
          <w:iCs/>
        </w:rPr>
        <w:t xml:space="preserve">Averch-Johnson</w:t>
      </w:r>
      <w:r>
        <w:t xml:space="preserve">: sobrecapitalización con</w:t>
      </w:r>
      <w:r>
        <w:t xml:space="preserve"> </w:t>
      </w:r>
      <m:oMath>
        <m:r>
          <m:t>s</m:t>
        </m:r>
        <m:r>
          <m:rPr>
            <m:sty m:val="p"/>
          </m:rPr>
          <m:t>&gt;</m:t>
        </m:r>
        <m:sSub>
          <m:e>
            <m:r>
              <m:t>w</m:t>
            </m:r>
          </m:e>
          <m:sub>
            <m:r>
              <m:t>K</m:t>
            </m:r>
          </m:sub>
        </m:sSub>
      </m:oMath>
      <w:r>
        <w:t xml:space="preserve">;</w:t>
      </w:r>
      <w:r>
        <w:t xml:space="preserve"> </w:t>
      </w:r>
      <m:oMath>
        <m:sSub>
          <m:e>
            <m:r>
              <m:rPr>
                <m:sty m:val="p"/>
              </m:rPr>
              <m:t>R</m:t>
            </m:r>
            <m:r>
              <m:rPr>
                <m:sty m:val="p"/>
              </m:rPr>
              <m:t>M</m:t>
            </m:r>
            <m:r>
              <m:rPr>
                <m:sty m:val="p"/>
              </m:rPr>
              <m:t>S</m:t>
            </m:r>
            <m:r>
              <m:rPr>
                <m:sty m:val="p"/>
              </m:rPr>
              <m:t>T</m:t>
            </m:r>
          </m:e>
          <m:sub>
            <m:r>
              <m:t>L</m:t>
            </m:r>
            <m:r>
              <m:t>K</m:t>
            </m:r>
          </m:sub>
        </m:sSub>
        <m:r>
          <m:rPr>
            <m:sty m:val="p"/>
          </m:rPr>
          <m:t>&gt;</m:t>
        </m:r>
        <m:sSub>
          <m:e>
            <m:r>
              <m:t>w</m:t>
            </m:r>
          </m:e>
          <m:sub>
            <m:r>
              <m:t>L</m:t>
            </m:r>
          </m:sub>
        </m:sSub>
        <m:r>
          <m:rPr>
            <m:sty m:val="p"/>
          </m:rPr>
          <m:t>/</m:t>
        </m:r>
        <m:sSub>
          <m:e>
            <m:r>
              <m:t>w</m:t>
            </m:r>
          </m:e>
          <m:sub>
            <m:r>
              <m:t>K</m:t>
            </m:r>
          </m:sub>
        </m:sSub>
      </m:oMath>
      <w:r>
        <w:t xml:space="preserve">;</w:t>
      </w:r>
      <w:r>
        <w:t xml:space="preserve"> </w:t>
      </w:r>
      <m:oMath>
        <m:r>
          <m:t>0</m:t>
        </m:r>
        <m:r>
          <m:rPr>
            <m:sty m:val="p"/>
          </m:rPr>
          <m:t>&lt;</m:t>
        </m:r>
        <m:r>
          <m:t>μ</m:t>
        </m:r>
        <m:r>
          <m:rPr>
            <m:sty m:val="p"/>
          </m:rPr>
          <m:t>&lt;</m:t>
        </m:r>
        <m:r>
          <m:t>1</m:t>
        </m:r>
      </m:oMath>
      <w:r>
        <w:t xml:space="preserve">.</w:t>
      </w:r>
    </w:p>
    <w:p>
      <w:pPr>
        <w:numPr>
          <w:ilvl w:val="0"/>
          <w:numId w:val="1140"/>
        </w:numPr>
      </w:pPr>
      <w:r>
        <w:rPr>
          <w:i/>
          <w:iCs/>
        </w:rPr>
        <w:t xml:space="preserve">Baron-Myerson</w:t>
      </w:r>
      <w:r>
        <w:t xml:space="preserve">: no hay distorsión arriba; la ineficiente produce menos y sin renta; la eficiente se queda</w:t>
      </w:r>
      <w:r>
        <w:t xml:space="preserve"> </w:t>
      </w:r>
      <m:oMath>
        <m:r>
          <m:t>Δ</m:t>
        </m:r>
        <m:r>
          <m:t>β</m:t>
        </m:r>
        <m:r>
          <m:t> </m:t>
        </m:r>
        <m:bar>
          <m:barPr>
            <m:pos m:val="top"/>
          </m:barPr>
          <m:e>
            <m:r>
              <m:t>q</m:t>
            </m:r>
          </m:e>
        </m:bar>
      </m:oMath>
      <w:r>
        <w:t xml:space="preserve">.</w:t>
      </w:r>
    </w:p>
    <w:p>
      <w:pPr>
        <w:numPr>
          <w:ilvl w:val="0"/>
          <w:numId w:val="1140"/>
        </w:numPr>
      </w:pPr>
      <w:r>
        <w:rPr>
          <w:i/>
          <w:iCs/>
        </w:rPr>
        <w:t xml:space="preserve">Laffont-Tirole</w:t>
      </w:r>
      <w:r>
        <w:t xml:space="preserve">:</w:t>
      </w:r>
      <w:r>
        <w:t xml:space="preserve"> </w:t>
      </w:r>
      <m:oMath>
        <m:r>
          <m:t>ψ</m:t>
        </m:r>
        <m:r>
          <m:rPr>
            <m:sty m:val="p"/>
          </m:rPr>
          <m:t>′</m:t>
        </m:r>
        <m:d>
          <m:dPr>
            <m:begChr m:val="("/>
            <m:sepChr m:val=""/>
            <m:endChr m:val=")"/>
            <m:grow/>
          </m:dPr>
          <m:e>
            <m:bar>
              <m:barPr>
                <m:pos m:val="bot"/>
              </m:barPr>
              <m:e>
                <m:r>
                  <m:t>e</m:t>
                </m:r>
              </m:e>
            </m:bar>
          </m:e>
        </m:d>
        <m:r>
          <m:rPr>
            <m:sty m:val="p"/>
          </m:rPr>
          <m:t>=</m:t>
        </m:r>
        <m:r>
          <m:t>1</m:t>
        </m:r>
      </m:oMath>
      <w:r>
        <w:t xml:space="preserve">,</w:t>
      </w:r>
      <w:r>
        <w:t xml:space="preserve"> </w:t>
      </w:r>
      <m:oMath>
        <m:r>
          <m:t>ψ</m:t>
        </m:r>
        <m:r>
          <m:rPr>
            <m:sty m:val="p"/>
          </m:rPr>
          <m:t>′</m:t>
        </m:r>
        <m:d>
          <m:dPr>
            <m:begChr m:val="("/>
            <m:sepChr m:val=""/>
            <m:endChr m:val=")"/>
            <m:grow/>
          </m:dPr>
          <m:e>
            <m:bar>
              <m:barPr>
                <m:pos m:val="top"/>
              </m:barPr>
              <m:e>
                <m:r>
                  <m:t>e</m:t>
                </m:r>
              </m:e>
            </m:bar>
          </m:e>
        </m:d>
        <m:r>
          <m:rPr>
            <m:sty m:val="p"/>
          </m:rPr>
          <m:t>&lt;</m:t>
        </m:r>
        <m:r>
          <m:t>1</m:t>
        </m:r>
      </m:oMath>
      <w:r>
        <w:t xml:space="preserve">; renta</w:t>
      </w:r>
      <w:r>
        <w:t xml:space="preserve"> </w:t>
      </w:r>
      <m:oMath>
        <m:r>
          <m:t>Φ</m:t>
        </m:r>
        <m:d>
          <m:dPr>
            <m:begChr m:val="("/>
            <m:sepChr m:val=""/>
            <m:endChr m:val=")"/>
            <m:grow/>
          </m:dPr>
          <m:e>
            <m:bar>
              <m:barPr>
                <m:pos m:val="top"/>
              </m:barPr>
              <m:e>
                <m:r>
                  <m:t>e</m:t>
                </m:r>
              </m:e>
            </m:bar>
          </m:e>
        </m:d>
        <m:r>
          <m:rPr>
            <m:sty m:val="p"/>
          </m:rPr>
          <m:t>=</m:t>
        </m:r>
        <m:r>
          <m:t>ψ</m:t>
        </m:r>
        <m:d>
          <m:dPr>
            <m:begChr m:val="("/>
            <m:sepChr m:val=""/>
            <m:endChr m:val=")"/>
            <m:grow/>
          </m:dPr>
          <m:e>
            <m:bar>
              <m:barPr>
                <m:pos m:val="top"/>
              </m:barPr>
              <m:e>
                <m:r>
                  <m:t>e</m:t>
                </m:r>
              </m:e>
            </m:bar>
          </m:e>
        </m:d>
        <m:r>
          <m:rPr>
            <m:sty m:val="p"/>
          </m:rPr>
          <m:t>−</m:t>
        </m:r>
        <m:r>
          <m:t>ψ</m:t>
        </m:r>
        <m:d>
          <m:dPr>
            <m:begChr m:val="("/>
            <m:sepChr m:val=""/>
            <m:endChr m:val=")"/>
            <m:grow/>
          </m:dPr>
          <m:e>
            <m:bar>
              <m:barPr>
                <m:pos m:val="top"/>
              </m:barPr>
              <m:e>
                <m:r>
                  <m:t>e</m:t>
                </m:r>
              </m:e>
            </m:bar>
            <m:r>
              <m:rPr>
                <m:sty m:val="p"/>
              </m:rPr>
              <m:t>−</m:t>
            </m:r>
            <m:r>
              <m:t>Δ</m:t>
            </m:r>
            <m:r>
              <m:t>β</m:t>
            </m:r>
          </m:e>
        </m:d>
      </m:oMath>
      <w:r>
        <w:t xml:space="preserve">;</w:t>
      </w:r>
      <w:r>
        <w:t xml:space="preserve"> </w:t>
      </w:r>
      <m:oMath>
        <m:r>
          <m:t>b</m:t>
        </m:r>
        <m:r>
          <m:rPr>
            <m:sty m:val="p"/>
          </m:rPr>
          <m:t>=</m:t>
        </m:r>
        <m:r>
          <m:t>1</m:t>
        </m:r>
      </m:oMath>
      <w:r>
        <w:t xml:space="preserve"> </w:t>
      </w:r>
      <w:r>
        <w:t xml:space="preserve">precio fijo (para la eficiente),</w:t>
      </w:r>
      <w:r>
        <w:t xml:space="preserve"> </w:t>
      </w:r>
      <m:oMath>
        <m:r>
          <m:t>b</m:t>
        </m:r>
        <m:r>
          <m:rPr>
            <m:sty m:val="p"/>
          </m:rPr>
          <m:t>→</m:t>
        </m:r>
        <m:r>
          <m:t>0</m:t>
        </m:r>
      </m:oMath>
      <w:r>
        <w:t xml:space="preserve"> </w:t>
      </w:r>
      <w:r>
        <w:t xml:space="preserve">coste incrementado; dilema incentivos frente a extracción de rentas.</w:t>
      </w:r>
    </w:p>
    <w:p>
      <w:pPr>
        <w:numPr>
          <w:ilvl w:val="0"/>
          <w:numId w:val="1140"/>
        </w:numPr>
      </w:pPr>
      <w:r>
        <w:rPr>
          <w:i/>
          <w:iCs/>
        </w:rPr>
        <w:t xml:space="preserve">Price cap</w:t>
      </w:r>
      <w:r>
        <w:t xml:space="preserve">:</w:t>
      </w:r>
      <w:r>
        <w:t xml:space="preserve"> </w:t>
      </w:r>
      <m:oMath>
        <m:sSub>
          <m:e>
            <m:r>
              <m:t>p</m:t>
            </m:r>
          </m:e>
          <m:sub>
            <m:r>
              <m:t>t</m:t>
            </m:r>
            <m:r>
              <m:rPr>
                <m:sty m:val="p"/>
              </m:rPr>
              <m:t>+</m:t>
            </m:r>
            <m:r>
              <m:t>1</m:t>
            </m:r>
          </m:sub>
        </m:sSub>
        <m:r>
          <m:rPr>
            <m:sty m:val="p"/>
          </m:rPr>
          <m:t>≤</m:t>
        </m:r>
        <m:sSub>
          <m:e>
            <m:r>
              <m:t>p</m:t>
            </m:r>
          </m:e>
          <m:sub>
            <m:r>
              <m:t>t</m:t>
            </m:r>
          </m:sub>
        </m:sSub>
        <m:d>
          <m:dPr>
            <m:begChr m:val="("/>
            <m:sepChr m:val=""/>
            <m:endChr m:val=")"/>
            <m:grow/>
          </m:dPr>
          <m:e>
            <m:r>
              <m:t>1</m:t>
            </m:r>
            <m:r>
              <m:rPr>
                <m:sty m:val="p"/>
              </m:rPr>
              <m:t>+</m:t>
            </m:r>
            <m:sSub>
              <m:e>
                <m:r>
                  <m:rPr>
                    <m:sty m:val="p"/>
                  </m:rPr>
                  <m:t>I</m:t>
                </m:r>
                <m:r>
                  <m:rPr>
                    <m:sty m:val="p"/>
                  </m:rPr>
                  <m:t>P</m:t>
                </m:r>
                <m:r>
                  <m:rPr>
                    <m:sty m:val="p"/>
                  </m:rPr>
                  <m:t>C</m:t>
                </m:r>
              </m:e>
              <m:sub>
                <m:r>
                  <m:t>t</m:t>
                </m:r>
              </m:sub>
            </m:sSub>
            <m:r>
              <m:rPr>
                <m:sty m:val="p"/>
              </m:rPr>
              <m:t>−</m:t>
            </m:r>
            <m:r>
              <m:t>X</m:t>
            </m:r>
          </m:e>
        </m:d>
      </m:oMath>
      <w:r>
        <w:t xml:space="preserve">; contrato de alta potencia;</w:t>
      </w:r>
      <w:r>
        <w:t xml:space="preserve"> </w:t>
      </w:r>
      <w:r>
        <w:rPr>
          <w:smallCaps/>
        </w:rPr>
        <w:t xml:space="preserve">Littlechild</w:t>
      </w:r>
      <w:r>
        <w:t xml:space="preserve"> </w:t>
      </w:r>
      <w:r>
        <w:t xml:space="preserve">(1983), British Telecom, RPI</w:t>
      </w:r>
      <m:oMath>
        <m:r>
          <m:rPr>
            <m:sty m:val="p"/>
          </m:rPr>
          <m:t>−</m:t>
        </m:r>
      </m:oMath>
      <w:r>
        <w:t xml:space="preserve">3 en 1984. Trampa: en el DORA de Aena la</w:t>
      </w:r>
      <w:r>
        <w:t xml:space="preserve"> </w:t>
      </w:r>
      <m:oMath>
        <m:r>
          <m:t>X</m:t>
        </m:r>
      </m:oMath>
      <w:r>
        <w:t xml:space="preserve"> </w:t>
      </w:r>
      <w:r>
        <w:t xml:space="preserve">(+0,33 %) se suma.</w:t>
      </w:r>
    </w:p>
    <w:p>
      <w:pPr>
        <w:numPr>
          <w:ilvl w:val="0"/>
          <w:numId w:val="1140"/>
        </w:numPr>
      </w:pPr>
      <w:r>
        <w:rPr>
          <w:i/>
          <w:iCs/>
        </w:rPr>
        <w:t xml:space="preserve">Yardstick</w:t>
      </w:r>
      <w:r>
        <w:t xml:space="preserve">:</w:t>
      </w:r>
      <w:r>
        <w:t xml:space="preserve"> </w:t>
      </w:r>
      <m:oMath>
        <m:sSub>
          <m:e>
            <m:r>
              <m:t>p</m:t>
            </m:r>
          </m:e>
          <m:sub>
            <m:r>
              <m:t>i</m:t>
            </m:r>
          </m:sub>
        </m:sSub>
        <m:r>
          <m:rPr>
            <m:sty m:val="p"/>
          </m:rPr>
          <m:t>=</m:t>
        </m:r>
        <m:sSub>
          <m:e>
            <m:acc>
              <m:accPr>
                <m:chr m:val="‾"/>
              </m:accPr>
              <m:e>
                <m:r>
                  <m:t>c</m:t>
                </m:r>
              </m:e>
            </m:acc>
          </m:e>
          <m:sub>
            <m:r>
              <m:rPr>
                <m:sty m:val="p"/>
              </m:rPr>
              <m:t>−</m:t>
            </m:r>
            <m:r>
              <m:t>i</m:t>
            </m:r>
          </m:sub>
        </m:sSub>
      </m:oMath>
      <w:r>
        <w:t xml:space="preserve">; incentivos de precio fijo; riesgo de colusión.</w:t>
      </w:r>
    </w:p>
    <w:p>
      <w:pPr>
        <w:numPr>
          <w:ilvl w:val="0"/>
          <w:numId w:val="1140"/>
        </w:numPr>
      </w:pPr>
      <w:r>
        <w:rPr>
          <w:i/>
          <w:iCs/>
        </w:rPr>
        <w:t xml:space="preserve">ECPR</w:t>
      </w:r>
      <w:r>
        <w:t xml:space="preserve">:</w:t>
      </w:r>
      <w:r>
        <w:t xml:space="preserve"> </w:t>
      </w:r>
      <m:oMath>
        <m:r>
          <m:t>A</m:t>
        </m:r>
        <m:r>
          <m:rPr>
            <m:sty m:val="p"/>
          </m:rPr>
          <m:t>=</m:t>
        </m:r>
        <m:r>
          <m:t>p</m:t>
        </m:r>
        <m:r>
          <m:rPr>
            <m:sty m:val="p"/>
          </m:rPr>
          <m:t>−</m:t>
        </m:r>
        <m:sSub>
          <m:e>
            <m:r>
              <m:t>c</m:t>
            </m:r>
          </m:e>
          <m:sub>
            <m:r>
              <m:t>I</m:t>
            </m:r>
          </m:sub>
        </m:sSub>
      </m:oMath>
      <w:r>
        <w:t xml:space="preserve">; solo entran rivales al menos tan eficientes.</w:t>
      </w:r>
    </w:p>
    <w:p>
      <w:pPr>
        <w:numPr>
          <w:ilvl w:val="0"/>
          <w:numId w:val="1140"/>
        </w:numPr>
      </w:pPr>
      <w:r>
        <w:rPr>
          <w:i/>
          <w:iCs/>
        </w:rPr>
        <w:t xml:space="preserve">Peltzman</w:t>
      </w:r>
      <w:r>
        <w:t xml:space="preserve">:</w:t>
      </w:r>
      <w:r>
        <w:t xml:space="preserve"> </w:t>
      </w:r>
      <m:oMath>
        <m:sSup>
          <m:e>
            <m:r>
              <m:t>p</m:t>
            </m:r>
          </m:e>
          <m:sup>
            <m:r>
              <m:t>c</m:t>
            </m:r>
          </m:sup>
        </m:sSup>
        <m:r>
          <m:rPr>
            <m:sty m:val="p"/>
          </m:rPr>
          <m:t>&lt;</m:t>
        </m:r>
        <m:sSup>
          <m:e>
            <m:r>
              <m:t>p</m:t>
            </m:r>
          </m:e>
          <m:sup>
            <m:r>
              <m:rPr>
                <m:sty m:val="p"/>
              </m:rPr>
              <m:t>*</m:t>
            </m:r>
          </m:sup>
        </m:sSup>
        <m:r>
          <m:rPr>
            <m:sty m:val="p"/>
          </m:rPr>
          <m:t>&lt;</m:t>
        </m:r>
        <m:sSup>
          <m:e>
            <m:r>
              <m:t>p</m:t>
            </m:r>
          </m:e>
          <m:sup>
            <m:r>
              <m:t>M</m:t>
            </m:r>
          </m:sup>
        </m:sSup>
      </m:oMath>
      <w:r>
        <w:t xml:space="preserve">.</w:t>
      </w:r>
    </w:p>
    <w:p>
      <w:pPr>
        <w:numPr>
          <w:ilvl w:val="0"/>
          <w:numId w:val="1140"/>
        </w:numPr>
      </w:pPr>
      <w:r>
        <w:rPr>
          <w:i/>
          <w:iCs/>
        </w:rPr>
        <w:t xml:space="preserve">DMA</w:t>
      </w:r>
      <w:r>
        <w:t xml:space="preserve">: Reglamento (UE) 2022/1925, aplicable desde mayo de 2023, con multas de hasta el 10 % (el 20 % si reincide)</w:t>
      </w:r>
      <w:r>
        <w:t xml:space="preserve"> </w:t>
      </w:r>
      <w:r>
        <w:t xml:space="preserve">(</w:t>
      </w:r>
      <w:hyperlink w:anchor="ref_UE2022DMA">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2022</w:t>
        </w:r>
      </w:hyperlink>
      <w:r>
        <w:t xml:space="preserve">)</w:t>
      </w:r>
      <w:r>
        <w:t xml:space="preserve">; 7 guardianes de acceso y 23 servicios básicos</w:t>
      </w:r>
      <w:r>
        <w:t xml:space="preserve"> </w:t>
      </w:r>
      <w:r>
        <w:t xml:space="preserve">(</w:t>
      </w:r>
      <w:hyperlink w:anchor="ref_CE2026GuardianesDMA">
        <w:r>
          <w:rPr>
            <w:rStyle w:val="Hyperlink"/>
            <w:smallCaps/>
          </w:rPr>
          <w:t xml:space="preserve">Comisión Europea</w:t>
        </w:r>
        <w:r>
          <w:rPr>
            <w:rStyle w:val="Hyperlink"/>
          </w:rPr>
          <w:t xml:space="preserve">, 2026a</w:t>
        </w:r>
      </w:hyperlink>
      <w:r>
        <w:t xml:space="preserve">)</w:t>
      </w:r>
      <w:r>
        <w:t xml:space="preserve">.</w:t>
      </w:r>
    </w:p>
    <w:p>
      <w:pPr>
        <w:numPr>
          <w:ilvl w:val="0"/>
          <w:numId w:val="1140"/>
        </w:numPr>
      </w:pPr>
      <w:r>
        <w:rPr>
          <w:i/>
          <w:iCs/>
        </w:rPr>
        <w:t xml:space="preserve">Fechas</w:t>
      </w:r>
      <w:r>
        <w:t xml:space="preserve">:</w:t>
      </w:r>
      <w:r>
        <w:t xml:space="preserve"> </w:t>
      </w:r>
      <w:r>
        <w:rPr>
          <w:smallCaps/>
        </w:rPr>
        <w:t xml:space="preserve">Dupuit</w:t>
      </w:r>
      <w:r>
        <w:t xml:space="preserve"> </w:t>
      </w:r>
      <w:r>
        <w:t xml:space="preserve">(1844),</w:t>
      </w:r>
      <w:r>
        <w:t xml:space="preserve"> </w:t>
      </w:r>
      <w:r>
        <w:rPr>
          <w:smallCaps/>
        </w:rPr>
        <w:t xml:space="preserve">Hotelling</w:t>
      </w:r>
      <w:r>
        <w:t xml:space="preserve"> </w:t>
      </w:r>
      <w:r>
        <w:t xml:space="preserve">(1938),</w:t>
      </w:r>
      <w:r>
        <w:t xml:space="preserve"> </w:t>
      </w:r>
      <w:r>
        <w:rPr>
          <w:smallCaps/>
        </w:rPr>
        <w:t xml:space="preserve">Coase</w:t>
      </w:r>
      <w:r>
        <w:t xml:space="preserve"> </w:t>
      </w:r>
      <w:r>
        <w:t xml:space="preserve">(1946),</w:t>
      </w:r>
      <w:r>
        <w:t xml:space="preserve"> </w:t>
      </w:r>
      <w:r>
        <w:rPr>
          <w:smallCaps/>
        </w:rPr>
        <w:t xml:space="preserve">Harberger</w:t>
      </w:r>
      <w:r>
        <w:t xml:space="preserve"> </w:t>
      </w:r>
      <w:r>
        <w:t xml:space="preserve">(1954),</w:t>
      </w:r>
      <w:r>
        <w:t xml:space="preserve"> </w:t>
      </w:r>
      <w:r>
        <w:rPr>
          <w:smallCaps/>
        </w:rPr>
        <w:t xml:space="preserve">Boiteux</w:t>
      </w:r>
      <w:r>
        <w:t xml:space="preserve"> </w:t>
      </w:r>
      <w:r>
        <w:t xml:space="preserve">(1956),</w:t>
      </w:r>
      <w:r>
        <w:t xml:space="preserve"> </w:t>
      </w:r>
      <w:r>
        <w:rPr>
          <w:smallCaps/>
        </w:rPr>
        <w:t xml:space="preserve">Averch</w:t>
      </w:r>
      <w:r>
        <w:t xml:space="preserve"> </w:t>
      </w:r>
      <w:r>
        <w:t xml:space="preserve">y</w:t>
      </w:r>
      <w:r>
        <w:t xml:space="preserve"> </w:t>
      </w:r>
      <w:r>
        <w:rPr>
          <w:smallCaps/>
        </w:rPr>
        <w:t xml:space="preserve">Johnson</w:t>
      </w:r>
      <w:r>
        <w:t xml:space="preserve"> </w:t>
      </w:r>
      <w:r>
        <w:t xml:space="preserve">(1962),</w:t>
      </w:r>
      <w:r>
        <w:t xml:space="preserve"> </w:t>
      </w:r>
      <w:r>
        <w:rPr>
          <w:smallCaps/>
        </w:rPr>
        <w:t xml:space="preserve">Leibenstein</w:t>
      </w:r>
      <w:r>
        <w:t xml:space="preserve"> </w:t>
      </w:r>
      <w:r>
        <w:t xml:space="preserve">(1966),</w:t>
      </w:r>
      <w:r>
        <w:t xml:space="preserve"> </w:t>
      </w:r>
      <w:r>
        <w:rPr>
          <w:smallCaps/>
        </w:rPr>
        <w:t xml:space="preserve">Demsetz</w:t>
      </w:r>
      <w:r>
        <w:t xml:space="preserve"> </w:t>
      </w:r>
      <w:r>
        <w:t xml:space="preserve">(1968),</w:t>
      </w:r>
      <w:r>
        <w:t xml:space="preserve"> </w:t>
      </w:r>
      <w:r>
        <w:rPr>
          <w:smallCaps/>
        </w:rPr>
        <w:t xml:space="preserve">Stigler</w:t>
      </w:r>
      <w:r>
        <w:t xml:space="preserve"> </w:t>
      </w:r>
      <w:r>
        <w:t xml:space="preserve">(1971),</w:t>
      </w:r>
      <w:r>
        <w:t xml:space="preserve"> </w:t>
      </w:r>
      <w:r>
        <w:rPr>
          <w:smallCaps/>
        </w:rPr>
        <w:t xml:space="preserve">Peltzman</w:t>
      </w:r>
      <w:r>
        <w:t xml:space="preserve"> </w:t>
      </w:r>
      <w:r>
        <w:t xml:space="preserve">(1976),</w:t>
      </w:r>
      <w:r>
        <w:t xml:space="preserve"> </w:t>
      </w:r>
      <w:r>
        <w:rPr>
          <w:smallCaps/>
        </w:rPr>
        <w:t xml:space="preserve">Williamson</w:t>
      </w:r>
      <w:r>
        <w:t xml:space="preserve"> </w:t>
      </w:r>
      <w:r>
        <w:t xml:space="preserve">(1976),</w:t>
      </w:r>
      <w:r>
        <w:t xml:space="preserve"> </w:t>
      </w:r>
      <w:r>
        <w:rPr>
          <w:smallCaps/>
        </w:rPr>
        <w:t xml:space="preserve">Loeb</w:t>
      </w:r>
      <w:r>
        <w:t xml:space="preserve"> </w:t>
      </w:r>
      <w:r>
        <w:t xml:space="preserve">y</w:t>
      </w:r>
      <w:r>
        <w:t xml:space="preserve"> </w:t>
      </w:r>
      <w:r>
        <w:rPr>
          <w:smallCaps/>
        </w:rPr>
        <w:t xml:space="preserve">Magat</w:t>
      </w:r>
      <w:r>
        <w:t xml:space="preserve"> </w:t>
      </w:r>
      <w:r>
        <w:t xml:space="preserve">(1979),</w:t>
      </w:r>
      <w:r>
        <w:t xml:space="preserve"> </w:t>
      </w:r>
      <w:r>
        <w:rPr>
          <w:smallCaps/>
        </w:rPr>
        <w:t xml:space="preserve">Weitzman</w:t>
      </w:r>
      <w:r>
        <w:t xml:space="preserve"> </w:t>
      </w:r>
      <w:r>
        <w:t xml:space="preserve">(1980),</w:t>
      </w:r>
      <w:r>
        <w:t xml:space="preserve"> </w:t>
      </w:r>
      <w:r>
        <w:rPr>
          <w:smallCaps/>
        </w:rPr>
        <w:t xml:space="preserve">Baron</w:t>
      </w:r>
      <w:r>
        <w:t xml:space="preserve"> </w:t>
      </w:r>
      <w:r>
        <w:t xml:space="preserve">y</w:t>
      </w:r>
      <w:r>
        <w:t xml:space="preserve"> </w:t>
      </w:r>
      <w:r>
        <w:rPr>
          <w:smallCaps/>
        </w:rPr>
        <w:t xml:space="preserve">Myerson</w:t>
      </w:r>
      <w:r>
        <w:t xml:space="preserve"> </w:t>
      </w:r>
      <w:r>
        <w:t xml:space="preserve">(1982), directrices de Estados Unidos (1982),</w:t>
      </w:r>
      <w:r>
        <w:t xml:space="preserve"> </w:t>
      </w:r>
      <w:r>
        <w:rPr>
          <w:smallCaps/>
        </w:rPr>
        <w:t xml:space="preserve">Littlechild</w:t>
      </w:r>
      <w:r>
        <w:t xml:space="preserve"> </w:t>
      </w:r>
      <w:r>
        <w:t xml:space="preserve">(1983),</w:t>
      </w:r>
      <w:r>
        <w:t xml:space="preserve"> </w:t>
      </w:r>
      <w:r>
        <w:rPr>
          <w:smallCaps/>
        </w:rPr>
        <w:t xml:space="preserve">Becker</w:t>
      </w:r>
      <w:r>
        <w:t xml:space="preserve"> </w:t>
      </w:r>
      <w:r>
        <w:t xml:space="preserve">(1983),</w:t>
      </w:r>
      <w:r>
        <w:t xml:space="preserve"> </w:t>
      </w:r>
      <w:r>
        <w:rPr>
          <w:smallCaps/>
        </w:rPr>
        <w:t xml:space="preserve">Shleifer</w:t>
      </w:r>
      <w:r>
        <w:t xml:space="preserve"> </w:t>
      </w:r>
      <w:r>
        <w:t xml:space="preserve">(1985),</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(1986, 1987, 1991, 1993),</w:t>
      </w:r>
      <w:r>
        <w:t xml:space="preserve"> </w:t>
      </w:r>
      <w:r>
        <w:rPr>
          <w:smallCaps/>
        </w:rPr>
        <w:t xml:space="preserve">Armstrong</w:t>
      </w:r>
      <w:r>
        <w:t xml:space="preserve">,</w:t>
      </w:r>
      <w:r>
        <w:t xml:space="preserve"> </w:t>
      </w:r>
      <w:r>
        <w:rPr>
          <w:smallCaps/>
        </w:rPr>
        <w:t xml:space="preserve">Doyle</w:t>
      </w:r>
      <w:r>
        <w:t xml:space="preserve"> </w:t>
      </w:r>
      <w:r>
        <w:t xml:space="preserve">y</w:t>
      </w:r>
      <w:r>
        <w:t xml:space="preserve"> </w:t>
      </w:r>
      <w:r>
        <w:rPr>
          <w:smallCaps/>
        </w:rPr>
        <w:t xml:space="preserve">Vickers</w:t>
      </w:r>
      <w:r>
        <w:t xml:space="preserve"> </w:t>
      </w:r>
      <w:r>
        <w:t xml:space="preserve">(1996),</w:t>
      </w:r>
      <w:r>
        <w:t xml:space="preserve"> </w:t>
      </w:r>
      <w:r>
        <w:rPr>
          <w:smallCaps/>
        </w:rPr>
        <w:t xml:space="preserve">Rochet</w:t>
      </w:r>
      <w:r>
        <w:t xml:space="preserve"> </w:t>
      </w:r>
      <w:r>
        <w:t xml:space="preserve">y</w:t>
      </w:r>
      <w:r>
        <w:t xml:space="preserve"> </w:t>
      </w:r>
      <w:r>
        <w:rPr>
          <w:smallCaps/>
        </w:rPr>
        <w:t xml:space="preserve">Tirole</w:t>
      </w:r>
      <w:r>
        <w:t xml:space="preserve"> </w:t>
      </w:r>
      <w:r>
        <w:t xml:space="preserve">(2003), Nobel de</w:t>
      </w:r>
      <w:r>
        <w:t xml:space="preserve"> </w:t>
      </w:r>
      <w:r>
        <w:rPr>
          <w:smallCaps/>
        </w:rPr>
        <w:t xml:space="preserve">Tirole</w:t>
      </w:r>
      <w:r>
        <w:t xml:space="preserve"> </w:t>
      </w:r>
      <w:r>
        <w:t xml:space="preserve">(2014), Comunicación de la Comisión (2024).</w:t>
      </w:r>
    </w:p>
    <w:bookmarkEnd w:id="217"/>
    <w:bookmarkStart w:id="218" w:name="preguntas_probables_del_tribunal"/>
    <w:p>
      <w:pPr>
        <w:pStyle w:val="Heading4"/>
      </w:pPr>
      <w:r>
        <w:t xml:space="preserve">Preguntas probables del tribunal</w:t>
      </w:r>
    </w:p>
    <w:p>
      <w:pPr>
        <w:numPr>
          <w:ilvl w:val="0"/>
          <w:numId w:val="1141"/>
        </w:numPr>
      </w:pPr>
      <w:r>
        <w:t xml:space="preserve">¿Por qué el índice de</w:t>
      </w:r>
      <w:r>
        <w:t xml:space="preserve"> </w:t>
      </w:r>
      <w:r>
        <w:rPr>
          <w:smallCaps/>
        </w:rPr>
        <w:t xml:space="preserve">Lerner</w:t>
      </w:r>
      <w:r>
        <w:t xml:space="preserve"> </w:t>
      </w:r>
      <w:r>
        <w:t xml:space="preserve">no basta para medir el poder de mercado? ¿Y la cuota?</w:t>
      </w:r>
    </w:p>
    <w:p>
      <w:pPr>
        <w:numPr>
          <w:ilvl w:val="0"/>
          <w:numId w:val="1141"/>
        </w:numPr>
      </w:pPr>
      <w:r>
        <w:t xml:space="preserve">¿Qué es la falacia del celofán y cómo se evita?</w:t>
      </w:r>
    </w:p>
    <w:p>
      <w:pPr>
        <w:numPr>
          <w:ilvl w:val="0"/>
          <w:numId w:val="1141"/>
        </w:numPr>
      </w:pPr>
      <w:r>
        <w:t xml:space="preserve">¿Qué diferencia hay entre la defensa de la competencia y la regulación? ¿Cuándo se usa cada una?</w:t>
      </w:r>
    </w:p>
    <w:p>
      <w:pPr>
        <w:numPr>
          <w:ilvl w:val="0"/>
          <w:numId w:val="1141"/>
        </w:numPr>
      </w:pPr>
      <w:r>
        <w:t xml:space="preserve">¿Por qué el regulador no fija sin más</w:t>
      </w:r>
      <w:r>
        <w:t xml:space="preserve"> </w:t>
      </w:r>
      <m:oMath>
        <m:r>
          <m:t>p</m:t>
        </m:r>
        <m:r>
          <m:rPr>
            <m:sty m:val="p"/>
          </m:rPr>
          <m:t>=</m:t>
        </m:r>
        <m:r>
          <m:rPr>
            <m:sty m:val="p"/>
          </m:rPr>
          <m:t>C</m:t>
        </m:r>
        <m:r>
          <m:rPr>
            <m:sty m:val="p"/>
          </m:rPr>
          <m:t>M</m:t>
        </m:r>
        <m:r>
          <m:rPr>
            <m:sty m:val="p"/>
          </m:rPr>
          <m:t>g</m:t>
        </m:r>
      </m:oMath>
      <w:r>
        <w:t xml:space="preserve"> </w:t>
      </w:r>
      <w:r>
        <w:t xml:space="preserve">en un monopolio natural?</w:t>
      </w:r>
    </w:p>
    <w:p>
      <w:pPr>
        <w:numPr>
          <w:ilvl w:val="0"/>
          <w:numId w:val="1141"/>
        </w:numPr>
      </w:pPr>
      <w:r>
        <w:t xml:space="preserve">¿Qué es el efecto</w:t>
      </w:r>
      <w:r>
        <w:t xml:space="preserve"> </w:t>
      </w:r>
      <w:r>
        <w:rPr>
          <w:smallCaps/>
        </w:rPr>
        <w:t xml:space="preserve">Averch</w:t>
      </w:r>
      <w:r>
        <w:t xml:space="preserve">-</w:t>
      </w:r>
      <w:r>
        <w:rPr>
          <w:smallCaps/>
        </w:rPr>
        <w:t xml:space="preserve">Johnson</w:t>
      </w:r>
      <w:r>
        <w:t xml:space="preserve">? ¿Lo ve en la retribución de las redes españolas?</w:t>
      </w:r>
    </w:p>
    <w:p>
      <w:pPr>
        <w:numPr>
          <w:ilvl w:val="0"/>
          <w:numId w:val="1141"/>
        </w:numPr>
      </w:pPr>
      <w:r>
        <w:t xml:space="preserve">¿Qué es la renta informativa y por qué el regulador acepta distorsionar al tipo ineficiente?</w:t>
      </w:r>
    </w:p>
    <w:p>
      <w:pPr>
        <w:numPr>
          <w:ilvl w:val="0"/>
          <w:numId w:val="1141"/>
        </w:numPr>
      </w:pPr>
      <w:r>
        <w:t xml:space="preserve">En el modelo de</w:t>
      </w:r>
      <w:r>
        <w:t xml:space="preserve"> </w:t>
      </w:r>
      <w:r>
        <w:rPr>
          <w:smallCaps/>
        </w:rPr>
        <w:t xml:space="preserve">Laffont</w:t>
      </w:r>
      <w:r>
        <w:t xml:space="preserve"> </w:t>
      </w:r>
      <w:r>
        <w:t xml:space="preserve">y</w:t>
      </w:r>
      <w:r>
        <w:t xml:space="preserve"> </w:t>
      </w:r>
      <w:r>
        <w:rPr>
          <w:smallCaps/>
        </w:rPr>
        <w:t xml:space="preserve">Tirole</w:t>
      </w:r>
      <w:r>
        <w:t xml:space="preserve">, ¿qué contrato elige la empresa eficiente y por qué?</w:t>
      </w:r>
    </w:p>
    <w:p>
      <w:pPr>
        <w:numPr>
          <w:ilvl w:val="0"/>
          <w:numId w:val="1141"/>
        </w:numPr>
      </w:pPr>
      <w:r>
        <w:t xml:space="preserve">¿Por qué el</w:t>
      </w:r>
      <w:r>
        <w:t xml:space="preserve"> </w:t>
      </w:r>
      <w:r>
        <w:rPr>
          <w:i/>
          <w:iCs/>
        </w:rPr>
        <w:t xml:space="preserve">price cap</w:t>
      </w:r>
      <w:r>
        <w:t xml:space="preserve"> </w:t>
      </w:r>
      <w:r>
        <w:t xml:space="preserve">da incentivos a reducir costes? ¿Qué problemas tiene? ¿Es el DORA de Aena un</w:t>
      </w:r>
      <w:r>
        <w:t xml:space="preserve"> </w:t>
      </w:r>
      <w:r>
        <w:rPr>
          <w:i/>
          <w:iCs/>
        </w:rPr>
        <w:t xml:space="preserve">price cap</w:t>
      </w:r>
      <w:r>
        <w:t xml:space="preserve">?</w:t>
      </w:r>
    </w:p>
    <w:p>
      <w:pPr>
        <w:numPr>
          <w:ilvl w:val="0"/>
          <w:numId w:val="1141"/>
        </w:numPr>
      </w:pPr>
      <w:r>
        <w:t xml:space="preserve">¿Qué supuestos necesita la competencia por comparación? ¿Qué riesgo tiene?</w:t>
      </w:r>
    </w:p>
    <w:p>
      <w:pPr>
        <w:numPr>
          <w:ilvl w:val="0"/>
          <w:numId w:val="1141"/>
        </w:numPr>
      </w:pPr>
      <w:r>
        <w:t xml:space="preserve">¿Por qué, con riesgo de captura, conviene un contrato de baja potencia?</w:t>
      </w:r>
    </w:p>
    <w:p>
      <w:pPr>
        <w:numPr>
          <w:ilvl w:val="0"/>
          <w:numId w:val="1141"/>
        </w:numPr>
      </w:pPr>
      <w:r>
        <w:t xml:space="preserve">¿Por qué la DMA designa a los guardianes con umbrales en lugar de definir mercados?</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18"/>
    <w:bookmarkEnd w:id="219"/>
    <w:bookmarkStart w:id="429" w:name="bibliografia"/>
    <w:p>
      <w:pPr>
        <w:pStyle w:val="Heading1"/>
      </w:pPr>
      <w:r>
        <w:t xml:space="preserve">Bibliografía</w:t>
      </w:r>
    </w:p>
    <w:bookmarkStart w:id="428" w:name="refs"/>
    <w:bookmarkStart w:id="221" w:name="ref_AghionEtAl2005Competition"/>
    <w:p>
      <w:pPr>
        <w:pStyle w:val="Bibliography"/>
      </w:pPr>
      <w:r>
        <w:t xml:space="preserve">Aghion, Philippe, Nick Bloom, Richard Blundell, Rachel Griffith y Peter Howitt (2005).</w:t>
      </w:r>
      <w:r>
        <w:t xml:space="preserve"> </w:t>
      </w:r>
      <w:r>
        <w:t xml:space="preserve">«Competition and Innovation: An Inverted-U Relationship»</w:t>
      </w:r>
      <w:r>
        <w:t xml:space="preserve">.</w:t>
      </w:r>
      <w:r>
        <w:t xml:space="preserve"> </w:t>
      </w:r>
      <w:r>
        <w:rPr>
          <w:i/>
          <w:iCs/>
        </w:rPr>
        <w:t xml:space="preserve">Quarterly Journal of Economics</w:t>
      </w:r>
      <w:r>
        <w:t xml:space="preserve"> </w:t>
      </w:r>
      <w:r>
        <w:t xml:space="preserve">120 (2): 701-28.</w:t>
      </w:r>
      <w:r>
        <w:t xml:space="preserve"> </w:t>
      </w:r>
      <w:hyperlink r:id="rId220">
        <w:r>
          <w:rPr>
            <w:rStyle w:val="Hyperlink"/>
          </w:rPr>
          <w:t xml:space="preserve">https://doi.org/10.1093/qje/120.2.701</w:t>
        </w:r>
      </w:hyperlink>
      <w:r>
        <w:t xml:space="preserve">.</w:t>
      </w:r>
    </w:p>
    <w:bookmarkEnd w:id="221"/>
    <w:bookmarkStart w:id="223" w:name="ref_Armstrong2006Competition"/>
    <w:p>
      <w:pPr>
        <w:pStyle w:val="Bibliography"/>
      </w:pPr>
      <w:r>
        <w:t xml:space="preserve">Armstrong, Mark (2006).</w:t>
      </w:r>
      <w:r>
        <w:t xml:space="preserve"> </w:t>
      </w:r>
      <w:r>
        <w:t xml:space="preserve">«Competition in Two-Sided Markets»</w:t>
      </w:r>
      <w:r>
        <w:t xml:space="preserve">.</w:t>
      </w:r>
      <w:r>
        <w:t xml:space="preserve"> </w:t>
      </w:r>
      <w:r>
        <w:rPr>
          <w:i/>
          <w:iCs/>
        </w:rPr>
        <w:t xml:space="preserve">RAND Journal of Economics</w:t>
      </w:r>
      <w:r>
        <w:t xml:space="preserve"> </w:t>
      </w:r>
      <w:r>
        <w:t xml:space="preserve">37 (3): 668-91.</w:t>
      </w:r>
      <w:r>
        <w:t xml:space="preserve"> </w:t>
      </w:r>
      <w:hyperlink r:id="rId222">
        <w:r>
          <w:rPr>
            <w:rStyle w:val="Hyperlink"/>
          </w:rPr>
          <w:t xml:space="preserve">https://doi.org/10.1111/j.1756-2171.2006.tb00037.x</w:t>
        </w:r>
      </w:hyperlink>
      <w:r>
        <w:t xml:space="preserve">.</w:t>
      </w:r>
    </w:p>
    <w:bookmarkEnd w:id="223"/>
    <w:bookmarkStart w:id="224" w:name="ref_ArmstrongCowanVickers1994Regulatory"/>
    <w:p>
      <w:pPr>
        <w:pStyle w:val="Bibliography"/>
      </w:pPr>
      <w:r>
        <w:t xml:space="preserve">Armstrong, Mark, Simon Cowan y John Vickers (1994).</w:t>
      </w:r>
      <w:r>
        <w:t xml:space="preserve"> </w:t>
      </w:r>
      <w:r>
        <w:rPr>
          <w:i/>
          <w:iCs/>
        </w:rPr>
        <w:t xml:space="preserve">Regulatory Reform: Economic Analysis and British Experience</w:t>
      </w:r>
      <w:r>
        <w:t xml:space="preserve">. Cambridge (Mass.): MIT Press.</w:t>
      </w:r>
    </w:p>
    <w:bookmarkEnd w:id="224"/>
    <w:bookmarkStart w:id="225" w:name="ref_ArmstrongDoyleVickers1996Access"/>
    <w:p>
      <w:pPr>
        <w:pStyle w:val="Bibliography"/>
      </w:pPr>
      <w:r>
        <w:t xml:space="preserve">Armstrong, Mark, Chris Doyle y John Vickers (1996).</w:t>
      </w:r>
      <w:r>
        <w:t xml:space="preserve"> </w:t>
      </w:r>
      <w:r>
        <w:t xml:space="preserve">«The Access Pricing Problem: A Synthesis»</w:t>
      </w:r>
      <w:r>
        <w:t xml:space="preserve">.</w:t>
      </w:r>
      <w:r>
        <w:t xml:space="preserve"> </w:t>
      </w:r>
      <w:r>
        <w:rPr>
          <w:i/>
          <w:iCs/>
        </w:rPr>
        <w:t xml:space="preserve">Journal of Industrial Economics</w:t>
      </w:r>
      <w:r>
        <w:t xml:space="preserve"> </w:t>
      </w:r>
      <w:r>
        <w:t xml:space="preserve">44 (2): 131-50.</w:t>
      </w:r>
    </w:p>
    <w:bookmarkEnd w:id="225"/>
    <w:bookmarkStart w:id="226" w:name="ref_ArmstrongSappington2007Recent"/>
    <w:p>
      <w:pPr>
        <w:pStyle w:val="Bibliography"/>
      </w:pPr>
      <w:r>
        <w:t xml:space="preserve">Armstrong, Mark y David E. M. Sappington (2007).</w:t>
      </w:r>
      <w:r>
        <w:t xml:space="preserve"> </w:t>
      </w:r>
      <w:r>
        <w:t xml:space="preserve">«Recent Developments in the Theory of Regulation»</w:t>
      </w:r>
      <w:r>
        <w:t xml:space="preserve">. En</w:t>
      </w:r>
      <w:r>
        <w:t xml:space="preserve"> </w:t>
      </w:r>
      <w:r>
        <w:rPr>
          <w:i/>
          <w:iCs/>
        </w:rPr>
        <w:t xml:space="preserve">Handbook of Industrial Organization</w:t>
      </w:r>
      <w:r>
        <w:t xml:space="preserve">, editado por Mark Armstrong y Robert H. Porter, 3:1557-1700. Ámsterdam: North-Holland.</w:t>
      </w:r>
    </w:p>
    <w:bookmarkEnd w:id="226"/>
    <w:bookmarkStart w:id="227" w:name="ref_Arrow1962Economic"/>
    <w:p>
      <w:pPr>
        <w:pStyle w:val="Bibliography"/>
      </w:pPr>
      <w:r>
        <w:t xml:space="preserve">Arrow, Kenneth J. (1962).</w:t>
      </w:r>
      <w:r>
        <w:t xml:space="preserve"> </w:t>
      </w:r>
      <w:r>
        <w:t xml:space="preserve">«Economic Welfare and the Allocation of Resources for Invention»</w:t>
      </w:r>
      <w:r>
        <w:t xml:space="preserve">. En</w:t>
      </w:r>
      <w:r>
        <w:t xml:space="preserve"> </w:t>
      </w:r>
      <w:r>
        <w:rPr>
          <w:i/>
          <w:iCs/>
        </w:rPr>
        <w:t xml:space="preserve">The Rate and Direction of Inventive Activity: Economic and Social Factors</w:t>
      </w:r>
      <w:r>
        <w:t xml:space="preserve">, 609-26. Princeton: Princeton University Press.</w:t>
      </w:r>
    </w:p>
    <w:bookmarkEnd w:id="227"/>
    <w:bookmarkStart w:id="229" w:name="ref_AutorEtAl2020Fall"/>
    <w:p>
      <w:pPr>
        <w:pStyle w:val="Bibliography"/>
      </w:pPr>
      <w:r>
        <w:t xml:space="preserve">Autor, David, David Dorn, Lawrence F. Katz, Christina Patterson y John Van Reenen (2020).</w:t>
      </w:r>
      <w:r>
        <w:t xml:space="preserve"> </w:t>
      </w:r>
      <w:r>
        <w:t xml:space="preserve">«The Fall of the Labor Share and the Rise of Superstar Firms»</w:t>
      </w:r>
      <w:r>
        <w:t xml:space="preserve">.</w:t>
      </w:r>
      <w:r>
        <w:t xml:space="preserve"> </w:t>
      </w:r>
      <w:r>
        <w:rPr>
          <w:i/>
          <w:iCs/>
        </w:rPr>
        <w:t xml:space="preserve">Quarterly Journal of Economics</w:t>
      </w:r>
      <w:r>
        <w:t xml:space="preserve"> </w:t>
      </w:r>
      <w:r>
        <w:t xml:space="preserve">135 (2): 645-709.</w:t>
      </w:r>
      <w:r>
        <w:t xml:space="preserve"> </w:t>
      </w:r>
      <w:hyperlink r:id="rId228">
        <w:r>
          <w:rPr>
            <w:rStyle w:val="Hyperlink"/>
          </w:rPr>
          <w:t xml:space="preserve">https://doi.org/10.1093/qje/qjaa004</w:t>
        </w:r>
      </w:hyperlink>
      <w:r>
        <w:t xml:space="preserve">.</w:t>
      </w:r>
    </w:p>
    <w:bookmarkEnd w:id="229"/>
    <w:bookmarkStart w:id="230" w:name="ref_AverchJohnson1962Behavior"/>
    <w:p>
      <w:pPr>
        <w:pStyle w:val="Bibliography"/>
      </w:pPr>
      <w:r>
        <w:t xml:space="preserve">Averch, Harvey y Leland L. Johnson (1962).</w:t>
      </w:r>
      <w:r>
        <w:t xml:space="preserve"> </w:t>
      </w:r>
      <w:r>
        <w:t xml:space="preserve">«Behavior of the Firm Under Regulatory Constraint»</w:t>
      </w:r>
      <w:r>
        <w:t xml:space="preserve">.</w:t>
      </w:r>
      <w:r>
        <w:t xml:space="preserve"> </w:t>
      </w:r>
      <w:r>
        <w:rPr>
          <w:i/>
          <w:iCs/>
        </w:rPr>
        <w:t xml:space="preserve">American Economic Review</w:t>
      </w:r>
      <w:r>
        <w:t xml:space="preserve"> </w:t>
      </w:r>
      <w:r>
        <w:t xml:space="preserve">52 (5): 1052-69.</w:t>
      </w:r>
    </w:p>
    <w:bookmarkEnd w:id="230"/>
    <w:bookmarkStart w:id="231" w:name="ref_BaldwinCaveLodge2012Understanding"/>
    <w:p>
      <w:pPr>
        <w:pStyle w:val="Bibliography"/>
      </w:pPr>
      <w:r>
        <w:t xml:space="preserve">Baldwin, Robert, Martin Cave y Martin Lodge (2012).</w:t>
      </w:r>
      <w:r>
        <w:t xml:space="preserve"> </w:t>
      </w:r>
      <w:r>
        <w:rPr>
          <w:i/>
          <w:iCs/>
        </w:rPr>
        <w:t xml:space="preserve">Understanding Regulation: Theory, Strategy, and Practice</w:t>
      </w:r>
      <w:r>
        <w:t xml:space="preserve">. 2.ª ed. Oxford: Oxford University Press.</w:t>
      </w:r>
    </w:p>
    <w:bookmarkEnd w:id="231"/>
    <w:bookmarkStart w:id="232" w:name="ref_BaronMyerson1982Regulating"/>
    <w:p>
      <w:pPr>
        <w:pStyle w:val="Bibliography"/>
      </w:pPr>
      <w:r>
        <w:t xml:space="preserve">Baron, David P. y Roger B. Myerson (1982).</w:t>
      </w:r>
      <w:r>
        <w:t xml:space="preserve"> </w:t>
      </w:r>
      <w:r>
        <w:t xml:space="preserve">«Regulating a Monopolist with Unknown Costs»</w:t>
      </w:r>
      <w:r>
        <w:t xml:space="preserve">.</w:t>
      </w:r>
      <w:r>
        <w:t xml:space="preserve"> </w:t>
      </w:r>
      <w:r>
        <w:rPr>
          <w:i/>
          <w:iCs/>
        </w:rPr>
        <w:t xml:space="preserve">Econometrica</w:t>
      </w:r>
      <w:r>
        <w:t xml:space="preserve"> </w:t>
      </w:r>
      <w:r>
        <w:t xml:space="preserve">50 (4): 911-30.</w:t>
      </w:r>
    </w:p>
    <w:bookmarkEnd w:id="232"/>
    <w:bookmarkStart w:id="233" w:name="ref_Baumol1977Proper"/>
    <w:p>
      <w:pPr>
        <w:pStyle w:val="Bibliography"/>
      </w:pPr>
      <w:r>
        <w:t xml:space="preserve">Baumol, William J. (1977).</w:t>
      </w:r>
      <w:r>
        <w:t xml:space="preserve"> </w:t>
      </w:r>
      <w:r>
        <w:t xml:space="preserve">«On the Proper Cost Tests for Natural Monopoly in a Multiproduct Industry»</w:t>
      </w:r>
      <w:r>
        <w:t xml:space="preserve">.</w:t>
      </w:r>
      <w:r>
        <w:t xml:space="preserve"> </w:t>
      </w:r>
      <w:r>
        <w:rPr>
          <w:i/>
          <w:iCs/>
        </w:rPr>
        <w:t xml:space="preserve">American Economic Review</w:t>
      </w:r>
      <w:r>
        <w:t xml:space="preserve"> </w:t>
      </w:r>
      <w:r>
        <w:t xml:space="preserve">67 (5): 809-22.</w:t>
      </w:r>
    </w:p>
    <w:bookmarkEnd w:id="233"/>
    <w:bookmarkStart w:id="234" w:name="ref_BaumolBaileyWillig1977Weak"/>
    <w:p>
      <w:pPr>
        <w:pStyle w:val="Bibliography"/>
      </w:pPr>
      <w:r>
        <w:t xml:space="preserve">Baumol, William J., Elizabeth E. Bailey y Robert D. Willig (1977).</w:t>
      </w:r>
      <w:r>
        <w:t xml:space="preserve"> </w:t>
      </w:r>
      <w:r>
        <w:t xml:space="preserve">«Weak Invisible Hand Theorems on the Sustainability of Multiproduct Natural Monopoly»</w:t>
      </w:r>
      <w:r>
        <w:t xml:space="preserve">.</w:t>
      </w:r>
      <w:r>
        <w:t xml:space="preserve"> </w:t>
      </w:r>
      <w:r>
        <w:rPr>
          <w:i/>
          <w:iCs/>
        </w:rPr>
        <w:t xml:space="preserve">American Economic Review</w:t>
      </w:r>
      <w:r>
        <w:t xml:space="preserve"> </w:t>
      </w:r>
      <w:r>
        <w:t xml:space="preserve">67 (3): 350-65.</w:t>
      </w:r>
    </w:p>
    <w:bookmarkEnd w:id="234"/>
    <w:bookmarkStart w:id="236" w:name="ref_BaumolKlevorick1970Input"/>
    <w:p>
      <w:pPr>
        <w:pStyle w:val="Bibliography"/>
      </w:pPr>
      <w:r>
        <w:t xml:space="preserve">Baumol, William J. y Alvin K. Klevorick (1970).</w:t>
      </w:r>
      <w:r>
        <w:t xml:space="preserve"> </w:t>
      </w:r>
      <w:r>
        <w:t xml:space="preserve">«Input Choices and Rate-of-Return Regulation: An Overview of the Discussion»</w:t>
      </w:r>
      <w:r>
        <w:t xml:space="preserve">.</w:t>
      </w:r>
      <w:r>
        <w:t xml:space="preserve"> </w:t>
      </w:r>
      <w:r>
        <w:rPr>
          <w:i/>
          <w:iCs/>
        </w:rPr>
        <w:t xml:space="preserve">Bell Journal of Economics and Management Science</w:t>
      </w:r>
      <w:r>
        <w:t xml:space="preserve"> </w:t>
      </w:r>
      <w:r>
        <w:t xml:space="preserve">1 (2): 162-90.</w:t>
      </w:r>
      <w:r>
        <w:t xml:space="preserve"> </w:t>
      </w:r>
      <w:hyperlink r:id="rId235">
        <w:r>
          <w:rPr>
            <w:rStyle w:val="Hyperlink"/>
          </w:rPr>
          <w:t xml:space="preserve">https://doi.org/10.2307/3003181</w:t>
        </w:r>
      </w:hyperlink>
      <w:r>
        <w:t xml:space="preserve">.</w:t>
      </w:r>
    </w:p>
    <w:bookmarkEnd w:id="236"/>
    <w:bookmarkStart w:id="237" w:name="ref_BaumolSidak1994Pricing"/>
    <w:p>
      <w:pPr>
        <w:pStyle w:val="Bibliography"/>
      </w:pPr>
      <w:r>
        <w:t xml:space="preserve">Baumol, William J. y J. Gregory Sidak (1994).</w:t>
      </w:r>
      <w:r>
        <w:t xml:space="preserve"> </w:t>
      </w:r>
      <w:r>
        <w:t xml:space="preserve">«The Pricing of Inputs Sold to Competitors»</w:t>
      </w:r>
      <w:r>
        <w:t xml:space="preserve">.</w:t>
      </w:r>
      <w:r>
        <w:t xml:space="preserve"> </w:t>
      </w:r>
      <w:r>
        <w:rPr>
          <w:i/>
          <w:iCs/>
        </w:rPr>
        <w:t xml:space="preserve">Yale Journal on Regulation</w:t>
      </w:r>
      <w:r>
        <w:t xml:space="preserve"> </w:t>
      </w:r>
      <w:r>
        <w:t xml:space="preserve">11 (1): 171-202.</w:t>
      </w:r>
    </w:p>
    <w:bookmarkEnd w:id="237"/>
    <w:bookmarkStart w:id="239" w:name="ref_Becker1983Theory"/>
    <w:p>
      <w:pPr>
        <w:pStyle w:val="Bibliography"/>
      </w:pPr>
      <w:r>
        <w:t xml:space="preserve">Becker, Gary S. (1983).</w:t>
      </w:r>
      <w:r>
        <w:t xml:space="preserve"> </w:t>
      </w:r>
      <w:r>
        <w:t xml:space="preserve">«A Theory of Competition Among Pressure Groups for Political Influence»</w:t>
      </w:r>
      <w:r>
        <w:t xml:space="preserve">.</w:t>
      </w:r>
      <w:r>
        <w:t xml:space="preserve"> </w:t>
      </w:r>
      <w:r>
        <w:rPr>
          <w:i/>
          <w:iCs/>
        </w:rPr>
        <w:t xml:space="preserve">Quarterly Journal of Economics</w:t>
      </w:r>
      <w:r>
        <w:t xml:space="preserve"> </w:t>
      </w:r>
      <w:r>
        <w:t xml:space="preserve">98 (3): 371-400.</w:t>
      </w:r>
      <w:r>
        <w:t xml:space="preserve"> </w:t>
      </w:r>
      <w:hyperlink r:id="rId238">
        <w:r>
          <w:rPr>
            <w:rStyle w:val="Hyperlink"/>
          </w:rPr>
          <w:t xml:space="preserve">https://doi.org/10.2307/1886017</w:t>
        </w:r>
      </w:hyperlink>
      <w:r>
        <w:t xml:space="preserve">.</w:t>
      </w:r>
    </w:p>
    <w:bookmarkEnd w:id="239"/>
    <w:bookmarkStart w:id="240" w:name="ref_Boiteux1949Tarification"/>
    <w:p>
      <w:pPr>
        <w:pStyle w:val="Bibliography"/>
      </w:pPr>
      <w:r>
        <w:t xml:space="preserve">Boiteux, Marcel (1949).</w:t>
      </w:r>
      <w:r>
        <w:t xml:space="preserve"> </w:t>
      </w:r>
      <w:r>
        <w:t xml:space="preserve">«La tarification des demandes en pointe: application de la théorie de la vente au coût marginal»</w:t>
      </w:r>
      <w:r>
        <w:t xml:space="preserve">.</w:t>
      </w:r>
      <w:r>
        <w:t xml:space="preserve"> </w:t>
      </w:r>
      <w:r>
        <w:rPr>
          <w:i/>
          <w:iCs/>
        </w:rPr>
        <w:t xml:space="preserve">Revue générale de l’électricité</w:t>
      </w:r>
      <w:r>
        <w:t xml:space="preserve"> </w:t>
      </w:r>
      <w:r>
        <w:t xml:space="preserve">58: 321-40.</w:t>
      </w:r>
    </w:p>
    <w:bookmarkEnd w:id="240"/>
    <w:bookmarkStart w:id="242" w:name="ref_Boiteux1956Gestion"/>
    <w:p>
      <w:pPr>
        <w:pStyle w:val="Bibliography"/>
      </w:pPr>
      <w:r>
        <w:t xml:space="preserve">Boiteux, Marcel (1956).</w:t>
      </w:r>
      <w:r>
        <w:t xml:space="preserve"> </w:t>
      </w:r>
      <w:r>
        <w:t xml:space="preserve">«Sur la gestion des monopoles publics astreints à l’équilibre budgétaire»</w:t>
      </w:r>
      <w:r>
        <w:t xml:space="preserve">.</w:t>
      </w:r>
      <w:r>
        <w:t xml:space="preserve"> </w:t>
      </w:r>
      <w:r>
        <w:rPr>
          <w:i/>
          <w:iCs/>
        </w:rPr>
        <w:t xml:space="preserve">Econometrica</w:t>
      </w:r>
      <w:r>
        <w:t xml:space="preserve"> </w:t>
      </w:r>
      <w:r>
        <w:t xml:space="preserve">24 (1): 22-40.</w:t>
      </w:r>
      <w:r>
        <w:t xml:space="preserve"> </w:t>
      </w:r>
      <w:hyperlink r:id="rId241">
        <w:r>
          <w:rPr>
            <w:rStyle w:val="Hyperlink"/>
          </w:rPr>
          <w:t xml:space="preserve">https://doi.org/10.2307/1905256</w:t>
        </w:r>
      </w:hyperlink>
      <w:r>
        <w:t xml:space="preserve">.</w:t>
      </w:r>
    </w:p>
    <w:bookmarkEnd w:id="242"/>
    <w:bookmarkStart w:id="244" w:name="ref_Braeutigam1989Optimal"/>
    <w:p>
      <w:pPr>
        <w:pStyle w:val="Bibliography"/>
      </w:pPr>
      <w:r>
        <w:t xml:space="preserve">Braeutigam, Ronald R. (1989).</w:t>
      </w:r>
      <w:r>
        <w:t xml:space="preserve"> </w:t>
      </w:r>
      <w:r>
        <w:t xml:space="preserve">«Optimal Policies for Natural Monopolies»</w:t>
      </w:r>
      <w:r>
        <w:t xml:space="preserve">. En</w:t>
      </w:r>
      <w:r>
        <w:t xml:space="preserve"> </w:t>
      </w:r>
      <w:r>
        <w:rPr>
          <w:i/>
          <w:iCs/>
        </w:rPr>
        <w:t xml:space="preserve">Handbook of Industrial Organization</w:t>
      </w:r>
      <w:r>
        <w:t xml:space="preserve">, editado por Richard Schmalensee y Robert D. Willig, 2:1289-1346. Ámsterdam: Elsevier.</w:t>
      </w:r>
      <w:r>
        <w:t xml:space="preserve"> </w:t>
      </w:r>
      <w:hyperlink r:id="rId243">
        <w:r>
          <w:rPr>
            <w:rStyle w:val="Hyperlink"/>
          </w:rPr>
          <w:t xml:space="preserve">https://doi.org/10.1016/S1573-448X(89)02011-X</w:t>
        </w:r>
      </w:hyperlink>
      <w:r>
        <w:t xml:space="preserve">.</w:t>
      </w:r>
    </w:p>
    <w:bookmarkEnd w:id="244"/>
    <w:bookmarkStart w:id="245" w:name="ref_Buchanan1969External"/>
    <w:p>
      <w:pPr>
        <w:pStyle w:val="Bibliography"/>
      </w:pPr>
      <w:r>
        <w:t xml:space="preserve">Buchanan, James M. (1969).</w:t>
      </w:r>
      <w:r>
        <w:t xml:space="preserve"> </w:t>
      </w:r>
      <w:r>
        <w:t xml:space="preserve">«External Diseconomies, Corrective Taxes, and Market Structure»</w:t>
      </w:r>
      <w:r>
        <w:t xml:space="preserve">.</w:t>
      </w:r>
      <w:r>
        <w:t xml:space="preserve"> </w:t>
      </w:r>
      <w:r>
        <w:rPr>
          <w:i/>
          <w:iCs/>
        </w:rPr>
        <w:t xml:space="preserve">American Economic Review</w:t>
      </w:r>
      <w:r>
        <w:t xml:space="preserve"> </w:t>
      </w:r>
      <w:r>
        <w:t xml:space="preserve">59 (1): 174-77.</w:t>
      </w:r>
    </w:p>
    <w:bookmarkEnd w:id="245"/>
    <w:bookmarkStart w:id="247" w:name="ref_ARegV2007"/>
    <w:p>
      <w:pPr>
        <w:pStyle w:val="Bibliography"/>
      </w:pPr>
      <w:r>
        <w:t xml:space="preserve">Bundesministerium der Justiz (2007).</w:t>
      </w:r>
      <w:r>
        <w:t xml:space="preserve"> </w:t>
      </w:r>
      <w:r>
        <w:t xml:space="preserve">«Verordnung über die Anreizregulierung der Energieversorgungsnetze (Anreizregulierungsverordnung, ARegV), § 12 y anexo 3»</w:t>
      </w:r>
      <w:r>
        <w:t xml:space="preserve">. 2007.</w:t>
      </w:r>
      <w:r>
        <w:t xml:space="preserve"> </w:t>
      </w:r>
      <w:hyperlink r:id="rId246">
        <w:r>
          <w:rPr>
            <w:rStyle w:val="Hyperlink"/>
          </w:rPr>
          <w:t xml:space="preserve">https://www.gesetze-im-internet.de/aregv/anlage_3.html</w:t>
        </w:r>
      </w:hyperlink>
      <w:r>
        <w:t xml:space="preserve">.</w:t>
      </w:r>
    </w:p>
    <w:bookmarkEnd w:id="247"/>
    <w:bookmarkStart w:id="249" w:name="ref_BNetzA2026Effizienzvergleich"/>
    <w:p>
      <w:pPr>
        <w:pStyle w:val="Bibliography"/>
      </w:pPr>
      <w:r>
        <w:t xml:space="preserve">Bundesnetzagentur (2026).</w:t>
      </w:r>
      <w:r>
        <w:t xml:space="preserve"> </w:t>
      </w:r>
      <w:r>
        <w:t xml:space="preserve">«Effizienzvergleich (Elektrizitäts</w:t>
      </w:r>
      <w:r>
        <w:t xml:space="preserve">verteiler</w:t>
      </w:r>
      <w:r>
        <w:t xml:space="preserve">netze)»</w:t>
      </w:r>
      <w:r>
        <w:t xml:space="preserve">. 2026.</w:t>
      </w:r>
      <w:r>
        <w:t xml:space="preserve"> </w:t>
      </w:r>
      <w:hyperlink r:id="rId248">
        <w:r>
          <w:rPr>
            <w:rStyle w:val="Hyperlink"/>
          </w:rPr>
          <w:t xml:space="preserve">https://www.bundesnetzagentur.de/DE/Beschlusskammern/BK08/BK8_05_EOG/54_Effizienzvgl/start.html</w:t>
        </w:r>
      </w:hyperlink>
      <w:r>
        <w:t xml:space="preserve">.</w:t>
      </w:r>
    </w:p>
    <w:bookmarkEnd w:id="249"/>
    <w:bookmarkStart w:id="251" w:name="ref_Coase1946Marginal"/>
    <w:p>
      <w:pPr>
        <w:pStyle w:val="Bibliography"/>
      </w:pPr>
      <w:r>
        <w:t xml:space="preserve">Coase, Ronald H. (1946).</w:t>
      </w:r>
      <w:r>
        <w:t xml:space="preserve"> </w:t>
      </w:r>
      <w:r>
        <w:t xml:space="preserve">«The Marginal Cost Controversy»</w:t>
      </w:r>
      <w:r>
        <w:t xml:space="preserve">.</w:t>
      </w:r>
      <w:r>
        <w:t xml:space="preserve"> </w:t>
      </w:r>
      <w:r>
        <w:rPr>
          <w:i/>
          <w:iCs/>
        </w:rPr>
        <w:t xml:space="preserve">Economica</w:t>
      </w:r>
      <w:r>
        <w:t xml:space="preserve"> </w:t>
      </w:r>
      <w:r>
        <w:t xml:space="preserve">13 (51): 169-82.</w:t>
      </w:r>
      <w:r>
        <w:t xml:space="preserve"> </w:t>
      </w:r>
      <w:hyperlink r:id="rId250">
        <w:r>
          <w:rPr>
            <w:rStyle w:val="Hyperlink"/>
          </w:rPr>
          <w:t xml:space="preserve">https://doi.org/10.2307/2549764</w:t>
        </w:r>
      </w:hyperlink>
      <w:r>
        <w:t xml:space="preserve">.</w:t>
      </w:r>
    </w:p>
    <w:bookmarkEnd w:id="251"/>
    <w:bookmarkStart w:id="253" w:name="ref_CE2004Horizontales"/>
    <w:p>
      <w:pPr>
        <w:pStyle w:val="Bibliography"/>
      </w:pPr>
      <w:r>
        <w:t xml:space="preserve">Comisión Europea (2004).</w:t>
      </w:r>
      <w:r>
        <w:t xml:space="preserve"> </w:t>
      </w:r>
      <w:r>
        <w:t xml:space="preserve">«Directrices sobre la evaluación de las concentraciones horizontales con arreglo al Reglamento del Consejo sobre el control de las concentraciones entre empresas (2004/C 31/03)»</w:t>
      </w:r>
      <w:r>
        <w:t xml:space="preserve">. 5 de febrero de 2004.</w:t>
      </w:r>
      <w:r>
        <w:t xml:space="preserve"> </w:t>
      </w:r>
      <w:hyperlink r:id="rId252">
        <w:r>
          <w:rPr>
            <w:rStyle w:val="Hyperlink"/>
          </w:rPr>
          <w:t xml:space="preserve">https://eur-lex.europa.eu/legal-content/ES/TXT/?uri=CELEX:52004XC0205(02)</w:t>
        </w:r>
      </w:hyperlink>
      <w:r>
        <w:t xml:space="preserve">.</w:t>
      </w:r>
    </w:p>
    <w:bookmarkEnd w:id="253"/>
    <w:bookmarkStart w:id="255" w:name="ref_CE2014DeMinimis"/>
    <w:p>
      <w:pPr>
        <w:pStyle w:val="Bibliography"/>
      </w:pPr>
      <w:r>
        <w:t xml:space="preserve">Comisión Europea (2014).</w:t>
      </w:r>
      <w:r>
        <w:t xml:space="preserve"> </w:t>
      </w:r>
      <w:r>
        <w:t xml:space="preserve">«Comunicación relativa a los acuerdos de menor importancia que no restringen la competencia de forma sensible en el sentido del artículo 101, apartado 1, del Tratado de Funcionamiento de la Unión Europea (Comunicación de minimis) (2014/C 291/01)»</w:t>
      </w:r>
      <w:r>
        <w:t xml:space="preserve">. 30 de agosto de 2014.</w:t>
      </w:r>
      <w:r>
        <w:t xml:space="preserve"> </w:t>
      </w:r>
      <w:hyperlink r:id="rId254">
        <w:r>
          <w:rPr>
            <w:rStyle w:val="Hyperlink"/>
          </w:rPr>
          <w:t xml:space="preserve">https://eur-lex.europa.eu/legal-content/ES/TXT/?uri=CELEX:52014XC0830(01)</w:t>
        </w:r>
      </w:hyperlink>
      <w:r>
        <w:t xml:space="preserve">.</w:t>
      </w:r>
    </w:p>
    <w:bookmarkEnd w:id="255"/>
    <w:bookmarkStart w:id="257" w:name="ref_UE2020RecomendacionMercados"/>
    <w:p>
      <w:pPr>
        <w:pStyle w:val="Bibliography"/>
      </w:pPr>
      <w:r>
        <w:t xml:space="preserve">Comisión Europea (2020).</w:t>
      </w:r>
      <w:r>
        <w:t xml:space="preserve"> </w:t>
      </w:r>
      <w:r>
        <w:t xml:space="preserve">«Recomendación (UE) 2020/2245 de la Comisión, de 18 de diciembre de 2020, relativa a los mercados pertinentes de productos y servicios dentro del sector de las comunicaciones electrónicas que pueden ser objeto de regulación ex ante»</w:t>
      </w:r>
      <w:r>
        <w:t xml:space="preserve">. 29 de diciembre de 2020.</w:t>
      </w:r>
      <w:r>
        <w:t xml:space="preserve"> </w:t>
      </w:r>
      <w:hyperlink r:id="rId256">
        <w:r>
          <w:rPr>
            <w:rStyle w:val="Hyperlink"/>
          </w:rPr>
          <w:t xml:space="preserve">https://eur-lex.europa.eu/eli/reco/2020/2245/oj</w:t>
        </w:r>
      </w:hyperlink>
      <w:r>
        <w:t xml:space="preserve">.</w:t>
      </w:r>
    </w:p>
    <w:bookmarkEnd w:id="257"/>
    <w:bookmarkStart w:id="259" w:name="ref_UE2022RECAV"/>
    <w:p>
      <w:pPr>
        <w:pStyle w:val="Bibliography"/>
      </w:pPr>
      <w:r>
        <w:t xml:space="preserve">Comisión Europea (2022).</w:t>
      </w:r>
      <w:r>
        <w:t xml:space="preserve"> </w:t>
      </w:r>
      <w:r>
        <w:t xml:space="preserve">«Reglamento (UE) 2022/720 de la Comisión, de 10 de mayo de 2022, relativo a la aplicación del artículo 101, apartado 3, del Tratado de Funcionamiento de la Unión Europea a determinadas categorías de acuerdos verticales y prácticas concertadas»</w:t>
      </w:r>
      <w:r>
        <w:t xml:space="preserve">. 11 de mayo de 2022.</w:t>
      </w:r>
      <w:r>
        <w:t xml:space="preserve"> </w:t>
      </w:r>
      <w:hyperlink r:id="rId258">
        <w:r>
          <w:rPr>
            <w:rStyle w:val="Hyperlink"/>
          </w:rPr>
          <w:t xml:space="preserve">https://eur-lex.europa.eu/eli/reg/2022/720/oj</w:t>
        </w:r>
      </w:hyperlink>
      <w:r>
        <w:t xml:space="preserve">.</w:t>
      </w:r>
    </w:p>
    <w:bookmarkEnd w:id="259"/>
    <w:bookmarkStart w:id="261" w:name="ref_CE2024DefinicionMercado"/>
    <w:p>
      <w:pPr>
        <w:pStyle w:val="Bibliography"/>
      </w:pPr>
      <w:r>
        <w:t xml:space="preserve">Comisión Europea (2024).</w:t>
      </w:r>
      <w:r>
        <w:t xml:space="preserve"> </w:t>
      </w:r>
      <w:r>
        <w:t xml:space="preserve">«Comunicación de la Comisión relativa a la definición de mercado de referencia a efectos de la normativa de la Unión en materia de competencia (C/2024/1645)»</w:t>
      </w:r>
      <w:r>
        <w:t xml:space="preserve">. 22 de febrero de 2024.</w:t>
      </w:r>
      <w:r>
        <w:t xml:space="preserve"> </w:t>
      </w:r>
      <w:hyperlink r:id="rId260">
        <w:r>
          <w:rPr>
            <w:rStyle w:val="Hyperlink"/>
          </w:rPr>
          <w:t xml:space="preserve">https://eur-lex.europa.eu/eli/C/2024/1645/oj</w:t>
        </w:r>
      </w:hyperlink>
      <w:r>
        <w:t xml:space="preserve">.</w:t>
      </w:r>
    </w:p>
    <w:bookmarkEnd w:id="261"/>
    <w:bookmarkStart w:id="263" w:name="ref_CE2025DMAAppleMeta"/>
    <w:p>
      <w:pPr>
        <w:pStyle w:val="Bibliography"/>
      </w:pPr>
      <w:r>
        <w:t xml:space="preserve">Comisión Europea (2025).</w:t>
      </w:r>
      <w:r>
        <w:t xml:space="preserve"> </w:t>
      </w:r>
      <w:r>
        <w:t xml:space="preserve">«Commission finds Apple and Meta in breach of the Digital Markets Act»</w:t>
      </w:r>
      <w:r>
        <w:t xml:space="preserve">. 23 de abril de 2025.</w:t>
      </w:r>
      <w:r>
        <w:t xml:space="preserve"> </w:t>
      </w:r>
      <w:hyperlink r:id="rId262">
        <w:r>
          <w:rPr>
            <w:rStyle w:val="Hyperlink"/>
          </w:rPr>
          <w:t xml:space="preserve">https://digital-markets-act.ec.europa.eu/commission-finds-apple-and-meta-breach-digital-markets-act-2025-04-23_en</w:t>
        </w:r>
      </w:hyperlink>
      <w:r>
        <w:t xml:space="preserve">.</w:t>
      </w:r>
    </w:p>
    <w:bookmarkEnd w:id="263"/>
    <w:bookmarkStart w:id="265" w:name="ref_CE2026GuardianesDMA"/>
    <w:p>
      <w:pPr>
        <w:pStyle w:val="Bibliography"/>
      </w:pPr>
      <w:r>
        <w:t xml:space="preserve">Comisión Europea (2026a).</w:t>
      </w:r>
      <w:r>
        <w:t xml:space="preserve"> </w:t>
      </w:r>
      <w:r>
        <w:t xml:space="preserve">«DMA Designated Gatekeepers»</w:t>
      </w:r>
      <w:r>
        <w:t xml:space="preserve">. 2026.</w:t>
      </w:r>
      <w:r>
        <w:t xml:space="preserve"> </w:t>
      </w:r>
      <w:hyperlink r:id="rId264">
        <w:r>
          <w:rPr>
            <w:rStyle w:val="Hyperlink"/>
          </w:rPr>
          <w:t xml:space="preserve">https://digital-markets-act.ec.europa.eu/gatekeepers-portal_en</w:t>
        </w:r>
      </w:hyperlink>
      <w:r>
        <w:t xml:space="preserve">.</w:t>
      </w:r>
    </w:p>
    <w:bookmarkEnd w:id="265"/>
    <w:bookmarkStart w:id="267" w:name="ref_CE2026RevisionMerger"/>
    <w:p>
      <w:pPr>
        <w:pStyle w:val="Bibliography"/>
      </w:pPr>
      <w:r>
        <w:t xml:space="preserve">Comisión Europea (2026b).</w:t>
      </w:r>
      <w:r>
        <w:t xml:space="preserve"> </w:t>
      </w:r>
      <w:r>
        <w:t xml:space="preserve">«Review of the Merger Guidelines»</w:t>
      </w:r>
      <w:r>
        <w:t xml:space="preserve">. 2026.</w:t>
      </w:r>
      <w:r>
        <w:t xml:space="preserve"> </w:t>
      </w:r>
      <w:hyperlink r:id="rId266">
        <w:r>
          <w:rPr>
            <w:rStyle w:val="Hyperlink"/>
          </w:rPr>
          <w:t xml:space="preserve">https://competition-policy.ec.europa.eu/mergers/review-merger-guidelines_en</w:t>
        </w:r>
      </w:hyperlink>
      <w:r>
        <w:t xml:space="preserve">.</w:t>
      </w:r>
    </w:p>
    <w:bookmarkEnd w:id="267"/>
    <w:bookmarkStart w:id="269" w:name="ref_CE2026DMAGoogle"/>
    <w:p>
      <w:pPr>
        <w:pStyle w:val="Bibliography"/>
      </w:pPr>
      <w:r>
        <w:t xml:space="preserve">Comisión Europea (2026c).</w:t>
      </w:r>
      <w:r>
        <w:t xml:space="preserve"> </w:t>
      </w:r>
      <w:r>
        <w:t xml:space="preserve">«Commission fines Google €890 million for breaches of the Digital Markets Act»</w:t>
      </w:r>
      <w:r>
        <w:t xml:space="preserve">. 23 de julio de 2026.</w:t>
      </w:r>
      <w:r>
        <w:t xml:space="preserve"> </w:t>
      </w:r>
      <w:hyperlink r:id="rId268">
        <w:r>
          <w:rPr>
            <w:rStyle w:val="Hyperlink"/>
          </w:rPr>
          <w:t xml:space="preserve">https://digital-markets-act.ec.europa.eu/commission-fines-google-eur890-million-breaches-digital-markets-act-2026-07-23_en</w:t>
        </w:r>
      </w:hyperlink>
      <w:r>
        <w:t xml:space="preserve">.</w:t>
      </w:r>
    </w:p>
    <w:bookmarkEnd w:id="269"/>
    <w:bookmarkStart w:id="271" w:name="ref_CE2026DirectricesExclusion"/>
    <w:p>
      <w:pPr>
        <w:pStyle w:val="Bibliography"/>
      </w:pPr>
      <w:r>
        <w:t xml:space="preserve">Comisión Europea (2026d).</w:t>
      </w:r>
      <w:r>
        <w:t xml:space="preserve"> </w:t>
      </w:r>
      <w:r>
        <w:t xml:space="preserve">«Guidelines on the application of Article 102 of the Treaty on the Functioning of the European Union to abusive exclusionary conduct by dominant undertakings, C(2026) 6118 final»</w:t>
      </w:r>
      <w:r>
        <w:t xml:space="preserve">. 3 de septiembre de 2026.</w:t>
      </w:r>
      <w:r>
        <w:t xml:space="preserve"> </w:t>
      </w:r>
      <w:hyperlink r:id="rId270">
        <w:r>
          <w:rPr>
            <w:rStyle w:val="Hyperlink"/>
          </w:rPr>
          <w:t xml:space="preserve">https://competition-policy.ec.europa.eu/document/download/ac0e592e-2c8e-4a45-aae5-d82e7327b022_en?filename=Guidelines_on_exclusionary_abuses_of_dominance_102TFEU.pdf</w:t>
        </w:r>
      </w:hyperlink>
      <w:r>
        <w:t xml:space="preserve">.</w:t>
      </w:r>
    </w:p>
    <w:bookmarkEnd w:id="271"/>
    <w:bookmarkStart w:id="273" w:name="ref_CNMC2018CuotaAbono"/>
    <w:p>
      <w:pPr>
        <w:pStyle w:val="Bibliography"/>
      </w:pPr>
      <w:r>
        <w:t xml:space="preserve">Comisión Nacional de los Mercados y la Competencia (2018a).</w:t>
      </w:r>
      <w:r>
        <w:t xml:space="preserve"> </w:t>
      </w:r>
      <w:r>
        <w:t xml:space="preserve">«Acuerdo por el que se emite informe al Ministerio de Energía, Turismo y Agenda Digital relativo a las condiciones competitivas del mercado minorista de acceso telefónico fijo y la asequibilidad de este servicio (INF/DTSA/237/17)»</w:t>
      </w:r>
      <w:r>
        <w:t xml:space="preserve">. 2018.</w:t>
      </w:r>
      <w:r>
        <w:t xml:space="preserve"> </w:t>
      </w:r>
      <w:hyperlink r:id="rId272">
        <w:r>
          <w:rPr>
            <w:rStyle w:val="Hyperlink"/>
          </w:rPr>
          <w:t xml:space="preserve">https://www.cnmc.es/sites/default/files/1972516_6.pdf</w:t>
        </w:r>
      </w:hyperlink>
      <w:r>
        <w:t xml:space="preserve">.</w:t>
      </w:r>
    </w:p>
    <w:bookmarkEnd w:id="273"/>
    <w:bookmarkStart w:id="275" w:name="ref_CNMC2018TarifasAdif"/>
    <w:p>
      <w:pPr>
        <w:pStyle w:val="Bibliography"/>
      </w:pPr>
      <w:r>
        <w:t xml:space="preserve">Comisión Nacional de los Mercados y la Competencia (2018b).</w:t>
      </w:r>
      <w:r>
        <w:t xml:space="preserve"> </w:t>
      </w:r>
      <w:r>
        <w:t xml:space="preserve">«Resolución sobre las propuestas de tarifas para los servicios complementarios prestados por ADIF y ADIF Alta Velocidad (STP/DTSP/070/18)»</w:t>
      </w:r>
      <w:r>
        <w:t xml:space="preserve">. 2018.</w:t>
      </w:r>
      <w:r>
        <w:t xml:space="preserve"> </w:t>
      </w:r>
      <w:hyperlink r:id="rId274">
        <w:r>
          <w:rPr>
            <w:rStyle w:val="Hyperlink"/>
          </w:rPr>
          <w:t xml:space="preserve">https://www.cnmc.es/sites/default/files/2100627.pdf</w:t>
        </w:r>
      </w:hyperlink>
      <w:r>
        <w:t xml:space="preserve">.</w:t>
      </w:r>
    </w:p>
    <w:bookmarkEnd w:id="275"/>
    <w:bookmarkStart w:id="277" w:name="ref_CNMC2019Circular2"/>
    <w:p>
      <w:pPr>
        <w:pStyle w:val="Bibliography"/>
      </w:pPr>
      <w:r>
        <w:t xml:space="preserve">Comisión Nacional de los Mercados y la Competencia (2019).</w:t>
      </w:r>
      <w:r>
        <w:t xml:space="preserve"> </w:t>
      </w:r>
      <w:r>
        <w:t xml:space="preserve">«Circular 2/2019, de 12 de noviembre, por la que se establece la metodología de cálculo de la tasa de retribución financiera de las actividades de transporte y distribución de energía eléctrica, y regasificación, transporte y distribución de gas natural»</w:t>
      </w:r>
      <w:r>
        <w:t xml:space="preserve">. 20 de noviembre de 2019.</w:t>
      </w:r>
      <w:r>
        <w:t xml:space="preserve"> </w:t>
      </w:r>
      <w:hyperlink r:id="rId276">
        <w:r>
          <w:rPr>
            <w:rStyle w:val="Hyperlink"/>
          </w:rPr>
          <w:t xml:space="preserve">https://www.boe.es/buscar/act.php?id=BOE-A-2019-16639</w:t>
        </w:r>
      </w:hyperlink>
      <w:r>
        <w:t xml:space="preserve">.</w:t>
      </w:r>
    </w:p>
    <w:bookmarkEnd w:id="277"/>
    <w:bookmarkStart w:id="279" w:name="ref_CNMC2020Circular3"/>
    <w:p>
      <w:pPr>
        <w:pStyle w:val="Bibliography"/>
      </w:pPr>
      <w:r>
        <w:t xml:space="preserve">Comisión Nacional de los Mercados y la Competencia (2020).</w:t>
      </w:r>
      <w:r>
        <w:t xml:space="preserve"> </w:t>
      </w:r>
      <w:r>
        <w:t xml:space="preserve">«Circular 3/2020, de 15 de enero, por la que se establece la metodología para el cálculo de los peajes de transporte y distribución de electricidad (BOE-A-2020-1066)»</w:t>
      </w:r>
      <w:r>
        <w:t xml:space="preserve">. 2020.</w:t>
      </w:r>
      <w:r>
        <w:t xml:space="preserve"> </w:t>
      </w:r>
      <w:hyperlink r:id="rId278">
        <w:r>
          <w:rPr>
            <w:rStyle w:val="Hyperlink"/>
          </w:rPr>
          <w:t xml:space="preserve">https://www.boe.es/buscar/act.php?id=BOE-A-2020-1066</w:t>
        </w:r>
      </w:hyperlink>
      <w:r>
        <w:t xml:space="preserve">.</w:t>
      </w:r>
    </w:p>
    <w:bookmarkEnd w:id="279"/>
    <w:bookmarkStart w:id="281" w:name="ref_CNMC2025Desregulacion"/>
    <w:p>
      <w:pPr>
        <w:pStyle w:val="Bibliography"/>
      </w:pPr>
      <w:r>
        <w:t xml:space="preserve">Comisión Nacional de los Mercados y la Competencia (2025a).</w:t>
      </w:r>
      <w:r>
        <w:t xml:space="preserve"> </w:t>
      </w:r>
      <w:r>
        <w:t xml:space="preserve">«La CNMC aprueba la desregulación de los mercados mayoristas de banda ancha fija (nota de prensa)»</w:t>
      </w:r>
      <w:r>
        <w:t xml:space="preserve">. 13 de agosto de 2025.</w:t>
      </w:r>
      <w:r>
        <w:t xml:space="preserve"> </w:t>
      </w:r>
      <w:hyperlink r:id="rId280">
        <w:r>
          <w:rPr>
            <w:rStyle w:val="Hyperlink"/>
          </w:rPr>
          <w:t xml:space="preserve">https://cnmc.es/prensa/desregulacion-banda-ancha-fija-20250813</w:t>
        </w:r>
      </w:hyperlink>
      <w:r>
        <w:t xml:space="preserve">.</w:t>
      </w:r>
    </w:p>
    <w:bookmarkEnd w:id="281"/>
    <w:bookmarkStart w:id="283" w:name="ref_CNMC2025Circular8"/>
    <w:p>
      <w:pPr>
        <w:pStyle w:val="Bibliography"/>
      </w:pPr>
      <w:r>
        <w:t xml:space="preserve">Comisión Nacional de los Mercados y la Competencia (2025b).</w:t>
      </w:r>
      <w:r>
        <w:t xml:space="preserve"> </w:t>
      </w:r>
      <w:r>
        <w:t xml:space="preserve">«Circular 8/2025, de 22 de diciembre, por la que se establece la metodología para el cálculo de la retribución de la actividad de distribución de energía eléctrica (CIR/DE/006/24)»</w:t>
      </w:r>
      <w:r>
        <w:t xml:space="preserve">. 22 de diciembre de 2025.</w:t>
      </w:r>
      <w:r>
        <w:t xml:space="preserve"> </w:t>
      </w:r>
      <w:hyperlink r:id="rId282">
        <w:r>
          <w:rPr>
            <w:rStyle w:val="Hyperlink"/>
          </w:rPr>
          <w:t xml:space="preserve">https://www.cnmc.es/sites/default/files/6339016.pdf</w:t>
        </w:r>
      </w:hyperlink>
      <w:r>
        <w:t xml:space="preserve">.</w:t>
      </w:r>
    </w:p>
    <w:bookmarkEnd w:id="283"/>
    <w:bookmarkStart w:id="285" w:name="ref_CNMC2025NPCirculares"/>
    <w:p>
      <w:pPr>
        <w:pStyle w:val="Bibliography"/>
      </w:pPr>
      <w:r>
        <w:t xml:space="preserve">Comisión Nacional de los Mercados y la Competencia (2025c).</w:t>
      </w:r>
      <w:r>
        <w:t xml:space="preserve"> </w:t>
      </w:r>
      <w:r>
        <w:t xml:space="preserve">«La CNMC aprueba las Circulares de retribución de las redes eléctricas y fija una tasa del 6,58 % para los próximos seis años (nota de prensa)»</w:t>
      </w:r>
      <w:r>
        <w:t xml:space="preserve">. 22 de diciembre de 2025.</w:t>
      </w:r>
      <w:r>
        <w:t xml:space="preserve"> </w:t>
      </w:r>
      <w:hyperlink r:id="rId284">
        <w:r>
          <w:rPr>
            <w:rStyle w:val="Hyperlink"/>
          </w:rPr>
          <w:t xml:space="preserve">https://www.cnmc.es/prensa/circulares-retribucion-electrica-20251222</w:t>
        </w:r>
      </w:hyperlink>
      <w:r>
        <w:t xml:space="preserve">.</w:t>
      </w:r>
    </w:p>
    <w:bookmarkEnd w:id="285"/>
    <w:bookmarkStart w:id="287" w:name="ref_CNMC2025Circular9"/>
    <w:p>
      <w:pPr>
        <w:pStyle w:val="Bibliography"/>
      </w:pPr>
      <w:r>
        <w:t xml:space="preserve">Comisión Nacional de los Mercados y la Competencia (2025d).</w:t>
      </w:r>
      <w:r>
        <w:t xml:space="preserve"> </w:t>
      </w:r>
      <w:r>
        <w:t xml:space="preserve">«Circular 9/2025, de 22 de diciembre, por la que se modifica la Circular 2/2019 y se establece la tasa de retribución financiera aplicable a las actividades de transporte, operación del sistema y distribución de energía eléctrica en el periodo regulatorio 2026-2031 (BOE-A-2025-27019)»</w:t>
      </w:r>
      <w:r>
        <w:t xml:space="preserve">. 30 de diciembre de 2025.</w:t>
      </w:r>
      <w:r>
        <w:t xml:space="preserve"> </w:t>
      </w:r>
      <w:hyperlink r:id="rId286">
        <w:r>
          <w:rPr>
            <w:rStyle w:val="Hyperlink"/>
          </w:rPr>
          <w:t xml:space="preserve">https://www.boe.es/diario_boe/txt.php?id=BOE-A-2025-27019</w:t>
        </w:r>
      </w:hyperlink>
      <w:r>
        <w:t xml:space="preserve">.</w:t>
      </w:r>
    </w:p>
    <w:bookmarkEnd w:id="287"/>
    <w:bookmarkStart w:id="289" w:name="ref_CNMC2026InformeDORA"/>
    <w:p>
      <w:pPr>
        <w:pStyle w:val="Bibliography"/>
      </w:pPr>
      <w:r>
        <w:t xml:space="preserve">Comisión Nacional de los Mercados y la Competencia (2026a).</w:t>
      </w:r>
      <w:r>
        <w:t xml:space="preserve"> </w:t>
      </w:r>
      <w:r>
        <w:t xml:space="preserve">«Informe sobre la propuesta de DORA 2027-2031 (nota de prensa)»</w:t>
      </w:r>
      <w:r>
        <w:t xml:space="preserve">. 2 de junio de 2026.</w:t>
      </w:r>
      <w:r>
        <w:t xml:space="preserve"> </w:t>
      </w:r>
      <w:hyperlink r:id="rId288">
        <w:r>
          <w:rPr>
            <w:rStyle w:val="Hyperlink"/>
          </w:rPr>
          <w:t xml:space="preserve">https://www.cnmc.es/index.php/prensa/informe-dora-20260602</w:t>
        </w:r>
      </w:hyperlink>
      <w:r>
        <w:t xml:space="preserve">.</w:t>
      </w:r>
    </w:p>
    <w:bookmarkEnd w:id="289"/>
    <w:bookmarkStart w:id="291" w:name="ref_CNMC2026Circular5"/>
    <w:p>
      <w:pPr>
        <w:pStyle w:val="Bibliography"/>
      </w:pPr>
      <w:r>
        <w:t xml:space="preserve">Comisión Nacional de los Mercados y la Competencia (2026b).</w:t>
      </w:r>
      <w:r>
        <w:t xml:space="preserve"> </w:t>
      </w:r>
      <w:r>
        <w:t xml:space="preserve">«Circular 5/2026, de 8 de septiembre, por la que se establece la tasa de retribución financiera aplicable a las actividades de regasificación, transporte, y gestión técnica del sistema y a las actividades vinculadas a la distribución de gas natural, en el periodo regulatorio 2027-2032 (BOE-A-2026-19426)»</w:t>
      </w:r>
      <w:r>
        <w:t xml:space="preserve">. 18 de septiembre de 2026.</w:t>
      </w:r>
      <w:r>
        <w:t xml:space="preserve"> </w:t>
      </w:r>
      <w:hyperlink r:id="rId290">
        <w:r>
          <w:rPr>
            <w:rStyle w:val="Hyperlink"/>
          </w:rPr>
          <w:t xml:space="preserve">https://www.boe.es/diario_boe/txt.php?id=BOE-A-2026-19426</w:t>
        </w:r>
      </w:hyperlink>
      <w:r>
        <w:t xml:space="preserve">.</w:t>
      </w:r>
    </w:p>
    <w:bookmarkEnd w:id="291"/>
    <w:bookmarkStart w:id="293" w:name="ref_UE2004Reglamento139"/>
    <w:p>
      <w:pPr>
        <w:pStyle w:val="Bibliography"/>
      </w:pPr>
      <w:r>
        <w:t xml:space="preserve">Consejo de la Unión Europea (2004).</w:t>
      </w:r>
      <w:r>
        <w:t xml:space="preserve"> </w:t>
      </w:r>
      <w:r>
        <w:t xml:space="preserve">«Reglamento (CE) n.º 139/2004 del Consejo, de 20 de enero de 2004, sobre el control de las concentraciones entre empresas»</w:t>
      </w:r>
      <w:r>
        <w:t xml:space="preserve">. 2004.</w:t>
      </w:r>
      <w:r>
        <w:t xml:space="preserve"> </w:t>
      </w:r>
      <w:hyperlink r:id="rId292">
        <w:r>
          <w:rPr>
            <w:rStyle w:val="Hyperlink"/>
          </w:rPr>
          <w:t xml:space="preserve">https://eur-lex.europa.eu/eli/reg/2004/139/oj?locale=es</w:t>
        </w:r>
      </w:hyperlink>
      <w:r>
        <w:t xml:space="preserve">.</w:t>
      </w:r>
    </w:p>
    <w:bookmarkEnd w:id="293"/>
    <w:bookmarkStart w:id="294" w:name="ref_Courville1974Regulation"/>
    <w:p>
      <w:pPr>
        <w:pStyle w:val="Bibliography"/>
      </w:pPr>
      <w:r>
        <w:t xml:space="preserve">Courville, Léon (1974).</w:t>
      </w:r>
      <w:r>
        <w:t xml:space="preserve"> </w:t>
      </w:r>
      <w:r>
        <w:t xml:space="preserve">«Regulation and Efficiency in the Electric Utility Industry»</w:t>
      </w:r>
      <w:r>
        <w:t xml:space="preserve">.</w:t>
      </w:r>
      <w:r>
        <w:t xml:space="preserve"> </w:t>
      </w:r>
      <w:r>
        <w:rPr>
          <w:i/>
          <w:iCs/>
        </w:rPr>
        <w:t xml:space="preserve">Bell Journal of Economics and Management Science</w:t>
      </w:r>
      <w:r>
        <w:t xml:space="preserve"> </w:t>
      </w:r>
      <w:r>
        <w:t xml:space="preserve">5 (1): 53-74.</w:t>
      </w:r>
    </w:p>
    <w:bookmarkEnd w:id="294"/>
    <w:bookmarkStart w:id="296" w:name="ref_CowlingMueller1978Social"/>
    <w:p>
      <w:pPr>
        <w:pStyle w:val="Bibliography"/>
      </w:pPr>
      <w:r>
        <w:t xml:space="preserve">Cowling, Keith y Dennis C. Mueller (1978).</w:t>
      </w:r>
      <w:r>
        <w:t xml:space="preserve"> </w:t>
      </w:r>
      <w:r>
        <w:t xml:space="preserve">«The Social Costs of Monopoly Power»</w:t>
      </w:r>
      <w:r>
        <w:t xml:space="preserve">.</w:t>
      </w:r>
      <w:r>
        <w:t xml:space="preserve"> </w:t>
      </w:r>
      <w:r>
        <w:rPr>
          <w:i/>
          <w:iCs/>
        </w:rPr>
        <w:t xml:space="preserve">Economic Journal</w:t>
      </w:r>
      <w:r>
        <w:t xml:space="preserve"> </w:t>
      </w:r>
      <w:r>
        <w:t xml:space="preserve">88 (352): 727-48.</w:t>
      </w:r>
      <w:r>
        <w:t xml:space="preserve"> </w:t>
      </w:r>
      <w:hyperlink r:id="rId295">
        <w:r>
          <w:rPr>
            <w:rStyle w:val="Hyperlink"/>
          </w:rPr>
          <w:t xml:space="preserve">https://doi.org/10.2307/2231975</w:t>
        </w:r>
      </w:hyperlink>
      <w:r>
        <w:t xml:space="preserve">.</w:t>
      </w:r>
    </w:p>
    <w:bookmarkEnd w:id="296"/>
    <w:bookmarkStart w:id="298" w:name="ref_CowlingWaterson1976Price"/>
    <w:p>
      <w:pPr>
        <w:pStyle w:val="Bibliography"/>
      </w:pPr>
      <w:r>
        <w:t xml:space="preserve">Cowling, Keith y Michael Waterson (1976).</w:t>
      </w:r>
      <w:r>
        <w:t xml:space="preserve"> </w:t>
      </w:r>
      <w:r>
        <w:t xml:space="preserve">«Price-Cost Margins and Market Structure»</w:t>
      </w:r>
      <w:r>
        <w:t xml:space="preserve">.</w:t>
      </w:r>
      <w:r>
        <w:t xml:space="preserve"> </w:t>
      </w:r>
      <w:r>
        <w:rPr>
          <w:i/>
          <w:iCs/>
        </w:rPr>
        <w:t xml:space="preserve">Economica</w:t>
      </w:r>
      <w:r>
        <w:t xml:space="preserve"> </w:t>
      </w:r>
      <w:r>
        <w:t xml:space="preserve">43 (171): 267-74.</w:t>
      </w:r>
      <w:r>
        <w:t xml:space="preserve"> </w:t>
      </w:r>
      <w:hyperlink r:id="rId297">
        <w:r>
          <w:rPr>
            <w:rStyle w:val="Hyperlink"/>
          </w:rPr>
          <w:t xml:space="preserve">https://doi.org/10.2307/2553125</w:t>
        </w:r>
      </w:hyperlink>
      <w:r>
        <w:t xml:space="preserve">.</w:t>
      </w:r>
    </w:p>
    <w:bookmarkEnd w:id="298"/>
    <w:bookmarkStart w:id="299" w:name="ref_DalBo2006Regulatory"/>
    <w:p>
      <w:pPr>
        <w:pStyle w:val="Bibliography"/>
      </w:pPr>
      <w:r>
        <w:t xml:space="preserve">Dal Bó, Ernesto (2006).</w:t>
      </w:r>
      <w:r>
        <w:t xml:space="preserve"> </w:t>
      </w:r>
      <w:r>
        <w:t xml:space="preserve">«Regulatory Capture: A Review»</w:t>
      </w:r>
      <w:r>
        <w:t xml:space="preserve">.</w:t>
      </w:r>
      <w:r>
        <w:t xml:space="preserve"> </w:t>
      </w:r>
      <w:r>
        <w:rPr>
          <w:i/>
          <w:iCs/>
        </w:rPr>
        <w:t xml:space="preserve">Oxford Review of Economic Policy</w:t>
      </w:r>
      <w:r>
        <w:t xml:space="preserve"> </w:t>
      </w:r>
      <w:r>
        <w:t xml:space="preserve">22 (2): 203-25.</w:t>
      </w:r>
    </w:p>
    <w:bookmarkEnd w:id="299"/>
    <w:bookmarkStart w:id="301" w:name="ref_DeLoeckerEeckhoutUnger2020Rise"/>
    <w:p>
      <w:pPr>
        <w:pStyle w:val="Bibliography"/>
      </w:pPr>
      <w:r>
        <w:t xml:space="preserve">De Loecker, Jan, Jan Eeckhout y Gabriel Unger (2020).</w:t>
      </w:r>
      <w:r>
        <w:t xml:space="preserve"> </w:t>
      </w:r>
      <w:r>
        <w:t xml:space="preserve">«The Rise of Market Power and the Macroeconomic Implications»</w:t>
      </w:r>
      <w:r>
        <w:t xml:space="preserve">.</w:t>
      </w:r>
      <w:r>
        <w:t xml:space="preserve"> </w:t>
      </w:r>
      <w:r>
        <w:rPr>
          <w:i/>
          <w:iCs/>
        </w:rPr>
        <w:t xml:space="preserve">Quarterly Journal of Economics</w:t>
      </w:r>
      <w:r>
        <w:t xml:space="preserve"> </w:t>
      </w:r>
      <w:r>
        <w:t xml:space="preserve">135 (2): 561-644.</w:t>
      </w:r>
      <w:r>
        <w:t xml:space="preserve"> </w:t>
      </w:r>
      <w:hyperlink r:id="rId300">
        <w:r>
          <w:rPr>
            <w:rStyle w:val="Hyperlink"/>
          </w:rPr>
          <w:t xml:space="preserve">https://doi.org/10.1093/qje/qjz041</w:t>
        </w:r>
      </w:hyperlink>
      <w:r>
        <w:t xml:space="preserve">.</w:t>
      </w:r>
    </w:p>
    <w:bookmarkEnd w:id="301"/>
    <w:bookmarkStart w:id="303" w:name="ref_Demsetz1968Why"/>
    <w:p>
      <w:pPr>
        <w:pStyle w:val="Bibliography"/>
      </w:pPr>
      <w:r>
        <w:t xml:space="preserve">Demsetz, Harold (1968).</w:t>
      </w:r>
      <w:r>
        <w:t xml:space="preserve"> </w:t>
      </w:r>
      <w:r>
        <w:t xml:space="preserve">«Why Regulate Utilities?»</w:t>
      </w:r>
      <w:r>
        <w:t xml:space="preserve"> </w:t>
      </w:r>
      <w:r>
        <w:rPr>
          <w:i/>
          <w:iCs/>
        </w:rPr>
        <w:t xml:space="preserve">Journal of Law and Economics</w:t>
      </w:r>
      <w:r>
        <w:t xml:space="preserve"> </w:t>
      </w:r>
      <w:r>
        <w:t xml:space="preserve">11 (1): 55-65.</w:t>
      </w:r>
      <w:r>
        <w:t xml:space="preserve"> </w:t>
      </w:r>
      <w:hyperlink r:id="rId302">
        <w:r>
          <w:rPr>
            <w:rStyle w:val="Hyperlink"/>
          </w:rPr>
          <w:t xml:space="preserve">https://doi.org/10.1086/466643</w:t>
        </w:r>
      </w:hyperlink>
      <w:r>
        <w:t xml:space="preserve">.</w:t>
      </w:r>
    </w:p>
    <w:bookmarkEnd w:id="303"/>
    <w:bookmarkStart w:id="305" w:name="ref_BOE2026DORA"/>
    <w:p>
      <w:pPr>
        <w:pStyle w:val="Bibliography"/>
      </w:pPr>
      <w:r>
        <w:t xml:space="preserve">Dirección General de Aviación Civil (2026).</w:t>
      </w:r>
      <w:r>
        <w:t xml:space="preserve"> </w:t>
      </w:r>
      <w:r>
        <w:t xml:space="preserve">«Resolución de 16 de septiembre de 2026, por la que se publica el Acuerdo del Consejo de Ministros de 15 de septiembre de 2026, por el que se aprueba el Documento de Regulación Aeroportuaria 2027-2031 (BOE-A-2026-19507)»</w:t>
      </w:r>
      <w:r>
        <w:t xml:space="preserve">. 2026.</w:t>
      </w:r>
      <w:r>
        <w:t xml:space="preserve"> </w:t>
      </w:r>
      <w:hyperlink r:id="rId304">
        <w:r>
          <w:rPr>
            <w:rStyle w:val="Hyperlink"/>
          </w:rPr>
          <w:t xml:space="preserve">https://www.boe.es/diario_boe/txt.php?id=BOE-A-2026-19507</w:t>
        </w:r>
      </w:hyperlink>
      <w:r>
        <w:t xml:space="preserve">.</w:t>
      </w:r>
    </w:p>
    <w:bookmarkEnd w:id="305"/>
    <w:bookmarkStart w:id="306" w:name="ref_Dupuit1844Mesure"/>
    <w:p>
      <w:pPr>
        <w:pStyle w:val="Bibliography"/>
      </w:pPr>
      <w:r>
        <w:t xml:space="preserve">Dupuit, Jules (1844).</w:t>
      </w:r>
      <w:r>
        <w:t xml:space="preserve"> </w:t>
      </w:r>
      <w:r>
        <w:t xml:space="preserve">«De la mesure de l’utilité des travaux publics»</w:t>
      </w:r>
      <w:r>
        <w:t xml:space="preserve">.</w:t>
      </w:r>
      <w:r>
        <w:t xml:space="preserve"> </w:t>
      </w:r>
      <w:r>
        <w:rPr>
          <w:i/>
          <w:iCs/>
        </w:rPr>
        <w:t xml:space="preserve">Annales des Ponts et Chaussées</w:t>
      </w:r>
      <w:r>
        <w:t xml:space="preserve">, 2.ª época, 8: 332-75.</w:t>
      </w:r>
    </w:p>
    <w:bookmarkEnd w:id="306"/>
    <w:bookmarkStart w:id="307" w:name="ref_ElzingaHogarty1973Problem"/>
    <w:p>
      <w:pPr>
        <w:pStyle w:val="Bibliography"/>
      </w:pPr>
      <w:r>
        <w:t xml:space="preserve">Elzinga, Kenneth G. y Thomas F. Hogarty (1973).</w:t>
      </w:r>
      <w:r>
        <w:t xml:space="preserve"> </w:t>
      </w:r>
      <w:r>
        <w:t xml:space="preserve">«The Problem of Geographic Market Delineation in Antimerger Suits»</w:t>
      </w:r>
      <w:r>
        <w:t xml:space="preserve">.</w:t>
      </w:r>
      <w:r>
        <w:t xml:space="preserve"> </w:t>
      </w:r>
      <w:r>
        <w:rPr>
          <w:i/>
          <w:iCs/>
        </w:rPr>
        <w:t xml:space="preserve">Antitrust Bulletin</w:t>
      </w:r>
      <w:r>
        <w:t xml:space="preserve"> </w:t>
      </w:r>
      <w:r>
        <w:t xml:space="preserve">18 (1): 45-81.</w:t>
      </w:r>
    </w:p>
    <w:bookmarkEnd w:id="307"/>
    <w:bookmarkStart w:id="308" w:name="ref_FarrellShapiro2010Antitrust"/>
    <w:p>
      <w:pPr>
        <w:pStyle w:val="Bibliography"/>
      </w:pPr>
      <w:r>
        <w:t xml:space="preserve">Farrell, Joseph y Carl Shapiro (2010).</w:t>
      </w:r>
      <w:r>
        <w:t xml:space="preserve"> </w:t>
      </w:r>
      <w:r>
        <w:t xml:space="preserve">«Antitrust Evaluation of Horizontal Mergers: An Economic Alternative to Market Definition»</w:t>
      </w:r>
      <w:r>
        <w:t xml:space="preserve">.</w:t>
      </w:r>
      <w:r>
        <w:t xml:space="preserve"> </w:t>
      </w:r>
      <w:r>
        <w:rPr>
          <w:i/>
          <w:iCs/>
        </w:rPr>
        <w:t xml:space="preserve">B.E. Journal of Theoretical Economics</w:t>
      </w:r>
      <w:r>
        <w:t xml:space="preserve"> </w:t>
      </w:r>
      <w:r>
        <w:t xml:space="preserve">10 (1).</w:t>
      </w:r>
    </w:p>
    <w:bookmarkEnd w:id="308"/>
    <w:bookmarkStart w:id="310" w:name="ref_FreixasGuesnerieTirole1985Planning"/>
    <w:p>
      <w:pPr>
        <w:pStyle w:val="Bibliography"/>
      </w:pPr>
      <w:r>
        <w:t xml:space="preserve">Freixas, Xavier, Roger Guesnerie y Jean Tirole (1985).</w:t>
      </w:r>
      <w:r>
        <w:t xml:space="preserve"> </w:t>
      </w:r>
      <w:r>
        <w:t xml:space="preserve">«Planning under Incomplete Information and the Ratchet Effect»</w:t>
      </w:r>
      <w:r>
        <w:t xml:space="preserve">.</w:t>
      </w:r>
      <w:r>
        <w:t xml:space="preserve"> </w:t>
      </w:r>
      <w:r>
        <w:rPr>
          <w:i/>
          <w:iCs/>
        </w:rPr>
        <w:t xml:space="preserve">Review of Economic Studies</w:t>
      </w:r>
      <w:r>
        <w:t xml:space="preserve"> </w:t>
      </w:r>
      <w:r>
        <w:t xml:space="preserve">52 (2): 173-91.</w:t>
      </w:r>
      <w:r>
        <w:t xml:space="preserve"> </w:t>
      </w:r>
      <w:hyperlink r:id="rId309">
        <w:r>
          <w:rPr>
            <w:rStyle w:val="Hyperlink"/>
          </w:rPr>
          <w:t xml:space="preserve">https://doi.org/10.2307/2297615</w:t>
        </w:r>
      </w:hyperlink>
      <w:r>
        <w:t xml:space="preserve">.</w:t>
      </w:r>
    </w:p>
    <w:bookmarkEnd w:id="310"/>
    <w:bookmarkStart w:id="311" w:name="ref_GuaschLaffontStraub2008Renegotiation"/>
    <w:p>
      <w:pPr>
        <w:pStyle w:val="Bibliography"/>
      </w:pPr>
      <w:r>
        <w:t xml:space="preserve">Guasch, J. Luis, Jean-Jacques Laffont y Stéphane Straub (2008).</w:t>
      </w:r>
      <w:r>
        <w:t xml:space="preserve"> </w:t>
      </w:r>
      <w:r>
        <w:t xml:space="preserve">«Renegotiation of Concession Contracts in Latin America: Evidence from the Water and Transport Sectors»</w:t>
      </w:r>
      <w:r>
        <w:t xml:space="preserve">.</w:t>
      </w:r>
      <w:r>
        <w:t xml:space="preserve"> </w:t>
      </w:r>
      <w:r>
        <w:rPr>
          <w:i/>
          <w:iCs/>
        </w:rPr>
        <w:t xml:space="preserve">International Journal of Industrial Organization</w:t>
      </w:r>
      <w:r>
        <w:t xml:space="preserve"> </w:t>
      </w:r>
      <w:r>
        <w:t xml:space="preserve">26 (2): 421-42.</w:t>
      </w:r>
    </w:p>
    <w:bookmarkEnd w:id="311"/>
    <w:bookmarkStart w:id="312" w:name="ref_Harberger1954Monopoly"/>
    <w:p>
      <w:pPr>
        <w:pStyle w:val="Bibliography"/>
      </w:pPr>
      <w:r>
        <w:t xml:space="preserve">Harberger, Arnold C. (1954).</w:t>
      </w:r>
      <w:r>
        <w:t xml:space="preserve"> </w:t>
      </w:r>
      <w:r>
        <w:t xml:space="preserve">«Monopoly and Resource Allocation»</w:t>
      </w:r>
      <w:r>
        <w:t xml:space="preserve">.</w:t>
      </w:r>
      <w:r>
        <w:t xml:space="preserve"> </w:t>
      </w:r>
      <w:r>
        <w:rPr>
          <w:i/>
          <w:iCs/>
        </w:rPr>
        <w:t xml:space="preserve">American Economic Review</w:t>
      </w:r>
      <w:r>
        <w:t xml:space="preserve"> </w:t>
      </w:r>
      <w:r>
        <w:t xml:space="preserve">44 (2): 77-87.</w:t>
      </w:r>
    </w:p>
    <w:bookmarkEnd w:id="312"/>
    <w:bookmarkStart w:id="313" w:name="ref_HarrisSimons1989Focusing"/>
    <w:p>
      <w:pPr>
        <w:pStyle w:val="Bibliography"/>
      </w:pPr>
      <w:r>
        <w:t xml:space="preserve">Harris, Barry C. y Joseph J. Simons (1989).</w:t>
      </w:r>
      <w:r>
        <w:t xml:space="preserve"> </w:t>
      </w:r>
      <w:r>
        <w:t xml:space="preserve">«Focusing Market Definition: How Much Substitution Is Necessary?»</w:t>
      </w:r>
      <w:r>
        <w:t xml:space="preserve"> </w:t>
      </w:r>
      <w:r>
        <w:rPr>
          <w:i/>
          <w:iCs/>
        </w:rPr>
        <w:t xml:space="preserve">Research in Law and Economics</w:t>
      </w:r>
      <w:r>
        <w:t xml:space="preserve"> </w:t>
      </w:r>
      <w:r>
        <w:t xml:space="preserve">12: 207-26.</w:t>
      </w:r>
    </w:p>
    <w:bookmarkEnd w:id="313"/>
    <w:bookmarkStart w:id="315" w:name="ref_Hotelling1938General"/>
    <w:p>
      <w:pPr>
        <w:pStyle w:val="Bibliography"/>
      </w:pPr>
      <w:r>
        <w:t xml:space="preserve">Hotelling, Harold (1938).</w:t>
      </w:r>
      <w:r>
        <w:t xml:space="preserve"> </w:t>
      </w:r>
      <w:r>
        <w:t xml:space="preserve">«The General Welfare in Relation to Problems of Taxation and of Railway and Utility Rates»</w:t>
      </w:r>
      <w:r>
        <w:t xml:space="preserve">.</w:t>
      </w:r>
      <w:r>
        <w:t xml:space="preserve"> </w:t>
      </w:r>
      <w:r>
        <w:rPr>
          <w:i/>
          <w:iCs/>
        </w:rPr>
        <w:t xml:space="preserve">Econometrica</w:t>
      </w:r>
      <w:r>
        <w:t xml:space="preserve"> </w:t>
      </w:r>
      <w:r>
        <w:t xml:space="preserve">6 (3): 242-69.</w:t>
      </w:r>
      <w:r>
        <w:t xml:space="preserve"> </w:t>
      </w:r>
      <w:hyperlink r:id="rId314">
        <w:r>
          <w:rPr>
            <w:rStyle w:val="Hyperlink"/>
          </w:rPr>
          <w:t xml:space="preserve">https://doi.org/10.2307/1907054</w:t>
        </w:r>
      </w:hyperlink>
      <w:r>
        <w:t xml:space="preserve">.</w:t>
      </w:r>
    </w:p>
    <w:bookmarkEnd w:id="315"/>
    <w:bookmarkStart w:id="316" w:name="ref_JamasbPollitt2001Benchmarking"/>
    <w:p>
      <w:pPr>
        <w:pStyle w:val="Bibliography"/>
      </w:pPr>
      <w:r>
        <w:t xml:space="preserve">Jamasb, Tooraj y Michael Pollitt (2001).</w:t>
      </w:r>
      <w:r>
        <w:t xml:space="preserve"> </w:t>
      </w:r>
      <w:r>
        <w:t xml:space="preserve">«Benchmarking and Regulation: International Electricity Experience»</w:t>
      </w:r>
      <w:r>
        <w:t xml:space="preserve">.</w:t>
      </w:r>
      <w:r>
        <w:t xml:space="preserve"> </w:t>
      </w:r>
      <w:r>
        <w:rPr>
          <w:i/>
          <w:iCs/>
        </w:rPr>
        <w:t xml:space="preserve">Utilities Policy</w:t>
      </w:r>
      <w:r>
        <w:t xml:space="preserve"> </w:t>
      </w:r>
      <w:r>
        <w:t xml:space="preserve">9 (3): 107-30.</w:t>
      </w:r>
    </w:p>
    <w:bookmarkEnd w:id="316"/>
    <w:bookmarkStart w:id="318" w:name="ref_BOE2007LDC"/>
    <w:p>
      <w:pPr>
        <w:pStyle w:val="Bibliography"/>
      </w:pPr>
      <w:r>
        <w:t xml:space="preserve">Jefatura del Estado (2007).</w:t>
      </w:r>
      <w:r>
        <w:t xml:space="preserve"> </w:t>
      </w:r>
      <w:r>
        <w:t xml:space="preserve">«Ley 15/2007, de 3 de julio, de Defensa de la Competencia (texto consolidado)»</w:t>
      </w:r>
      <w:r>
        <w:t xml:space="preserve">. 4 de julio de 2007.</w:t>
      </w:r>
      <w:r>
        <w:t xml:space="preserve"> </w:t>
      </w:r>
      <w:hyperlink r:id="rId317">
        <w:r>
          <w:rPr>
            <w:rStyle w:val="Hyperlink"/>
          </w:rPr>
          <w:t xml:space="preserve">https://www.boe.es/buscar/act.php?id=BOE-A-2007-12946</w:t>
        </w:r>
      </w:hyperlink>
      <w:r>
        <w:t xml:space="preserve">.</w:t>
      </w:r>
    </w:p>
    <w:bookmarkEnd w:id="318"/>
    <w:bookmarkStart w:id="320" w:name="ref_Ley3_2013CNMC"/>
    <w:p>
      <w:pPr>
        <w:pStyle w:val="Bibliography"/>
      </w:pPr>
      <w:r>
        <w:t xml:space="preserve">Jefatura del Estado (2013a).</w:t>
      </w:r>
      <w:r>
        <w:t xml:space="preserve"> </w:t>
      </w:r>
      <w:r>
        <w:t xml:space="preserve">«Ley 3/2013, de 4 de junio, de creación de la Comisión Nacional de los Mercados y la Competencia (Boletín Oficial del Estado)»</w:t>
      </w:r>
      <w:r>
        <w:t xml:space="preserve">. 5 de junio de 2013.</w:t>
      </w:r>
      <w:r>
        <w:t xml:space="preserve"> </w:t>
      </w:r>
      <w:hyperlink r:id="rId319">
        <w:r>
          <w:rPr>
            <w:rStyle w:val="Hyperlink"/>
          </w:rPr>
          <w:t xml:space="preserve">https://www.boe.es/eli/es/l/2013/06/04/3</w:t>
        </w:r>
      </w:hyperlink>
      <w:r>
        <w:t xml:space="preserve">.</w:t>
      </w:r>
    </w:p>
    <w:bookmarkEnd w:id="320"/>
    <w:bookmarkStart w:id="322" w:name="ref_Ley24_2013SectorElectrico"/>
    <w:p>
      <w:pPr>
        <w:pStyle w:val="Bibliography"/>
      </w:pPr>
      <w:r>
        <w:t xml:space="preserve">Jefatura del Estado (2013b).</w:t>
      </w:r>
      <w:r>
        <w:t xml:space="preserve"> </w:t>
      </w:r>
      <w:r>
        <w:t xml:space="preserve">«Ley 24/2013, de 26 de diciembre, del Sector Eléctrico (texto consolidado)»</w:t>
      </w:r>
      <w:r>
        <w:t xml:space="preserve">. 27 de diciembre de 2013.</w:t>
      </w:r>
      <w:r>
        <w:t xml:space="preserve"> </w:t>
      </w:r>
      <w:hyperlink r:id="rId321">
        <w:r>
          <w:rPr>
            <w:rStyle w:val="Hyperlink"/>
          </w:rPr>
          <w:t xml:space="preserve">https://www.boe.es/buscar/act.php?id=BOE-A-2013-13645</w:t>
        </w:r>
      </w:hyperlink>
      <w:r>
        <w:t xml:space="preserve">.</w:t>
      </w:r>
    </w:p>
    <w:bookmarkEnd w:id="322"/>
    <w:bookmarkStart w:id="324" w:name="ref_BOE2015Desindexacion"/>
    <w:p>
      <w:pPr>
        <w:pStyle w:val="Bibliography"/>
      </w:pPr>
      <w:r>
        <w:t xml:space="preserve">Jefatura del Estado (2015a).</w:t>
      </w:r>
      <w:r>
        <w:t xml:space="preserve"> </w:t>
      </w:r>
      <w:r>
        <w:t xml:space="preserve">«Ley 2/2015, de 30 de marzo, de desindexación de la economía española (BOE-A-2015-3443)»</w:t>
      </w:r>
      <w:r>
        <w:t xml:space="preserve">. 2015.</w:t>
      </w:r>
      <w:r>
        <w:t xml:space="preserve"> </w:t>
      </w:r>
      <w:hyperlink r:id="rId323">
        <w:r>
          <w:rPr>
            <w:rStyle w:val="Hyperlink"/>
          </w:rPr>
          <w:t xml:space="preserve">https://www.boe.es/buscar/act.php?id=BOE-A-2015-3443</w:t>
        </w:r>
      </w:hyperlink>
      <w:r>
        <w:t xml:space="preserve">.</w:t>
      </w:r>
    </w:p>
    <w:bookmarkEnd w:id="324"/>
    <w:bookmarkStart w:id="326" w:name="ref_BOE2015LSF"/>
    <w:p>
      <w:pPr>
        <w:pStyle w:val="Bibliography"/>
      </w:pPr>
      <w:r>
        <w:t xml:space="preserve">Jefatura del Estado (2015b).</w:t>
      </w:r>
      <w:r>
        <w:t xml:space="preserve"> </w:t>
      </w:r>
      <w:r>
        <w:t xml:space="preserve">«Ley 38/2015, de 29 de septiembre, del sector ferroviario (BOE-A-2015-10440)»</w:t>
      </w:r>
      <w:r>
        <w:t xml:space="preserve">. 30 de septiembre de 2015.</w:t>
      </w:r>
      <w:r>
        <w:t xml:space="preserve"> </w:t>
      </w:r>
      <w:hyperlink r:id="rId325">
        <w:r>
          <w:rPr>
            <w:rStyle w:val="Hyperlink"/>
          </w:rPr>
          <w:t xml:space="preserve">https://www.boe.es/buscar/act.php?id=BOE-A-2015-10440</w:t>
        </w:r>
      </w:hyperlink>
      <w:r>
        <w:t xml:space="preserve">.</w:t>
      </w:r>
    </w:p>
    <w:bookmarkEnd w:id="326"/>
    <w:bookmarkStart w:id="328" w:name="ref_BOE2022RDL10"/>
    <w:p>
      <w:pPr>
        <w:pStyle w:val="Bibliography"/>
      </w:pPr>
      <w:r>
        <w:t xml:space="preserve">Jefatura del Estado (2022a).</w:t>
      </w:r>
      <w:r>
        <w:t xml:space="preserve"> </w:t>
      </w:r>
      <w:r>
        <w:t xml:space="preserve">«Real Decreto-ley 10/2022, de 13 de mayo, por el que se establece con carácter temporal un mecanismo de ajuste de costes de producción para la reducción del precio de la electricidad en el mercado mayorista (BOE-A-2022-7843)»</w:t>
      </w:r>
      <w:r>
        <w:t xml:space="preserve">. 14 de mayo de 2022.</w:t>
      </w:r>
      <w:r>
        <w:t xml:space="preserve"> </w:t>
      </w:r>
      <w:hyperlink r:id="rId327">
        <w:r>
          <w:rPr>
            <w:rStyle w:val="Hyperlink"/>
          </w:rPr>
          <w:t xml:space="preserve">https://www.boe.es/buscar/act.php?id=BOE-A-2022-7843</w:t>
        </w:r>
      </w:hyperlink>
      <w:r>
        <w:t xml:space="preserve">.</w:t>
      </w:r>
    </w:p>
    <w:bookmarkEnd w:id="328"/>
    <w:bookmarkStart w:id="330" w:name="ref_Ley11_2022Telecomunicaciones"/>
    <w:p>
      <w:pPr>
        <w:pStyle w:val="Bibliography"/>
      </w:pPr>
      <w:r>
        <w:t xml:space="preserve">Jefatura del Estado (2022b).</w:t>
      </w:r>
      <w:r>
        <w:t xml:space="preserve"> </w:t>
      </w:r>
      <w:r>
        <w:t xml:space="preserve">«Ley 11/2022, de 28 de junio, General de Telecomunicaciones (texto consolidado)»</w:t>
      </w:r>
      <w:r>
        <w:t xml:space="preserve">. 29 de junio de 2022.</w:t>
      </w:r>
      <w:r>
        <w:t xml:space="preserve"> </w:t>
      </w:r>
      <w:hyperlink r:id="rId329">
        <w:r>
          <w:rPr>
            <w:rStyle w:val="Hyperlink"/>
          </w:rPr>
          <w:t xml:space="preserve">https://www.boe.es/buscar/act.php?id=BOE-A-2022-10757</w:t>
        </w:r>
      </w:hyperlink>
      <w:r>
        <w:t xml:space="preserve">.</w:t>
      </w:r>
    </w:p>
    <w:bookmarkEnd w:id="330"/>
    <w:bookmarkStart w:id="332" w:name="ref_BOE2023RDL3"/>
    <w:p>
      <w:pPr>
        <w:pStyle w:val="Bibliography"/>
      </w:pPr>
      <w:r>
        <w:t xml:space="preserve">Jefatura del Estado (2023).</w:t>
      </w:r>
      <w:r>
        <w:t xml:space="preserve"> </w:t>
      </w:r>
      <w:r>
        <w:t xml:space="preserve">«Real Decreto-ley 3/2023, de 28 de marzo, de prórroga del mecanismo de ajuste de costes de producción para la reducción del precio de la electricidad en el mercado mayorista regulado en el Real Decreto-ley 10/2022 (BOE-A-2023-7937)»</w:t>
      </w:r>
      <w:r>
        <w:t xml:space="preserve">. 29 de marzo de 2023.</w:t>
      </w:r>
      <w:r>
        <w:t xml:space="preserve"> </w:t>
      </w:r>
      <w:hyperlink r:id="rId331">
        <w:r>
          <w:rPr>
            <w:rStyle w:val="Hyperlink"/>
          </w:rPr>
          <w:t xml:space="preserve">https://www.boe.es/diario_boe/txt.php?id=BOE-A-2023-7937</w:t>
        </w:r>
      </w:hyperlink>
      <w:r>
        <w:t xml:space="preserve">.</w:t>
      </w:r>
    </w:p>
    <w:bookmarkEnd w:id="332"/>
    <w:bookmarkStart w:id="334" w:name="ref_Joskow1974Inflation"/>
    <w:p>
      <w:pPr>
        <w:pStyle w:val="Bibliography"/>
      </w:pPr>
      <w:r>
        <w:t xml:space="preserve">Joskow, Paul L. (1974).</w:t>
      </w:r>
      <w:r>
        <w:t xml:space="preserve"> </w:t>
      </w:r>
      <w:r>
        <w:t xml:space="preserve">«Inflation and Environmental Concern: Structural Change in the Process of Public Utility Price Regulation»</w:t>
      </w:r>
      <w:r>
        <w:t xml:space="preserve">.</w:t>
      </w:r>
      <w:r>
        <w:t xml:space="preserve"> </w:t>
      </w:r>
      <w:r>
        <w:rPr>
          <w:i/>
          <w:iCs/>
        </w:rPr>
        <w:t xml:space="preserve">Journal of Law and Economics</w:t>
      </w:r>
      <w:r>
        <w:t xml:space="preserve"> </w:t>
      </w:r>
      <w:r>
        <w:t xml:space="preserve">17 (2): 291-327.</w:t>
      </w:r>
      <w:r>
        <w:t xml:space="preserve"> </w:t>
      </w:r>
      <w:hyperlink r:id="rId333">
        <w:r>
          <w:rPr>
            <w:rStyle w:val="Hyperlink"/>
          </w:rPr>
          <w:t xml:space="preserve">https://doi.org/10.1086/466794</w:t>
        </w:r>
      </w:hyperlink>
      <w:r>
        <w:t xml:space="preserve">.</w:t>
      </w:r>
    </w:p>
    <w:bookmarkEnd w:id="334"/>
    <w:bookmarkStart w:id="335" w:name="ref_Joskow2014Incentive"/>
    <w:p>
      <w:pPr>
        <w:pStyle w:val="Bibliography"/>
      </w:pPr>
      <w:r>
        <w:t xml:space="preserve">Joskow, Paul L. (2014).</w:t>
      </w:r>
      <w:r>
        <w:t xml:space="preserve"> </w:t>
      </w:r>
      <w:r>
        <w:t xml:space="preserve">«Incentive Regulation in Theory and Practice: Electricity Distribution and Transmission Networks»</w:t>
      </w:r>
      <w:r>
        <w:t xml:space="preserve">. En</w:t>
      </w:r>
      <w:r>
        <w:t xml:space="preserve"> </w:t>
      </w:r>
      <w:r>
        <w:rPr>
          <w:i/>
          <w:iCs/>
        </w:rPr>
        <w:t xml:space="preserve">Economic Regulation and Its Reform: What Have We Learned?</w:t>
      </w:r>
      <w:r>
        <w:t xml:space="preserve">, editado por Nancy L. Rose. Chicago: University of Chicago Press.</w:t>
      </w:r>
    </w:p>
    <w:bookmarkEnd w:id="335"/>
    <w:bookmarkStart w:id="337" w:name="ref_KydlandPrescott1977Rules"/>
    <w:p>
      <w:pPr>
        <w:pStyle w:val="Bibliography"/>
      </w:pPr>
      <w:r>
        <w:t xml:space="preserve">Kydland, Finn E. y Edward C. Prescott (1977).</w:t>
      </w:r>
      <w:r>
        <w:t xml:space="preserve"> </w:t>
      </w:r>
      <w:r>
        <w:t xml:space="preserve">«Rules Rather than Discretion: The Inconsistency of Optimal Plans»</w:t>
      </w:r>
      <w:r>
        <w:t xml:space="preserve">.</w:t>
      </w:r>
      <w:r>
        <w:t xml:space="preserve"> </w:t>
      </w:r>
      <w:r>
        <w:rPr>
          <w:i/>
          <w:iCs/>
        </w:rPr>
        <w:t xml:space="preserve">Journal of Political Economy</w:t>
      </w:r>
      <w:r>
        <w:t xml:space="preserve"> </w:t>
      </w:r>
      <w:r>
        <w:t xml:space="preserve">85 (3): 473-91.</w:t>
      </w:r>
      <w:r>
        <w:t xml:space="preserve"> </w:t>
      </w:r>
      <w:hyperlink r:id="rId336">
        <w:r>
          <w:rPr>
            <w:rStyle w:val="Hyperlink"/>
          </w:rPr>
          <w:t xml:space="preserve">https://doi.org/10.1086/260580</w:t>
        </w:r>
      </w:hyperlink>
      <w:r>
        <w:t xml:space="preserve">.</w:t>
      </w:r>
    </w:p>
    <w:bookmarkEnd w:id="337"/>
    <w:bookmarkStart w:id="339" w:name="ref_LaffontMartimort2002Theory"/>
    <w:p>
      <w:pPr>
        <w:pStyle w:val="Bibliography"/>
      </w:pPr>
      <w:r>
        <w:t xml:space="preserve">Laffont, Jean-Jacques y David Martimort (2002).</w:t>
      </w:r>
      <w:r>
        <w:t xml:space="preserve"> </w:t>
      </w:r>
      <w:r>
        <w:rPr>
          <w:i/>
          <w:iCs/>
        </w:rPr>
        <w:t xml:space="preserve">The Theory of Incentives: The Principal-Agent Model</w:t>
      </w:r>
      <w:r>
        <w:t xml:space="preserve">. Princeton: Princeton University Press.</w:t>
      </w:r>
      <w:r>
        <w:t xml:space="preserve"> </w:t>
      </w:r>
      <w:hyperlink r:id="rId338">
        <w:r>
          <w:rPr>
            <w:rStyle w:val="Hyperlink"/>
          </w:rPr>
          <w:t xml:space="preserve">https://doi.org/10.2307/j.ctv7h0rwr</w:t>
        </w:r>
      </w:hyperlink>
      <w:r>
        <w:t xml:space="preserve">.</w:t>
      </w:r>
    </w:p>
    <w:bookmarkEnd w:id="339"/>
    <w:bookmarkStart w:id="341" w:name="ref_LaffontTirole1986Using"/>
    <w:p>
      <w:pPr>
        <w:pStyle w:val="Bibliography"/>
      </w:pPr>
      <w:r>
        <w:t xml:space="preserve">Laffont, Jean-Jacques y Jean Tirole (1986).</w:t>
      </w:r>
      <w:r>
        <w:t xml:space="preserve"> </w:t>
      </w:r>
      <w:r>
        <w:t xml:space="preserve">«Using Cost Observation to Regulate Firms»</w:t>
      </w:r>
      <w:r>
        <w:t xml:space="preserve">.</w:t>
      </w:r>
      <w:r>
        <w:t xml:space="preserve"> </w:t>
      </w:r>
      <w:r>
        <w:rPr>
          <w:i/>
          <w:iCs/>
        </w:rPr>
        <w:t xml:space="preserve">Journal of Political Economy</w:t>
      </w:r>
      <w:r>
        <w:t xml:space="preserve"> </w:t>
      </w:r>
      <w:r>
        <w:t xml:space="preserve">94 (3): 614-41.</w:t>
      </w:r>
      <w:r>
        <w:t xml:space="preserve"> </w:t>
      </w:r>
      <w:hyperlink r:id="rId340">
        <w:r>
          <w:rPr>
            <w:rStyle w:val="Hyperlink"/>
          </w:rPr>
          <w:t xml:space="preserve">https://doi.org/10.1086/261392</w:t>
        </w:r>
      </w:hyperlink>
      <w:r>
        <w:t xml:space="preserve">.</w:t>
      </w:r>
    </w:p>
    <w:bookmarkEnd w:id="341"/>
    <w:bookmarkStart w:id="342" w:name="ref_LaffontTirole1987Auctioning"/>
    <w:p>
      <w:pPr>
        <w:pStyle w:val="Bibliography"/>
      </w:pPr>
      <w:r>
        <w:t xml:space="preserve">Laffont, Jean-Jacques y Jean Tirole (1987).</w:t>
      </w:r>
      <w:r>
        <w:t xml:space="preserve"> </w:t>
      </w:r>
      <w:r>
        <w:t xml:space="preserve">«Auctioning Incentive Contracts»</w:t>
      </w:r>
      <w:r>
        <w:t xml:space="preserve">.</w:t>
      </w:r>
      <w:r>
        <w:t xml:space="preserve"> </w:t>
      </w:r>
      <w:r>
        <w:rPr>
          <w:i/>
          <w:iCs/>
        </w:rPr>
        <w:t xml:space="preserve">Journal of Political Economy</w:t>
      </w:r>
      <w:r>
        <w:t xml:space="preserve"> </w:t>
      </w:r>
      <w:r>
        <w:t xml:space="preserve">95 (5): 921-37.</w:t>
      </w:r>
    </w:p>
    <w:bookmarkEnd w:id="342"/>
    <w:bookmarkStart w:id="344" w:name="ref_LaffontTirole1988Dynamics"/>
    <w:p>
      <w:pPr>
        <w:pStyle w:val="Bibliography"/>
      </w:pPr>
      <w:r>
        <w:t xml:space="preserve">Laffont, Jean-Jacques y Jean Tirole (1988).</w:t>
      </w:r>
      <w:r>
        <w:t xml:space="preserve"> </w:t>
      </w:r>
      <w:r>
        <w:t xml:space="preserve">«The Dynamics of Incentive Contracts»</w:t>
      </w:r>
      <w:r>
        <w:t xml:space="preserve">.</w:t>
      </w:r>
      <w:r>
        <w:t xml:space="preserve"> </w:t>
      </w:r>
      <w:r>
        <w:rPr>
          <w:i/>
          <w:iCs/>
        </w:rPr>
        <w:t xml:space="preserve">Econometrica</w:t>
      </w:r>
      <w:r>
        <w:t xml:space="preserve"> </w:t>
      </w:r>
      <w:r>
        <w:t xml:space="preserve">56 (5): 1153-75.</w:t>
      </w:r>
      <w:r>
        <w:t xml:space="preserve"> </w:t>
      </w:r>
      <w:hyperlink r:id="rId343">
        <w:r>
          <w:rPr>
            <w:rStyle w:val="Hyperlink"/>
          </w:rPr>
          <w:t xml:space="preserve">https://doi.org/10.2307/1911362</w:t>
        </w:r>
      </w:hyperlink>
      <w:r>
        <w:t xml:space="preserve">.</w:t>
      </w:r>
    </w:p>
    <w:bookmarkEnd w:id="344"/>
    <w:bookmarkStart w:id="346" w:name="ref_LaffontTirole1991Politics"/>
    <w:p>
      <w:pPr>
        <w:pStyle w:val="Bibliography"/>
      </w:pPr>
      <w:r>
        <w:t xml:space="preserve">Laffont, Jean-Jacques y Jean Tirole (1991).</w:t>
      </w:r>
      <w:r>
        <w:t xml:space="preserve"> </w:t>
      </w:r>
      <w:r>
        <w:t xml:space="preserve">«The Politics of Government Decision-Making: A Theory of Regulatory Capture»</w:t>
      </w:r>
      <w:r>
        <w:t xml:space="preserve">.</w:t>
      </w:r>
      <w:r>
        <w:t xml:space="preserve"> </w:t>
      </w:r>
      <w:r>
        <w:rPr>
          <w:i/>
          <w:iCs/>
        </w:rPr>
        <w:t xml:space="preserve">Quarterly Journal of Economics</w:t>
      </w:r>
      <w:r>
        <w:t xml:space="preserve"> </w:t>
      </w:r>
      <w:r>
        <w:t xml:space="preserve">106 (4): 1089-1127.</w:t>
      </w:r>
      <w:r>
        <w:t xml:space="preserve"> </w:t>
      </w:r>
      <w:hyperlink r:id="rId345">
        <w:r>
          <w:rPr>
            <w:rStyle w:val="Hyperlink"/>
          </w:rPr>
          <w:t xml:space="preserve">https://doi.org/10.2307/2937958</w:t>
        </w:r>
      </w:hyperlink>
      <w:r>
        <w:t xml:space="preserve">.</w:t>
      </w:r>
    </w:p>
    <w:bookmarkEnd w:id="346"/>
    <w:bookmarkStart w:id="347" w:name="ref_LaffontTirole1993Theory"/>
    <w:p>
      <w:pPr>
        <w:pStyle w:val="Bibliography"/>
      </w:pPr>
      <w:r>
        <w:t xml:space="preserve">Laffont, Jean-Jacques y Jean Tirole (1993).</w:t>
      </w:r>
      <w:r>
        <w:t xml:space="preserve"> </w:t>
      </w:r>
      <w:r>
        <w:rPr>
          <w:i/>
          <w:iCs/>
        </w:rPr>
        <w:t xml:space="preserve">A Theory of Incentives in Procurement and Regulation</w:t>
      </w:r>
      <w:r>
        <w:t xml:space="preserve">. Cambridge (Massachusetts): MIT Press.</w:t>
      </w:r>
    </w:p>
    <w:bookmarkEnd w:id="347"/>
    <w:bookmarkStart w:id="349" w:name="ref_Leibenstein1966Allocative"/>
    <w:p>
      <w:pPr>
        <w:pStyle w:val="Bibliography"/>
      </w:pPr>
      <w:r>
        <w:t xml:space="preserve">Leibenstein, Harvey (1966).</w:t>
      </w:r>
      <w:r>
        <w:t xml:space="preserve"> </w:t>
      </w:r>
      <w:r>
        <w:t xml:space="preserve">«Allocative Efficiency vs.</w:t>
      </w:r>
      <w:r>
        <w:t xml:space="preserve"> </w:t>
      </w:r>
      <w:r>
        <w:t xml:space="preserve">“X-Efficiency”</w:t>
      </w:r>
      <w:r>
        <w:t xml:space="preserve">»</w:t>
      </w:r>
      <w:r>
        <w:t xml:space="preserve">.</w:t>
      </w:r>
      <w:r>
        <w:t xml:space="preserve"> </w:t>
      </w:r>
      <w:r>
        <w:rPr>
          <w:i/>
          <w:iCs/>
        </w:rPr>
        <w:t xml:space="preserve">American Economic Review</w:t>
      </w:r>
      <w:r>
        <w:t xml:space="preserve"> </w:t>
      </w:r>
      <w:r>
        <w:t xml:space="preserve">56 (3): 392-415.</w:t>
      </w:r>
      <w:r>
        <w:t xml:space="preserve"> </w:t>
      </w:r>
      <w:hyperlink r:id="rId348">
        <w:r>
          <w:rPr>
            <w:rStyle w:val="Hyperlink"/>
          </w:rPr>
          <w:t xml:space="preserve">https://www.jstor.org/stable/1823775</w:t>
        </w:r>
      </w:hyperlink>
      <w:r>
        <w:t xml:space="preserve">.</w:t>
      </w:r>
    </w:p>
    <w:bookmarkEnd w:id="349"/>
    <w:bookmarkStart w:id="351" w:name="ref_Lerner1934Concept"/>
    <w:p>
      <w:pPr>
        <w:pStyle w:val="Bibliography"/>
      </w:pPr>
      <w:r>
        <w:t xml:space="preserve">Lerner, Abba P. (1934).</w:t>
      </w:r>
      <w:r>
        <w:t xml:space="preserve"> </w:t>
      </w:r>
      <w:r>
        <w:t xml:space="preserve">«The Concept of Monopoly and the Measurement of Monopoly Power»</w:t>
      </w:r>
      <w:r>
        <w:t xml:space="preserve">.</w:t>
      </w:r>
      <w:r>
        <w:t xml:space="preserve"> </w:t>
      </w:r>
      <w:r>
        <w:rPr>
          <w:i/>
          <w:iCs/>
        </w:rPr>
        <w:t xml:space="preserve">Review of Economic Studies</w:t>
      </w:r>
      <w:r>
        <w:t xml:space="preserve"> </w:t>
      </w:r>
      <w:r>
        <w:t xml:space="preserve">1 (3): 157-75.</w:t>
      </w:r>
      <w:r>
        <w:t xml:space="preserve"> </w:t>
      </w:r>
      <w:hyperlink r:id="rId350">
        <w:r>
          <w:rPr>
            <w:rStyle w:val="Hyperlink"/>
          </w:rPr>
          <w:t xml:space="preserve">https://doi.org/10.2307/2967480</w:t>
        </w:r>
      </w:hyperlink>
      <w:r>
        <w:t xml:space="preserve">.</w:t>
      </w:r>
    </w:p>
    <w:bookmarkEnd w:id="351"/>
    <w:bookmarkStart w:id="353" w:name="ref_LipseyLancaster1956General"/>
    <w:p>
      <w:pPr>
        <w:pStyle w:val="Bibliography"/>
      </w:pPr>
      <w:r>
        <w:t xml:space="preserve">Lipsey, Richard G. y Kelvin Lancaster (1956).</w:t>
      </w:r>
      <w:r>
        <w:t xml:space="preserve"> </w:t>
      </w:r>
      <w:r>
        <w:t xml:space="preserve">«The General Theory of Second Best»</w:t>
      </w:r>
      <w:r>
        <w:t xml:space="preserve">.</w:t>
      </w:r>
      <w:r>
        <w:t xml:space="preserve"> </w:t>
      </w:r>
      <w:r>
        <w:rPr>
          <w:i/>
          <w:iCs/>
        </w:rPr>
        <w:t xml:space="preserve">Review of Economic Studies</w:t>
      </w:r>
      <w:r>
        <w:t xml:space="preserve"> </w:t>
      </w:r>
      <w:r>
        <w:t xml:space="preserve">24 (1): 11-32.</w:t>
      </w:r>
      <w:r>
        <w:t xml:space="preserve"> </w:t>
      </w:r>
      <w:hyperlink r:id="rId352">
        <w:r>
          <w:rPr>
            <w:rStyle w:val="Hyperlink"/>
          </w:rPr>
          <w:t xml:space="preserve">https://doi.org/10.2307/2296233</w:t>
        </w:r>
      </w:hyperlink>
      <w:r>
        <w:t xml:space="preserve">.</w:t>
      </w:r>
    </w:p>
    <w:bookmarkEnd w:id="353"/>
    <w:bookmarkStart w:id="354" w:name="ref_Littlechild1983Regulation"/>
    <w:p>
      <w:pPr>
        <w:pStyle w:val="Bibliography"/>
      </w:pPr>
      <w:r>
        <w:t xml:space="preserve">Littlechild, Stephen C. (1983).</w:t>
      </w:r>
      <w:r>
        <w:t xml:space="preserve"> </w:t>
      </w:r>
      <w:r>
        <w:t xml:space="preserve">«Regulation of British Telecommunications’ Profitability»</w:t>
      </w:r>
      <w:r>
        <w:t xml:space="preserve">. London: Department of Industry.</w:t>
      </w:r>
    </w:p>
    <w:bookmarkEnd w:id="354"/>
    <w:bookmarkStart w:id="356" w:name="ref_LoebMagat1979Decentralized"/>
    <w:p>
      <w:pPr>
        <w:pStyle w:val="Bibliography"/>
      </w:pPr>
      <w:r>
        <w:t xml:space="preserve">Loeb, Martin y Wesley A. Magat (1979).</w:t>
      </w:r>
      <w:r>
        <w:t xml:space="preserve"> </w:t>
      </w:r>
      <w:r>
        <w:t xml:space="preserve">«A Decentralized Method for Utility Regulation»</w:t>
      </w:r>
      <w:r>
        <w:t xml:space="preserve">.</w:t>
      </w:r>
      <w:r>
        <w:t xml:space="preserve"> </w:t>
      </w:r>
      <w:r>
        <w:rPr>
          <w:i/>
          <w:iCs/>
        </w:rPr>
        <w:t xml:space="preserve">Journal of Law and Economics</w:t>
      </w:r>
      <w:r>
        <w:t xml:space="preserve"> </w:t>
      </w:r>
      <w:r>
        <w:t xml:space="preserve">22 (2): 399-404.</w:t>
      </w:r>
      <w:r>
        <w:t xml:space="preserve"> </w:t>
      </w:r>
      <w:hyperlink r:id="rId355">
        <w:r>
          <w:rPr>
            <w:rStyle w:val="Hyperlink"/>
          </w:rPr>
          <w:t xml:space="preserve">https://doi.org/10.1086/466949</w:t>
        </w:r>
      </w:hyperlink>
      <w:r>
        <w:t xml:space="preserve">.</w:t>
      </w:r>
    </w:p>
    <w:bookmarkEnd w:id="356"/>
    <w:bookmarkStart w:id="357" w:name="ref_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357"/>
    <w:bookmarkStart w:id="359" w:name="ref_BOE2017RD55"/>
    <w:p>
      <w:pPr>
        <w:pStyle w:val="Bibliography"/>
      </w:pPr>
      <w:r>
        <w:t xml:space="preserve">Ministerio de Hacienda y Función Pública (2017).</w:t>
      </w:r>
      <w:r>
        <w:t xml:space="preserve"> </w:t>
      </w:r>
      <w:r>
        <w:t xml:space="preserve">«Real Decreto 55/2017, de 3 de febrero, por el que se desarrolla la Ley 2/2015, de 30 de marzo, de desindexación de la economía española (BOE-A-2017-1150)»</w:t>
      </w:r>
      <w:r>
        <w:t xml:space="preserve">. 2017.</w:t>
      </w:r>
      <w:r>
        <w:t xml:space="preserve"> </w:t>
      </w:r>
      <w:hyperlink r:id="rId358">
        <w:r>
          <w:rPr>
            <w:rStyle w:val="Hyperlink"/>
          </w:rPr>
          <w:t xml:space="preserve">https://www.boe.es/eli/es/rd/2017/02/03/55</w:t>
        </w:r>
      </w:hyperlink>
      <w:r>
        <w:t xml:space="preserve">.</w:t>
      </w:r>
    </w:p>
    <w:bookmarkEnd w:id="359"/>
    <w:bookmarkStart w:id="361" w:name="ref_BOE2022OrdenTED517"/>
    <w:p>
      <w:pPr>
        <w:pStyle w:val="Bibliography"/>
      </w:pPr>
      <w:r>
        <w:t xml:space="preserve">Ministerio para la Transición Ecológica y el Reto Demográfico (2022).</w:t>
      </w:r>
      <w:r>
        <w:t xml:space="preserve"> </w:t>
      </w:r>
      <w:r>
        <w:t xml:space="preserve">«Orden TED/517/2022, de 8 de junio, por la que se determina la fecha de entrada en funcionamiento del mecanismo de ajuste de costes de producción regulado en el Real Decreto-ley 10/2022 (BOE-A-2022-9435)»</w:t>
      </w:r>
      <w:r>
        <w:t xml:space="preserve">. 9 de junio de 2022.</w:t>
      </w:r>
      <w:r>
        <w:t xml:space="preserve"> </w:t>
      </w:r>
      <w:hyperlink r:id="rId360">
        <w:r>
          <w:rPr>
            <w:rStyle w:val="Hyperlink"/>
          </w:rPr>
          <w:t xml:space="preserve">https://www.boe.es/diario_boe/txt.php?id=BOE-A-2022-9435</w:t>
        </w:r>
      </w:hyperlink>
      <w:r>
        <w:t xml:space="preserve">.</w:t>
      </w:r>
    </w:p>
    <w:bookmarkEnd w:id="361"/>
    <w:bookmarkStart w:id="363" w:name="ref_Ofgem2025RIIO3ET"/>
    <w:p>
      <w:pPr>
        <w:pStyle w:val="Bibliography"/>
      </w:pPr>
      <w:r>
        <w:t xml:space="preserve">Ofgem (2025a).</w:t>
      </w:r>
      <w:r>
        <w:t xml:space="preserve"> </w:t>
      </w:r>
      <w:r>
        <w:t xml:space="preserve">«RIIO-3 Final Determinations – Electricity Transmission»</w:t>
      </w:r>
      <w:r>
        <w:t xml:space="preserve">. 4 de diciembre de 2025.</w:t>
      </w:r>
      <w:r>
        <w:t xml:space="preserve"> </w:t>
      </w:r>
      <w:hyperlink r:id="rId362">
        <w:r>
          <w:rPr>
            <w:rStyle w:val="Hyperlink"/>
          </w:rPr>
          <w:t xml:space="preserve">https://www.ofgem.gov.uk/sites/default/files/2025-12/RIIO-3-Final-Determinations-ET.pdf</w:t>
        </w:r>
      </w:hyperlink>
      <w:r>
        <w:t xml:space="preserve">.</w:t>
      </w:r>
    </w:p>
    <w:bookmarkEnd w:id="363"/>
    <w:bookmarkStart w:id="365" w:name="ref_Ofgem2025RIIO3Finanzas"/>
    <w:p>
      <w:pPr>
        <w:pStyle w:val="Bibliography"/>
      </w:pPr>
      <w:r>
        <w:t xml:space="preserve">Ofgem (2025b).</w:t>
      </w:r>
      <w:r>
        <w:t xml:space="preserve"> </w:t>
      </w:r>
      <w:r>
        <w:t xml:space="preserve">«RIIO-3 Final Determinations – Finance Annex»</w:t>
      </w:r>
      <w:r>
        <w:t xml:space="preserve">. 4 de diciembre de 2025.</w:t>
      </w:r>
      <w:r>
        <w:t xml:space="preserve"> </w:t>
      </w:r>
      <w:hyperlink r:id="rId364">
        <w:r>
          <w:rPr>
            <w:rStyle w:val="Hyperlink"/>
          </w:rPr>
          <w:t xml:space="preserve">https://www.ofgem.gov.uk/sites/default/files/2025-12/RIIO-3-Final-Determinations-Finance-Annex.pdf</w:t>
        </w:r>
      </w:hyperlink>
      <w:r>
        <w:t xml:space="preserve">.</w:t>
      </w:r>
    </w:p>
    <w:bookmarkEnd w:id="365"/>
    <w:bookmarkStart w:id="367" w:name="ref_Oi1971Disneyland"/>
    <w:p>
      <w:pPr>
        <w:pStyle w:val="Bibliography"/>
      </w:pPr>
      <w:r>
        <w:t xml:space="preserve">Oi, Walter Y. (1971).</w:t>
      </w:r>
      <w:r>
        <w:t xml:space="preserve"> </w:t>
      </w:r>
      <w:r>
        <w:t xml:space="preserve">«A Disneyland Dilemma: Two-Part Tariffs for a Mickey Mouse Monopoly»</w:t>
      </w:r>
      <w:r>
        <w:t xml:space="preserve">.</w:t>
      </w:r>
      <w:r>
        <w:t xml:space="preserve"> </w:t>
      </w:r>
      <w:r>
        <w:rPr>
          <w:i/>
          <w:iCs/>
        </w:rPr>
        <w:t xml:space="preserve">Quarterly Journal of Economics</w:t>
      </w:r>
      <w:r>
        <w:t xml:space="preserve"> </w:t>
      </w:r>
      <w:r>
        <w:t xml:space="preserve">85 (1): 77-96.</w:t>
      </w:r>
      <w:r>
        <w:t xml:space="preserve"> </w:t>
      </w:r>
      <w:hyperlink r:id="rId366">
        <w:r>
          <w:rPr>
            <w:rStyle w:val="Hyperlink"/>
          </w:rPr>
          <w:t xml:space="preserve">https://doi.org/10.2307/1881841</w:t>
        </w:r>
      </w:hyperlink>
      <w:r>
        <w:t xml:space="preserve">.</w:t>
      </w:r>
    </w:p>
    <w:bookmarkEnd w:id="367"/>
    <w:bookmarkStart w:id="369" w:name="ref_Olson1965Logic"/>
    <w:p>
      <w:pPr>
        <w:pStyle w:val="Bibliography"/>
      </w:pPr>
      <w:r>
        <w:t xml:space="preserve">Olson, Mancur (1965).</w:t>
      </w:r>
      <w:r>
        <w:t xml:space="preserve"> </w:t>
      </w:r>
      <w:r>
        <w:rPr>
          <w:i/>
          <w:iCs/>
        </w:rPr>
        <w:t xml:space="preserve">The Logic of Collective Action: Public Goods and the Theory of Groups</w:t>
      </w:r>
      <w:r>
        <w:t xml:space="preserve">. Cambridge (Massachusetts): Harvard University Press.</w:t>
      </w:r>
      <w:r>
        <w:t xml:space="preserve"> </w:t>
      </w:r>
      <w:hyperlink r:id="rId368">
        <w:r>
          <w:rPr>
            <w:rStyle w:val="Hyperlink"/>
          </w:rPr>
          <w:t xml:space="preserve">https://doi.org/10.4159/9780674041660</w:t>
        </w:r>
      </w:hyperlink>
      <w:r>
        <w:t xml:space="preserve">.</w:t>
      </w:r>
    </w:p>
    <w:bookmarkEnd w:id="369"/>
    <w:bookmarkStart w:id="371" w:name="ref_PanzarWillig1977Free"/>
    <w:p>
      <w:pPr>
        <w:pStyle w:val="Bibliography"/>
      </w:pPr>
      <w:r>
        <w:t xml:space="preserve">Panzar, John C. y Robert D. Willig (1977).</w:t>
      </w:r>
      <w:r>
        <w:t xml:space="preserve"> </w:t>
      </w:r>
      <w:r>
        <w:t xml:space="preserve">«Free Entry and the Sustainability of Natural Monopoly»</w:t>
      </w:r>
      <w:r>
        <w:t xml:space="preserve">.</w:t>
      </w:r>
      <w:r>
        <w:t xml:space="preserve"> </w:t>
      </w:r>
      <w:r>
        <w:rPr>
          <w:i/>
          <w:iCs/>
        </w:rPr>
        <w:t xml:space="preserve">Bell Journal of Economics</w:t>
      </w:r>
      <w:r>
        <w:t xml:space="preserve"> </w:t>
      </w:r>
      <w:r>
        <w:t xml:space="preserve">8 (1): 1-22.</w:t>
      </w:r>
      <w:r>
        <w:t xml:space="preserve"> </w:t>
      </w:r>
      <w:hyperlink r:id="rId370">
        <w:r>
          <w:rPr>
            <w:rStyle w:val="Hyperlink"/>
          </w:rPr>
          <w:t xml:space="preserve">https://doi.org/10.2307/3003484</w:t>
        </w:r>
      </w:hyperlink>
      <w:r>
        <w:t xml:space="preserve">.</w:t>
      </w:r>
    </w:p>
    <w:bookmarkEnd w:id="371"/>
    <w:bookmarkStart w:id="373" w:name="ref_UE2012Directiva34"/>
    <w:p>
      <w:pPr>
        <w:pStyle w:val="Bibliography"/>
      </w:pPr>
      <w:r>
        <w:t xml:space="preserve">Parlamento Europeo y Consejo de la Unión Europea (2012).</w:t>
      </w:r>
      <w:r>
        <w:t xml:space="preserve"> </w:t>
      </w:r>
      <w:r>
        <w:t xml:space="preserve">«Directiva 2012/34/UE del Parlamento Europeo y del Consejo, de 21 de noviembre de 2012, por la que se establece un espacio ferroviario europeo único»</w:t>
      </w:r>
      <w:r>
        <w:t xml:space="preserve">. 14 de diciembre de 2012.</w:t>
      </w:r>
      <w:r>
        <w:t xml:space="preserve"> </w:t>
      </w:r>
      <w:hyperlink r:id="rId372">
        <w:r>
          <w:rPr>
            <w:rStyle w:val="Hyperlink"/>
          </w:rPr>
          <w:t xml:space="preserve">https://eur-lex.europa.eu/eli/dir/2012/34/oj</w:t>
        </w:r>
      </w:hyperlink>
      <w:r>
        <w:t xml:space="preserve">.</w:t>
      </w:r>
    </w:p>
    <w:bookmarkEnd w:id="373"/>
    <w:bookmarkStart w:id="375" w:name="ref_UE2018CECE"/>
    <w:p>
      <w:pPr>
        <w:pStyle w:val="Bibliography"/>
      </w:pPr>
      <w:r>
        <w:t xml:space="preserve">Parlamento Europeo y Consejo de la Unión Europea (2018).</w:t>
      </w:r>
      <w:r>
        <w:t xml:space="preserve"> </w:t>
      </w:r>
      <w:r>
        <w:t xml:space="preserve">«Directiva (UE) 2018/1972 del Parlamento Europeo y del Consejo, de 11 de diciembre de 2018, por la que se establece el Código Europeo de las Comunicaciones Electrónicas»</w:t>
      </w:r>
      <w:r>
        <w:t xml:space="preserve">. 2018.</w:t>
      </w:r>
      <w:r>
        <w:t xml:space="preserve"> </w:t>
      </w:r>
      <w:hyperlink r:id="rId374">
        <w:r>
          <w:rPr>
            <w:rStyle w:val="Hyperlink"/>
          </w:rPr>
          <w:t xml:space="preserve">https://eur-lex.europa.eu/eli/dir/2018/1972/oj</w:t>
        </w:r>
      </w:hyperlink>
      <w:r>
        <w:t xml:space="preserve">.</w:t>
      </w:r>
    </w:p>
    <w:bookmarkEnd w:id="375"/>
    <w:bookmarkStart w:id="377" w:name="ref_UE2022DMA"/>
    <w:p>
      <w:pPr>
        <w:pStyle w:val="Bibliography"/>
      </w:pPr>
      <w:r>
        <w:t xml:space="preserve">Parlamento Europeo y Consejo de la Unión Europea (2022).</w:t>
      </w:r>
      <w:r>
        <w:t xml:space="preserve"> </w:t>
      </w:r>
      <w:r>
        <w:t xml:space="preserve">«Reglamento (UE) 2022/1925 del Parlamento Europeo y del Consejo, de 14 de septiembre de 2022, sobre mercados disputables y equitativos en el sector digital (Reglamento de Mercados Digitales)»</w:t>
      </w:r>
      <w:r>
        <w:t xml:space="preserve">. 2022.</w:t>
      </w:r>
      <w:r>
        <w:t xml:space="preserve"> </w:t>
      </w:r>
      <w:hyperlink r:id="rId376">
        <w:r>
          <w:rPr>
            <w:rStyle w:val="Hyperlink"/>
          </w:rPr>
          <w:t xml:space="preserve">https://eur-lex.europa.eu/eli/reg/2022/1925/oj</w:t>
        </w:r>
      </w:hyperlink>
      <w:r>
        <w:t xml:space="preserve">.</w:t>
      </w:r>
    </w:p>
    <w:bookmarkEnd w:id="377"/>
    <w:bookmarkStart w:id="379" w:name="ref_Peltzman1976Toward"/>
    <w:p>
      <w:pPr>
        <w:pStyle w:val="Bibliography"/>
      </w:pPr>
      <w:r>
        <w:t xml:space="preserve">Peltzman, Sam (1976).</w:t>
      </w:r>
      <w:r>
        <w:t xml:space="preserve"> </w:t>
      </w:r>
      <w:r>
        <w:t xml:space="preserve">«Toward a More General Theory of Regulation»</w:t>
      </w:r>
      <w:r>
        <w:t xml:space="preserve">.</w:t>
      </w:r>
      <w:r>
        <w:t xml:space="preserve"> </w:t>
      </w:r>
      <w:r>
        <w:rPr>
          <w:i/>
          <w:iCs/>
        </w:rPr>
        <w:t xml:space="preserve">Journal of Law and Economics</w:t>
      </w:r>
      <w:r>
        <w:t xml:space="preserve"> </w:t>
      </w:r>
      <w:r>
        <w:t xml:space="preserve">19 (2): 211-40.</w:t>
      </w:r>
      <w:r>
        <w:t xml:space="preserve"> </w:t>
      </w:r>
      <w:hyperlink r:id="rId378">
        <w:r>
          <w:rPr>
            <w:rStyle w:val="Hyperlink"/>
          </w:rPr>
          <w:t xml:space="preserve">https://doi.org/10.1086/466865</w:t>
        </w:r>
      </w:hyperlink>
      <w:r>
        <w:t xml:space="preserve">.</w:t>
      </w:r>
    </w:p>
    <w:bookmarkEnd w:id="379"/>
    <w:bookmarkStart w:id="380" w:name="ref_Peltzman1989Economic"/>
    <w:p>
      <w:pPr>
        <w:pStyle w:val="Bibliography"/>
      </w:pPr>
      <w:r>
        <w:t xml:space="preserve">Peltzman, Sam (1989).</w:t>
      </w:r>
      <w:r>
        <w:t xml:space="preserve"> </w:t>
      </w:r>
      <w:r>
        <w:t xml:space="preserve">«The Economic Theory of Regulation after a Decade of Deregulation»</w:t>
      </w:r>
      <w:r>
        <w:t xml:space="preserve">.</w:t>
      </w:r>
      <w:r>
        <w:t xml:space="preserve"> </w:t>
      </w:r>
      <w:r>
        <w:rPr>
          <w:i/>
          <w:iCs/>
        </w:rPr>
        <w:t xml:space="preserve">Brookings Papers on Economic Activity: Microeconomics</w:t>
      </w:r>
      <w:r>
        <w:t xml:space="preserve">, 1-59.</w:t>
      </w:r>
    </w:p>
    <w:bookmarkEnd w:id="380"/>
    <w:bookmarkStart w:id="382" w:name="ref_Posner1975Social"/>
    <w:p>
      <w:pPr>
        <w:pStyle w:val="Bibliography"/>
      </w:pPr>
      <w:r>
        <w:t xml:space="preserve">Posner, Richard A. (1975).</w:t>
      </w:r>
      <w:r>
        <w:t xml:space="preserve"> </w:t>
      </w:r>
      <w:r>
        <w:t xml:space="preserve">«The Social Costs of Monopoly and Regulation»</w:t>
      </w:r>
      <w:r>
        <w:t xml:space="preserve">.</w:t>
      </w:r>
      <w:r>
        <w:t xml:space="preserve"> </w:t>
      </w:r>
      <w:r>
        <w:rPr>
          <w:i/>
          <w:iCs/>
        </w:rPr>
        <w:t xml:space="preserve">Journal of Political Economy</w:t>
      </w:r>
      <w:r>
        <w:t xml:space="preserve"> </w:t>
      </w:r>
      <w:r>
        <w:t xml:space="preserve">83 (4): 807-27.</w:t>
      </w:r>
      <w:r>
        <w:t xml:space="preserve"> </w:t>
      </w:r>
      <w:hyperlink r:id="rId381">
        <w:r>
          <w:rPr>
            <w:rStyle w:val="Hyperlink"/>
          </w:rPr>
          <w:t xml:space="preserve">https://doi.org/10.1086/260357</w:t>
        </w:r>
      </w:hyperlink>
      <w:r>
        <w:t xml:space="preserve">.</w:t>
      </w:r>
    </w:p>
    <w:bookmarkEnd w:id="382"/>
    <w:bookmarkStart w:id="384" w:name="ref_Ramsey1927Contribution"/>
    <w:p>
      <w:pPr>
        <w:pStyle w:val="Bibliography"/>
      </w:pPr>
      <w:r>
        <w:t xml:space="preserve">Ramsey, Frank P. (1927).</w:t>
      </w:r>
      <w:r>
        <w:t xml:space="preserve"> </w:t>
      </w:r>
      <w:r>
        <w:t xml:space="preserve">«A Contribution to the Theory of Taxation»</w:t>
      </w:r>
      <w:r>
        <w:t xml:space="preserve">.</w:t>
      </w:r>
      <w:r>
        <w:t xml:space="preserve"> </w:t>
      </w:r>
      <w:r>
        <w:rPr>
          <w:i/>
          <w:iCs/>
        </w:rPr>
        <w:t xml:space="preserve">Economic Journal</w:t>
      </w:r>
      <w:r>
        <w:t xml:space="preserve"> </w:t>
      </w:r>
      <w:r>
        <w:t xml:space="preserve">37 (145): 47-61.</w:t>
      </w:r>
      <w:r>
        <w:t xml:space="preserve"> </w:t>
      </w:r>
      <w:hyperlink r:id="rId383">
        <w:r>
          <w:rPr>
            <w:rStyle w:val="Hyperlink"/>
          </w:rPr>
          <w:t xml:space="preserve">https://doi.org/10.2307/2222721</w:t>
        </w:r>
      </w:hyperlink>
      <w:r>
        <w:t xml:space="preserve">.</w:t>
      </w:r>
    </w:p>
    <w:bookmarkEnd w:id="384"/>
    <w:bookmarkStart w:id="386" w:name="ref_RochetTirole2003Platform"/>
    <w:p>
      <w:pPr>
        <w:pStyle w:val="Bibliography"/>
      </w:pPr>
      <w:r>
        <w:t xml:space="preserve">Rochet, Jean-Charles y Jean Tirole (2003).</w:t>
      </w:r>
      <w:r>
        <w:t xml:space="preserve"> </w:t>
      </w:r>
      <w:r>
        <w:t xml:space="preserve">«Platform Competition in Two-Sided Markets»</w:t>
      </w:r>
      <w:r>
        <w:t xml:space="preserve">.</w:t>
      </w:r>
      <w:r>
        <w:t xml:space="preserve"> </w:t>
      </w:r>
      <w:r>
        <w:rPr>
          <w:i/>
          <w:iCs/>
        </w:rPr>
        <w:t xml:space="preserve">Journal of the European Economic Association</w:t>
      </w:r>
      <w:r>
        <w:t xml:space="preserve"> </w:t>
      </w:r>
      <w:r>
        <w:t xml:space="preserve">1 (4): 990-1029.</w:t>
      </w:r>
      <w:r>
        <w:t xml:space="preserve"> </w:t>
      </w:r>
      <w:hyperlink r:id="rId385">
        <w:r>
          <w:rPr>
            <w:rStyle w:val="Hyperlink"/>
          </w:rPr>
          <w:t xml:space="preserve">https://doi.org/10.1162/154247603322493212</w:t>
        </w:r>
      </w:hyperlink>
      <w:r>
        <w:t xml:space="preserve">.</w:t>
      </w:r>
    </w:p>
    <w:bookmarkEnd w:id="386"/>
    <w:bookmarkStart w:id="388" w:name="ref_Schmitz2012New"/>
    <w:p>
      <w:pPr>
        <w:pStyle w:val="Bibliography"/>
      </w:pPr>
      <w:r>
        <w:t xml:space="preserve">Schmitz, James A. (2012).</w:t>
      </w:r>
      <w:r>
        <w:t xml:space="preserve"> </w:t>
      </w:r>
      <w:r>
        <w:t xml:space="preserve">«New and Larger Costs of Monopoly and Tariffs»</w:t>
      </w:r>
      <w:r>
        <w:t xml:space="preserve">. Federal Reserve Bank of Minneapolis, Economic Policy Paper 12-5. 2012.</w:t>
      </w:r>
      <w:r>
        <w:t xml:space="preserve"> </w:t>
      </w:r>
      <w:hyperlink r:id="rId387">
        <w:r>
          <w:rPr>
            <w:rStyle w:val="Hyperlink"/>
          </w:rPr>
          <w:t xml:space="preserve">https://minneapolisfed.org/article/2012/new-and-larger-costs-of-monopoly-and-tariffs</w:t>
        </w:r>
      </w:hyperlink>
      <w:r>
        <w:t xml:space="preserve">.</w:t>
      </w:r>
    </w:p>
    <w:bookmarkEnd w:id="388"/>
    <w:bookmarkStart w:id="389" w:name="ref_Schumpeter1942Capitalism"/>
    <w:p>
      <w:pPr>
        <w:pStyle w:val="Bibliography"/>
      </w:pPr>
      <w:r>
        <w:t xml:space="preserve">Schumpeter, Joseph A. (1942).</w:t>
      </w:r>
      <w:r>
        <w:t xml:space="preserve"> </w:t>
      </w:r>
      <w:r>
        <w:rPr>
          <w:i/>
          <w:iCs/>
        </w:rPr>
        <w:t xml:space="preserve">Capitalism, Socialism and Democracy</w:t>
      </w:r>
      <w:r>
        <w:t xml:space="preserve">. Nueva York: Harper &amp; Brothers.</w:t>
      </w:r>
    </w:p>
    <w:bookmarkEnd w:id="389"/>
    <w:bookmarkStart w:id="390" w:name="ref_Shleifer1985Theory"/>
    <w:p>
      <w:pPr>
        <w:pStyle w:val="Bibliography"/>
      </w:pPr>
      <w:r>
        <w:t xml:space="preserve">Shleifer, Andrei (1985).</w:t>
      </w:r>
      <w:r>
        <w:t xml:space="preserve"> </w:t>
      </w:r>
      <w:r>
        <w:t xml:space="preserve">«A Theory of Yardstick Competition»</w:t>
      </w:r>
      <w:r>
        <w:t xml:space="preserve">.</w:t>
      </w:r>
      <w:r>
        <w:t xml:space="preserve"> </w:t>
      </w:r>
      <w:r>
        <w:rPr>
          <w:i/>
          <w:iCs/>
        </w:rPr>
        <w:t xml:space="preserve">RAND Journal of Economics</w:t>
      </w:r>
      <w:r>
        <w:t xml:space="preserve"> </w:t>
      </w:r>
      <w:r>
        <w:t xml:space="preserve">16 (3): 319-27.</w:t>
      </w:r>
    </w:p>
    <w:bookmarkEnd w:id="390"/>
    <w:bookmarkStart w:id="391" w:name="ref_Spann1974Rate"/>
    <w:p>
      <w:pPr>
        <w:pStyle w:val="Bibliography"/>
      </w:pPr>
      <w:r>
        <w:t xml:space="preserve">Spann, Robert M. (1974).</w:t>
      </w:r>
      <w:r>
        <w:t xml:space="preserve"> </w:t>
      </w:r>
      <w:r>
        <w:t xml:space="preserve">«Rate of Return Regulation and Efficiency in Production: An Empirical Test of the Averch-Johnson Thesis»</w:t>
      </w:r>
      <w:r>
        <w:t xml:space="preserve">.</w:t>
      </w:r>
      <w:r>
        <w:t xml:space="preserve"> </w:t>
      </w:r>
      <w:r>
        <w:rPr>
          <w:i/>
          <w:iCs/>
        </w:rPr>
        <w:t xml:space="preserve">Bell Journal of Economics and Management Science</w:t>
      </w:r>
      <w:r>
        <w:t xml:space="preserve"> </w:t>
      </w:r>
      <w:r>
        <w:t xml:space="preserve">5 (1): 38-52.</w:t>
      </w:r>
    </w:p>
    <w:bookmarkEnd w:id="391"/>
    <w:bookmarkStart w:id="393" w:name="ref_Steiner1957Peak"/>
    <w:p>
      <w:pPr>
        <w:pStyle w:val="Bibliography"/>
      </w:pPr>
      <w:r>
        <w:t xml:space="preserve">Steiner, Peter O. (1957).</w:t>
      </w:r>
      <w:r>
        <w:t xml:space="preserve"> </w:t>
      </w:r>
      <w:r>
        <w:t xml:space="preserve">«Peak Loads and Efficient Pricing»</w:t>
      </w:r>
      <w:r>
        <w:t xml:space="preserve">.</w:t>
      </w:r>
      <w:r>
        <w:t xml:space="preserve"> </w:t>
      </w:r>
      <w:r>
        <w:rPr>
          <w:i/>
          <w:iCs/>
        </w:rPr>
        <w:t xml:space="preserve">Quarterly Journal of Economics</w:t>
      </w:r>
      <w:r>
        <w:t xml:space="preserve"> </w:t>
      </w:r>
      <w:r>
        <w:t xml:space="preserve">71 (4): 585-610.</w:t>
      </w:r>
      <w:r>
        <w:t xml:space="preserve"> </w:t>
      </w:r>
      <w:hyperlink r:id="rId392">
        <w:r>
          <w:rPr>
            <w:rStyle w:val="Hyperlink"/>
          </w:rPr>
          <w:t xml:space="preserve">https://doi.org/10.2307/1885712</w:t>
        </w:r>
      </w:hyperlink>
      <w:r>
        <w:t xml:space="preserve">.</w:t>
      </w:r>
    </w:p>
    <w:bookmarkEnd w:id="393"/>
    <w:bookmarkStart w:id="395" w:name="ref_Stigler1971Theory"/>
    <w:p>
      <w:pPr>
        <w:pStyle w:val="Bibliography"/>
      </w:pPr>
      <w:r>
        <w:t xml:space="preserve">Stigler, George J. (1971).</w:t>
      </w:r>
      <w:r>
        <w:t xml:space="preserve"> </w:t>
      </w:r>
      <w:r>
        <w:t xml:space="preserve">«The Theory of Economic Regulation»</w:t>
      </w:r>
      <w:r>
        <w:t xml:space="preserve">.</w:t>
      </w:r>
      <w:r>
        <w:t xml:space="preserve"> </w:t>
      </w:r>
      <w:r>
        <w:rPr>
          <w:i/>
          <w:iCs/>
        </w:rPr>
        <w:t xml:space="preserve">Bell Journal of Economics and Management Science</w:t>
      </w:r>
      <w:r>
        <w:t xml:space="preserve"> </w:t>
      </w:r>
      <w:r>
        <w:t xml:space="preserve">2 (1): 3-21.</w:t>
      </w:r>
      <w:r>
        <w:t xml:space="preserve"> </w:t>
      </w:r>
      <w:hyperlink r:id="rId394">
        <w:r>
          <w:rPr>
            <w:rStyle w:val="Hyperlink"/>
          </w:rPr>
          <w:t xml:space="preserve">https://doi.org/10.2307/3003160</w:t>
        </w:r>
      </w:hyperlink>
      <w:r>
        <w:t xml:space="preserve">.</w:t>
      </w:r>
    </w:p>
    <w:bookmarkEnd w:id="395"/>
    <w:bookmarkStart w:id="396" w:name="ref_StiglerSherwin1985Extent"/>
    <w:p>
      <w:pPr>
        <w:pStyle w:val="Bibliography"/>
      </w:pPr>
      <w:r>
        <w:t xml:space="preserve">Stigler, George J. y Robert A. Sherwin (1985).</w:t>
      </w:r>
      <w:r>
        <w:t xml:space="preserve"> </w:t>
      </w:r>
      <w:r>
        <w:t xml:space="preserve">«The Extent of the Market»</w:t>
      </w:r>
      <w:r>
        <w:t xml:space="preserve">.</w:t>
      </w:r>
      <w:r>
        <w:t xml:space="preserve"> </w:t>
      </w:r>
      <w:r>
        <w:rPr>
          <w:i/>
          <w:iCs/>
        </w:rPr>
        <w:t xml:space="preserve">Journal of Law and Economics</w:t>
      </w:r>
      <w:r>
        <w:t xml:space="preserve"> </w:t>
      </w:r>
      <w:r>
        <w:t xml:space="preserve">28 (3): 555-85.</w:t>
      </w:r>
    </w:p>
    <w:bookmarkEnd w:id="396"/>
    <w:bookmarkStart w:id="398" w:name="ref_SupremeCourt1956DuPont"/>
    <w:p>
      <w:pPr>
        <w:pStyle w:val="Bibliography"/>
      </w:pPr>
      <w:r>
        <w:t xml:space="preserve">Supreme Court of the United States (1956).</w:t>
      </w:r>
      <w:r>
        <w:t xml:space="preserve"> </w:t>
      </w:r>
      <w:r>
        <w:t xml:space="preserve">«United States v. E. I. du Pont de Nemours &amp; Co., 351 U.S. 377 (1956)»</w:t>
      </w:r>
      <w:r>
        <w:t xml:space="preserve">. 11 de junio de 1956.</w:t>
      </w:r>
      <w:r>
        <w:t xml:space="preserve"> </w:t>
      </w:r>
      <w:hyperlink r:id="rId397">
        <w:r>
          <w:rPr>
            <w:rStyle w:val="Hyperlink"/>
          </w:rPr>
          <w:t xml:space="preserve">https://supreme.justia.com/cases/federal/us/351/377/</w:t>
        </w:r>
      </w:hyperlink>
      <w:r>
        <w:t xml:space="preserve">.</w:t>
      </w:r>
    </w:p>
    <w:bookmarkEnd w:id="398"/>
    <w:bookmarkStart w:id="400" w:name="ref_Nobel1982Stigler"/>
    <w:p>
      <w:pPr>
        <w:pStyle w:val="Bibliography"/>
      </w:pPr>
      <w:r>
        <w:t xml:space="preserve">The Nobel Prize (1982).</w:t>
      </w:r>
      <w:r>
        <w:t xml:space="preserve"> </w:t>
      </w:r>
      <w:r>
        <w:t xml:space="preserve">«The Sveriges Riksbank Prize in Economic Sciences in Memory of Alfred Nobel 1982: George J. Stigler»</w:t>
      </w:r>
      <w:r>
        <w:t xml:space="preserve">. 1982.</w:t>
      </w:r>
      <w:r>
        <w:t xml:space="preserve"> </w:t>
      </w:r>
      <w:hyperlink r:id="rId399">
        <w:r>
          <w:rPr>
            <w:rStyle w:val="Hyperlink"/>
          </w:rPr>
          <w:t xml:space="preserve">https://www.nobelprize.org/prizes/economic-sciences/1982/summary/</w:t>
        </w:r>
      </w:hyperlink>
      <w:r>
        <w:t xml:space="preserve">.</w:t>
      </w:r>
    </w:p>
    <w:bookmarkEnd w:id="400"/>
    <w:bookmarkStart w:id="402" w:name="ref_Nobel2014Tirole"/>
    <w:p>
      <w:pPr>
        <w:pStyle w:val="Bibliography"/>
      </w:pPr>
      <w:r>
        <w:t xml:space="preserve">The Nobel Prize (2014).</w:t>
      </w:r>
      <w:r>
        <w:t xml:space="preserve"> </w:t>
      </w:r>
      <w:r>
        <w:t xml:space="preserve">«The Prize in Economic Sciences 2014: Jean Tirole»</w:t>
      </w:r>
      <w:r>
        <w:t xml:space="preserve">. 2014.</w:t>
      </w:r>
      <w:r>
        <w:t xml:space="preserve"> </w:t>
      </w:r>
      <w:hyperlink r:id="rId401">
        <w:r>
          <w:rPr>
            <w:rStyle w:val="Hyperlink"/>
          </w:rPr>
          <w:t xml:space="preserve">https://www.nobelprize.org/prizes/economic-sciences/2014/summary/</w:t>
        </w:r>
      </w:hyperlink>
      <w:r>
        <w:t xml:space="preserve">.</w:t>
      </w:r>
    </w:p>
    <w:bookmarkEnd w:id="402"/>
    <w:bookmarkStart w:id="403" w:name="ref_Tirole1988Theory"/>
    <w:p>
      <w:pPr>
        <w:pStyle w:val="Bibliography"/>
      </w:pPr>
      <w:r>
        <w:t xml:space="preserve">Tirole, Jean (1988).</w:t>
      </w:r>
      <w:r>
        <w:t xml:space="preserve"> </w:t>
      </w:r>
      <w:r>
        <w:rPr>
          <w:i/>
          <w:iCs/>
        </w:rPr>
        <w:t xml:space="preserve">The Theory of Industrial Organization</w:t>
      </w:r>
      <w:r>
        <w:t xml:space="preserve">. Cambridge (Massachusetts): MIT Press.</w:t>
      </w:r>
    </w:p>
    <w:bookmarkEnd w:id="403"/>
    <w:bookmarkStart w:id="405" w:name="ref_TJUE2014Telefonica"/>
    <w:p>
      <w:pPr>
        <w:pStyle w:val="Bibliography"/>
      </w:pPr>
      <w:r>
        <w:t xml:space="preserve">Tribunal de Justicia de la Unión Europea (2014).</w:t>
      </w:r>
      <w:r>
        <w:t xml:space="preserve"> </w:t>
      </w:r>
      <w:r>
        <w:t xml:space="preserve">«Sentencia de 10 de julio de 2014, Telefónica y Telefónica de España/Comisión, C-295/12 P, ECLI:EU:C:2014:2062»</w:t>
      </w:r>
      <w:r>
        <w:t xml:space="preserve">. 10 de julio de 2014.</w:t>
      </w:r>
      <w:r>
        <w:t xml:space="preserve"> </w:t>
      </w:r>
      <w:hyperlink r:id="rId404">
        <w:r>
          <w:rPr>
            <w:rStyle w:val="Hyperlink"/>
          </w:rPr>
          <w:t xml:space="preserve">https://curia.europa.eu/juris/liste.jsf?num=C-295/12</w:t>
        </w:r>
      </w:hyperlink>
      <w:r>
        <w:t xml:space="preserve">.</w:t>
      </w:r>
    </w:p>
    <w:bookmarkEnd w:id="405"/>
    <w:bookmarkStart w:id="407" w:name="ref_TJUE2024GoogleShopping"/>
    <w:p>
      <w:pPr>
        <w:pStyle w:val="Bibliography"/>
      </w:pPr>
      <w:r>
        <w:t xml:space="preserve">Tribunal de Justicia de la Unión Europea (2024).</w:t>
      </w:r>
      <w:r>
        <w:t xml:space="preserve"> </w:t>
      </w:r>
      <w:r>
        <w:t xml:space="preserve">«Sentencia de 10 de septiembre de 2024, Google y Alphabet/Comisión (Google Shopping), C-48/22 P»</w:t>
      </w:r>
      <w:r>
        <w:t xml:space="preserve">. 10 de septiembre de 2024.</w:t>
      </w:r>
      <w:r>
        <w:t xml:space="preserve"> </w:t>
      </w:r>
      <w:hyperlink r:id="rId406">
        <w:r>
          <w:rPr>
            <w:rStyle w:val="Hyperlink"/>
          </w:rPr>
          <w:t xml:space="preserve">https://curia.europa.eu/juris/liste.jsf?num=C-48/22</w:t>
        </w:r>
      </w:hyperlink>
      <w:r>
        <w:t xml:space="preserve">.</w:t>
      </w:r>
    </w:p>
    <w:bookmarkEnd w:id="407"/>
    <w:bookmarkStart w:id="409" w:name="ref_TJUE2026GoogleAndroid"/>
    <w:p>
      <w:pPr>
        <w:pStyle w:val="Bibliography"/>
      </w:pPr>
      <w:r>
        <w:t xml:space="preserve">Tribunal de Justicia de la Unión Europea (2026).</w:t>
      </w:r>
      <w:r>
        <w:t xml:space="preserve"> </w:t>
      </w:r>
      <w:r>
        <w:t xml:space="preserve">«Sentencia de 2 de julio de 2026, Google y Alphabet/Comisión (Google Android), C-738/22 P»</w:t>
      </w:r>
      <w:r>
        <w:t xml:space="preserve">. 2 de julio de 2026.</w:t>
      </w:r>
      <w:r>
        <w:t xml:space="preserve"> </w:t>
      </w:r>
      <w:hyperlink r:id="rId408">
        <w:r>
          <w:rPr>
            <w:rStyle w:val="Hyperlink"/>
          </w:rPr>
          <w:t xml:space="preserve">https://curia.europa.eu/site/upload/docs/application/pdf/2026-07/cp260093en.pdf</w:t>
        </w:r>
      </w:hyperlink>
      <w:r>
        <w:t xml:space="preserve">.</w:t>
      </w:r>
    </w:p>
    <w:bookmarkEnd w:id="409"/>
    <w:bookmarkStart w:id="411" w:name="ref_TJUE1979HoffmannLaRoche"/>
    <w:p>
      <w:pPr>
        <w:pStyle w:val="Bibliography"/>
      </w:pPr>
      <w:r>
        <w:t xml:space="preserve">Tribunal de Justicia de las Comunidades Europeas (1979).</w:t>
      </w:r>
      <w:r>
        <w:t xml:space="preserve"> </w:t>
      </w:r>
      <w:r>
        <w:t xml:space="preserve">«Sentencia de 13 de febrero de 1979, Hoffmann-La Roche/Comisión, 85/76, ECLI:EU:C:1979:36»</w:t>
      </w:r>
      <w:r>
        <w:t xml:space="preserve">. 13 de febrero de 1979.</w:t>
      </w:r>
      <w:r>
        <w:t xml:space="preserve"> </w:t>
      </w:r>
      <w:hyperlink r:id="rId410">
        <w:r>
          <w:rPr>
            <w:rStyle w:val="Hyperlink"/>
          </w:rPr>
          <w:t xml:space="preserve">https://eur-lex.europa.eu/legal-content/ES/TXT/?uri=CELEX:61976CJ0085</w:t>
        </w:r>
      </w:hyperlink>
      <w:r>
        <w:t xml:space="preserve">.</w:t>
      </w:r>
    </w:p>
    <w:bookmarkEnd w:id="411"/>
    <w:bookmarkStart w:id="413" w:name="ref_TJUE1991AKZO"/>
    <w:p>
      <w:pPr>
        <w:pStyle w:val="Bibliography"/>
      </w:pPr>
      <w:r>
        <w:t xml:space="preserve">Tribunal de Justicia de las Comunidades Europeas (1991).</w:t>
      </w:r>
      <w:r>
        <w:t xml:space="preserve"> </w:t>
      </w:r>
      <w:r>
        <w:t xml:space="preserve">«Sentencia de 3 de julio de 1991, AKZO/Comisión, C-62/86, ECLI:EU:C:1991:286»</w:t>
      </w:r>
      <w:r>
        <w:t xml:space="preserve">. 3 de julio de 1991.</w:t>
      </w:r>
      <w:r>
        <w:t xml:space="preserve"> </w:t>
      </w:r>
      <w:hyperlink r:id="rId412">
        <w:r>
          <w:rPr>
            <w:rStyle w:val="Hyperlink"/>
          </w:rPr>
          <w:t xml:space="preserve">https://eur-lex.europa.eu/legal-content/ES/TXT/?uri=CELEX:61986CJ0062</w:t>
        </w:r>
      </w:hyperlink>
      <w:r>
        <w:t xml:space="preserve">.</w:t>
      </w:r>
    </w:p>
    <w:bookmarkEnd w:id="413"/>
    <w:bookmarkStart w:id="414" w:name="ref_Tullock1967Welfare"/>
    <w:p>
      <w:pPr>
        <w:pStyle w:val="Bibliography"/>
      </w:pPr>
      <w:r>
        <w:t xml:space="preserve">Tullock, Gordon (1967).</w:t>
      </w:r>
      <w:r>
        <w:t xml:space="preserve"> </w:t>
      </w:r>
      <w:r>
        <w:t xml:space="preserve">«The Welfare Costs of Tariffs, Monopolies, and Theft»</w:t>
      </w:r>
      <w:r>
        <w:t xml:space="preserve">.</w:t>
      </w:r>
      <w:r>
        <w:t xml:space="preserve"> </w:t>
      </w:r>
      <w:r>
        <w:rPr>
          <w:i/>
          <w:iCs/>
        </w:rPr>
        <w:t xml:space="preserve">Western Economic Journal</w:t>
      </w:r>
      <w:r>
        <w:t xml:space="preserve"> </w:t>
      </w:r>
      <w:r>
        <w:t xml:space="preserve">5 (3): 224-32.</w:t>
      </w:r>
    </w:p>
    <w:bookmarkEnd w:id="414"/>
    <w:bookmarkStart w:id="416" w:name="ref_UE2016TFUE"/>
    <w:p>
      <w:pPr>
        <w:pStyle w:val="Bibliography"/>
      </w:pPr>
      <w:r>
        <w:t xml:space="preserve">Unión Europea (2016).</w:t>
      </w:r>
      <w:r>
        <w:t xml:space="preserve"> </w:t>
      </w:r>
      <w:r>
        <w:t xml:space="preserve">«Tratado de Funcionamiento de la Unión Europea (versión consolidada), arts. 3, 101, 102 y 107-109»</w:t>
      </w:r>
      <w:r>
        <w:t xml:space="preserve">. 2016.</w:t>
      </w:r>
      <w:r>
        <w:t xml:space="preserve"> </w:t>
      </w:r>
      <w:hyperlink r:id="rId415">
        <w:r>
          <w:rPr>
            <w:rStyle w:val="Hyperlink"/>
          </w:rPr>
          <w:t xml:space="preserve">https://www.boe.es/buscar/doc.php?id=DOUE-Z-2010-70002</w:t>
        </w:r>
      </w:hyperlink>
      <w:r>
        <w:t xml:space="preserve">.</w:t>
      </w:r>
    </w:p>
    <w:bookmarkEnd w:id="416"/>
    <w:bookmarkStart w:id="418" w:name="ref_DOJ1982Merger"/>
    <w:p>
      <w:pPr>
        <w:pStyle w:val="Bibliography"/>
      </w:pPr>
      <w:r>
        <w:t xml:space="preserve">U.S. Department of Justice (1982).</w:t>
      </w:r>
      <w:r>
        <w:t xml:space="preserve"> </w:t>
      </w:r>
      <w:r>
        <w:t xml:space="preserve">«1982 Merger Guidelines»</w:t>
      </w:r>
      <w:r>
        <w:t xml:space="preserve">. 1982.</w:t>
      </w:r>
      <w:r>
        <w:t xml:space="preserve"> </w:t>
      </w:r>
      <w:hyperlink r:id="rId417">
        <w:r>
          <w:rPr>
            <w:rStyle w:val="Hyperlink"/>
          </w:rPr>
          <w:t xml:space="preserve">https://www.justice.gov/sites/default/files/atr/legacy/2007/07/11/11248.pdf</w:t>
        </w:r>
      </w:hyperlink>
      <w:r>
        <w:t xml:space="preserve">.</w:t>
      </w:r>
    </w:p>
    <w:bookmarkEnd w:id="418"/>
    <w:bookmarkStart w:id="420" w:name="ref_DOJFTC2023Merger"/>
    <w:p>
      <w:pPr>
        <w:pStyle w:val="Bibliography"/>
      </w:pPr>
      <w:r>
        <w:t xml:space="preserve">U.S. Department of Justice y Federal Trade Commission (2023).</w:t>
      </w:r>
      <w:r>
        <w:t xml:space="preserve"> </w:t>
      </w:r>
      <w:r>
        <w:t xml:space="preserve">«Merger Guidelines»</w:t>
      </w:r>
      <w:r>
        <w:t xml:space="preserve">. 18 de diciembre de 2023.</w:t>
      </w:r>
      <w:r>
        <w:t xml:space="preserve"> </w:t>
      </w:r>
      <w:hyperlink r:id="rId419">
        <w:r>
          <w:rPr>
            <w:rStyle w:val="Hyperlink"/>
          </w:rPr>
          <w:t xml:space="preserve">https://www.justice.gov/d9/2023-12/2023%20Merger%20Guidelines.pdf</w:t>
        </w:r>
      </w:hyperlink>
      <w:r>
        <w:t xml:space="preserve">.</w:t>
      </w:r>
    </w:p>
    <w:bookmarkEnd w:id="420"/>
    <w:bookmarkStart w:id="421" w:name="ref_ViscusiHarringtonVernon2005Economics"/>
    <w:p>
      <w:pPr>
        <w:pStyle w:val="Bibliography"/>
      </w:pPr>
      <w:r>
        <w:t xml:space="preserve">Viscusi, W. Kip, Joseph E. Harrington y John M. Vernon (2005).</w:t>
      </w:r>
      <w:r>
        <w:t xml:space="preserve"> </w:t>
      </w:r>
      <w:r>
        <w:rPr>
          <w:i/>
          <w:iCs/>
        </w:rPr>
        <w:t xml:space="preserve">Economics of Regulation and Antitrust</w:t>
      </w:r>
      <w:r>
        <w:t xml:space="preserve">. 4.ª ed. Cambridge (Massachusetts): MIT Press.</w:t>
      </w:r>
    </w:p>
    <w:bookmarkEnd w:id="421"/>
    <w:bookmarkStart w:id="422" w:name="ref_VogelsangFinsinger1979Regulatory"/>
    <w:p>
      <w:pPr>
        <w:pStyle w:val="Bibliography"/>
      </w:pPr>
      <w:r>
        <w:t xml:space="preserve">Vogelsang, Ingo y Jörg Finsinger (1979).</w:t>
      </w:r>
      <w:r>
        <w:t xml:space="preserve"> </w:t>
      </w:r>
      <w:r>
        <w:t xml:space="preserve">«A Regulatory Adjustment Process for Optimal Pricing by Multiproduct Monopoly Firms»</w:t>
      </w:r>
      <w:r>
        <w:t xml:space="preserve">.</w:t>
      </w:r>
      <w:r>
        <w:t xml:space="preserve"> </w:t>
      </w:r>
      <w:r>
        <w:rPr>
          <w:i/>
          <w:iCs/>
        </w:rPr>
        <w:t xml:space="preserve">Bell Journal of Economics</w:t>
      </w:r>
      <w:r>
        <w:t xml:space="preserve"> </w:t>
      </w:r>
      <w:r>
        <w:t xml:space="preserve">10 (1): 157-71.</w:t>
      </w:r>
    </w:p>
    <w:bookmarkEnd w:id="422"/>
    <w:bookmarkStart w:id="424" w:name="ref_Weitzman1980Ratchet"/>
    <w:p>
      <w:pPr>
        <w:pStyle w:val="Bibliography"/>
      </w:pPr>
      <w:r>
        <w:t xml:space="preserve">Weitzman, Martin L. (1980).</w:t>
      </w:r>
      <w:r>
        <w:t xml:space="preserve"> </w:t>
      </w:r>
      <w:r>
        <w:t xml:space="preserve">«The</w:t>
      </w:r>
      <w:r>
        <w:t xml:space="preserve"> </w:t>
      </w:r>
      <w:r>
        <w:t xml:space="preserve">“Ratchet Principle”</w:t>
      </w:r>
      <w:r>
        <w:t xml:space="preserve"> </w:t>
      </w:r>
      <w:r>
        <w:t xml:space="preserve">and Performance Incentives»</w:t>
      </w:r>
      <w:r>
        <w:t xml:space="preserve">.</w:t>
      </w:r>
      <w:r>
        <w:t xml:space="preserve"> </w:t>
      </w:r>
      <w:r>
        <w:rPr>
          <w:i/>
          <w:iCs/>
        </w:rPr>
        <w:t xml:space="preserve">Bell Journal of Economics</w:t>
      </w:r>
      <w:r>
        <w:t xml:space="preserve"> </w:t>
      </w:r>
      <w:r>
        <w:t xml:space="preserve">11 (1): 302-8.</w:t>
      </w:r>
      <w:r>
        <w:t xml:space="preserve"> </w:t>
      </w:r>
      <w:hyperlink r:id="rId423">
        <w:r>
          <w:rPr>
            <w:rStyle w:val="Hyperlink"/>
          </w:rPr>
          <w:t xml:space="preserve">https://doi.org/10.2307/3003414</w:t>
        </w:r>
      </w:hyperlink>
      <w:r>
        <w:t xml:space="preserve">.</w:t>
      </w:r>
    </w:p>
    <w:bookmarkEnd w:id="424"/>
    <w:bookmarkStart w:id="426" w:name="ref_Williamson1976Franchise"/>
    <w:p>
      <w:pPr>
        <w:pStyle w:val="Bibliography"/>
      </w:pPr>
      <w:r>
        <w:t xml:space="preserve">Williamson, Oliver E. (1976).</w:t>
      </w:r>
      <w:r>
        <w:t xml:space="preserve"> </w:t>
      </w:r>
      <w:r>
        <w:t xml:space="preserve">«Franchise Bidding for Natural Monopolies—in General and with Respect to CATV»</w:t>
      </w:r>
      <w:r>
        <w:t xml:space="preserve">.</w:t>
      </w:r>
      <w:r>
        <w:t xml:space="preserve"> </w:t>
      </w:r>
      <w:r>
        <w:rPr>
          <w:i/>
          <w:iCs/>
        </w:rPr>
        <w:t xml:space="preserve">Bell Journal of Economics</w:t>
      </w:r>
      <w:r>
        <w:t xml:space="preserve"> </w:t>
      </w:r>
      <w:r>
        <w:t xml:space="preserve">7 (1): 73-104.</w:t>
      </w:r>
      <w:r>
        <w:t xml:space="preserve"> </w:t>
      </w:r>
      <w:hyperlink r:id="rId425">
        <w:r>
          <w:rPr>
            <w:rStyle w:val="Hyperlink"/>
          </w:rPr>
          <w:t xml:space="preserve">https://doi.org/10.2307/3003191</w:t>
        </w:r>
      </w:hyperlink>
      <w:r>
        <w:t xml:space="preserve">.</w:t>
      </w:r>
    </w:p>
    <w:bookmarkEnd w:id="426"/>
    <w:bookmarkStart w:id="427" w:name="ref_Willig1979Network"/>
    <w:p>
      <w:pPr>
        <w:pStyle w:val="Bibliography"/>
      </w:pPr>
      <w:r>
        <w:t xml:space="preserve">Willig, Robert D. (1979).</w:t>
      </w:r>
      <w:r>
        <w:t xml:space="preserve"> </w:t>
      </w:r>
      <w:r>
        <w:t xml:space="preserve">«The Theory of Network Access Pricing»</w:t>
      </w:r>
      <w:r>
        <w:t xml:space="preserve">. En</w:t>
      </w:r>
      <w:r>
        <w:t xml:space="preserve"> </w:t>
      </w:r>
      <w:r>
        <w:rPr>
          <w:i/>
          <w:iCs/>
        </w:rPr>
        <w:t xml:space="preserve">Issues in Public Utility Regulation</w:t>
      </w:r>
      <w:r>
        <w:t xml:space="preserve">, editado por Harry M. Trebing. East Lansing: Michigan State University Press.</w:t>
      </w:r>
    </w:p>
    <w:bookmarkEnd w:id="427"/>
    <w:bookmarkEnd w:id="428"/>
    <w:bookmarkEnd w:id="429"/>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Las directrices de concentraciones de Estados Unidos de 2023 presumen que una concentración reduce sustancialmente la competencia si deja un IHH mayor que 1.800 con un aumento mayor que 100</w:t>
      </w:r>
      <w:r>
        <w:t xml:space="preserve"> </w:t>
      </w:r>
      <w:r>
        <w:t xml:space="preserve">(</w:t>
      </w:r>
      <w:hyperlink w:anchor="ref_DOJFTC2023Merger">
        <w:r>
          <w:rPr>
            <w:rStyle w:val="Hyperlink"/>
            <w:smallCaps/>
          </w:rPr>
          <w:t xml:space="preserve">U.S. Department of Justice</w:t>
        </w:r>
        <w:r>
          <w:rPr>
            <w:rStyle w:val="Hyperlink"/>
          </w:rPr>
          <w:t xml:space="preserve"> </w:t>
        </w:r>
        <w:r>
          <w:rPr>
            <w:rStyle w:val="Hyperlink"/>
          </w:rPr>
          <w:t xml:space="preserve">y</w:t>
        </w:r>
        <w:r>
          <w:rPr>
            <w:rStyle w:val="Hyperlink"/>
          </w:rPr>
          <w:t xml:space="preserve"> </w:t>
        </w:r>
        <w:r>
          <w:rPr>
            <w:rStyle w:val="Hyperlink"/>
            <w:smallCaps/>
          </w:rPr>
          <w:t xml:space="preserve">Federal Trade Commission</w:t>
        </w:r>
        <w:r>
          <w:rPr>
            <w:rStyle w:val="Hyperlink"/>
          </w:rPr>
          <w:t xml:space="preserve">, 2023</w:t>
        </w:r>
      </w:hyperlink>
      <w:r>
        <w:t xml:space="preserve">)</w:t>
      </w:r>
      <w:r>
        <w:t xml:space="preserve">. Las directrices europeas de 2004 están en revisión: el borrador se publicó en 2026 y la Comisión prevé adoptarlas en el cuarto trimestre de ese año</w:t>
      </w:r>
      <w:r>
        <w:t xml:space="preserve"> </w:t>
      </w:r>
      <w:r>
        <w:t xml:space="preserve">(</w:t>
      </w:r>
      <w:hyperlink w:anchor="ref_CE2026RevisionMerger">
        <w:r>
          <w:rPr>
            <w:rStyle w:val="Hyperlink"/>
            <w:smallCaps/>
          </w:rPr>
          <w:t xml:space="preserve">Comisión Europea</w:t>
        </w:r>
        <w:r>
          <w:rPr>
            <w:rStyle w:val="Hyperlink"/>
          </w:rPr>
          <w:t xml:space="preserve">, 2026b</w:t>
        </w:r>
      </w:hyperlink>
      <w:r>
        <w:t xml:space="preserve">)</w:t>
      </w:r>
      <w:r>
        <w:t xml:space="preserve">.</w:t>
      </w:r>
    </w:p>
  </w:footnote>
  <w:footnote w:id="52">
    <w:p>
      <w:pPr>
        <w:pStyle w:val="FootnoteText"/>
      </w:pPr>
      <w:r>
        <w:rPr>
          <w:rStyle w:val="FootnoteReference"/>
        </w:rPr>
        <w:footnoteRef/>
      </w:r>
      <w:r>
        <w:t xml:space="preserve"> </w:t>
      </w:r>
      <w:r>
        <w:t xml:space="preserve">Con la pérdida crítica: a un precio de monopolio,</w:t>
      </w:r>
      <w:r>
        <w:t xml:space="preserve"> </w:t>
      </w:r>
      <m:oMath>
        <m:r>
          <m:rPr>
            <m:sty m:val="p"/>
            <m:scr m:val="script"/>
          </m:rPr>
          <m:t>L</m:t>
        </m:r>
        <m:r>
          <m:rPr>
            <m:sty m:val="p"/>
          </m:rPr>
          <m:t>=</m:t>
        </m:r>
        <m:r>
          <m:t>1</m:t>
        </m:r>
        <m:r>
          <m:rPr>
            <m:sty m:val="p"/>
          </m:rPr>
          <m:t>/</m:t>
        </m:r>
        <m:d>
          <m:dPr>
            <m:begChr m:val="|"/>
            <m:sepChr m:val=""/>
            <m:endChr m:val="|"/>
            <m:grow/>
          </m:dPr>
          <m:e>
            <m:sSub>
              <m:e>
                <m:r>
                  <m:t>ε</m:t>
                </m:r>
              </m:e>
              <m:sub>
                <m:r>
                  <m:t>q</m:t>
                </m:r>
                <m:r>
                  <m:rPr>
                    <m:sty m:val="p"/>
                  </m:rPr>
                  <m:t>,</m:t>
                </m:r>
                <m:r>
                  <m:t>p</m:t>
                </m:r>
              </m:sub>
            </m:sSub>
          </m:e>
        </m:d>
      </m:oMath>
      <w:r>
        <w:t xml:space="preserve">, y una subida</w:t>
      </w:r>
      <w:r>
        <w:t xml:space="preserve"> </w:t>
      </w:r>
      <m:oMath>
        <m:r>
          <m:t>τ</m:t>
        </m:r>
      </m:oMath>
      <w:r>
        <w:t xml:space="preserve"> </w:t>
      </w:r>
      <w:r>
        <w:t xml:space="preserve">hace perder en torno a</w:t>
      </w:r>
      <w:r>
        <w:t xml:space="preserve"> </w:t>
      </w:r>
      <m:oMath>
        <m:d>
          <m:dPr>
            <m:begChr m:val="|"/>
            <m:sepChr m:val=""/>
            <m:endChr m:val="|"/>
            <m:grow/>
          </m:dPr>
          <m:e>
            <m:sSub>
              <m:e>
                <m:r>
                  <m:t>ε</m:t>
                </m:r>
              </m:e>
              <m:sub>
                <m:r>
                  <m:t>q</m:t>
                </m:r>
                <m:r>
                  <m:rPr>
                    <m:sty m:val="p"/>
                  </m:rPr>
                  <m:t>,</m:t>
                </m:r>
                <m:r>
                  <m:t>p</m:t>
                </m:r>
              </m:sub>
            </m:sSub>
          </m:e>
        </m:d>
        <m:r>
          <m:t> </m:t>
        </m:r>
        <m:r>
          <m:t>τ</m:t>
        </m:r>
      </m:oMath>
      <w:r>
        <w:t xml:space="preserve"> </w:t>
      </w:r>
      <w:r>
        <w:t xml:space="preserve">de las ventas, más que la pérdida crítica</w:t>
      </w:r>
      <w:r>
        <w:t xml:space="preserve"> </w:t>
      </w:r>
      <m:oMath>
        <m:r>
          <m:t>τ</m:t>
        </m:r>
        <m:r>
          <m:rPr>
            <m:sty m:val="p"/>
          </m:rPr>
          <m:t>/</m:t>
        </m:r>
        <m:d>
          <m:dPr>
            <m:begChr m:val="("/>
            <m:sepChr m:val=""/>
            <m:endChr m:val=")"/>
            <m:grow/>
          </m:dPr>
          <m:e>
            <m:r>
              <m:t>τ</m:t>
            </m:r>
            <m:r>
              <m:rPr>
                <m:sty m:val="p"/>
              </m:rPr>
              <m:t>+</m:t>
            </m:r>
            <m:r>
              <m:rPr>
                <m:sty m:val="p"/>
                <m:scr m:val="script"/>
              </m:rPr>
              <m:t>L</m:t>
            </m:r>
          </m:e>
        </m:d>
      </m:oMath>
      <w:r>
        <w:t xml:space="preserve"> </w:t>
      </w:r>
      <w:r>
        <w:t xml:space="preserve">para cualquier</w:t>
      </w:r>
      <w:r>
        <w:t xml:space="preserve"> </w:t>
      </w:r>
      <m:oMath>
        <m:r>
          <m:t>τ</m:t>
        </m:r>
        <m:r>
          <m:rPr>
            <m:sty m:val="p"/>
          </m:rPr>
          <m:t>&gt;</m:t>
        </m:r>
        <m:r>
          <m:t>0</m:t>
        </m:r>
      </m:oMath>
      <w:r>
        <w:t xml:space="preserve">. El test nunca sale rentable a los precios de un monopolista que ya maximiza su beneficio.</w:t>
      </w:r>
    </w:p>
  </w:footnote>
  <w:footnote w:id="59">
    <w:p>
      <w:pPr>
        <w:pStyle w:val="FootnoteText"/>
      </w:pPr>
      <w:r>
        <w:rPr>
          <w:rStyle w:val="FootnoteReference"/>
        </w:rPr>
        <w:footnoteRef/>
      </w:r>
      <w:r>
        <w:t xml:space="preserve"> </w:t>
      </w:r>
      <w:r>
        <w:t xml:space="preserve">Hablamos de primer, segundos y terceros óptimos, y no de óptimos «de primer y segundo orden», para no confundirlos con las condiciones de primer y segundo orden de los problemas de optimización. El tercer óptimo de la regulación (</w:t>
      </w:r>
      <w:hyperlink w:anchor="sec_informacion_asimetrica">
        <w:r>
          <w:rPr>
            <w:rStyle w:val="Hyperlink"/>
          </w:rPr>
          <w:t xml:space="preserve">II</w:t>
        </w:r>
      </w:hyperlink>
      <w:r>
        <w:t xml:space="preserve">) es lo que la teoría de los contratos llama</w:t>
      </w:r>
      <w:r>
        <w:t xml:space="preserve"> </w:t>
      </w:r>
      <w:r>
        <w:rPr>
          <w:i/>
          <w:iCs/>
        </w:rPr>
        <w:t xml:space="preserve">óptimo restringido</w:t>
      </w:r>
      <w:r>
        <w:t xml:space="preserve">: el mejor resultado posible con las restricciones de información</w:t>
      </w:r>
      <w:r>
        <w:t xml:space="preserve"> </w:t>
      </w:r>
      <w:hyperlink r:id="rId60">
        <w:r>
          <w:rPr>
            <w:rStyle w:val="Referenciaatema"/>
          </w:rPr>
          <w:t xml:space="preserve">[ver tema 3.A.13]</w:t>
        </w:r>
      </w:hyperlink>
      <w:r>
        <w:t xml:space="preserve"> </w:t>
      </w:r>
      <w:hyperlink r:id="rId22">
        <w:r>
          <w:rPr>
            <w:rStyle w:val="Referenciaatema"/>
          </w:rPr>
          <w:t xml:space="preserve">[ver tema 3.A.22]</w:t>
        </w:r>
      </w:hyperlink>
      <w:r>
        <w:t xml:space="preserve">.</w:t>
      </w:r>
    </w:p>
  </w:footnote>
  <w:footnote w:id="74">
    <w:p>
      <w:pPr>
        <w:pStyle w:val="FootnoteText"/>
      </w:pPr>
      <w:r>
        <w:rPr>
          <w:rStyle w:val="FootnoteReference"/>
        </w:rPr>
        <w:footnoteRef/>
      </w:r>
      <w:r>
        <w:t xml:space="preserve"> </w:t>
      </w:r>
      <m:oMath>
        <m:r>
          <m:t>s</m:t>
        </m:r>
      </m:oMath>
      <w:r>
        <w:t xml:space="preserve"> </w:t>
      </w:r>
      <w:r>
        <w:t xml:space="preserve">es aquí la tasa de rentabilidad permitida, como en la fuente; no es la cuota de mercado</w:t>
      </w:r>
      <w:r>
        <w:t xml:space="preserve"> </w:t>
      </w:r>
      <m:oMath>
        <m:sSub>
          <m:e>
            <m:r>
              <m:t>s</m:t>
            </m:r>
          </m:e>
          <m:sub>
            <m:r>
              <m:t>i</m:t>
            </m:r>
          </m:sub>
        </m:sSub>
      </m:oMath>
      <w:r>
        <w:t xml:space="preserve"> </w:t>
      </w:r>
      <w:r>
        <w:t xml:space="preserve">de</w:t>
      </w:r>
      <w:r>
        <w:t xml:space="preserve"> </w:t>
      </w:r>
      <w:hyperlink w:anchor="sec_poder_mercado">
        <w:r>
          <w:rPr>
            <w:rStyle w:val="Hyperlink"/>
          </w:rPr>
          <w:t xml:space="preserve">I.1</w:t>
        </w:r>
      </w:hyperlink>
      <w:r>
        <w:t xml:space="preserve">.</w:t>
      </w:r>
    </w:p>
  </w:footnote>
  <w:footnote w:id="102">
    <w:p>
      <w:pPr>
        <w:pStyle w:val="FootnoteText"/>
      </w:pPr>
      <w:r>
        <w:rPr>
          <w:rStyle w:val="FootnoteReference"/>
        </w:rPr>
        <w:footnoteRef/>
      </w:r>
      <w:r>
        <w:t xml:space="preserve"> </w:t>
      </w:r>
      <w:r>
        <w:t xml:space="preserve">Es la misma</w:t>
      </w:r>
      <w:r>
        <w:t xml:space="preserve"> </w:t>
      </w:r>
      <m:oMath>
        <m:r>
          <m:t>λ</m:t>
        </m:r>
      </m:oMath>
      <w:r>
        <w:t xml:space="preserve"> </w:t>
      </w:r>
      <w:r>
        <w:t xml:space="preserve">de la regla de</w:t>
      </w:r>
      <w:r>
        <w:t xml:space="preserve"> </w:t>
      </w:r>
      <w:r>
        <w:rPr>
          <w:smallCaps/>
        </w:rPr>
        <w:t xml:space="preserve">Ramsey</w:t>
      </w:r>
      <w:r>
        <w:t xml:space="preserve">-</w:t>
      </w:r>
      <w:r>
        <w:rPr>
          <w:smallCaps/>
        </w:rPr>
        <w:t xml:space="preserve">Boiteux</w:t>
      </w:r>
      <w:r>
        <w:t xml:space="preserve"> </w:t>
      </w:r>
      <w:r>
        <w:t xml:space="preserve">(</w:t>
      </w:r>
      <w:hyperlink w:anchor="eq_ramsey_boiteux">
        <w:r>
          <w:rPr>
            <w:rStyle w:val="Hyperlink"/>
          </w:rPr>
          <w:t xml:space="preserve">3</w:t>
        </w:r>
      </w:hyperlink>
      <w:r>
        <w:t xml:space="preserve">): el valor social de un euro más de presupuesto. Con fondos públicos costosos,</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w:t>
      </w:r>
      <w:hyperlink w:anchor="ref_LaffontTirole1993Theory">
        <w:r>
          <w:rPr>
            <w:rStyle w:val="Hyperlink"/>
          </w:rPr>
          <w:t xml:space="preserve">1993, cap. 3</w:t>
        </w:r>
      </w:hyperlink>
      <w:r>
        <w:t xml:space="preserve">)</w:t>
      </w:r>
      <w:r>
        <w:t xml:space="preserve"> </w:t>
      </w:r>
      <w:r>
        <w:t xml:space="preserve">llegan al mismo número de</w:t>
      </w:r>
      <w:r>
        <w:t xml:space="preserve"> </w:t>
      </w:r>
      <w:r>
        <w:rPr>
          <w:smallCaps/>
        </w:rPr>
        <w:t xml:space="preserve">Ramsey</w:t>
      </w:r>
      <w:r>
        <w:t xml:space="preserve">,</w:t>
      </w:r>
      <w:r>
        <w:t xml:space="preserve"> </w:t>
      </w:r>
      <m:oMath>
        <m:r>
          <m:t>λ</m:t>
        </m:r>
        <m:r>
          <m:rPr>
            <m:sty m:val="p"/>
          </m:rPr>
          <m:t>/</m:t>
        </m:r>
        <m:d>
          <m:dPr>
            <m:begChr m:val="("/>
            <m:sepChr m:val=""/>
            <m:endChr m:val=")"/>
            <m:grow/>
          </m:dPr>
          <m:e>
            <m:r>
              <m:t>1</m:t>
            </m:r>
            <m:r>
              <m:rPr>
                <m:sty m:val="p"/>
              </m:rPr>
              <m:t>+</m:t>
            </m:r>
            <m:r>
              <m:t>λ</m:t>
            </m:r>
          </m:e>
        </m:d>
      </m:oMath>
      <w:r>
        <w:t xml:space="preserve">.</w:t>
      </w:r>
    </w:p>
  </w:footnote>
  <w:footnote w:id="110">
    <w:p>
      <w:pPr>
        <w:pStyle w:val="FootnoteText"/>
      </w:pPr>
      <w:r>
        <w:rPr>
          <w:rStyle w:val="FootnoteReference"/>
        </w:rPr>
        <w:footnoteRef/>
      </w:r>
      <w:r>
        <w:t xml:space="preserve"> </w:t>
      </w:r>
      <w:r>
        <w:t xml:space="preserve">Con 2 tipos basta un par de contratos: uno de precio fijo para la eficiente (en el ejemplo, un pago total de 96,5 millones, cueste lo que cueste) y otro para la ineficiente que reembolsa el coste y paga 8,1 millones si este no pasa de 92. A la eficiente le da igual elegir el segundo: llegaría a 92 esforzándose 8, con una desutilidad de 1,6, y ganaría</w:t>
      </w:r>
      <w:r>
        <w:t xml:space="preserve"> </w:t>
      </w:r>
      <m:oMath>
        <m:r>
          <m:t>8</m:t>
        </m:r>
        <m:r>
          <m:rPr>
            <m:sty m:val="p"/>
          </m:rPr>
          <m:t>,</m:t>
        </m:r>
        <m:r>
          <m:t>1</m:t>
        </m:r>
        <m:r>
          <m:rPr>
            <m:sty m:val="p"/>
          </m:rPr>
          <m:t>−</m:t>
        </m:r>
        <m:r>
          <m:t>1</m:t>
        </m:r>
        <m:r>
          <m:rPr>
            <m:sty m:val="p"/>
          </m:rPr>
          <m:t>,</m:t>
        </m:r>
        <m:r>
          <m:t>6</m:t>
        </m:r>
        <m:r>
          <m:rPr>
            <m:sty m:val="p"/>
          </m:rPr>
          <m:t>=</m:t>
        </m:r>
        <m:r>
          <m:t>6</m:t>
        </m:r>
        <m:r>
          <m:rPr>
            <m:sty m:val="p"/>
          </m:rPr>
          <m:t>,</m:t>
        </m:r>
        <m:r>
          <m:t>5</m:t>
        </m:r>
      </m:oMath>
      <w:r>
        <w:t xml:space="preserve">, su misma renta.</w:t>
      </w:r>
    </w:p>
  </w:footnote>
  <w:footnote w:id="122">
    <w:p>
      <w:pPr>
        <w:pStyle w:val="FootnoteText"/>
      </w:pPr>
      <w:r>
        <w:rPr>
          <w:rStyle w:val="FootnoteReference"/>
        </w:rPr>
        <w:footnoteRef/>
      </w:r>
      <w:r>
        <w:t xml:space="preserve"> </w:t>
      </w:r>
      <w:r>
        <w:t xml:space="preserve">«Productividad de la industria» no implica que haya varias empresas. En una autopista, por ejemplo, el monopolista puede aumentar su productividad consiguiendo que circulen más vehículos con los mismos costes o reduciendo los costes para el mismo tráfico.</w:t>
      </w:r>
    </w:p>
  </w:footnote>
  <w:footnote w:id="131">
    <w:p>
      <w:pPr>
        <w:pStyle w:val="FootnoteText"/>
      </w:pPr>
      <w:r>
        <w:rPr>
          <w:rStyle w:val="FootnoteReference"/>
        </w:rPr>
        <w:footnoteRef/>
      </w:r>
      <w:r>
        <w:t xml:space="preserve"> </w:t>
      </w:r>
      <w:r>
        <w:t xml:space="preserve">La Ley 2/2015 de desindexación, desarrollada por el Real Decreto 55/2017, desvincula del IPC las revisiones de precios del sector público</w:t>
      </w:r>
      <w:r>
        <w:t xml:space="preserve"> </w:t>
      </w:r>
      <w:r>
        <w:t xml:space="preserve">(</w:t>
      </w:r>
      <w:hyperlink w:anchor="ref_BOE2015Desindexacion">
        <w:r>
          <w:rPr>
            <w:rStyle w:val="Hyperlink"/>
            <w:smallCaps/>
          </w:rPr>
          <w:t xml:space="preserve">Jefatura del Estado</w:t>
        </w:r>
        <w:r>
          <w:rPr>
            <w:rStyle w:val="Hyperlink"/>
          </w:rPr>
          <w:t xml:space="preserve">, 2015a</w:t>
        </w:r>
      </w:hyperlink>
      <w:r>
        <w:t xml:space="preserve">;</w:t>
      </w:r>
      <w:r>
        <w:t xml:space="preserve"> </w:t>
      </w:r>
      <w:hyperlink w:anchor="ref_BOE2017RD55">
        <w:r>
          <w:rPr>
            <w:rStyle w:val="Hyperlink"/>
            <w:smallCaps/>
          </w:rPr>
          <w:t xml:space="preserve">Ministerio de Hacienda y Función Pública</w:t>
        </w:r>
        <w:r>
          <w:rPr>
            <w:rStyle w:val="Hyperlink"/>
          </w:rPr>
          <w:t xml:space="preserve">, 2017</w:t>
        </w:r>
      </w:hyperlink>
      <w:r>
        <w:t xml:space="preserve">)</w:t>
      </w:r>
      <w:r>
        <w:t xml:space="preserve">: por eso una regla</w:t>
      </w:r>
      <w:r>
        <w:t xml:space="preserve"> </w:t>
      </w:r>
      <m:oMath>
        <m:r>
          <m:rPr>
            <m:sty m:val="p"/>
          </m:rPr>
          <m:t>I</m:t>
        </m:r>
        <m:r>
          <m:rPr>
            <m:sty m:val="p"/>
          </m:rPr>
          <m:t>P</m:t>
        </m:r>
        <m:r>
          <m:rPr>
            <m:sty m:val="p"/>
          </m:rPr>
          <m:t>C</m:t>
        </m:r>
        <m:r>
          <m:rPr>
            <m:sty m:val="p"/>
          </m:rPr>
          <m:t>−</m:t>
        </m:r>
        <m:r>
          <m:t>X</m:t>
        </m:r>
      </m:oMath>
      <w:r>
        <w:t xml:space="preserve"> </w:t>
      </w:r>
      <w:r>
        <w:t xml:space="preserve">pura choca con ella, y los reguladores usan índices de costes propios, como el de los insumos de Aena.</w:t>
      </w:r>
    </w:p>
  </w:footnote>
  <w:footnote w:id="137">
    <w:p>
      <w:pPr>
        <w:pStyle w:val="FootnoteText"/>
      </w:pPr>
      <w:r>
        <w:rPr>
          <w:rStyle w:val="FootnoteReference"/>
        </w:rPr>
        <w:footnoteRef/>
      </w:r>
      <w:r>
        <w:t xml:space="preserve"> </w:t>
      </w:r>
      <w:r>
        <w:t xml:space="preserve">George</w:t>
      </w:r>
      <w:r>
        <w:t xml:space="preserve"> </w:t>
      </w:r>
      <w:r>
        <w:rPr>
          <w:smallCaps/>
        </w:rPr>
        <w:t xml:space="preserve">Stigler</w:t>
      </w:r>
      <w:r>
        <w:t xml:space="preserve"> </w:t>
      </w:r>
      <w:r>
        <w:t xml:space="preserve">recibió el Nobel en 1982 «por sus estudios pioneros de las estructuras industriales, el funcionamiento de los mercados y las causas y efectos de la regulación pública»</w:t>
      </w:r>
      <w:r>
        <w:t xml:space="preserve"> </w:t>
      </w:r>
      <w:r>
        <w:t xml:space="preserve">(</w:t>
      </w:r>
      <w:hyperlink w:anchor="ref_Nobel1982Stigler">
        <w:r>
          <w:rPr>
            <w:rStyle w:val="Hyperlink"/>
            <w:smallCaps/>
          </w:rPr>
          <w:t xml:space="preserve">The Nobel Prize</w:t>
        </w:r>
        <w:r>
          <w:rPr>
            <w:rStyle w:val="Hyperlink"/>
          </w:rPr>
          <w:t xml:space="preserve">, 1982</w:t>
        </w:r>
      </w:hyperlink>
      <w:r>
        <w:t xml:space="preserve">)</w:t>
      </w:r>
      <w:r>
        <w:t xml:space="preserve">.</w:t>
      </w:r>
    </w:p>
  </w:footnote>
  <w:footnote w:id="172">
    <w:p>
      <w:pPr>
        <w:pStyle w:val="FootnoteText"/>
      </w:pPr>
      <w:r>
        <w:rPr>
          <w:rStyle w:val="FootnoteReference"/>
        </w:rPr>
        <w:footnoteRef/>
      </w:r>
      <w:r>
        <w:t xml:space="preserve"> </w:t>
      </w:r>
      <w:r>
        <w:t xml:space="preserve">Con un precio final de 12, un coste del acceso de 4 y un coste del resto del servicio de 3, el peaje es</w:t>
      </w:r>
      <w:r>
        <w:t xml:space="preserve"> </w:t>
      </w:r>
      <m:oMath>
        <m:r>
          <m:t>4</m:t>
        </m:r>
        <m:r>
          <m:rPr>
            <m:sty m:val="p"/>
          </m:rPr>
          <m:t>+</m:t>
        </m:r>
        <m:d>
          <m:dPr>
            <m:begChr m:val="("/>
            <m:sepChr m:val=""/>
            <m:endChr m:val=")"/>
            <m:grow/>
          </m:dPr>
          <m:e>
            <m:r>
              <m:t>12</m:t>
            </m:r>
            <m:r>
              <m:rPr>
                <m:sty m:val="p"/>
              </m:rPr>
              <m:t>−</m:t>
            </m:r>
            <m:r>
              <m:t>4</m:t>
            </m:r>
            <m:r>
              <m:rPr>
                <m:sty m:val="p"/>
              </m:rPr>
              <m:t>−</m:t>
            </m:r>
            <m:r>
              <m:t>3</m:t>
            </m:r>
          </m:e>
        </m:d>
        <m:r>
          <m:rPr>
            <m:sty m:val="p"/>
          </m:rPr>
          <m:t>=</m:t>
        </m:r>
        <m:r>
          <m:t>9</m:t>
        </m:r>
      </m:oMath>
      <w:r>
        <w:t xml:space="preserve">, que es</w:t>
      </w:r>
      <w:r>
        <w:t xml:space="preserve"> </w:t>
      </w:r>
      <m:oMath>
        <m:r>
          <m:t>12</m:t>
        </m:r>
        <m:r>
          <m:rPr>
            <m:sty m:val="p"/>
          </m:rPr>
          <m:t>−</m:t>
        </m:r>
        <m:r>
          <m:t>3</m:t>
        </m:r>
      </m:oMath>
      <w:r>
        <w:t xml:space="preserve">: solo cubre costes un entrante cuyo coste propio no supere 3.</w:t>
      </w:r>
    </w:p>
  </w:footnote>
  <w:footnote w:id="184">
    <w:p>
      <w:pPr>
        <w:pStyle w:val="FootnoteText"/>
      </w:pPr>
      <w:r>
        <w:rPr>
          <w:rStyle w:val="FootnoteReference"/>
        </w:rPr>
        <w:footnoteRef/>
      </w:r>
      <w:r>
        <w:t xml:space="preserve"> </w:t>
      </w:r>
      <w:r>
        <w:t xml:space="preserve">El art. 3.2 del Reglamento</w:t>
      </w:r>
      <w:r>
        <w:t xml:space="preserve"> </w:t>
      </w:r>
      <w:r>
        <w:t xml:space="preserve">(</w:t>
      </w:r>
      <w:hyperlink w:anchor="ref_UE2022DMA">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2022</w:t>
        </w:r>
      </w:hyperlink>
      <w:r>
        <w:t xml:space="preserve">)</w:t>
      </w:r>
      <w:r>
        <w:t xml:space="preserve"> </w:t>
      </w:r>
      <w:r>
        <w:t xml:space="preserve">establece la presunción cuando concurren a la vez: a) tamaño: una facturación en la Unión de 7.500 millones de euros o más en cada uno de los 3 últimos ejercicios, o una capitalización media de 75.000 millones o más en el último, y el mismo servicio en 3 Estados miembros como mínimo; b) usuarios: 45 millones o más de usuarios finales activos al mes y 10.000 o más usuarios profesionales activos al año en la Unión; c) duración: los umbrales de usuarios se han cumplido en cada uno de los 3 últimos ejercicios.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jc w:val="left"/>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jc w:val="left"/>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jc w:val="left"/>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jc w:val="left"/>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2"/>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2"/>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2"/>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2"/>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2"/>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2"/>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2"/>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2"/>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2"/>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2"/>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2"/>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2"/>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2"/>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76" Target="media/rId76.png" /><Relationship Type="http://schemas.openxmlformats.org/officeDocument/2006/relationships/image" Id="rId92" Target="media/rId92.png" /><Relationship Type="http://schemas.openxmlformats.org/officeDocument/2006/relationships/image" Id="rId143" Target="media/rId143.png" /><Relationship Type="http://schemas.openxmlformats.org/officeDocument/2006/relationships/image" Id="rId111" Target="media/rId111.png" /><Relationship Type="http://schemas.openxmlformats.org/officeDocument/2006/relationships/image" Id="rId201" Target="media/rId201.png" /><Relationship Type="http://schemas.openxmlformats.org/officeDocument/2006/relationships/image" Id="rId123" Target="media/rId123.png" /><Relationship Type="http://schemas.openxmlformats.org/officeDocument/2006/relationships/image" Id="rId62" Target="media/rId62.png" /><Relationship Type="http://schemas.openxmlformats.org/officeDocument/2006/relationships/image" Id="rId47" Target="media/rId47.png" /><Relationship Type="http://schemas.openxmlformats.org/officeDocument/2006/relationships/hyperlink" Id="rId280" Target="https://cnmc.es/prensa/desregulacion-banda-ancha-fija-20250813" TargetMode="External" /><Relationship Type="http://schemas.openxmlformats.org/officeDocument/2006/relationships/hyperlink" Id="rId270" Target="https://competition-policy.ec.europa.eu/document/download/ac0e592e-2c8e-4a45-aae5-d82e7327b022_en?filename=Guidelines_on_exclusionary_abuses_of_dominance_102TFEU.pdf" TargetMode="External" /><Relationship Type="http://schemas.openxmlformats.org/officeDocument/2006/relationships/hyperlink" Id="rId266" Target="https://competition-policy.ec.europa.eu/mergers/review-merger-guidelines_en" TargetMode="External" /><Relationship Type="http://schemas.openxmlformats.org/officeDocument/2006/relationships/hyperlink" Id="rId404" Target="https://curia.europa.eu/juris/liste.jsf?num=C-295/12" TargetMode="External" /><Relationship Type="http://schemas.openxmlformats.org/officeDocument/2006/relationships/hyperlink" Id="rId406" Target="https://curia.europa.eu/juris/liste.jsf?num=C-48/22" TargetMode="External" /><Relationship Type="http://schemas.openxmlformats.org/officeDocument/2006/relationships/hyperlink" Id="rId408" Target="https://curia.europa.eu/site/upload/docs/application/pdf/2026-07/cp260093en.pdf" TargetMode="External" /><Relationship Type="http://schemas.openxmlformats.org/officeDocument/2006/relationships/hyperlink" Id="rId262" Target="https://digital-markets-act.ec.europa.eu/commission-finds-apple-and-meta-breach-digital-markets-act-2025-04-23_en" TargetMode="External" /><Relationship Type="http://schemas.openxmlformats.org/officeDocument/2006/relationships/hyperlink" Id="rId268" Target="https://digital-markets-act.ec.europa.eu/commission-fines-google-eur890-million-breaches-digital-markets-act-2026-07-23_en" TargetMode="External" /><Relationship Type="http://schemas.openxmlformats.org/officeDocument/2006/relationships/hyperlink" Id="rId264" Target="https://digital-markets-act.ec.europa.eu/gatekeepers-portal_en" TargetMode="External" /><Relationship Type="http://schemas.openxmlformats.org/officeDocument/2006/relationships/hyperlink" Id="rId243" Target="https://doi.org/10.1016/S1573-448X(89)02011-X" TargetMode="External" /><Relationship Type="http://schemas.openxmlformats.org/officeDocument/2006/relationships/hyperlink" Id="rId381" Target="https://doi.org/10.1086/260357" TargetMode="External" /><Relationship Type="http://schemas.openxmlformats.org/officeDocument/2006/relationships/hyperlink" Id="rId336" Target="https://doi.org/10.1086/260580" TargetMode="External" /><Relationship Type="http://schemas.openxmlformats.org/officeDocument/2006/relationships/hyperlink" Id="rId340" Target="https://doi.org/10.1086/261392" TargetMode="External" /><Relationship Type="http://schemas.openxmlformats.org/officeDocument/2006/relationships/hyperlink" Id="rId302" Target="https://doi.org/10.1086/466643" TargetMode="External" /><Relationship Type="http://schemas.openxmlformats.org/officeDocument/2006/relationships/hyperlink" Id="rId333" Target="https://doi.org/10.1086/466794" TargetMode="External" /><Relationship Type="http://schemas.openxmlformats.org/officeDocument/2006/relationships/hyperlink" Id="rId378" Target="https://doi.org/10.1086/466865" TargetMode="External" /><Relationship Type="http://schemas.openxmlformats.org/officeDocument/2006/relationships/hyperlink" Id="rId355" Target="https://doi.org/10.1086/466949" TargetMode="External" /><Relationship Type="http://schemas.openxmlformats.org/officeDocument/2006/relationships/hyperlink" Id="rId220" Target="https://doi.org/10.1093/qje/120.2.701" TargetMode="External" /><Relationship Type="http://schemas.openxmlformats.org/officeDocument/2006/relationships/hyperlink" Id="rId228" Target="https://doi.org/10.1093/qje/qjaa004" TargetMode="External" /><Relationship Type="http://schemas.openxmlformats.org/officeDocument/2006/relationships/hyperlink" Id="rId300" Target="https://doi.org/10.1093/qje/qjz041" TargetMode="External" /><Relationship Type="http://schemas.openxmlformats.org/officeDocument/2006/relationships/hyperlink" Id="rId222" Target="https://doi.org/10.1111/j.1756-2171.2006.tb00037.x" TargetMode="External" /><Relationship Type="http://schemas.openxmlformats.org/officeDocument/2006/relationships/hyperlink" Id="rId385" Target="https://doi.org/10.1162/154247603322493212" TargetMode="External" /><Relationship Type="http://schemas.openxmlformats.org/officeDocument/2006/relationships/hyperlink" Id="rId366" Target="https://doi.org/10.2307/1881841" TargetMode="External" /><Relationship Type="http://schemas.openxmlformats.org/officeDocument/2006/relationships/hyperlink" Id="rId392" Target="https://doi.org/10.2307/1885712" TargetMode="External" /><Relationship Type="http://schemas.openxmlformats.org/officeDocument/2006/relationships/hyperlink" Id="rId238" Target="https://doi.org/10.2307/1886017" TargetMode="External" /><Relationship Type="http://schemas.openxmlformats.org/officeDocument/2006/relationships/hyperlink" Id="rId241" Target="https://doi.org/10.2307/1905256" TargetMode="External" /><Relationship Type="http://schemas.openxmlformats.org/officeDocument/2006/relationships/hyperlink" Id="rId314" Target="https://doi.org/10.2307/1907054" TargetMode="External" /><Relationship Type="http://schemas.openxmlformats.org/officeDocument/2006/relationships/hyperlink" Id="rId343" Target="https://doi.org/10.2307/1911362" TargetMode="External" /><Relationship Type="http://schemas.openxmlformats.org/officeDocument/2006/relationships/hyperlink" Id="rId383" Target="https://doi.org/10.2307/2222721" TargetMode="External" /><Relationship Type="http://schemas.openxmlformats.org/officeDocument/2006/relationships/hyperlink" Id="rId295" Target="https://doi.org/10.2307/2231975" TargetMode="External" /><Relationship Type="http://schemas.openxmlformats.org/officeDocument/2006/relationships/hyperlink" Id="rId352" Target="https://doi.org/10.2307/2296233" TargetMode="External" /><Relationship Type="http://schemas.openxmlformats.org/officeDocument/2006/relationships/hyperlink" Id="rId309" Target="https://doi.org/10.2307/2297615" TargetMode="External" /><Relationship Type="http://schemas.openxmlformats.org/officeDocument/2006/relationships/hyperlink" Id="rId250" Target="https://doi.org/10.2307/2549764" TargetMode="External" /><Relationship Type="http://schemas.openxmlformats.org/officeDocument/2006/relationships/hyperlink" Id="rId297" Target="https://doi.org/10.2307/2553125" TargetMode="External" /><Relationship Type="http://schemas.openxmlformats.org/officeDocument/2006/relationships/hyperlink" Id="rId345" Target="https://doi.org/10.2307/2937958" TargetMode="External" /><Relationship Type="http://schemas.openxmlformats.org/officeDocument/2006/relationships/hyperlink" Id="rId350" Target="https://doi.org/10.2307/2967480" TargetMode="External" /><Relationship Type="http://schemas.openxmlformats.org/officeDocument/2006/relationships/hyperlink" Id="rId394" Target="https://doi.org/10.2307/3003160" TargetMode="External" /><Relationship Type="http://schemas.openxmlformats.org/officeDocument/2006/relationships/hyperlink" Id="rId235" Target="https://doi.org/10.2307/3003181" TargetMode="External" /><Relationship Type="http://schemas.openxmlformats.org/officeDocument/2006/relationships/hyperlink" Id="rId425" Target="https://doi.org/10.2307/3003191" TargetMode="External" /><Relationship Type="http://schemas.openxmlformats.org/officeDocument/2006/relationships/hyperlink" Id="rId423" Target="https://doi.org/10.2307/3003414" TargetMode="External" /><Relationship Type="http://schemas.openxmlformats.org/officeDocument/2006/relationships/hyperlink" Id="rId370" Target="https://doi.org/10.2307/3003484" TargetMode="External" /><Relationship Type="http://schemas.openxmlformats.org/officeDocument/2006/relationships/hyperlink" Id="rId338" Target="https://doi.org/10.2307/j.ctv7h0rwr" TargetMode="External" /><Relationship Type="http://schemas.openxmlformats.org/officeDocument/2006/relationships/hyperlink" Id="rId368" Target="https://doi.org/10.4159/9780674041660" TargetMode="External" /><Relationship Type="http://schemas.openxmlformats.org/officeDocument/2006/relationships/hyperlink" Id="rId260" Target="https://eur-lex.europa.eu/eli/C/2024/1645/oj" TargetMode="External" /><Relationship Type="http://schemas.openxmlformats.org/officeDocument/2006/relationships/hyperlink" Id="rId372" Target="https://eur-lex.europa.eu/eli/dir/2012/34/oj" TargetMode="External" /><Relationship Type="http://schemas.openxmlformats.org/officeDocument/2006/relationships/hyperlink" Id="rId374" Target="https://eur-lex.europa.eu/eli/dir/2018/1972/oj" TargetMode="External" /><Relationship Type="http://schemas.openxmlformats.org/officeDocument/2006/relationships/hyperlink" Id="rId256" Target="https://eur-lex.europa.eu/eli/reco/2020/2245/oj" TargetMode="External" /><Relationship Type="http://schemas.openxmlformats.org/officeDocument/2006/relationships/hyperlink" Id="rId292" Target="https://eur-lex.europa.eu/eli/reg/2004/139/oj?locale=es" TargetMode="External" /><Relationship Type="http://schemas.openxmlformats.org/officeDocument/2006/relationships/hyperlink" Id="rId376" Target="https://eur-lex.europa.eu/eli/reg/2022/1925/oj" TargetMode="External" /><Relationship Type="http://schemas.openxmlformats.org/officeDocument/2006/relationships/hyperlink" Id="rId258" Target="https://eur-lex.europa.eu/eli/reg/2022/720/oj" TargetMode="External" /><Relationship Type="http://schemas.openxmlformats.org/officeDocument/2006/relationships/hyperlink" Id="rId252" Target="https://eur-lex.europa.eu/legal-content/ES/TXT/?uri=CELEX:52004XC0205(02)" TargetMode="External" /><Relationship Type="http://schemas.openxmlformats.org/officeDocument/2006/relationships/hyperlink" Id="rId254" Target="https://eur-lex.europa.eu/legal-content/ES/TXT/?uri=CELEX:52014XC0830(01)" TargetMode="External" /><Relationship Type="http://schemas.openxmlformats.org/officeDocument/2006/relationships/hyperlink" Id="rId410" Target="https://eur-lex.europa.eu/legal-content/ES/TXT/?uri=CELEX:61976CJ0085" TargetMode="External" /><Relationship Type="http://schemas.openxmlformats.org/officeDocument/2006/relationships/hyperlink" Id="rId412" Target="https://eur-lex.europa.eu/legal-content/ES/TXT/?uri=CELEX:61986CJ0062" TargetMode="External" /><Relationship Type="http://schemas.openxmlformats.org/officeDocument/2006/relationships/hyperlink" Id="rId387" Target="https://minneapolisfed.org/article/2012/new-and-larger-costs-of-monopoly-and-tariffs" TargetMode="External" /><Relationship Type="http://schemas.openxmlformats.org/officeDocument/2006/relationships/hyperlink" Id="rId397" Target="https://supreme.justia.com/cases/federal/us/351/377/" TargetMode="External" /><Relationship Type="http://schemas.openxmlformats.org/officeDocument/2006/relationships/hyperlink" Id="rId317" Target="https://www.boe.es/buscar/act.php?id=BOE-A-2007-12946" TargetMode="External" /><Relationship Type="http://schemas.openxmlformats.org/officeDocument/2006/relationships/hyperlink" Id="rId321" Target="https://www.boe.es/buscar/act.php?id=BOE-A-2013-13645" TargetMode="External" /><Relationship Type="http://schemas.openxmlformats.org/officeDocument/2006/relationships/hyperlink" Id="rId325" Target="https://www.boe.es/buscar/act.php?id=BOE-A-2015-10440" TargetMode="External" /><Relationship Type="http://schemas.openxmlformats.org/officeDocument/2006/relationships/hyperlink" Id="rId323" Target="https://www.boe.es/buscar/act.php?id=BOE-A-2015-3443" TargetMode="External" /><Relationship Type="http://schemas.openxmlformats.org/officeDocument/2006/relationships/hyperlink" Id="rId276" Target="https://www.boe.es/buscar/act.php?id=BOE-A-2019-16639" TargetMode="External" /><Relationship Type="http://schemas.openxmlformats.org/officeDocument/2006/relationships/hyperlink" Id="rId278" Target="https://www.boe.es/buscar/act.php?id=BOE-A-2020-1066" TargetMode="External" /><Relationship Type="http://schemas.openxmlformats.org/officeDocument/2006/relationships/hyperlink" Id="rId329" Target="https://www.boe.es/buscar/act.php?id=BOE-A-2022-10757" TargetMode="External" /><Relationship Type="http://schemas.openxmlformats.org/officeDocument/2006/relationships/hyperlink" Id="rId327" Target="https://www.boe.es/buscar/act.php?id=BOE-A-2022-7843" TargetMode="External" /><Relationship Type="http://schemas.openxmlformats.org/officeDocument/2006/relationships/hyperlink" Id="rId415" Target="https://www.boe.es/buscar/doc.php?id=DOUE-Z-2010-70002" TargetMode="External" /><Relationship Type="http://schemas.openxmlformats.org/officeDocument/2006/relationships/hyperlink" Id="rId360" Target="https://www.boe.es/diario_boe/txt.php?id=BOE-A-2022-9435" TargetMode="External" /><Relationship Type="http://schemas.openxmlformats.org/officeDocument/2006/relationships/hyperlink" Id="rId331" Target="https://www.boe.es/diario_boe/txt.php?id=BOE-A-2023-7937" TargetMode="External" /><Relationship Type="http://schemas.openxmlformats.org/officeDocument/2006/relationships/hyperlink" Id="rId286" Target="https://www.boe.es/diario_boe/txt.php?id=BOE-A-2025-27019" TargetMode="External" /><Relationship Type="http://schemas.openxmlformats.org/officeDocument/2006/relationships/hyperlink" Id="rId290" Target="https://www.boe.es/diario_boe/txt.php?id=BOE-A-2026-19426" TargetMode="External" /><Relationship Type="http://schemas.openxmlformats.org/officeDocument/2006/relationships/hyperlink" Id="rId304" Target="https://www.boe.es/diario_boe/txt.php?id=BOE-A-2026-19507" TargetMode="External" /><Relationship Type="http://schemas.openxmlformats.org/officeDocument/2006/relationships/hyperlink" Id="rId319" Target="https://www.boe.es/eli/es/l/2013/06/04/3" TargetMode="External" /><Relationship Type="http://schemas.openxmlformats.org/officeDocument/2006/relationships/hyperlink" Id="rId358" Target="https://www.boe.es/eli/es/rd/2017/02/03/55" TargetMode="External" /><Relationship Type="http://schemas.openxmlformats.org/officeDocument/2006/relationships/hyperlink" Id="rId248" Target="https://www.bundesnetzagentur.de/DE/Beschlusskammern/BK08/BK8_05_EOG/54_Effizienzvgl/start.html" TargetMode="External" /><Relationship Type="http://schemas.openxmlformats.org/officeDocument/2006/relationships/hyperlink" Id="rId288" Target="https://www.cnmc.es/index.php/prensa/informe-dora-20260602" TargetMode="External" /><Relationship Type="http://schemas.openxmlformats.org/officeDocument/2006/relationships/hyperlink" Id="rId284" Target="https://www.cnmc.es/prensa/circulares-retribucion-electrica-20251222" TargetMode="External" /><Relationship Type="http://schemas.openxmlformats.org/officeDocument/2006/relationships/hyperlink" Id="rId272" Target="https://www.cnmc.es/sites/default/files/1972516_6.pdf" TargetMode="External" /><Relationship Type="http://schemas.openxmlformats.org/officeDocument/2006/relationships/hyperlink" Id="rId274" Target="https://www.cnmc.es/sites/default/files/2100627.pdf" TargetMode="External" /><Relationship Type="http://schemas.openxmlformats.org/officeDocument/2006/relationships/hyperlink" Id="rId282" Target="https://www.cnmc.es/sites/default/files/6339016.pdf" TargetMode="External" /><Relationship Type="http://schemas.openxmlformats.org/officeDocument/2006/relationships/hyperlink" Id="rId246" Target="https://www.gesetze-im-internet.de/aregv/anlage_3.html" TargetMode="External" /><Relationship Type="http://schemas.openxmlformats.org/officeDocument/2006/relationships/hyperlink" Id="rId348" Target="https://www.jstor.org/stable/1823775" TargetMode="External" /><Relationship Type="http://schemas.openxmlformats.org/officeDocument/2006/relationships/hyperlink" Id="rId419" Target="https://www.justice.gov/d9/2023-12/2023%20Merger%20Guidelines.pdf" TargetMode="External" /><Relationship Type="http://schemas.openxmlformats.org/officeDocument/2006/relationships/hyperlink" Id="rId417" Target="https://www.justice.gov/sites/default/files/atr/legacy/2007/07/11/11248.pdf" TargetMode="External" /><Relationship Type="http://schemas.openxmlformats.org/officeDocument/2006/relationships/hyperlink" Id="rId399" Target="https://www.nobelprize.org/prizes/economic-sciences/1982/summary/" TargetMode="External" /><Relationship Type="http://schemas.openxmlformats.org/officeDocument/2006/relationships/hyperlink" Id="rId401" Target="https://www.nobelprize.org/prizes/economic-sciences/2014/summary/" TargetMode="External" /><Relationship Type="http://schemas.openxmlformats.org/officeDocument/2006/relationships/hyperlink" Id="rId362" Target="https://www.ofgem.gov.uk/sites/default/files/2025-12/RIIO-3-Final-Determinations-ET.pdf" TargetMode="External" /><Relationship Type="http://schemas.openxmlformats.org/officeDocument/2006/relationships/hyperlink" Id="rId364" Target="https://www.ofgem.gov.uk/sites/default/files/2025-12/RIIO-3-Final-Determinations-Finance-Annex.pdf" TargetMode="External" /><Relationship Type="http://schemas.openxmlformats.org/officeDocument/2006/relationships/hyperlink" Id="rId177" Target="https://www.victorgutierrezmarcos.es/oposicion/temario/cuarto-ejercicio/4A12.pdf" TargetMode="External" /><Relationship Type="http://schemas.openxmlformats.org/officeDocument/2006/relationships/hyperlink" Id="rId21" Target="https://www.victorgutierrezmarcos.es/oposicion/temario/cuarto-ejercicio/4A15.pdf" TargetMode="External" /><Relationship Type="http://schemas.openxmlformats.org/officeDocument/2006/relationships/hyperlink" Id="rId139" Target="https://www.victorgutierrezmarcos.es/oposicion/temario/cuarto-ejercicio/4B02.pdf" TargetMode="External" /><Relationship Type="http://schemas.openxmlformats.org/officeDocument/2006/relationships/hyperlink" Id="rId212" Target="https://www.victorgutierrezmarcos.es/oposicion/temario/cuarto-ejercicio/4B06.pdf" TargetMode="External" /><Relationship Type="http://schemas.openxmlformats.org/officeDocument/2006/relationships/hyperlink" Id="rId26" Target="https://www.victorgutierrezmarcos.es/oposicion/temario/cuarto-ejercicio/4B09.pdf" TargetMode="External" /><Relationship Type="http://schemas.openxmlformats.org/officeDocument/2006/relationships/hyperlink" Id="rId213" Target="https://www.victorgutierrezmarcos.es/oposicion/temario/cuarto-ejercicio/4B13.pdf" TargetMode="External" /><Relationship Type="http://schemas.openxmlformats.org/officeDocument/2006/relationships/hyperlink" Id="rId176" Target="https://www.victorgutierrezmarcos.es/oposicion/temario/cuarto-ejercicio/4B15.pdf" TargetMode="External" /><Relationship Type="http://schemas.openxmlformats.org/officeDocument/2006/relationships/hyperlink" Id="rId216" Target="https://www.victorgutierrezmarcos.es/oposicion/temario/primer-ejercicio/test/simulador.html" TargetMode="External" /><Relationship Type="http://schemas.openxmlformats.org/officeDocument/2006/relationships/hyperlink" Id="rId211" Target="https://www.victorgutierrezmarcos.es/oposicion/temario/tema-no-disponible.html?tema=3.B.31" TargetMode="External" /><Relationship Type="http://schemas.openxmlformats.org/officeDocument/2006/relationships/hyperlink" Id="rId189" Target="https://www.victorgutierrezmarcos.es/oposicion/temario/tema-no-disponible.html?tema=4.A.5" TargetMode="External" /><Relationship Type="http://schemas.openxmlformats.org/officeDocument/2006/relationships/hyperlink" Id="rId214" Target="https://www.victorgutierrezmarcos.es/oposicion/temario/tema-no-disponible.html?tema=4.B.14" TargetMode="External" /><Relationship Type="http://schemas.openxmlformats.org/officeDocument/2006/relationships/hyperlink" Id="rId36" Target="https://www.victorgutierrezmarcos.es/oposicion/temario/tercer-ejercicio/3A12.pdf" TargetMode="External" /><Relationship Type="http://schemas.openxmlformats.org/officeDocument/2006/relationships/hyperlink" Id="rId60" Target="https://www.victorgutierrezmarcos.es/oposicion/temario/tercer-ejercicio/3A13.pdf" TargetMode="External" /><Relationship Type="http://schemas.openxmlformats.org/officeDocument/2006/relationships/hyperlink" Id="rId70" Target="https://www.victorgutierrezmarcos.es/oposicion/temario/tercer-ejercicio/3A14.pdf" TargetMode="External" /><Relationship Type="http://schemas.openxmlformats.org/officeDocument/2006/relationships/hyperlink" Id="rId28" Target="https://www.victorgutierrezmarcos.es/oposicion/temario/tercer-ejercicio/3A15.pdf" TargetMode="External" /><Relationship Type="http://schemas.openxmlformats.org/officeDocument/2006/relationships/hyperlink" Id="rId25" Target="https://www.victorgutierrezmarcos.es/oposicion/temario/tercer-ejercicio/3A16.pdf" TargetMode="External" /><Relationship Type="http://schemas.openxmlformats.org/officeDocument/2006/relationships/hyperlink" Id="rId29" Target="https://www.victorgutierrezmarcos.es/oposicion/temario/tercer-ejercicio/3A17.pdf" TargetMode="External" /><Relationship Type="http://schemas.openxmlformats.org/officeDocument/2006/relationships/hyperlink" Id="rId44" Target="https://www.victorgutierrezmarcos.es/oposicion/temario/tercer-ejercicio/3A18.pdf" TargetMode="External" /><Relationship Type="http://schemas.openxmlformats.org/officeDocument/2006/relationships/hyperlink" Id="rId32" Target="https://www.victorgutierrezmarcos.es/oposicion/temario/tercer-ejercicio/3A19.pdf" TargetMode="External" /><Relationship Type="http://schemas.openxmlformats.org/officeDocument/2006/relationships/hyperlink" Id="rId209" Target="https://www.victorgutierrezmarcos.es/oposicion/temario/tercer-ejercicio/3A21.pdf" TargetMode="External" /><Relationship Type="http://schemas.openxmlformats.org/officeDocument/2006/relationships/hyperlink" Id="rId22" Target="https://www.victorgutierrezmarcos.es/oposicion/temario/tercer-ejercicio/3A22.pdf" TargetMode="External" /><Relationship Type="http://schemas.openxmlformats.org/officeDocument/2006/relationships/hyperlink" Id="rId23" Target="https://www.victorgutierrezmarcos.es/oposicion/temario/tercer-ejercicio/3A23.pdf" TargetMode="External" /><Relationship Type="http://schemas.openxmlformats.org/officeDocument/2006/relationships/hyperlink" Id="rId210" Target="https://www.victorgutierrezmarcos.es/oposicion/temario/tercer-ejercicio/3A24.pdf" TargetMode="External" /><Relationship Type="http://schemas.openxmlformats.org/officeDocument/2006/relationships/hyperlink" Id="rId135" Target="https://www.victorgutierrezmarcos.es/oposicion/temario/tercer-ejercicio/3A36.pdf" TargetMode="External" /><Relationship Type="http://schemas.openxmlformats.org/officeDocument/2006/relationships/hyperlink" Id="rId20" Target="https://www.victorgutierrezmarcos.es/oposicion/temario/tercer-ejercicio/3B39.pdf"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280" Target="https://cnmc.es/prensa/desregulacion-banda-ancha-fija-20250813" TargetMode="External" /><Relationship Type="http://schemas.openxmlformats.org/officeDocument/2006/relationships/hyperlink" Id="rId270" Target="https://competition-policy.ec.europa.eu/document/download/ac0e592e-2c8e-4a45-aae5-d82e7327b022_en?filename=Guidelines_on_exclusionary_abuses_of_dominance_102TFEU.pdf" TargetMode="External" /><Relationship Type="http://schemas.openxmlformats.org/officeDocument/2006/relationships/hyperlink" Id="rId266" Target="https://competition-policy.ec.europa.eu/mergers/review-merger-guidelines_en" TargetMode="External" /><Relationship Type="http://schemas.openxmlformats.org/officeDocument/2006/relationships/hyperlink" Id="rId404" Target="https://curia.europa.eu/juris/liste.jsf?num=C-295/12" TargetMode="External" /><Relationship Type="http://schemas.openxmlformats.org/officeDocument/2006/relationships/hyperlink" Id="rId406" Target="https://curia.europa.eu/juris/liste.jsf?num=C-48/22" TargetMode="External" /><Relationship Type="http://schemas.openxmlformats.org/officeDocument/2006/relationships/hyperlink" Id="rId408" Target="https://curia.europa.eu/site/upload/docs/application/pdf/2026-07/cp260093en.pdf" TargetMode="External" /><Relationship Type="http://schemas.openxmlformats.org/officeDocument/2006/relationships/hyperlink" Id="rId262" Target="https://digital-markets-act.ec.europa.eu/commission-finds-apple-and-meta-breach-digital-markets-act-2025-04-23_en" TargetMode="External" /><Relationship Type="http://schemas.openxmlformats.org/officeDocument/2006/relationships/hyperlink" Id="rId268" Target="https://digital-markets-act.ec.europa.eu/commission-fines-google-eur890-million-breaches-digital-markets-act-2026-07-23_en" TargetMode="External" /><Relationship Type="http://schemas.openxmlformats.org/officeDocument/2006/relationships/hyperlink" Id="rId264" Target="https://digital-markets-act.ec.europa.eu/gatekeepers-portal_en" TargetMode="External" /><Relationship Type="http://schemas.openxmlformats.org/officeDocument/2006/relationships/hyperlink" Id="rId243" Target="https://doi.org/10.1016/S1573-448X(89)02011-X" TargetMode="External" /><Relationship Type="http://schemas.openxmlformats.org/officeDocument/2006/relationships/hyperlink" Id="rId381" Target="https://doi.org/10.1086/260357" TargetMode="External" /><Relationship Type="http://schemas.openxmlformats.org/officeDocument/2006/relationships/hyperlink" Id="rId336" Target="https://doi.org/10.1086/260580" TargetMode="External" /><Relationship Type="http://schemas.openxmlformats.org/officeDocument/2006/relationships/hyperlink" Id="rId340" Target="https://doi.org/10.1086/261392" TargetMode="External" /><Relationship Type="http://schemas.openxmlformats.org/officeDocument/2006/relationships/hyperlink" Id="rId302" Target="https://doi.org/10.1086/466643" TargetMode="External" /><Relationship Type="http://schemas.openxmlformats.org/officeDocument/2006/relationships/hyperlink" Id="rId333" Target="https://doi.org/10.1086/466794" TargetMode="External" /><Relationship Type="http://schemas.openxmlformats.org/officeDocument/2006/relationships/hyperlink" Id="rId378" Target="https://doi.org/10.1086/466865" TargetMode="External" /><Relationship Type="http://schemas.openxmlformats.org/officeDocument/2006/relationships/hyperlink" Id="rId355" Target="https://doi.org/10.1086/466949" TargetMode="External" /><Relationship Type="http://schemas.openxmlformats.org/officeDocument/2006/relationships/hyperlink" Id="rId220" Target="https://doi.org/10.1093/qje/120.2.701" TargetMode="External" /><Relationship Type="http://schemas.openxmlformats.org/officeDocument/2006/relationships/hyperlink" Id="rId228" Target="https://doi.org/10.1093/qje/qjaa004" TargetMode="External" /><Relationship Type="http://schemas.openxmlformats.org/officeDocument/2006/relationships/hyperlink" Id="rId300" Target="https://doi.org/10.1093/qje/qjz041" TargetMode="External" /><Relationship Type="http://schemas.openxmlformats.org/officeDocument/2006/relationships/hyperlink" Id="rId222" Target="https://doi.org/10.1111/j.1756-2171.2006.tb00037.x" TargetMode="External" /><Relationship Type="http://schemas.openxmlformats.org/officeDocument/2006/relationships/hyperlink" Id="rId385" Target="https://doi.org/10.1162/154247603322493212" TargetMode="External" /><Relationship Type="http://schemas.openxmlformats.org/officeDocument/2006/relationships/hyperlink" Id="rId366" Target="https://doi.org/10.2307/1881841" TargetMode="External" /><Relationship Type="http://schemas.openxmlformats.org/officeDocument/2006/relationships/hyperlink" Id="rId392" Target="https://doi.org/10.2307/1885712" TargetMode="External" /><Relationship Type="http://schemas.openxmlformats.org/officeDocument/2006/relationships/hyperlink" Id="rId238" Target="https://doi.org/10.2307/1886017" TargetMode="External" /><Relationship Type="http://schemas.openxmlformats.org/officeDocument/2006/relationships/hyperlink" Id="rId241" Target="https://doi.org/10.2307/1905256" TargetMode="External" /><Relationship Type="http://schemas.openxmlformats.org/officeDocument/2006/relationships/hyperlink" Id="rId314" Target="https://doi.org/10.2307/1907054" TargetMode="External" /><Relationship Type="http://schemas.openxmlformats.org/officeDocument/2006/relationships/hyperlink" Id="rId343" Target="https://doi.org/10.2307/1911362" TargetMode="External" /><Relationship Type="http://schemas.openxmlformats.org/officeDocument/2006/relationships/hyperlink" Id="rId383" Target="https://doi.org/10.2307/2222721" TargetMode="External" /><Relationship Type="http://schemas.openxmlformats.org/officeDocument/2006/relationships/hyperlink" Id="rId295" Target="https://doi.org/10.2307/2231975" TargetMode="External" /><Relationship Type="http://schemas.openxmlformats.org/officeDocument/2006/relationships/hyperlink" Id="rId352" Target="https://doi.org/10.2307/2296233" TargetMode="External" /><Relationship Type="http://schemas.openxmlformats.org/officeDocument/2006/relationships/hyperlink" Id="rId309" Target="https://doi.org/10.2307/2297615" TargetMode="External" /><Relationship Type="http://schemas.openxmlformats.org/officeDocument/2006/relationships/hyperlink" Id="rId250" Target="https://doi.org/10.2307/2549764" TargetMode="External" /><Relationship Type="http://schemas.openxmlformats.org/officeDocument/2006/relationships/hyperlink" Id="rId297" Target="https://doi.org/10.2307/2553125" TargetMode="External" /><Relationship Type="http://schemas.openxmlformats.org/officeDocument/2006/relationships/hyperlink" Id="rId345" Target="https://doi.org/10.2307/2937958" TargetMode="External" /><Relationship Type="http://schemas.openxmlformats.org/officeDocument/2006/relationships/hyperlink" Id="rId350" Target="https://doi.org/10.2307/2967480" TargetMode="External" /><Relationship Type="http://schemas.openxmlformats.org/officeDocument/2006/relationships/hyperlink" Id="rId394" Target="https://doi.org/10.2307/3003160" TargetMode="External" /><Relationship Type="http://schemas.openxmlformats.org/officeDocument/2006/relationships/hyperlink" Id="rId235" Target="https://doi.org/10.2307/3003181" TargetMode="External" /><Relationship Type="http://schemas.openxmlformats.org/officeDocument/2006/relationships/hyperlink" Id="rId425" Target="https://doi.org/10.2307/3003191" TargetMode="External" /><Relationship Type="http://schemas.openxmlformats.org/officeDocument/2006/relationships/hyperlink" Id="rId423" Target="https://doi.org/10.2307/3003414" TargetMode="External" /><Relationship Type="http://schemas.openxmlformats.org/officeDocument/2006/relationships/hyperlink" Id="rId370" Target="https://doi.org/10.2307/3003484" TargetMode="External" /><Relationship Type="http://schemas.openxmlformats.org/officeDocument/2006/relationships/hyperlink" Id="rId338" Target="https://doi.org/10.2307/j.ctv7h0rwr" TargetMode="External" /><Relationship Type="http://schemas.openxmlformats.org/officeDocument/2006/relationships/hyperlink" Id="rId368" Target="https://doi.org/10.4159/9780674041660" TargetMode="External" /><Relationship Type="http://schemas.openxmlformats.org/officeDocument/2006/relationships/hyperlink" Id="rId260" Target="https://eur-lex.europa.eu/eli/C/2024/1645/oj" TargetMode="External" /><Relationship Type="http://schemas.openxmlformats.org/officeDocument/2006/relationships/hyperlink" Id="rId372" Target="https://eur-lex.europa.eu/eli/dir/2012/34/oj" TargetMode="External" /><Relationship Type="http://schemas.openxmlformats.org/officeDocument/2006/relationships/hyperlink" Id="rId374" Target="https://eur-lex.europa.eu/eli/dir/2018/1972/oj" TargetMode="External" /><Relationship Type="http://schemas.openxmlformats.org/officeDocument/2006/relationships/hyperlink" Id="rId256" Target="https://eur-lex.europa.eu/eli/reco/2020/2245/oj" TargetMode="External" /><Relationship Type="http://schemas.openxmlformats.org/officeDocument/2006/relationships/hyperlink" Id="rId292" Target="https://eur-lex.europa.eu/eli/reg/2004/139/oj?locale=es" TargetMode="External" /><Relationship Type="http://schemas.openxmlformats.org/officeDocument/2006/relationships/hyperlink" Id="rId376" Target="https://eur-lex.europa.eu/eli/reg/2022/1925/oj" TargetMode="External" /><Relationship Type="http://schemas.openxmlformats.org/officeDocument/2006/relationships/hyperlink" Id="rId258" Target="https://eur-lex.europa.eu/eli/reg/2022/720/oj" TargetMode="External" /><Relationship Type="http://schemas.openxmlformats.org/officeDocument/2006/relationships/hyperlink" Id="rId252" Target="https://eur-lex.europa.eu/legal-content/ES/TXT/?uri=CELEX:52004XC0205(02)" TargetMode="External" /><Relationship Type="http://schemas.openxmlformats.org/officeDocument/2006/relationships/hyperlink" Id="rId254" Target="https://eur-lex.europa.eu/legal-content/ES/TXT/?uri=CELEX:52014XC0830(01)" TargetMode="External" /><Relationship Type="http://schemas.openxmlformats.org/officeDocument/2006/relationships/hyperlink" Id="rId410" Target="https://eur-lex.europa.eu/legal-content/ES/TXT/?uri=CELEX:61976CJ0085" TargetMode="External" /><Relationship Type="http://schemas.openxmlformats.org/officeDocument/2006/relationships/hyperlink" Id="rId412" Target="https://eur-lex.europa.eu/legal-content/ES/TXT/?uri=CELEX:61986CJ0062" TargetMode="External" /><Relationship Type="http://schemas.openxmlformats.org/officeDocument/2006/relationships/hyperlink" Id="rId387" Target="https://minneapolisfed.org/article/2012/new-and-larger-costs-of-monopoly-and-tariffs" TargetMode="External" /><Relationship Type="http://schemas.openxmlformats.org/officeDocument/2006/relationships/hyperlink" Id="rId397" Target="https://supreme.justia.com/cases/federal/us/351/377/" TargetMode="External" /><Relationship Type="http://schemas.openxmlformats.org/officeDocument/2006/relationships/hyperlink" Id="rId317" Target="https://www.boe.es/buscar/act.php?id=BOE-A-2007-12946" TargetMode="External" /><Relationship Type="http://schemas.openxmlformats.org/officeDocument/2006/relationships/hyperlink" Id="rId321" Target="https://www.boe.es/buscar/act.php?id=BOE-A-2013-13645" TargetMode="External" /><Relationship Type="http://schemas.openxmlformats.org/officeDocument/2006/relationships/hyperlink" Id="rId325" Target="https://www.boe.es/buscar/act.php?id=BOE-A-2015-10440" TargetMode="External" /><Relationship Type="http://schemas.openxmlformats.org/officeDocument/2006/relationships/hyperlink" Id="rId323" Target="https://www.boe.es/buscar/act.php?id=BOE-A-2015-3443" TargetMode="External" /><Relationship Type="http://schemas.openxmlformats.org/officeDocument/2006/relationships/hyperlink" Id="rId276" Target="https://www.boe.es/buscar/act.php?id=BOE-A-2019-16639" TargetMode="External" /><Relationship Type="http://schemas.openxmlformats.org/officeDocument/2006/relationships/hyperlink" Id="rId278" Target="https://www.boe.es/buscar/act.php?id=BOE-A-2020-1066" TargetMode="External" /><Relationship Type="http://schemas.openxmlformats.org/officeDocument/2006/relationships/hyperlink" Id="rId329" Target="https://www.boe.es/buscar/act.php?id=BOE-A-2022-10757" TargetMode="External" /><Relationship Type="http://schemas.openxmlformats.org/officeDocument/2006/relationships/hyperlink" Id="rId327" Target="https://www.boe.es/buscar/act.php?id=BOE-A-2022-7843" TargetMode="External" /><Relationship Type="http://schemas.openxmlformats.org/officeDocument/2006/relationships/hyperlink" Id="rId415" Target="https://www.boe.es/buscar/doc.php?id=DOUE-Z-2010-70002" TargetMode="External" /><Relationship Type="http://schemas.openxmlformats.org/officeDocument/2006/relationships/hyperlink" Id="rId360" Target="https://www.boe.es/diario_boe/txt.php?id=BOE-A-2022-9435" TargetMode="External" /><Relationship Type="http://schemas.openxmlformats.org/officeDocument/2006/relationships/hyperlink" Id="rId331" Target="https://www.boe.es/diario_boe/txt.php?id=BOE-A-2023-7937" TargetMode="External" /><Relationship Type="http://schemas.openxmlformats.org/officeDocument/2006/relationships/hyperlink" Id="rId286" Target="https://www.boe.es/diario_boe/txt.php?id=BOE-A-2025-27019" TargetMode="External" /><Relationship Type="http://schemas.openxmlformats.org/officeDocument/2006/relationships/hyperlink" Id="rId290" Target="https://www.boe.es/diario_boe/txt.php?id=BOE-A-2026-19426" TargetMode="External" /><Relationship Type="http://schemas.openxmlformats.org/officeDocument/2006/relationships/hyperlink" Id="rId304" Target="https://www.boe.es/diario_boe/txt.php?id=BOE-A-2026-19507" TargetMode="External" /><Relationship Type="http://schemas.openxmlformats.org/officeDocument/2006/relationships/hyperlink" Id="rId319" Target="https://www.boe.es/eli/es/l/2013/06/04/3" TargetMode="External" /><Relationship Type="http://schemas.openxmlformats.org/officeDocument/2006/relationships/hyperlink" Id="rId358" Target="https://www.boe.es/eli/es/rd/2017/02/03/55" TargetMode="External" /><Relationship Type="http://schemas.openxmlformats.org/officeDocument/2006/relationships/hyperlink" Id="rId248" Target="https://www.bundesnetzagentur.de/DE/Beschlusskammern/BK08/BK8_05_EOG/54_Effizienzvgl/start.html" TargetMode="External" /><Relationship Type="http://schemas.openxmlformats.org/officeDocument/2006/relationships/hyperlink" Id="rId288" Target="https://www.cnmc.es/index.php/prensa/informe-dora-20260602" TargetMode="External" /><Relationship Type="http://schemas.openxmlformats.org/officeDocument/2006/relationships/hyperlink" Id="rId284" Target="https://www.cnmc.es/prensa/circulares-retribucion-electrica-20251222" TargetMode="External" /><Relationship Type="http://schemas.openxmlformats.org/officeDocument/2006/relationships/hyperlink" Id="rId272" Target="https://www.cnmc.es/sites/default/files/1972516_6.pdf" TargetMode="External" /><Relationship Type="http://schemas.openxmlformats.org/officeDocument/2006/relationships/hyperlink" Id="rId274" Target="https://www.cnmc.es/sites/default/files/2100627.pdf" TargetMode="External" /><Relationship Type="http://schemas.openxmlformats.org/officeDocument/2006/relationships/hyperlink" Id="rId282" Target="https://www.cnmc.es/sites/default/files/6339016.pdf" TargetMode="External" /><Relationship Type="http://schemas.openxmlformats.org/officeDocument/2006/relationships/hyperlink" Id="rId246" Target="https://www.gesetze-im-internet.de/aregv/anlage_3.html" TargetMode="External" /><Relationship Type="http://schemas.openxmlformats.org/officeDocument/2006/relationships/hyperlink" Id="rId348" Target="https://www.jstor.org/stable/1823775" TargetMode="External" /><Relationship Type="http://schemas.openxmlformats.org/officeDocument/2006/relationships/hyperlink" Id="rId419" Target="https://www.justice.gov/d9/2023-12/2023%20Merger%20Guidelines.pdf" TargetMode="External" /><Relationship Type="http://schemas.openxmlformats.org/officeDocument/2006/relationships/hyperlink" Id="rId417" Target="https://www.justice.gov/sites/default/files/atr/legacy/2007/07/11/11248.pdf" TargetMode="External" /><Relationship Type="http://schemas.openxmlformats.org/officeDocument/2006/relationships/hyperlink" Id="rId399" Target="https://www.nobelprize.org/prizes/economic-sciences/1982/summary/" TargetMode="External" /><Relationship Type="http://schemas.openxmlformats.org/officeDocument/2006/relationships/hyperlink" Id="rId401" Target="https://www.nobelprize.org/prizes/economic-sciences/2014/summary/" TargetMode="External" /><Relationship Type="http://schemas.openxmlformats.org/officeDocument/2006/relationships/hyperlink" Id="rId362" Target="https://www.ofgem.gov.uk/sites/default/files/2025-12/RIIO-3-Final-Determinations-ET.pdf" TargetMode="External" /><Relationship Type="http://schemas.openxmlformats.org/officeDocument/2006/relationships/hyperlink" Id="rId364" Target="https://www.ofgem.gov.uk/sites/default/files/2025-12/RIIO-3-Final-Determinations-Finance-Annex.pdf" TargetMode="External" /><Relationship Type="http://schemas.openxmlformats.org/officeDocument/2006/relationships/hyperlink" Id="rId177" Target="https://www.victorgutierrezmarcos.es/oposicion/temario/cuarto-ejercicio/4A12.pdf" TargetMode="External" /><Relationship Type="http://schemas.openxmlformats.org/officeDocument/2006/relationships/hyperlink" Id="rId21" Target="https://www.victorgutierrezmarcos.es/oposicion/temario/cuarto-ejercicio/4A15.pdf" TargetMode="External" /><Relationship Type="http://schemas.openxmlformats.org/officeDocument/2006/relationships/hyperlink" Id="rId139" Target="https://www.victorgutierrezmarcos.es/oposicion/temario/cuarto-ejercicio/4B02.pdf" TargetMode="External" /><Relationship Type="http://schemas.openxmlformats.org/officeDocument/2006/relationships/hyperlink" Id="rId212" Target="https://www.victorgutierrezmarcos.es/oposicion/temario/cuarto-ejercicio/4B06.pdf" TargetMode="External" /><Relationship Type="http://schemas.openxmlformats.org/officeDocument/2006/relationships/hyperlink" Id="rId26" Target="https://www.victorgutierrezmarcos.es/oposicion/temario/cuarto-ejercicio/4B09.pdf" TargetMode="External" /><Relationship Type="http://schemas.openxmlformats.org/officeDocument/2006/relationships/hyperlink" Id="rId213" Target="https://www.victorgutierrezmarcos.es/oposicion/temario/cuarto-ejercicio/4B13.pdf" TargetMode="External" /><Relationship Type="http://schemas.openxmlformats.org/officeDocument/2006/relationships/hyperlink" Id="rId176" Target="https://www.victorgutierrezmarcos.es/oposicion/temario/cuarto-ejercicio/4B15.pdf" TargetMode="External" /><Relationship Type="http://schemas.openxmlformats.org/officeDocument/2006/relationships/hyperlink" Id="rId216" Target="https://www.victorgutierrezmarcos.es/oposicion/temario/primer-ejercicio/test/simulador.html" TargetMode="External" /><Relationship Type="http://schemas.openxmlformats.org/officeDocument/2006/relationships/hyperlink" Id="rId211" Target="https://www.victorgutierrezmarcos.es/oposicion/temario/tema-no-disponible.html?tema=3.B.31" TargetMode="External" /><Relationship Type="http://schemas.openxmlformats.org/officeDocument/2006/relationships/hyperlink" Id="rId189" Target="https://www.victorgutierrezmarcos.es/oposicion/temario/tema-no-disponible.html?tema=4.A.5" TargetMode="External" /><Relationship Type="http://schemas.openxmlformats.org/officeDocument/2006/relationships/hyperlink" Id="rId214" Target="https://www.victorgutierrezmarcos.es/oposicion/temario/tema-no-disponible.html?tema=4.B.14" TargetMode="External" /><Relationship Type="http://schemas.openxmlformats.org/officeDocument/2006/relationships/hyperlink" Id="rId36" Target="https://www.victorgutierrezmarcos.es/oposicion/temario/tercer-ejercicio/3A12.pdf" TargetMode="External" /><Relationship Type="http://schemas.openxmlformats.org/officeDocument/2006/relationships/hyperlink" Id="rId60" Target="https://www.victorgutierrezmarcos.es/oposicion/temario/tercer-ejercicio/3A13.pdf" TargetMode="External" /><Relationship Type="http://schemas.openxmlformats.org/officeDocument/2006/relationships/hyperlink" Id="rId70" Target="https://www.victorgutierrezmarcos.es/oposicion/temario/tercer-ejercicio/3A14.pdf" TargetMode="External" /><Relationship Type="http://schemas.openxmlformats.org/officeDocument/2006/relationships/hyperlink" Id="rId28" Target="https://www.victorgutierrezmarcos.es/oposicion/temario/tercer-ejercicio/3A15.pdf" TargetMode="External" /><Relationship Type="http://schemas.openxmlformats.org/officeDocument/2006/relationships/hyperlink" Id="rId25" Target="https://www.victorgutierrezmarcos.es/oposicion/temario/tercer-ejercicio/3A16.pdf" TargetMode="External" /><Relationship Type="http://schemas.openxmlformats.org/officeDocument/2006/relationships/hyperlink" Id="rId29" Target="https://www.victorgutierrezmarcos.es/oposicion/temario/tercer-ejercicio/3A17.pdf" TargetMode="External" /><Relationship Type="http://schemas.openxmlformats.org/officeDocument/2006/relationships/hyperlink" Id="rId44" Target="https://www.victorgutierrezmarcos.es/oposicion/temario/tercer-ejercicio/3A18.pdf" TargetMode="External" /><Relationship Type="http://schemas.openxmlformats.org/officeDocument/2006/relationships/hyperlink" Id="rId32" Target="https://www.victorgutierrezmarcos.es/oposicion/temario/tercer-ejercicio/3A19.pdf" TargetMode="External" /><Relationship Type="http://schemas.openxmlformats.org/officeDocument/2006/relationships/hyperlink" Id="rId209" Target="https://www.victorgutierrezmarcos.es/oposicion/temario/tercer-ejercicio/3A21.pdf" TargetMode="External" /><Relationship Type="http://schemas.openxmlformats.org/officeDocument/2006/relationships/hyperlink" Id="rId22" Target="https://www.victorgutierrezmarcos.es/oposicion/temario/tercer-ejercicio/3A22.pdf" TargetMode="External" /><Relationship Type="http://schemas.openxmlformats.org/officeDocument/2006/relationships/hyperlink" Id="rId23" Target="https://www.victorgutierrezmarcos.es/oposicion/temario/tercer-ejercicio/3A23.pdf" TargetMode="External" /><Relationship Type="http://schemas.openxmlformats.org/officeDocument/2006/relationships/hyperlink" Id="rId210" Target="https://www.victorgutierrezmarcos.es/oposicion/temario/tercer-ejercicio/3A24.pdf" TargetMode="External" /><Relationship Type="http://schemas.openxmlformats.org/officeDocument/2006/relationships/hyperlink" Id="rId135" Target="https://www.victorgutierrezmarcos.es/oposicion/temario/tercer-ejercicio/3A36.pdf" TargetMode="External" /><Relationship Type="http://schemas.openxmlformats.org/officeDocument/2006/relationships/hyperlink" Id="rId20" Target="https://www.victorgutierrezmarcos.es/oposicion/temario/tercer-ejercicio/3B39.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3.A.20: Poder de mercado y regulación óptima. Definición del mercado relevante. Desarrollos en presencia de información asimétrica. Aplicaciones prácticas.</dc:title>
  <dc:creator>Víctor Gutiérrez Marcos</dc:creator>
  <dc:description>© 2026 Víctor Gutiérrez Marcos · Licencia CC BY-NC-ND 4.0 (https://creativecommons.org/licenses/by-nc-nd/4.0/deed.es): puedes compartirlo citando al autor, sin fines comerciales y sin modificarlo.</dc:description>
  <dc:language>es-ES</dc:language>
  <cp:keywords/>
  <dcterms:created xsi:type="dcterms:W3CDTF">2026-10-22T17:23:26Z</dcterms:created>
  <dcterms:modified xsi:type="dcterms:W3CDTF">2026-10-22T17:23:26Z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CC BY-NC-ND 4.0</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3A20</vt:lpwstr>
  </property>
  <property fmtid="{D5CDD505-2E9C-101B-9397-08002B2CF9AE}" pid="6" name="bibliography">
    <vt:lpwstr>C:\Users\vgutierrez\Documents\src\victorgutierrezmarcos.github.io-revision\oposicion\temario\fuentes\3A20\3A20.bib</vt:lpwstr>
  </property>
  <property fmtid="{D5CDD505-2E9C-101B-9397-08002B2CF9AE}" pid="7" name="carpeta">
    <vt:lpwstr>tercer-ejercicio</vt:lpwstr>
  </property>
  <property fmtid="{D5CDD505-2E9C-101B-9397-08002B2CF9AE}" pid="8" name="codigo">
    <vt:lpwstr>3.A.20</vt:lpwstr>
  </property>
  <property fmtid="{D5CDD505-2E9C-101B-9397-08002B2CF9AE}" pid="9" name="csl">
    <vt:lpwstr>C:\Users\vgutierrez\Documents\src\victorgutierrezmarcos.github.io-revision\oposicion\temario\latex\tcee.csl</vt:lpwstr>
  </property>
  <property fmtid="{D5CDD505-2E9C-101B-9397-08002B2CF9AE}" pid="10" name="date">
    <vt:lpwstr>Última actualización: 22/10/2026</vt:lpwstr>
  </property>
  <property fmtid="{D5CDD505-2E9C-101B-9397-08002B2CF9AE}" pid="11" name="ejercicio">
    <vt:lpwstr>Tercer ejercicio</vt:lpwstr>
  </property>
  <property fmtid="{D5CDD505-2E9C-101B-9397-08002B2CF9AE}" pid="12" name="fecha">
    <vt:lpwstr>22/10/2026</vt:lpwstr>
  </property>
  <property fmtid="{D5CDD505-2E9C-101B-9397-08002B2CF9AE}" pid="13" name="fecha-cita">
    <vt:lpwstr>2026/10/22</vt:lpwstr>
  </property>
  <property fmtid="{D5CDD505-2E9C-101B-9397-08002B2CF9AE}" pid="14" name="fecha-iso">
    <vt:lpwstr>2026-10-22</vt:lpwstr>
  </property>
  <property fmtid="{D5CDD505-2E9C-101B-9397-08002B2CF9AE}" pid="15" name="graficos-docx">
    <vt:lpwstr>C:\Users\vgutierrez\Documents\src\victorgutierrezmarcos.github.io-revision\oposicion\temario\fuentes\3A20\graficos</vt:lpwstr>
  </property>
  <property fmtid="{D5CDD505-2E9C-101B-9397-08002B2CF9AE}" pid="16" name="link-citations">
    <vt:lpwstr>True</vt:lpwstr>
  </property>
  <property fmtid="{D5CDD505-2E9C-101B-9397-08002B2CF9AE}" pid="17" name="materia">
    <vt:lpwstr>Microeconomía</vt:lpwstr>
  </property>
  <property fmtid="{D5CDD505-2E9C-101B-9397-08002B2CF9AE}" pid="18" name="nocite">
    <vt:lpwstr/>
  </property>
  <property fmtid="{D5CDD505-2E9C-101B-9397-08002B2CF9AE}" pid="19" name="paginas">
    <vt:lpwstr>Tema: 35 págs. · Anexos: 8 · Bibliografía: 7</vt:lpwstr>
  </property>
  <property fmtid="{D5CDD505-2E9C-101B-9397-08002B2CF9AE}" pid="20" name="palabras-clave">
    <vt:lpwstr>poder de mercado, regulación óptima, mercado relevante, test SSNIP, falacia del celofán, índice de Lerner, monopolio natural, efecto Averch-Johnson, Baron y Myerson, Laffont y Tirole, renta informativa, price cap, competencia por comparación, competencia por el mercado, precio de acceso, captura del regulador, Reglamento de Mercados Digitales, microeconomía</vt:lpwstr>
  </property>
  <property fmtid="{D5CDD505-2E9C-101B-9397-08002B2CF9AE}" pid="21" name="reference-section-title">
    <vt:lpwstr>Bibliografía</vt:lpwstr>
  </property>
  <property fmtid="{D5CDD505-2E9C-101B-9397-08002B2CF9AE}" pid="22" name="resumen">
    <vt:lpwstr>Poder de mercado, índice de Lerner, mercado relevante (SSNIP), Averch-Johnson, Baron-Myerson, menú de Laffont-Tirole, price cap, yardstick y captura.</vt:lpwstr>
  </property>
  <property fmtid="{D5CDD505-2E9C-101B-9397-08002B2CF9AE}" pid="23" name="titulo">
    <vt:lpwstr>Poder de mercado y regulación óptima. Definición del mercado relevante. Desarrollos en presencia de información asimétrica. Aplicaciones prácticas.</vt:lpwstr>
  </property>
  <property fmtid="{D5CDD505-2E9C-101B-9397-08002B2CF9AE}" pid="24" name="titulo-cita">
    <vt:lpwstr>Poder de mercado y regulación óptima. Definición del mercado relevante. Desarrollos en presencia de información asimétrica. Aplicaciones prácticas</vt:lpwstr>
  </property>
  <property fmtid="{D5CDD505-2E9C-101B-9397-08002B2CF9AE}" pid="25" name="titulo-seo">
    <vt:lpwstr>Poder de mercado, mercado relevante y regulación</vt:lpwstr>
  </property>
</Properties>
</file>