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8.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2.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12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 la tasa de paro (</w:t>
      </w:r>
      <m:oMath>
        <m:r>
          <m:t>U</m:t>
        </m:r>
      </m:oMath>
      <w:r>
        <w:t xml:space="preserve">)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En el semáforo de la guía (gráfico </w:t>
      </w:r>
      <w:hyperlink w:anchor="fig_esquema_semaforo">
        <w:r>
          <w:rPr>
            <w:rStyle w:val="Hyperlink"/>
          </w:rPr>
          <w:t xml:space="preserve">24</w:t>
        </w:r>
      </w:hyperlink>
      <w:r>
        <w:t xml:space="preserve">), débil por debajo del 8 %, a vigilar entre el 8 y el 12 % y holgado por encima del 12 %; la referencia de la Autoridad Bancaria Europea (ROE favorable por encima del 10 %) cae dentro del tramo intermedio. Otras referencias orientativas de la ABE: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oferta y demanda</w:t>
      </w:r>
      <w:r>
        <w:t xml:space="preserve">: el precio lo fijan las 2 hojas de la tijera de</w:t>
      </w:r>
      <w:r>
        <w:t xml:space="preserve"> </w:t>
      </w:r>
      <w:r>
        <w:rPr>
          <w:smallCaps/>
        </w:rPr>
        <w:t xml:space="preserve">Marshall</w:t>
      </w:r>
      <w:r>
        <w:t xml:space="preserve">. Con un parque casi fijo a corto plazo, lo que empuja la demanda (renta, hogares, crédito, compras no residenciales o para uso turístico) va sobre todo a precio, y</w:t>
      </w:r>
      <w:r>
        <w:t xml:space="preserve"> </w:t>
      </w:r>
      <w:r>
        <w:rPr>
          <w:u w:val="single"/>
        </w:rPr>
        <w:t xml:space="preserve">hay un problema de oferta en la medida en que esta no alcanza a cubrir la demanda existente</w:t>
      </w:r>
      <w:r>
        <w:t xml:space="preserve">, a menudo concentrada en ciertas ciudades (un problema de localización: en España, los problemas de acceso se concentran en las áreas urbanas y turísticas</w:t>
      </w:r>
      <w:r>
        <w:t xml:space="preserve"> </w:t>
      </w:r>
      <w:r>
        <w:t xml:space="preserve">(</w:t>
      </w:r>
      <w:hyperlink w:anchor="ref_BdE2024Vivienda">
        <w:r>
          <w:rPr>
            <w:rStyle w:val="Hyperlink"/>
            <w:smallCaps/>
          </w:rPr>
          <w:t xml:space="preserve">Banco de España</w:t>
        </w:r>
        <w:r>
          <w:rPr>
            <w:rStyle w:val="Hyperlink"/>
          </w:rPr>
          <w:t xml:space="preserve">, 2024</w:t>
        </w:r>
      </w:hyperlink>
      <w:r>
        <w:t xml:space="preserve">, págs. 232 y 242-243)</w:t>
      </w:r>
      <w:r>
        <w:t xml:space="preserve">). El cuadro rara vez permite decir qué lado pesa más: mejor en condicional;</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si el desajuste es territorial, más movilidad geográfica (que una vivienda cara puede frenar: apartado </w:t>
      </w:r>
      <w:hyperlink w:anchor="sec_por_desequilibrio">
        <w:r>
          <w:rPr>
            <w:rStyle w:val="Hyperlink"/>
          </w:rPr>
          <w:t xml:space="preserve">VI.2</w:t>
        </w:r>
      </w:hyperlink>
      <w:r>
        <w:t xml:space="preserve">);</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31"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inversión pública, capital humano, I+D: más lentas y difíciles de aplicar, pero son las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30"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keepNext/>
        <w:numPr>
          <w:ilvl w:val="0"/>
          <w:numId w:val="1175"/>
        </w:numPr>
      </w:pPr>
      <w:r>
        <w:rPr>
          <w:i/>
          <w:iCs/>
        </w:rPr>
        <w:t xml:space="preserve">Vivienda cara o que se encarece deprisa</w:t>
      </w:r>
      <w:r>
        <w:t xml:space="preserve"> </w:t>
      </w:r>
      <w:r>
        <w:t xml:space="preserve">(precio muy por encima de la renta y de los alquileres, esfuerzo alto): la receta sale del diagnóstico (apartado </w:t>
      </w:r>
      <w:hyperlink w:anchor="sec_estabilidad">
        <w:r>
          <w:rPr>
            <w:rStyle w:val="Hyperlink"/>
          </w:rPr>
          <w:t xml:space="preserve">V.2</w:t>
        </w:r>
      </w:hyperlink>
      <w:r>
        <w:t xml:space="preserve">) y de las elasticidades, no de dar por hecho que el problema es «solo de oferta» o «solo de demanda»:</w:t>
      </w:r>
    </w:p>
    <w:p>
      <w:pPr>
        <w:numPr>
          <w:ilvl w:val="1"/>
          <w:numId w:val="1176"/>
        </w:numPr>
      </w:pPr>
      <w:r>
        <w:t xml:space="preserve">a corto plazo, con el parque casi fijo, las medidas que</w:t>
      </w:r>
      <w:r>
        <w:t xml:space="preserve"> </w:t>
      </w:r>
      <w:r>
        <w:rPr>
          <w:i/>
          <w:iCs/>
        </w:rPr>
        <w:t xml:space="preserve">reducen</w:t>
      </w:r>
      <w:r>
        <w:t xml:space="preserve"> </w:t>
      </w:r>
      <w:r>
        <w:t xml:space="preserve">la demanda bajan la presión sobre el precio, aunque la evidencia es parcial: el impuesto francés sobre la vivienda vacía redujo su número en torno a un 13 %</w:t>
      </w:r>
      <w:r>
        <w:t xml:space="preserve"> </w:t>
      </w:r>
      <w:r>
        <w:t xml:space="preserve">(</w:t>
      </w:r>
      <w:hyperlink w:anchor="ref_Segu2020Vacantes">
        <w:r>
          <w:rPr>
            <w:rStyle w:val="Hyperlink"/>
            <w:smallCaps/>
          </w:rPr>
          <w:t xml:space="preserve">Segú</w:t>
        </w:r>
        <w:r>
          <w:rPr>
            <w:rStyle w:val="Hyperlink"/>
          </w:rPr>
          <w:t xml:space="preserve">, 2020</w:t>
        </w:r>
      </w:hyperlink>
      <w:r>
        <w:t xml:space="preserve">)</w:t>
      </w:r>
      <w:r>
        <w:t xml:space="preserve">; en Barcelona, la actividad de Airbnb elevó los alquileres un 1,9 % y los precios un 4,6 % en el barrio medio (hasta un 7 y un 17 % donde más se concentra)</w:t>
      </w:r>
      <w:r>
        <w:t xml:space="preserve"> </w:t>
      </w:r>
      <w:r>
        <w:t xml:space="preserve">(</w:t>
      </w:r>
      <w:hyperlink w:anchor="ref_GarciaLopez2020Airbnb">
        <w:r>
          <w:rPr>
            <w:rStyle w:val="Hyperlink"/>
            <w:smallCaps/>
          </w:rPr>
          <w:t xml:space="preserve">Garcia-López</w:t>
        </w:r>
        <w:r>
          <w:rPr>
            <w:rStyle w:val="Hyperlink"/>
          </w:rPr>
          <w:t xml:space="preserve"> </w:t>
        </w:r>
        <w:r>
          <w:rPr>
            <w:rStyle w:val="Hyperlink"/>
          </w:rPr>
          <w:t xml:space="preserve">et al., 2020</w:t>
        </w:r>
      </w:hyperlink>
      <w:r>
        <w:t xml:space="preserve">)</w:t>
      </w:r>
      <w:r>
        <w:t xml:space="preserve">; los límites LTV y LTI frenan el crédito a los hogares, con un efecto más moderado sobre los precios</w:t>
      </w:r>
      <w:r>
        <w:t xml:space="preserve"> </w:t>
      </w:r>
      <w:r>
        <w:t xml:space="preserve">(</w:t>
      </w:r>
      <w:hyperlink w:anchor="ref_Alam2019Macroprudencial">
        <w:r>
          <w:rPr>
            <w:rStyle w:val="Hyperlink"/>
            <w:smallCaps/>
          </w:rPr>
          <w:t xml:space="preserve">Alam</w:t>
        </w:r>
        <w:r>
          <w:rPr>
            <w:rStyle w:val="Hyperlink"/>
          </w:rPr>
          <w:t xml:space="preserve"> </w:t>
        </w:r>
        <w:r>
          <w:rPr>
            <w:rStyle w:val="Hyperlink"/>
          </w:rPr>
          <w:t xml:space="preserve">et al., 2019</w:t>
        </w:r>
      </w:hyperlink>
      <w:r>
        <w:t xml:space="preserve">)</w:t>
      </w:r>
      <w:r>
        <w:t xml:space="preserve">; y las compras de no residentes se concentran en Illes Balears, la Comunitat Valenciana y Canarias (entre el 20 y el 25 % de las compraventas en 2023), así que actuar sobre ellas tendría efecto sobre todo allí</w:t>
      </w:r>
      <w:r>
        <w:t xml:space="preserve"> </w:t>
      </w:r>
      <w:r>
        <w:t xml:space="preserve">(</w:t>
      </w:r>
      <w:hyperlink w:anchor="ref_BdE2024Vivienda">
        <w:r>
          <w:rPr>
            <w:rStyle w:val="Hyperlink"/>
            <w:smallCaps/>
          </w:rPr>
          <w:t xml:space="preserve">Banco de España</w:t>
        </w:r>
        <w:r>
          <w:rPr>
            <w:rStyle w:val="Hyperlink"/>
          </w:rPr>
          <w:t xml:space="preserve">, 2024</w:t>
        </w:r>
      </w:hyperlink>
      <w:r>
        <w:t xml:space="preserve">, págs. 246-247)</w:t>
      </w:r>
      <w:r>
        <w:t xml:space="preserve">;</w:t>
      </w:r>
    </w:p>
    <w:p>
      <w:pPr>
        <w:numPr>
          <w:ilvl w:val="1"/>
          <w:numId w:val="1176"/>
        </w:numPr>
      </w:pPr>
      <w:r>
        <w:t xml:space="preserve">las que</w:t>
      </w:r>
      <w:r>
        <w:t xml:space="preserve"> </w:t>
      </w:r>
      <w:r>
        <w:rPr>
          <w:i/>
          <w:iCs/>
        </w:rPr>
        <w:t xml:space="preserve">apoyan</w:t>
      </w:r>
      <w:r>
        <w:t xml:space="preserve"> </w:t>
      </w:r>
      <w:r>
        <w:t xml:space="preserve">la demanda (ayudas generales a la compra o al alquiler) tienden a capitalizarse en el precio si no se focalizan: el</w:t>
      </w:r>
      <w:r>
        <w:t xml:space="preserve"> </w:t>
      </w:r>
      <w:r>
        <w:rPr>
          <w:i/>
          <w:iCs/>
        </w:rPr>
        <w:t xml:space="preserve">Help to Buy</w:t>
      </w:r>
      <w:r>
        <w:t xml:space="preserve"> </w:t>
      </w:r>
      <w:r>
        <w:t xml:space="preserve">británico elevó los precios en Londres más que la propia ayuda, sin efecto apreciable en la construcción</w:t>
      </w:r>
      <w:r>
        <w:t xml:space="preserve"> </w:t>
      </w:r>
      <w:r>
        <w:t xml:space="preserve">(</w:t>
      </w:r>
      <w:hyperlink w:anchor="ref_Carozzi2024HelpToBuy">
        <w:r>
          <w:rPr>
            <w:rStyle w:val="Hyperlink"/>
            <w:smallCaps/>
          </w:rPr>
          <w:t xml:space="preserve">Carozzi</w:t>
        </w:r>
        <w:r>
          <w:rPr>
            <w:rStyle w:val="Hyperlink"/>
          </w:rPr>
          <w:t xml:space="preserve">,</w:t>
        </w:r>
        <w:r>
          <w:rPr>
            <w:rStyle w:val="Hyperlink"/>
          </w:rPr>
          <w:t xml:space="preserve"> </w:t>
        </w:r>
        <w:r>
          <w:rPr>
            <w:rStyle w:val="Hyperlink"/>
            <w:smallCaps/>
          </w:rPr>
          <w:t xml:space="preserve">Hilber</w:t>
        </w:r>
        <w:r>
          <w:rPr>
            <w:rStyle w:val="Hyperlink"/>
          </w:rPr>
          <w:t xml:space="preserve"> </w:t>
        </w:r>
        <w:r>
          <w:rPr>
            <w:rStyle w:val="Hyperlink"/>
          </w:rPr>
          <w:t xml:space="preserve">y</w:t>
        </w:r>
        <w:r>
          <w:rPr>
            <w:rStyle w:val="Hyperlink"/>
          </w:rPr>
          <w:t xml:space="preserve"> </w:t>
        </w:r>
        <w:r>
          <w:rPr>
            <w:rStyle w:val="Hyperlink"/>
            <w:smallCaps/>
          </w:rPr>
          <w:t xml:space="preserve">Yu</w:t>
        </w:r>
        <w:r>
          <w:rPr>
            <w:rStyle w:val="Hyperlink"/>
          </w:rPr>
          <w:t xml:space="preserve">, 2024</w:t>
        </w:r>
      </w:hyperlink>
      <w:r>
        <w:t xml:space="preserve">)</w:t>
      </w:r>
      <w:r>
        <w:t xml:space="preserve">, y en Francia la ampliación de las ayudas al alquiler de los años 90 elevó los alquileres</w:t>
      </w:r>
      <w:r>
        <w:t xml:space="preserve"> </w:t>
      </w:r>
      <w:r>
        <w:t xml:space="preserve">(</w:t>
      </w:r>
      <w:hyperlink w:anchor="ref_Fack2006Ayudas">
        <w:r>
          <w:rPr>
            <w:rStyle w:val="Hyperlink"/>
            <w:smallCaps/>
          </w:rPr>
          <w:t xml:space="preserve">Fack</w:t>
        </w:r>
        <w:r>
          <w:rPr>
            <w:rStyle w:val="Hyperlink"/>
          </w:rPr>
          <w:t xml:space="preserve">, 2006</w:t>
        </w:r>
      </w:hyperlink>
      <w:r>
        <w:t xml:space="preserve">)</w:t>
      </w:r>
      <w:r>
        <w:t xml:space="preserve">, en un 78 % de su importe según la reseña del Banco de Francia</w:t>
      </w:r>
      <w:r>
        <w:t xml:space="preserve"> </w:t>
      </w:r>
      <w:r>
        <w:t xml:space="preserve">(</w:t>
      </w:r>
      <w:hyperlink w:anchor="ref_BdF2023AyudasVivienda">
        <w:r>
          <w:rPr>
            <w:rStyle w:val="Hyperlink"/>
            <w:smallCaps/>
          </w:rPr>
          <w:t xml:space="preserve">Grislain-Letrémy</w:t>
        </w:r>
        <w:r>
          <w:rPr>
            <w:rStyle w:val="Hyperlink"/>
          </w:rPr>
          <w:t xml:space="preserve"> </w:t>
        </w:r>
        <w:r>
          <w:rPr>
            <w:rStyle w:val="Hyperlink"/>
          </w:rPr>
          <w:t xml:space="preserve">y</w:t>
        </w:r>
        <w:r>
          <w:rPr>
            <w:rStyle w:val="Hyperlink"/>
          </w:rPr>
          <w:t xml:space="preserve"> </w:t>
        </w:r>
        <w:r>
          <w:rPr>
            <w:rStyle w:val="Hyperlink"/>
            <w:smallCaps/>
          </w:rPr>
          <w:t xml:space="preserve">Trevien</w:t>
        </w:r>
        <w:r>
          <w:rPr>
            <w:rStyle w:val="Hyperlink"/>
          </w:rPr>
          <w:t xml:space="preserve">, 2023</w:t>
        </w:r>
      </w:hyperlink>
      <w:r>
        <w:t xml:space="preserve">)</w:t>
      </w:r>
      <w:r>
        <w:t xml:space="preserve">;</w:t>
      </w:r>
      <w:r>
        <w:rPr>
          <w:rStyle w:val="FootnoteReference"/>
        </w:rPr>
        <w:footnoteReference w:id="328"/>
      </w:r>
    </w:p>
    <w:p>
      <w:pPr>
        <w:numPr>
          <w:ilvl w:val="1"/>
          <w:numId w:val="1176"/>
        </w:numPr>
      </w:pPr>
      <w:r>
        <w:t xml:space="preserve">a medio plazo, más oferta donde se concentra la demanda (suelo, licencias, vivienda social en alquiler);</w:t>
      </w:r>
      <w:r>
        <w:rPr>
          <w:rStyle w:val="FootnoteReference"/>
        </w:rPr>
        <w:footnoteReference w:id="329"/>
      </w:r>
    </w:p>
    <w:p>
      <w:pPr>
        <w:numPr>
          <w:ilvl w:val="1"/>
          <w:numId w:val="1176"/>
        </w:numPr>
      </w:pPr>
      <w:r>
        <w:t xml:space="preserve">la vivienda cara también empeora la movilidad y el emparejamiento laboral (apartado </w:t>
      </w:r>
      <w:hyperlink w:anchor="sec_trabajo">
        <w:r>
          <w:rPr>
            <w:rStyle w:val="Hyperlink"/>
          </w:rPr>
          <w:t xml:space="preserve">II.1</w:t>
        </w:r>
      </w:hyperlink>
      <w:r>
        <w:t xml:space="preserve">): si el cuadro lo muestra (Beveridge alejada del origen con precios al alza), es un argumento más para actuar.</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depende de su origen: si los CLU suben porque los salarios crecen más que la productividad, salarios más ligados a la productividad (negociación colectiva) y medidas que la eleven; si lo que crece son los márgenes, más competencia en bienes y servicios; si es el tipo de cambio nominal, solo cabe actuar con un tipo fijo sobrevalorado;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30"/>
    <w:bookmarkEnd w:id="331"/>
    <w:bookmarkStart w:id="370" w:name="anexo_indicadores"/>
    <w:p>
      <w:pPr>
        <w:pStyle w:val="Heading1"/>
      </w:pPr>
      <w:r>
        <w:t xml:space="preserve">A. Indicadores, umbrales y fórmulas</w:t>
      </w:r>
    </w:p>
    <w:p>
      <w:pPr>
        <w:numPr>
          <w:ilvl w:val="0"/>
          <w:numId w:val="1177"/>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5"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3" name="Picture"/>
            <a:graphic>
              <a:graphicData uri="http://schemas.openxmlformats.org/drawingml/2006/picture">
                <pic:pic>
                  <pic:nvPicPr>
                    <pic:cNvPr descr="C:\Users\vgutierrez\Documents\src\victorgutierrezmarcos.github.io-revision\oposicion\temario\fuentes\1D01\graficos/esquema-umbrales-pdm.png" id="334" name="Picture"/>
                    <pic:cNvPicPr>
                      <a:picLocks noChangeArrowheads="1" noChangeAspect="1"/>
                    </pic:cNvPicPr>
                  </pic:nvPicPr>
                  <pic:blipFill>
                    <a:blip r:embed="rId332"/>
                    <a:stretch>
                      <a:fillRect/>
                    </a:stretch>
                  </pic:blipFill>
                  <pic:spPr bwMode="auto">
                    <a:xfrm>
                      <a:off x="0" y="0"/>
                      <a:ext cx="3321198" cy="2654512"/>
                    </a:xfrm>
                    <a:prstGeom prst="rect">
                      <a:avLst/>
                    </a:prstGeom>
                    <a:noFill/>
                    <a:ln w="9525">
                      <a:noFill/>
                      <a:headEnd/>
                      <a:tailEnd/>
                    </a:ln>
                  </pic:spPr>
                </pic:pic>
              </a:graphicData>
            </a:graphic>
          </wp:inline>
        </w:drawing>
      </w:r>
    </w:p>
    <w:bookmarkEnd w:id="335"/>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4" w:name="anexo_umbrales"/>
    <w:p>
      <w:pPr>
        <w:pStyle w:val="Heading2"/>
      </w:pPr>
      <w:r>
        <w:t xml:space="preserve">A.1. Indicadores y umbrales de referencia</w:t>
      </w:r>
    </w:p>
    <w:p>
      <w:pPr>
        <w:keepNext/>
        <w:numPr>
          <w:ilvl w:val="0"/>
          <w:numId w:val="1178"/>
        </w:numPr>
      </w:pPr>
      <w:r>
        <w:t xml:space="preserve">Cada indicador con su cálculo, su referencia y el tema donde se estudia. Las referencias se separan siempre en 2 columnas:</w:t>
      </w:r>
    </w:p>
    <w:p>
      <w:pPr>
        <w:numPr>
          <w:ilvl w:val="1"/>
          <w:numId w:val="1179"/>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9"/>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8"/>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6"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6"/>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9"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7">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8">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41"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m:oMath>
              <m:r>
                <m:rPr>
                  <m:sty m:val="p"/>
                </m:rPr>
                <m:t>&lt;</m:t>
              </m:r>
              <m:r>
                <m:t>8</m:t>
              </m:r>
              <m:r>
                <m:t> </m:t>
              </m:r>
              <m:r>
                <m:rPr>
                  <m:sty m:val="p"/>
                </m:rPr>
                <m:t>%</m:t>
              </m:r>
            </m:oMath>
            <w:r>
              <w:t xml:space="preserve"> </w:t>
            </w:r>
            <w:r>
              <w:t xml:space="preserve">débil, 8-12 % (coste del capital) a vigilar,</w:t>
            </w:r>
            <w:r>
              <w:t xml:space="preserve"> </w:t>
            </w:r>
            <m:oMath>
              <m:r>
                <m:rPr>
                  <m:sty m:val="p"/>
                </m:rPr>
                <m:t>&gt;</m:t>
              </m:r>
              <m:r>
                <m:t>12</m:t>
              </m:r>
              <m:r>
                <m:t> </m:t>
              </m:r>
              <m:r>
                <m:rPr>
                  <m:sty m:val="p"/>
                </m:rPr>
                <m:t>%</m:t>
              </m:r>
            </m:oMath>
            <w:r>
              <w:t xml:space="preserve"> </w:t>
            </w:r>
            <w:r>
              <w:t xml:space="preserve">holgado;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4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2"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2"/>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3"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3"/>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4"/>
    <w:bookmarkStart w:id="347" w:name="anexo_formulas"/>
    <w:p>
      <w:pPr>
        <w:pStyle w:val="Heading2"/>
      </w:pPr>
      <w:r>
        <w:t xml:space="preserve">A.2. Las fórmulas imprescindibles</w:t>
      </w:r>
    </w:p>
    <w:bookmarkStart w:id="345"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5"/>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6"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6"/>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7"/>
    <w:bookmarkStart w:id="368" w:name="anexo_calculos"/>
    <w:p>
      <w:pPr>
        <w:pStyle w:val="Heading2"/>
      </w:pPr>
      <w:r>
        <w:t xml:space="preserve">A.3. Cálculos tipo</w:t>
      </w:r>
    </w:p>
    <w:p>
      <w:pPr>
        <w:numPr>
          <w:ilvl w:val="0"/>
          <w:numId w:val="1180"/>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80"/>
        </w:numPr>
      </w:pPr>
      <w:r>
        <w:t xml:space="preserve">Primero, la tabla de las fórmulas imprescindibles; después, un cuadro por bloque con la fórmula destacada, qué significa cada término y un ejemplo.</w:t>
      </w:r>
    </w:p>
    <w:bookmarkStart w:id="351" w:name="anexo_calc_ciclo"/>
    <w:p>
      <w:pPr>
        <w:pStyle w:val="Heading3"/>
      </w:pPr>
      <w:r>
        <w:t xml:space="preserve">VI.2.1.</w:t>
      </w:r>
      <w:r>
        <w:t xml:space="preserve"> </w:t>
      </w:r>
      <w:r>
        <w:t xml:space="preserve">Ciclo y demanda</w:t>
      </w:r>
    </w:p>
    <w:bookmarkStart w:id="348" w:name="contribuci__n_al_crecimiento"/>
    <w:p>
      <w:pPr>
        <w:pStyle w:val="Heading4"/>
      </w:pPr>
      <w:r>
        <w:t xml:space="preserve">Contribución al crecimiento</w:t>
      </w:r>
    </w:p>
    <w:p>
      <w:pPr>
        <w:numPr>
          <w:ilvl w:val="0"/>
          <w:numId w:val="1181"/>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1"/>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1"/>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1"/>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1"/>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1"/>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1"/>
        </w:numPr>
      </w:pPr>
      <w:r>
        <w:rPr>
          <w:i/>
          <w:iCs/>
        </w:rPr>
        <w:t xml:space="preserve">Cuidado</w:t>
      </w:r>
      <w:r>
        <w:t xml:space="preserve">: con volúmenes encadenados la suma no es exacta; si el cuadro da las contribuciones, se usan esas. Las existencias también contribuyen (si no se dan, se suponen nulas).</w:t>
      </w:r>
    </w:p>
    <w:bookmarkEnd w:id="348"/>
    <w:bookmarkStart w:id="349" w:name="brecha_de_producci__n_y_pib_potencial_1"/>
    <w:p>
      <w:pPr>
        <w:pStyle w:val="Heading4"/>
      </w:pPr>
      <w:r>
        <w:t xml:space="preserve">Brecha de producción y PIB potencial</w:t>
      </w:r>
    </w:p>
    <w:p>
      <w:pPr>
        <w:numPr>
          <w:ilvl w:val="0"/>
          <w:numId w:val="1182"/>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2"/>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9"/>
    <w:bookmarkStart w:id="350" w:name="tasas_a_partir_de_datos_trimestrales"/>
    <w:p>
      <w:pPr>
        <w:pStyle w:val="Heading4"/>
      </w:pPr>
      <w:r>
        <w:t xml:space="preserve">Tasas a partir de datos trimestrales</w:t>
      </w:r>
    </w:p>
    <w:p>
      <w:pPr>
        <w:numPr>
          <w:ilvl w:val="0"/>
          <w:numId w:val="1183"/>
        </w:numPr>
      </w:pPr>
      <w:r>
        <w:rPr>
          <w:i/>
          <w:iCs/>
        </w:rPr>
        <w:t xml:space="preserve">Tasa media anual</w:t>
      </w:r>
      <w:r>
        <w:t xml:space="preserve">: la media de los 4 niveles del año frente a la del año anterior (no la suma de las tasas intertrimestrales).</w:t>
      </w:r>
    </w:p>
    <w:p>
      <w:pPr>
        <w:numPr>
          <w:ilvl w:val="0"/>
          <w:numId w:val="1183"/>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3"/>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50"/>
    <w:bookmarkEnd w:id="351"/>
    <w:bookmarkStart w:id="356" w:name="anexo_calc_precios"/>
    <w:p>
      <w:pPr>
        <w:pStyle w:val="Heading3"/>
      </w:pPr>
      <w:r>
        <w:t xml:space="preserve">VI.2.2.</w:t>
      </w:r>
      <w:r>
        <w:t xml:space="preserve"> </w:t>
      </w:r>
      <w:r>
        <w:t xml:space="preserve">Precios y tipos de interés</w:t>
      </w:r>
    </w:p>
    <w:bookmarkStart w:id="352" w:name="deflactor_del_pib"/>
    <w:p>
      <w:pPr>
        <w:pStyle w:val="Heading4"/>
      </w:pPr>
      <w:r>
        <w:t xml:space="preserve">Deflactor del PIB</w:t>
      </w:r>
    </w:p>
    <w:p>
      <w:pPr>
        <w:numPr>
          <w:ilvl w:val="0"/>
          <w:numId w:val="1184"/>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4"/>
        </w:numPr>
      </w:pPr>
      <w:r>
        <w:rPr>
          <w:i/>
          <w:iCs/>
        </w:rPr>
        <w:t xml:space="preserve">Ejemplo</w:t>
      </w:r>
      <w:r>
        <w:t xml:space="preserve">: si el PIB nominal crece un 5 % y el real un 2 %, el deflactor crece en torno a un 3 %.</w:t>
      </w:r>
    </w:p>
    <w:bookmarkEnd w:id="352"/>
    <w:bookmarkStart w:id="353" w:name="tipos_de_inter__s_reales"/>
    <w:p>
      <w:pPr>
        <w:pStyle w:val="Heading4"/>
      </w:pPr>
      <w:r>
        <w:t xml:space="preserve">Tipos de interés reales</w:t>
      </w:r>
    </w:p>
    <w:p>
      <w:pPr>
        <w:numPr>
          <w:ilvl w:val="0"/>
          <w:numId w:val="1185"/>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5"/>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5"/>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3"/>
    <w:bookmarkStart w:id="354" w:name="salario_real"/>
    <w:p>
      <w:pPr>
        <w:pStyle w:val="Heading4"/>
      </w:pPr>
      <w:r>
        <w:t xml:space="preserve">Salario real</w:t>
      </w:r>
    </w:p>
    <w:p>
      <w:pPr>
        <w:numPr>
          <w:ilvl w:val="0"/>
          <w:numId w:val="1186"/>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4"/>
    <w:bookmarkStart w:id="355" w:name="tc___ndices_y_series"/>
    <w:p>
      <w:pPr>
        <w:pStyle w:val="Heading4"/>
      </w:pPr>
      <w:r>
        <w:t xml:space="preserve">Índices y series</w:t>
      </w:r>
    </w:p>
    <w:p>
      <w:pPr>
        <w:numPr>
          <w:ilvl w:val="0"/>
          <w:numId w:val="1187"/>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7"/>
        </w:numPr>
      </w:pPr>
      <w:r>
        <w:rPr>
          <w:i/>
          <w:iCs/>
        </w:rPr>
        <w:t xml:space="preserve">Cambio de base</w:t>
      </w:r>
      <w:r>
        <w:t xml:space="preserve">: con una regla de 3, sin necesidad de la serie original (exacta solo en los índices de base fija; los encadenados se reescalan).</w:t>
      </w:r>
    </w:p>
    <w:p>
      <w:pPr>
        <w:numPr>
          <w:ilvl w:val="0"/>
          <w:numId w:val="1187"/>
        </w:numPr>
      </w:pPr>
      <w:r>
        <w:rPr>
          <w:i/>
          <w:iCs/>
        </w:rPr>
        <w:t xml:space="preserve">Índices encadenados</w:t>
      </w:r>
      <w:r>
        <w:t xml:space="preserve">: la base es móvil (cada periodo se compara con el anterior).</w:t>
      </w:r>
    </w:p>
    <w:p>
      <w:pPr>
        <w:numPr>
          <w:ilvl w:val="0"/>
          <w:numId w:val="1187"/>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5"/>
    <w:bookmarkEnd w:id="356"/>
    <w:bookmarkStart w:id="359" w:name="anexo_calc_trabajo"/>
    <w:p>
      <w:pPr>
        <w:pStyle w:val="Heading3"/>
      </w:pPr>
      <w:r>
        <w:t xml:space="preserve">VI.2.3.</w:t>
      </w:r>
      <w:r>
        <w:t xml:space="preserve"> </w:t>
      </w:r>
      <w:r>
        <w:t xml:space="preserve">Trabajo y costes</w:t>
      </w:r>
    </w:p>
    <w:bookmarkStart w:id="358" w:name="productividad_clu_y_margen"/>
    <w:p>
      <w:pPr>
        <w:pStyle w:val="Heading4"/>
      </w:pPr>
      <w:r>
        <w:t xml:space="preserve">Productividad, CLU y margen</w:t>
      </w:r>
    </w:p>
    <w:p>
      <w:pPr>
        <w:numPr>
          <w:ilvl w:val="0"/>
          <w:numId w:val="1188"/>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8"/>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7"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7"/>
    <w:p>
      <w:pPr>
        <w:pStyle w:val="BodyText"/>
      </w:pPr>
      <w:r>
        <w:rPr>
          <w:i/>
          <w:iCs/>
        </w:rPr>
        <w:t xml:space="preserve">Fuente: Elaboración propia. Qué hay que ver: los salarios crecen más que la productividad más la inflación, los CLU reales suben y el margen se estrecha.</w:t>
      </w:r>
    </w:p>
    <w:bookmarkEnd w:id="358"/>
    <w:bookmarkEnd w:id="359"/>
    <w:bookmarkStart w:id="364" w:name="anexo_calc_exterior"/>
    <w:p>
      <w:pPr>
        <w:pStyle w:val="Heading3"/>
      </w:pPr>
      <w:r>
        <w:t xml:space="preserve">VI.2.4.</w:t>
      </w:r>
      <w:r>
        <w:t xml:space="preserve"> </w:t>
      </w:r>
      <w:r>
        <w:t xml:space="preserve">Sector exterior</w:t>
      </w:r>
    </w:p>
    <w:bookmarkStart w:id="360" w:name="balanza_de_pagos_ahorro_e_inversi__n"/>
    <w:p>
      <w:pPr>
        <w:pStyle w:val="Heading4"/>
      </w:pPr>
      <w:r>
        <w:t xml:space="preserve">Balanza de pagos, ahorro e inversión</w:t>
      </w:r>
    </w:p>
    <w:p>
      <w:pPr>
        <w:numPr>
          <w:ilvl w:val="0"/>
          <w:numId w:val="1189"/>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9"/>
        </w:numPr>
      </w:pPr>
      <w:r>
        <w:rPr>
          <w:i/>
          <w:iCs/>
        </w:rPr>
        <w:t xml:space="preserve">Ejemplo</w:t>
      </w:r>
      <w:r>
        <w:t xml:space="preserve">: con una tasa de inversión del 20 % y un déficit corriente del 3 % del PIB, la tasa de ahorro nacional es del 17 %.</w:t>
      </w:r>
    </w:p>
    <w:bookmarkEnd w:id="360"/>
    <w:bookmarkStart w:id="361" w:name="posici__n_de_inversi__n_internacional"/>
    <w:p>
      <w:pPr>
        <w:pStyle w:val="Heading4"/>
      </w:pPr>
      <w:r>
        <w:t xml:space="preserve">Posición de inversión internacional</w:t>
      </w:r>
    </w:p>
    <w:p>
      <w:pPr>
        <w:numPr>
          <w:ilvl w:val="0"/>
          <w:numId w:val="1190"/>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90"/>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90"/>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61"/>
    <w:bookmarkStart w:id="362" w:name="saldo_corriente_que_estabiliza_la__14828"/>
    <w:p>
      <w:pPr>
        <w:pStyle w:val="Heading4"/>
      </w:pPr>
      <w:r>
        <w:t xml:space="preserve">Saldo corriente que estabiliza la deuda externa</w:t>
      </w:r>
    </w:p>
    <w:p>
      <w:pPr>
        <w:numPr>
          <w:ilvl w:val="0"/>
          <w:numId w:val="1191"/>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1"/>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2"/>
    <w:bookmarkStart w:id="363" w:name="exportaciones_y_renta_exterior"/>
    <w:p>
      <w:pPr>
        <w:pStyle w:val="Heading4"/>
      </w:pPr>
      <w:r>
        <w:t xml:space="preserve">Exportaciones y renta exterior</w:t>
      </w:r>
    </w:p>
    <w:p>
      <w:pPr>
        <w:numPr>
          <w:ilvl w:val="0"/>
          <w:numId w:val="1192"/>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2"/>
        </w:numPr>
      </w:pPr>
      <w:r>
        <w:rPr>
          <w:i/>
          <w:iCs/>
        </w:rPr>
        <w:t xml:space="preserve">Ejemplo</w:t>
      </w:r>
      <w:r>
        <w:t xml:space="preserve">: con una elasticidad de 1,1 y un comercio mundial que crece un 7,3 %, las exportaciones crecen en torno a un 8 %.</w:t>
      </w:r>
    </w:p>
    <w:bookmarkEnd w:id="363"/>
    <w:bookmarkEnd w:id="364"/>
    <w:bookmarkStart w:id="367" w:name="anexo_calc_fiscal"/>
    <w:p>
      <w:pPr>
        <w:pStyle w:val="Heading3"/>
      </w:pPr>
      <w:r>
        <w:t xml:space="preserve">VI.2.5.</w:t>
      </w:r>
      <w:r>
        <w:t xml:space="preserve"> </w:t>
      </w:r>
      <w:r>
        <w:t xml:space="preserve">Cuentas públicas</w:t>
      </w:r>
    </w:p>
    <w:bookmarkStart w:id="365" w:name="saldos_y_esfuerzo_fiscal"/>
    <w:p>
      <w:pPr>
        <w:pStyle w:val="Heading4"/>
      </w:pPr>
      <w:r>
        <w:t xml:space="preserve">Saldos y esfuerzo fiscal</w:t>
      </w:r>
    </w:p>
    <w:p>
      <w:pPr>
        <w:numPr>
          <w:ilvl w:val="0"/>
          <w:numId w:val="1193"/>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3"/>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3"/>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3"/>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5"/>
    <w:bookmarkStart w:id="366" w:name="saldo_primario_que_estabiliza_la_deuda"/>
    <w:p>
      <w:pPr>
        <w:pStyle w:val="Heading4"/>
      </w:pPr>
      <w:r>
        <w:t xml:space="preserve">Saldo primario que estabiliza la deuda</w:t>
      </w:r>
    </w:p>
    <w:p>
      <w:pPr>
        <w:numPr>
          <w:ilvl w:val="0"/>
          <w:numId w:val="1194"/>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4"/>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6"/>
    <w:bookmarkEnd w:id="367"/>
    <w:bookmarkEnd w:id="368"/>
    <w:bookmarkStart w:id="369" w:name="anexo_lectura_series"/>
    <w:p>
      <w:pPr>
        <w:pStyle w:val="Heading2"/>
      </w:pPr>
      <w:r>
        <w:t xml:space="preserve">A.4. Lectura de series</w:t>
      </w:r>
    </w:p>
    <w:p>
      <w:pPr>
        <w:keepNext/>
        <w:numPr>
          <w:ilvl w:val="0"/>
          <w:numId w:val="1195"/>
        </w:numPr>
      </w:pPr>
      <w:r>
        <w:t xml:space="preserve">Antes de analizar, conviene entender las características básicas de los datos del país. Según su dimensión temporal, hay 3 tipos:</w:t>
      </w:r>
    </w:p>
    <w:p>
      <w:pPr>
        <w:numPr>
          <w:ilvl w:val="1"/>
          <w:numId w:val="1196"/>
        </w:numPr>
      </w:pPr>
      <w:r>
        <w:rPr>
          <w:i/>
          <w:iCs/>
        </w:rPr>
        <w:t xml:space="preserve">series de sección cruzada</w:t>
      </w:r>
      <w:r>
        <w:t xml:space="preserve">: el comportamiento de distintos agentes en un mismo momento; se analizan comparando las diferencias entre ellos;</w:t>
      </w:r>
    </w:p>
    <w:p>
      <w:pPr>
        <w:numPr>
          <w:ilvl w:val="1"/>
          <w:numId w:val="1196"/>
        </w:numPr>
      </w:pPr>
      <w:r>
        <w:rPr>
          <w:i/>
          <w:iCs/>
        </w:rPr>
        <w:t xml:space="preserve">series temporales</w:t>
      </w:r>
      <w:r>
        <w:t xml:space="preserve">: una misma unidad (un país) observada en distintos momentos;</w:t>
      </w:r>
    </w:p>
    <w:p>
      <w:pPr>
        <w:numPr>
          <w:ilvl w:val="1"/>
          <w:numId w:val="1196"/>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5"/>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7"/>
        </w:numPr>
      </w:pPr>
      <w:r>
        <w:rPr>
          <w:i/>
          <w:iCs/>
        </w:rPr>
        <w:t xml:space="preserve">proporciones</w:t>
      </w:r>
      <w:r>
        <w:t xml:space="preserve">: un sumando dividido por el total (entre 0 y 1; todas suman 1);</w:t>
      </w:r>
    </w:p>
    <w:p>
      <w:pPr>
        <w:numPr>
          <w:ilvl w:val="1"/>
          <w:numId w:val="1197"/>
        </w:numPr>
      </w:pPr>
      <w:r>
        <w:rPr>
          <w:i/>
          <w:iCs/>
        </w:rPr>
        <w:t xml:space="preserve">porcentajes</w:t>
      </w:r>
      <w:r>
        <w:t xml:space="preserve">: la proporción por 100; ni proporciones ni porcentajes tienen unidades, y permiten comparar totales medidos en unidades distintas;</w:t>
      </w:r>
    </w:p>
    <w:p>
      <w:pPr>
        <w:numPr>
          <w:ilvl w:val="1"/>
          <w:numId w:val="1197"/>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7"/>
        </w:numPr>
      </w:pPr>
      <w:r>
        <w:rPr>
          <w:i/>
          <w:iCs/>
        </w:rPr>
        <w:t xml:space="preserve">tasas</w:t>
      </w:r>
      <w:r>
        <w:t xml:space="preserve">: los porcentajes e índices referidos a incrementos (la tasa de variación).</w:t>
      </w:r>
    </w:p>
    <w:bookmarkEnd w:id="369"/>
    <w:bookmarkEnd w:id="370"/>
    <w:bookmarkStart w:id="396" w:name="anexo_casos"/>
    <w:p>
      <w:pPr>
        <w:pStyle w:val="Heading1"/>
      </w:pPr>
      <w:r>
        <w:t xml:space="preserve">B. Casos frecuentes y expresiones útiles</w:t>
      </w:r>
    </w:p>
    <w:bookmarkStart w:id="387" w:name="anexo_casos_frecuentes"/>
    <w:p>
      <w:pPr>
        <w:pStyle w:val="Heading2"/>
      </w:pPr>
      <w:r>
        <w:t xml:space="preserve">B.1. Análisis de casos frecuentes</w:t>
      </w:r>
    </w:p>
    <w:p>
      <w:pPr>
        <w:numPr>
          <w:ilvl w:val="0"/>
          <w:numId w:val="1198"/>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3" w:name="demograf__a_migraci__n_y_salario_m_06732"/>
    <w:p>
      <w:pPr>
        <w:pStyle w:val="Heading4"/>
      </w:pPr>
      <w:r>
        <w:t xml:space="preserve">Demografía, migración y salario mínimo</w:t>
      </w:r>
    </w:p>
    <w:p>
      <w:pPr>
        <w:numPr>
          <w:ilvl w:val="0"/>
          <w:numId w:val="1199"/>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71">
        <w:r>
          <w:rPr>
            <w:rStyle w:val="Referenciaatema"/>
          </w:rPr>
          <w:t xml:space="preserve">[ver tema 4.A.2]</w:t>
        </w:r>
      </w:hyperlink>
      <w:r>
        <w:t xml:space="preserve">.</w:t>
      </w:r>
    </w:p>
    <w:p>
      <w:pPr>
        <w:numPr>
          <w:ilvl w:val="0"/>
          <w:numId w:val="1199"/>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el crecimiento potencial; a corto plazo puede subir algo el paro si el mercado de trabajo tarda en absorberla.</w:t>
      </w:r>
    </w:p>
    <w:p>
      <w:pPr>
        <w:numPr>
          <w:ilvl w:val="0"/>
          <w:numId w:val="1199"/>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2">
        <w:r>
          <w:rPr>
            <w:rStyle w:val="Referenciaatema"/>
          </w:rPr>
          <w:t xml:space="preserve">[ver tema 3.A.17]</w:t>
        </w:r>
      </w:hyperlink>
      <w:r>
        <w:t xml:space="preserve">. El saldo público mejora por las cotizaciones de quienes conservan el empleo y empeora por los que lo pierden.</w:t>
      </w:r>
    </w:p>
    <w:bookmarkEnd w:id="373"/>
    <w:bookmarkStart w:id="377" w:name="aranceles_y_fragmentaci__n_del_com_04988"/>
    <w:p>
      <w:pPr>
        <w:pStyle w:val="Heading4"/>
      </w:pPr>
      <w:r>
        <w:t xml:space="preserve">Aranceles y fragmentación del comercio</w:t>
      </w:r>
    </w:p>
    <w:p>
      <w:pPr>
        <w:numPr>
          <w:ilvl w:val="0"/>
          <w:numId w:val="1200"/>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200"/>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1"/>
        </w:numPr>
      </w:pPr>
      <w:r>
        <w:rPr>
          <w:i/>
          <w:iCs/>
        </w:rPr>
        <w:t xml:space="preserve">directo</w:t>
      </w:r>
      <w:r>
        <w:t xml:space="preserve">: caen las exportaciones a ese destino, según su peso y la elasticidad de cada producto;</w:t>
      </w:r>
    </w:p>
    <w:p>
      <w:pPr>
        <w:numPr>
          <w:ilvl w:val="1"/>
          <w:numId w:val="1201"/>
        </w:numPr>
      </w:pPr>
      <w:r>
        <w:rPr>
          <w:i/>
          <w:iCs/>
        </w:rPr>
        <w:t xml:space="preserve">indirecto</w:t>
      </w:r>
      <w:r>
        <w:t xml:space="preserve">: por las cadenas de valor y la menor demanda mundial;</w:t>
      </w:r>
    </w:p>
    <w:p>
      <w:pPr>
        <w:numPr>
          <w:ilvl w:val="1"/>
          <w:numId w:val="1201"/>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1"/>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200"/>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200"/>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4">
        <w:r>
          <w:rPr>
            <w:rStyle w:val="Referenciaatema"/>
          </w:rPr>
          <w:t xml:space="preserve">[ver tema 3.B.7]</w:t>
        </w:r>
      </w:hyperlink>
      <w:r>
        <w:t xml:space="preserve"> </w:t>
      </w:r>
      <w:hyperlink r:id="rId375">
        <w:r>
          <w:rPr>
            <w:rStyle w:val="Referenciaatema"/>
          </w:rPr>
          <w:t xml:space="preserve">[ver tema 3.B.33]</w:t>
        </w:r>
      </w:hyperlink>
      <w:r>
        <w:t xml:space="preserve"> </w:t>
      </w:r>
      <w:hyperlink r:id="rId376">
        <w:r>
          <w:rPr>
            <w:rStyle w:val="Referenciaatema"/>
          </w:rPr>
          <w:t xml:space="preserve">[ver tema 3.B.41]</w:t>
        </w:r>
      </w:hyperlink>
      <w:r>
        <w:t xml:space="preserve">.</w:t>
      </w:r>
    </w:p>
    <w:bookmarkEnd w:id="377"/>
    <w:bookmarkStart w:id="382" w:name="un_choque_externo_o_geopol__tico_l_27599"/>
    <w:p>
      <w:pPr>
        <w:pStyle w:val="Heading4"/>
      </w:pPr>
      <w:r>
        <w:t xml:space="preserve">Un choque externo o geopolítico: los canales</w:t>
      </w:r>
    </w:p>
    <w:p>
      <w:pPr>
        <w:keepNext/>
        <w:numPr>
          <w:ilvl w:val="0"/>
          <w:numId w:val="1202"/>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3"/>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3"/>
        </w:numPr>
      </w:pPr>
      <w:r>
        <w:rPr>
          <w:b/>
          <w:bCs/>
        </w:rPr>
        <w:t xml:space="preserve">comercio y cadenas de valor</w:t>
      </w:r>
      <w:r>
        <w:t xml:space="preserve">: menos exportaciones al país afectado, cuellos de botella, desviación de comercio;</w:t>
      </w:r>
    </w:p>
    <w:p>
      <w:pPr>
        <w:numPr>
          <w:ilvl w:val="1"/>
          <w:numId w:val="1203"/>
        </w:numPr>
      </w:pPr>
      <w:r>
        <w:rPr>
          <w:b/>
          <w:bCs/>
        </w:rPr>
        <w:t xml:space="preserve">financiero</w:t>
      </w:r>
      <w:r>
        <w:t xml:space="preserve">: huida hacia la calidad, primas de riesgo, tipo de cambio y salidas de capital;</w:t>
      </w:r>
    </w:p>
    <w:p>
      <w:pPr>
        <w:numPr>
          <w:ilvl w:val="1"/>
          <w:numId w:val="1203"/>
        </w:numPr>
      </w:pPr>
      <w:r>
        <w:rPr>
          <w:b/>
          <w:bCs/>
        </w:rPr>
        <w:t xml:space="preserve">confianza e incertidumbre</w:t>
      </w:r>
      <w:r>
        <w:t xml:space="preserve">: se aplaza la inversión y sube el ahorro (PMI, indicadores de confianza);</w:t>
      </w:r>
    </w:p>
    <w:p>
      <w:pPr>
        <w:numPr>
          <w:ilvl w:val="1"/>
          <w:numId w:val="1203"/>
        </w:numPr>
      </w:pPr>
      <w:r>
        <w:rPr>
          <w:b/>
          <w:bCs/>
        </w:rPr>
        <w:t xml:space="preserve">migratorio</w:t>
      </w:r>
      <w:r>
        <w:t xml:space="preserve">: llegada de desplazados, con efectos sobre la oferta de trabajo, el paro y el potencial;</w:t>
      </w:r>
    </w:p>
    <w:p>
      <w:pPr>
        <w:numPr>
          <w:ilvl w:val="1"/>
          <w:numId w:val="1203"/>
        </w:numPr>
      </w:pPr>
      <w:r>
        <w:rPr>
          <w:b/>
          <w:bCs/>
        </w:rPr>
        <w:t xml:space="preserve">institucional</w:t>
      </w:r>
      <w:r>
        <w:t xml:space="preserve">: sanciones, bloques comerciales, más gasto en defensa y presión sobre las cuentas públicas.</w:t>
      </w:r>
    </w:p>
    <w:p>
      <w:pPr>
        <w:numPr>
          <w:ilvl w:val="0"/>
          <w:numId w:val="1202"/>
        </w:numPr>
      </w:pPr>
      <w:r>
        <w:t xml:space="preserve">El peso de cada canal depende de la estructura del país: su dependencia energética, el peso del destino en sus exportaciones, su posición financiera exterior y su margen fiscal.</w:t>
      </w:r>
    </w:p>
    <w:bookmarkStart w:id="381"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9" name="Picture"/>
            <a:graphic>
              <a:graphicData uri="http://schemas.openxmlformats.org/drawingml/2006/picture">
                <pic:pic>
                  <pic:nvPicPr>
                    <pic:cNvPr descr="C:\Users\vgutierrez\Documents\src\victorgutierrezmarcos.github.io-revision\oposicion\temario\fuentes\1D01\graficos/canales-choque-externo.png" id="380" name="Picture"/>
                    <pic:cNvPicPr>
                      <a:picLocks noChangeArrowheads="1" noChangeAspect="1"/>
                    </pic:cNvPicPr>
                  </pic:nvPicPr>
                  <pic:blipFill>
                    <a:blip r:embed="rId378"/>
                    <a:stretch>
                      <a:fillRect/>
                    </a:stretch>
                  </pic:blipFill>
                  <pic:spPr bwMode="auto">
                    <a:xfrm>
                      <a:off x="0" y="0"/>
                      <a:ext cx="4370159" cy="1593319"/>
                    </a:xfrm>
                    <a:prstGeom prst="rect">
                      <a:avLst/>
                    </a:prstGeom>
                    <a:noFill/>
                    <a:ln w="9525">
                      <a:noFill/>
                      <a:headEnd/>
                      <a:tailEnd/>
                    </a:ln>
                  </pic:spPr>
                </pic:pic>
              </a:graphicData>
            </a:graphic>
          </wp:inline>
        </w:drawing>
      </w:r>
    </w:p>
    <w:bookmarkEnd w:id="381"/>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2"/>
    <w:bookmarkStart w:id="383" w:name="un_brote_de_inflaci__n_resistencia_43506"/>
    <w:p>
      <w:pPr>
        <w:pStyle w:val="Heading4"/>
      </w:pPr>
      <w:r>
        <w:t xml:space="preserve">Un brote de inflación: resistencia, cambio de tendencia y última milla</w:t>
      </w:r>
    </w:p>
    <w:p>
      <w:pPr>
        <w:numPr>
          <w:ilvl w:val="0"/>
          <w:numId w:val="1204"/>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4"/>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4"/>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3"/>
    <w:bookmarkStart w:id="384" w:name="la___ltima_milla_de_la_desinflaci__n"/>
    <w:p>
      <w:pPr>
        <w:pStyle w:val="Heading4"/>
      </w:pPr>
      <w:r>
        <w:t xml:space="preserve">La «última milla» de la desinflación</w:t>
      </w:r>
    </w:p>
    <w:p>
      <w:pPr>
        <w:numPr>
          <w:ilvl w:val="0"/>
          <w:numId w:val="1205"/>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4"/>
    <w:bookmarkStart w:id="385"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6"/>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6"/>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7"/>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7"/>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7"/>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5"/>
    <w:bookmarkStart w:id="386" w:name="una_crisis_bancaria_liquidez_solve_98369"/>
    <w:p>
      <w:pPr>
        <w:pStyle w:val="Heading4"/>
      </w:pPr>
      <w:r>
        <w:t xml:space="preserve">Una crisis bancaria: liquidez, solvencia y resolución</w:t>
      </w:r>
    </w:p>
    <w:p>
      <w:pPr>
        <w:numPr>
          <w:ilvl w:val="0"/>
          <w:numId w:val="1208"/>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8"/>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9"/>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9"/>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9"/>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9"/>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9"/>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6"/>
    <w:bookmarkEnd w:id="387"/>
    <w:bookmarkStart w:id="395" w:name="anexo_expresiones"/>
    <w:p>
      <w:pPr>
        <w:pStyle w:val="Heading2"/>
      </w:pPr>
      <w:r>
        <w:t xml:space="preserve">B.2. Expresiones útiles para redactar</w:t>
      </w:r>
    </w:p>
    <w:p>
      <w:pPr>
        <w:numPr>
          <w:ilvl w:val="0"/>
          <w:numId w:val="1210"/>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10"/>
        </w:numPr>
      </w:pPr>
      <w:r>
        <w:rPr>
          <w:i/>
          <w:iCs/>
        </w:rPr>
        <w:t xml:space="preserve">Diagnóstico</w:t>
      </w:r>
      <w:r>
        <w:t xml:space="preserve">:</w:t>
      </w:r>
    </w:p>
    <w:p>
      <w:pPr>
        <w:numPr>
          <w:ilvl w:val="1"/>
          <w:numId w:val="1211"/>
        </w:numPr>
      </w:pPr>
      <w:r>
        <w:t xml:space="preserve">«La economía muestra un crecimiento sólido pero desequilibrado, apoyado en la demanda interna y con una necesidad de financiación exterior creciente».</w:t>
      </w:r>
    </w:p>
    <w:p>
      <w:pPr>
        <w:numPr>
          <w:ilvl w:val="1"/>
          <w:numId w:val="1211"/>
        </w:numPr>
      </w:pPr>
      <w:r>
        <w:t xml:space="preserve">«Parece tratarse de una economía avanzada en recuperación, con la brecha de producción aún negativa, la inflación contenida y un margen fiscal reducido».</w:t>
      </w:r>
    </w:p>
    <w:p>
      <w:pPr>
        <w:keepNext/>
        <w:numPr>
          <w:ilvl w:val="0"/>
          <w:numId w:val="1210"/>
        </w:numPr>
      </w:pPr>
      <w:r>
        <w:rPr>
          <w:i/>
          <w:iCs/>
        </w:rPr>
        <w:t xml:space="preserve">Ciclo</w:t>
      </w:r>
      <w:r>
        <w:t xml:space="preserve">:</w:t>
      </w:r>
    </w:p>
    <w:p>
      <w:pPr>
        <w:numPr>
          <w:ilvl w:val="1"/>
          <w:numId w:val="1212"/>
        </w:numPr>
      </w:pPr>
      <w:r>
        <w:t xml:space="preserve">«El cuadro recoge más de un ciclo: …».</w:t>
      </w:r>
    </w:p>
    <w:p>
      <w:pPr>
        <w:numPr>
          <w:ilvl w:val="1"/>
          <w:numId w:val="1212"/>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2"/>
        </w:numPr>
      </w:pPr>
      <w:r>
        <w:t xml:space="preserve">«la recuperación tiene forma de uve: …».</w:t>
      </w:r>
    </w:p>
    <w:p>
      <w:pPr>
        <w:keepNext/>
        <w:numPr>
          <w:ilvl w:val="0"/>
          <w:numId w:val="1210"/>
        </w:numPr>
      </w:pPr>
      <w:r>
        <w:rPr>
          <w:i/>
          <w:iCs/>
        </w:rPr>
        <w:t xml:space="preserve">Contribuciones</w:t>
      </w:r>
      <w:r>
        <w:t xml:space="preserve">:</w:t>
      </w:r>
    </w:p>
    <w:p>
      <w:pPr>
        <w:numPr>
          <w:ilvl w:val="1"/>
          <w:numId w:val="1213"/>
        </w:numPr>
      </w:pPr>
      <w:r>
        <w:t xml:space="preserve">«De los … puntos que crece el PIB, … los aporta la demanda interna y … la externa».</w:t>
      </w:r>
    </w:p>
    <w:p>
      <w:pPr>
        <w:numPr>
          <w:ilvl w:val="1"/>
          <w:numId w:val="1213"/>
        </w:numPr>
      </w:pPr>
      <w:r>
        <w:t xml:space="preserve">«La demanda externa amortigua la caída del PIB, más por el desplome de las importaciones que por el empuje de las exportaciones».</w:t>
      </w:r>
    </w:p>
    <w:p>
      <w:pPr>
        <w:numPr>
          <w:ilvl w:val="1"/>
          <w:numId w:val="1213"/>
        </w:numPr>
      </w:pPr>
      <w:r>
        <w:t xml:space="preserve">«La demanda interna es procíclica y la externa, contracíclica».</w:t>
      </w:r>
    </w:p>
    <w:p>
      <w:pPr>
        <w:numPr>
          <w:ilvl w:val="1"/>
          <w:numId w:val="1213"/>
        </w:numPr>
      </w:pPr>
      <w:r>
        <w:t xml:space="preserve">«La demanda interna es la protagonista absoluta durante toda la serie»; «la demanda externa muestra un comportamiento más errático e imprevisible que la nacional».</w:t>
      </w:r>
    </w:p>
    <w:p>
      <w:pPr>
        <w:numPr>
          <w:ilvl w:val="1"/>
          <w:numId w:val="1213"/>
        </w:numPr>
      </w:pPr>
      <w:r>
        <w:t xml:space="preserve">«Indaguemos en los componentes de la demanda interna (consumo e inversión, públicos y privados)».</w:t>
      </w:r>
    </w:p>
    <w:p>
      <w:pPr>
        <w:keepNext/>
        <w:numPr>
          <w:ilvl w:val="0"/>
          <w:numId w:val="1210"/>
        </w:numPr>
      </w:pPr>
      <w:r>
        <w:rPr>
          <w:i/>
          <w:iCs/>
        </w:rPr>
        <w:t xml:space="preserve">Prudencia</w:t>
      </w:r>
      <w:r>
        <w:t xml:space="preserve">:</w:t>
      </w:r>
    </w:p>
    <w:p>
      <w:pPr>
        <w:numPr>
          <w:ilvl w:val="1"/>
          <w:numId w:val="1214"/>
        </w:numPr>
      </w:pPr>
      <w:r>
        <w:t xml:space="preserve">«Con la información disponible, …»; «esta evolución sería coherente con …, aunque no puede descartarse …»; «a falta de datos sobre …, cabe suponer que …, lo que habría que confirmar».</w:t>
      </w:r>
    </w:p>
    <w:p>
      <w:pPr>
        <w:numPr>
          <w:ilvl w:val="1"/>
          <w:numId w:val="1214"/>
        </w:numPr>
      </w:pPr>
      <w:r>
        <w:t xml:space="preserve">«Aunque los agentes deciden con el tipo real, la fuerte subida del tipo nominal al final de la serie indica un endurecimiento de la política monetaria».</w:t>
      </w:r>
    </w:p>
    <w:p>
      <w:pPr>
        <w:numPr>
          <w:ilvl w:val="0"/>
          <w:numId w:val="1210"/>
        </w:numPr>
      </w:pPr>
      <w:r>
        <w:rPr>
          <w:i/>
          <w:iCs/>
        </w:rPr>
        <w:t xml:space="preserve">Interpretación</w:t>
      </w:r>
      <w:r>
        <w:t xml:space="preserve">: «más que …, lo que llama la atención es …»; «este dato es especialmente relevante porque …».</w:t>
      </w:r>
    </w:p>
    <w:p>
      <w:pPr>
        <w:keepNext/>
        <w:numPr>
          <w:ilvl w:val="0"/>
          <w:numId w:val="1210"/>
        </w:numPr>
      </w:pPr>
      <w:r>
        <w:rPr>
          <w:i/>
          <w:iCs/>
        </w:rPr>
        <w:t xml:space="preserve">Sector exterior</w:t>
      </w:r>
      <w:r>
        <w:t xml:space="preserve">:</w:t>
      </w:r>
    </w:p>
    <w:p>
      <w:pPr>
        <w:numPr>
          <w:ilvl w:val="1"/>
          <w:numId w:val="1215"/>
        </w:numPr>
      </w:pPr>
      <w:r>
        <w:t xml:space="preserve">«Los desequilibrios externos suelen ser síntoma de desequilibrios internos».</w:t>
      </w:r>
    </w:p>
    <w:p>
      <w:pPr>
        <w:numPr>
          <w:ilvl w:val="1"/>
          <w:numId w:val="1215"/>
        </w:numPr>
      </w:pPr>
      <w:r>
        <w:t xml:space="preserve">«El déficit exterior refleja un exceso de inversión sobre el ahorro, cuyo origen parece estar en el sector …».</w:t>
      </w:r>
    </w:p>
    <w:p>
      <w:pPr>
        <w:numPr>
          <w:ilvl w:val="1"/>
          <w:numId w:val="1215"/>
        </w:numPr>
      </w:pPr>
      <w:r>
        <w:t xml:space="preserve">«La mejora de la posición de inversión internacional, pese a la necesidad de financiación, se debería a efectos valoración y al crecimiento del PIB nominal».</w:t>
      </w:r>
    </w:p>
    <w:p>
      <w:pPr>
        <w:keepNext/>
        <w:numPr>
          <w:ilvl w:val="0"/>
          <w:numId w:val="1210"/>
        </w:numPr>
      </w:pPr>
      <w:r>
        <w:rPr>
          <w:i/>
          <w:iCs/>
        </w:rPr>
        <w:t xml:space="preserve">Políticas</w:t>
      </w:r>
      <w:r>
        <w:t xml:space="preserve">:</w:t>
      </w:r>
    </w:p>
    <w:p>
      <w:pPr>
        <w:numPr>
          <w:ilvl w:val="1"/>
          <w:numId w:val="1216"/>
        </w:numPr>
      </w:pPr>
      <w:r>
        <w:t xml:space="preserve">«El tono de la política fiscal, medido por la variación del saldo estructural primario, habría sido expansivo en …».</w:t>
      </w:r>
    </w:p>
    <w:p>
      <w:pPr>
        <w:numPr>
          <w:ilvl w:val="1"/>
          <w:numId w:val="1216"/>
        </w:numPr>
      </w:pPr>
      <w:r>
        <w:t xml:space="preserve">«Aunque el tipo nominal sube, el tipo real sigue siendo negativo: la política monetaria seguiría siendo acomodaticia».</w:t>
      </w:r>
    </w:p>
    <w:p>
      <w:pPr>
        <w:numPr>
          <w:ilvl w:val="0"/>
          <w:numId w:val="1210"/>
        </w:numPr>
      </w:pPr>
      <w:r>
        <w:rPr>
          <w:i/>
          <w:iCs/>
        </w:rPr>
        <w:t xml:space="preserve">Recomendaciones</w:t>
      </w:r>
      <w:r>
        <w:t xml:space="preserve">: «parece necesaria una consolidación fiscal, pero gradual, para no lastrar la recuperación»; «a corto plazo …; a medio y largo plazo …».</w:t>
      </w:r>
    </w:p>
    <w:p>
      <w:pPr>
        <w:numPr>
          <w:ilvl w:val="0"/>
          <w:numId w:val="1210"/>
        </w:numPr>
      </w:pPr>
      <w:r>
        <w:rPr>
          <w:i/>
          <w:iCs/>
        </w:rPr>
        <w:t xml:space="preserve">Cierre</w:t>
      </w:r>
      <w:r>
        <w:t xml:space="preserve">: «en conclusión, la economía afronta … retos; cómo los aborde determinará su crecimiento en los próximos años».</w:t>
      </w:r>
    </w:p>
    <w:bookmarkStart w:id="394" w:name="anexo_parrafos"/>
    <w:p>
      <w:pPr>
        <w:pStyle w:val="Heading3"/>
      </w:pPr>
      <w:r>
        <w:t xml:space="preserve">VI.2.6.</w:t>
      </w:r>
      <w:r>
        <w:t xml:space="preserve"> </w:t>
      </w:r>
      <w:r>
        <w:t xml:space="preserve">Párrafos modelo por bloque</w:t>
      </w:r>
    </w:p>
    <w:p>
      <w:pPr>
        <w:numPr>
          <w:ilvl w:val="0"/>
          <w:numId w:val="1217"/>
        </w:numPr>
      </w:pPr>
      <w:r>
        <w:t xml:space="preserve">Ejemplos de redacción de la guía anterior que completan los de cada capítulo, en el orden de la guía y con años y cifras genéricos (20xx).</w:t>
      </w:r>
    </w:p>
    <w:bookmarkStart w:id="388"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8"/>
    <w:bookmarkStart w:id="389"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9"/>
    <w:bookmarkStart w:id="390"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90"/>
    <w:bookmarkStart w:id="391"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91"/>
    <w:bookmarkStart w:id="392"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8"/>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8"/>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8"/>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2"/>
    <w:bookmarkStart w:id="393"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3"/>
    <w:bookmarkEnd w:id="394"/>
    <w:bookmarkEnd w:id="395"/>
    <w:bookmarkEnd w:id="396"/>
    <w:bookmarkStart w:id="424" w:name="anexo_fmi"/>
    <w:p>
      <w:pPr>
        <w:pStyle w:val="Heading1"/>
      </w:pPr>
      <w:r>
        <w:t xml:space="preserve">C. El FMI, un caso de España y dónde se estudia cada bloque</w:t>
      </w:r>
    </w:p>
    <w:bookmarkStart w:id="399" w:name="anexo_fmi_programacion"/>
    <w:p>
      <w:pPr>
        <w:pStyle w:val="Heading2"/>
      </w:pPr>
      <w:r>
        <w:t xml:space="preserve">C.1. El FMI: programación financiera y programas</w:t>
      </w:r>
    </w:p>
    <w:p>
      <w:pPr>
        <w:numPr>
          <w:ilvl w:val="0"/>
          <w:numId w:val="1219"/>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9"/>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20"/>
        </w:numPr>
      </w:pPr>
      <w:r>
        <w:rPr>
          <w:i/>
          <w:iCs/>
        </w:rPr>
        <w:t xml:space="preserve">fiscales</w:t>
      </w:r>
      <w:r>
        <w:t xml:space="preserve">: la gestión de los recursos del Estado (impuestos y gasto público);</w:t>
      </w:r>
    </w:p>
    <w:p>
      <w:pPr>
        <w:numPr>
          <w:ilvl w:val="1"/>
          <w:numId w:val="1220"/>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20"/>
        </w:numPr>
      </w:pPr>
      <w:r>
        <w:rPr>
          <w:i/>
          <w:iCs/>
        </w:rPr>
        <w:t xml:space="preserve">estructurales</w:t>
      </w:r>
      <w:r>
        <w:t xml:space="preserve">: las regulaciones e instituciones que determinan cómo funciona la economía.</w:t>
      </w:r>
    </w:p>
    <w:p>
      <w:pPr>
        <w:keepNext/>
        <w:numPr>
          <w:ilvl w:val="0"/>
          <w:numId w:val="1219"/>
        </w:numPr>
      </w:pPr>
      <w:r>
        <w:rPr>
          <w:i/>
          <w:iCs/>
        </w:rPr>
        <w:t xml:space="preserve">Los 2 objetivos</w:t>
      </w:r>
      <w:r>
        <w:t xml:space="preserve">:</w:t>
      </w:r>
    </w:p>
    <w:p>
      <w:pPr>
        <w:numPr>
          <w:ilvl w:val="1"/>
          <w:numId w:val="1221"/>
        </w:numPr>
      </w:pPr>
      <w:r>
        <w:rPr>
          <w:i/>
          <w:iCs/>
        </w:rPr>
        <w:t xml:space="preserve">equilibrio interno</w:t>
      </w:r>
      <w:r>
        <w:t xml:space="preserve">: producción en su potencial con una inflación baja y estable;</w:t>
      </w:r>
    </w:p>
    <w:p>
      <w:pPr>
        <w:numPr>
          <w:ilvl w:val="1"/>
          <w:numId w:val="1221"/>
        </w:numPr>
      </w:pPr>
      <w:r>
        <w:rPr>
          <w:i/>
          <w:iCs/>
        </w:rPr>
        <w:t xml:space="preserve">equilibrio externo</w:t>
      </w:r>
      <w:r>
        <w:t xml:space="preserve">: una cuenta corriente que se pueda financiar de forma sostenible, con reservas suficientes.</w:t>
      </w:r>
    </w:p>
    <w:p>
      <w:pPr>
        <w:numPr>
          <w:ilvl w:val="0"/>
          <w:numId w:val="1219"/>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9"/>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7" w:name="el_escenario_base_y_la_brecha_de_f_12708"/>
    <w:p>
      <w:pPr>
        <w:pStyle w:val="Heading4"/>
      </w:pPr>
      <w:r>
        <w:t xml:space="preserve">El escenario base y la brecha de financiación</w:t>
      </w:r>
    </w:p>
    <w:p>
      <w:pPr>
        <w:numPr>
          <w:ilvl w:val="0"/>
          <w:numId w:val="1222"/>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2"/>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2"/>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2"/>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7"/>
    <w:bookmarkStart w:id="398"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3"/>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3"/>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8"/>
    <w:bookmarkEnd w:id="399"/>
    <w:bookmarkStart w:id="401" w:name="anexo_espana"/>
    <w:p>
      <w:pPr>
        <w:pStyle w:val="Heading2"/>
      </w:pPr>
      <w:r>
        <w:t xml:space="preserve">C.2. Un caso: la economía española</w:t>
      </w:r>
    </w:p>
    <w:p>
      <w:pPr>
        <w:numPr>
          <w:ilvl w:val="0"/>
          <w:numId w:val="1224"/>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4"/>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4"/>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4"/>
        </w:numPr>
      </w:pPr>
      <w:r>
        <w:rPr>
          <w:i/>
          <w:iCs/>
        </w:rPr>
        <w:t xml:space="preserve">Fortalezas</w:t>
      </w:r>
      <w:r>
        <w:t xml:space="preserve">:</w:t>
      </w:r>
    </w:p>
    <w:p>
      <w:pPr>
        <w:numPr>
          <w:ilvl w:val="1"/>
          <w:numId w:val="1225"/>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5"/>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5"/>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4"/>
        </w:numPr>
      </w:pPr>
      <w:r>
        <w:rPr>
          <w:i/>
          <w:iCs/>
        </w:rPr>
        <w:t xml:space="preserve">Debilidades</w:t>
      </w:r>
      <w:r>
        <w:t xml:space="preserve">:</w:t>
      </w:r>
    </w:p>
    <w:p>
      <w:pPr>
        <w:numPr>
          <w:ilvl w:val="1"/>
          <w:numId w:val="1226"/>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6"/>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6"/>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6"/>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1"/>
          <w:numId w:val="1226"/>
        </w:numPr>
      </w:pPr>
      <w:r>
        <w:t xml:space="preserve">una vivienda cada vez menos asequible, por una demanda pujante y una oferta rígida, según el FMI, que además frena la movilidad interior</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80)</w:t>
      </w:r>
      <w:r>
        <w:t xml:space="preserve">.</w:t>
      </w:r>
    </w:p>
    <w:p>
      <w:pPr>
        <w:numPr>
          <w:ilvl w:val="0"/>
          <w:numId w:val="1224"/>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en vivienda, más oferta donde se concentra la demanda y, a corto plazo, podrían ayudar las medidas que contengan la demanda no residencial y el riesgo hipotecario, mejor que ayudas generales que se capitalizarían en el precio</w:t>
      </w:r>
      <w:r>
        <w:t xml:space="preserve"> </w:t>
      </w:r>
      <w:r>
        <w:t xml:space="preserve">(</w:t>
      </w:r>
      <w:hyperlink w:anchor="ref_Carozzi2024HelpToBuy">
        <w:r>
          <w:rPr>
            <w:rStyle w:val="Hyperlink"/>
            <w:smallCaps/>
          </w:rPr>
          <w:t xml:space="preserve">Carozzi</w:t>
        </w:r>
        <w:r>
          <w:rPr>
            <w:rStyle w:val="Hyperlink"/>
          </w:rPr>
          <w:t xml:space="preserve">,</w:t>
        </w:r>
        <w:r>
          <w:rPr>
            <w:rStyle w:val="Hyperlink"/>
          </w:rPr>
          <w:t xml:space="preserve"> </w:t>
        </w:r>
        <w:r>
          <w:rPr>
            <w:rStyle w:val="Hyperlink"/>
            <w:smallCaps/>
          </w:rPr>
          <w:t xml:space="preserve">Hilber</w:t>
        </w:r>
        <w:r>
          <w:rPr>
            <w:rStyle w:val="Hyperlink"/>
          </w:rPr>
          <w:t xml:space="preserve"> </w:t>
        </w:r>
        <w:r>
          <w:rPr>
            <w:rStyle w:val="Hyperlink"/>
          </w:rPr>
          <w:t xml:space="preserve">y</w:t>
        </w:r>
        <w:r>
          <w:rPr>
            <w:rStyle w:val="Hyperlink"/>
          </w:rPr>
          <w:t xml:space="preserve"> </w:t>
        </w:r>
        <w:r>
          <w:rPr>
            <w:rStyle w:val="Hyperlink"/>
            <w:smallCaps/>
          </w:rPr>
          <w:t xml:space="preserve">Yu</w:t>
        </w:r>
        <w:r>
          <w:rPr>
            <w:rStyle w:val="Hyperlink"/>
          </w:rPr>
          <w:t xml:space="preserve">, 2024</w:t>
        </w:r>
      </w:hyperlink>
      <w:r>
        <w:t xml:space="preserve">;</w:t>
      </w:r>
      <w:r>
        <w:t xml:space="preserve"> </w:t>
      </w:r>
      <w:hyperlink w:anchor="ref_BdF2023AyudasVivienda">
        <w:r>
          <w:rPr>
            <w:rStyle w:val="Hyperlink"/>
            <w:smallCaps/>
          </w:rPr>
          <w:t xml:space="preserve">Grislain-Letrémy</w:t>
        </w:r>
        <w:r>
          <w:rPr>
            <w:rStyle w:val="Hyperlink"/>
          </w:rPr>
          <w:t xml:space="preserve"> </w:t>
        </w:r>
        <w:r>
          <w:rPr>
            <w:rStyle w:val="Hyperlink"/>
          </w:rPr>
          <w:t xml:space="preserve">y</w:t>
        </w:r>
        <w:r>
          <w:rPr>
            <w:rStyle w:val="Hyperlink"/>
          </w:rPr>
          <w:t xml:space="preserve"> </w:t>
        </w:r>
        <w:r>
          <w:rPr>
            <w:rStyle w:val="Hyperlink"/>
            <w:smallCaps/>
          </w:rPr>
          <w:t xml:space="preserve">Trevien</w:t>
        </w:r>
        <w:r>
          <w:rPr>
            <w:rStyle w:val="Hyperlink"/>
          </w:rPr>
          <w:t xml:space="preserve">, 2023</w:t>
        </w:r>
      </w:hyperlink>
      <w:r>
        <w:t xml:space="preserve">)</w:t>
      </w:r>
      <w:r>
        <w:t xml:space="preserve"> </w:t>
      </w:r>
      <w:r>
        <w:t xml:space="preserve">(apartado </w:t>
      </w:r>
      <w:hyperlink w:anchor="sec_por_desequilibrio">
        <w:r>
          <w:rPr>
            <w:rStyle w:val="Hyperlink"/>
          </w:rPr>
          <w:t xml:space="preserve">VI.2</w:t>
        </w:r>
      </w:hyperlink>
      <w:r>
        <w:t xml:space="preserve">), lo que también mejoraría la movilidad y el emparejamiento;</w:t>
      </w:r>
      <w:r>
        <w:rPr>
          <w:rStyle w:val="FootnoteReference"/>
        </w:rPr>
        <w:footnoteReference w:id="400"/>
      </w:r>
      <w:r>
        <w:t xml:space="preserve"> </w:t>
      </w:r>
      <w:r>
        <w:t xml:space="preserve">y reformas que eleven la productividad (capital humano, tamaño empresarial, inversión en I+D).</w:t>
      </w:r>
    </w:p>
    <w:bookmarkEnd w:id="401"/>
    <w:bookmarkStart w:id="423" w:name="anexo_temas"/>
    <w:p>
      <w:pPr>
        <w:pStyle w:val="Heading2"/>
      </w:pPr>
      <w:r>
        <w:t xml:space="preserve">C.3. Dónde se estudia cada bloque</w:t>
      </w:r>
    </w:p>
    <w:p>
      <w:pPr>
        <w:numPr>
          <w:ilvl w:val="0"/>
          <w:numId w:val="1227"/>
        </w:numPr>
      </w:pPr>
      <w:r>
        <w:t xml:space="preserve">La guía remite en cada indicador al tema donde se estudia a fondo: primero el del tercer ejercicio (la teoría) y después el del cuarto (la aplicación a España o al sector público).</w:t>
      </w:r>
    </w:p>
    <w:p>
      <w:pPr>
        <w:numPr>
          <w:ilvl w:val="0"/>
          <w:numId w:val="1227"/>
        </w:numPr>
      </w:pPr>
      <w:r>
        <w:t xml:space="preserve">Son relevantes todos los temas de macroeconomía y, para entenderla bien, los de su microfundamentación.</w:t>
      </w:r>
    </w:p>
    <w:bookmarkStart w:id="422"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402">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3">
              <w:r>
                <w:rPr>
                  <w:rStyle w:val="Referenciaatema"/>
                </w:rPr>
                <w:t xml:space="preserve">3.A.13</w:t>
              </w:r>
            </w:hyperlink>
            <w:r>
              <w:t xml:space="preserve">,</w:t>
            </w:r>
            <w:r>
              <w:t xml:space="preserve"> </w:t>
            </w:r>
            <w:hyperlink r:id="rId372">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4">
              <w:r>
                <w:rPr>
                  <w:rStyle w:val="Referenciaatema"/>
                </w:rPr>
                <w:t xml:space="preserve">3.B.18</w:t>
              </w:r>
            </w:hyperlink>
            <w:r>
              <w:t xml:space="preserve">,</w:t>
            </w:r>
            <w:r>
              <w:t xml:space="preserve"> </w:t>
            </w:r>
            <w:hyperlink r:id="rId405">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6">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71">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40">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7">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4">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8">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5">
              <w:r>
                <w:rPr>
                  <w:rStyle w:val="Referenciaatema"/>
                </w:rPr>
                <w:t xml:space="preserve">3.B.33</w:t>
              </w:r>
            </w:hyperlink>
            <w:r>
              <w:t xml:space="preserve">,</w:t>
            </w:r>
            <w:r>
              <w:t xml:space="preserve"> </w:t>
            </w:r>
            <w:hyperlink r:id="rId376">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10">
              <w:r>
                <w:rPr>
                  <w:rStyle w:val="Referenciaatema"/>
                </w:rPr>
                <w:t xml:space="preserve">3.B.17</w:t>
              </w:r>
            </w:hyperlink>
            <w:r>
              <w:t xml:space="preserve">,</w:t>
            </w:r>
            <w:r>
              <w:t xml:space="preserve"> </w:t>
            </w:r>
            <w:hyperlink r:id="rId404">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7">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11">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12">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3">
              <w:r>
                <w:rPr>
                  <w:rStyle w:val="Referenciaatema"/>
                </w:rPr>
                <w:t xml:space="preserve">3.B.19</w:t>
              </w:r>
            </w:hyperlink>
            <w:r>
              <w:t xml:space="preserve">,</w:t>
            </w:r>
            <w:r>
              <w:t xml:space="preserve"> </w:t>
            </w:r>
            <w:hyperlink r:id="rId414">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6">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7">
              <w:r>
                <w:rPr>
                  <w:rStyle w:val="Referenciaatema"/>
                </w:rPr>
                <w:t xml:space="preserve">3.A.15</w:t>
              </w:r>
            </w:hyperlink>
            <w:r>
              <w:t xml:space="preserve">,</w:t>
            </w:r>
            <w:r>
              <w:t xml:space="preserve"> </w:t>
            </w:r>
            <w:hyperlink r:id="rId418">
              <w:r>
                <w:rPr>
                  <w:rStyle w:val="Referenciaatema"/>
                </w:rPr>
                <w:t xml:space="preserve">3.A.20</w:t>
              </w:r>
            </w:hyperlink>
            <w:r>
              <w:t xml:space="preserve">,</w:t>
            </w:r>
            <w:r>
              <w:t xml:space="preserve"> </w:t>
            </w:r>
            <w:hyperlink r:id="rId419">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20">
              <w:r>
                <w:rPr>
                  <w:rStyle w:val="Referenciaatema"/>
                </w:rPr>
                <w:t xml:space="preserve">4.A.7</w:t>
              </w:r>
            </w:hyperlink>
            <w:r>
              <w:t xml:space="preserve">,</w:t>
            </w:r>
            <w:r>
              <w:t xml:space="preserve"> </w:t>
            </w: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21">
              <w:r>
                <w:rPr>
                  <w:rStyle w:val="Referenciaatema"/>
                </w:rPr>
                <w:t xml:space="preserve">4.A.24</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22"/>
    <w:p>
      <w:pPr>
        <w:pStyle w:val="BodyText"/>
      </w:pPr>
      <w:r>
        <w:rPr>
          <w:i/>
          <w:iCs/>
        </w:rPr>
        <w:t xml:space="preserve">Fuente: Elaboración propia a partir de los títulos del temario vigente.</w:t>
      </w:r>
    </w:p>
    <w:bookmarkEnd w:id="423"/>
    <w:bookmarkEnd w:id="424"/>
    <w:bookmarkStart w:id="442" w:name="anexo_metodo"/>
    <w:p>
      <w:pPr>
        <w:pStyle w:val="Heading1"/>
      </w:pPr>
      <w:r>
        <w:t xml:space="preserve">D. El ejercicio y el método</w:t>
      </w:r>
    </w:p>
    <w:p>
      <w:pPr>
        <w:numPr>
          <w:ilvl w:val="0"/>
          <w:numId w:val="1228"/>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6" w:name="anexo_ejercicio"/>
    <w:p>
      <w:pPr>
        <w:pStyle w:val="Heading2"/>
      </w:pPr>
      <w:r>
        <w:t xml:space="preserve">D.1. Qué es el ejercicio y cómo se califica</w:t>
      </w:r>
    </w:p>
    <w:p>
      <w:pPr>
        <w:numPr>
          <w:ilvl w:val="0"/>
          <w:numId w:val="1229"/>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9"/>
        </w:numPr>
      </w:pPr>
      <w:r>
        <w:rPr>
          <w:i/>
          <w:iCs/>
        </w:rPr>
        <w:t xml:space="preserve">Qué trae el cuadernillo</w:t>
      </w:r>
      <w:r>
        <w:t xml:space="preserve">:</w:t>
      </w:r>
    </w:p>
    <w:p>
      <w:pPr>
        <w:numPr>
          <w:ilvl w:val="1"/>
          <w:numId w:val="1230"/>
        </w:numPr>
      </w:pPr>
      <w:r>
        <w:t xml:space="preserve">un cuadro macroeconómico de unos 8-12 años (a veces con previsiones), con el PIB y sus componentes, el mercado de trabajo, los precios, el sector exterior, las cuentas públicas y los tipos de interés;</w:t>
      </w:r>
    </w:p>
    <w:p>
      <w:pPr>
        <w:numPr>
          <w:ilvl w:val="1"/>
          <w:numId w:val="1230"/>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30"/>
        </w:numPr>
      </w:pPr>
      <w:r>
        <w:t xml:space="preserve">a veces, unas líneas de contexto: régimen cambiario, objetivo de inflación, pertenencia al euro o al G-20, un programa del FMI, un sector dominante;</w:t>
      </w:r>
    </w:p>
    <w:p>
      <w:pPr>
        <w:numPr>
          <w:ilvl w:val="1"/>
          <w:numId w:val="1230"/>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9"/>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9"/>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1"/>
        </w:numPr>
      </w:pPr>
      <w:r>
        <w:t xml:space="preserve">no se da la vuelta al cuadernillo hasta que lo indique el tribunal, so pena de eliminación;</w:t>
      </w:r>
    </w:p>
    <w:p>
      <w:pPr>
        <w:numPr>
          <w:ilvl w:val="1"/>
          <w:numId w:val="1231"/>
        </w:numPr>
      </w:pPr>
      <w:r>
        <w:t xml:space="preserve">nombre y apellidos en la parte superior de cada hoja, antes de que acabe la prueba, y hojas numeradas;</w:t>
      </w:r>
    </w:p>
    <w:p>
      <w:pPr>
        <w:numPr>
          <w:ilvl w:val="1"/>
          <w:numId w:val="1231"/>
        </w:numPr>
      </w:pPr>
      <w:r>
        <w:t xml:space="preserve">el tribunal no contesta preguntas: en caso de duda, cada aspirante interpreta lo que está escrito;</w:t>
      </w:r>
    </w:p>
    <w:p>
      <w:pPr>
        <w:numPr>
          <w:ilvl w:val="1"/>
          <w:numId w:val="1231"/>
        </w:numPr>
      </w:pPr>
      <w:r>
        <w:t xml:space="preserve">no se puede salir de la sala en los 10 primeros ni en los 10 últimos minutos (para salir, se levanta la mano y se espera a que recojan las hojas);</w:t>
      </w:r>
    </w:p>
    <w:p>
      <w:pPr>
        <w:numPr>
          <w:ilvl w:val="1"/>
          <w:numId w:val="1231"/>
        </w:numPr>
      </w:pPr>
      <w:r>
        <w:t xml:space="preserve">al anunciarse el final hay que dejar de escribir inmediatamente, también so pena de eliminación;</w:t>
      </w:r>
    </w:p>
    <w:p>
      <w:pPr>
        <w:numPr>
          <w:ilvl w:val="1"/>
          <w:numId w:val="1231"/>
        </w:numPr>
      </w:pPr>
      <w:r>
        <w:t xml:space="preserve">las hojas se meten en un sobre cerrado, con el nombre delante y la firma por detrás, abarcando la solapa y el sobre, que se abre delante del aspirante el día de su lectura;</w:t>
      </w:r>
    </w:p>
    <w:p>
      <w:pPr>
        <w:numPr>
          <w:ilvl w:val="1"/>
          <w:numId w:val="1231"/>
        </w:numPr>
      </w:pPr>
      <w:r>
        <w:t xml:space="preserve">tapones sí, cascos no; móviles y dispositivos, apagados y lejos.</w:t>
      </w:r>
    </w:p>
    <w:p>
      <w:pPr>
        <w:numPr>
          <w:ilvl w:val="0"/>
          <w:numId w:val="1229"/>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5"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5"/>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6"/>
    <w:bookmarkStart w:id="427" w:name="anexo_que_valora"/>
    <w:p>
      <w:pPr>
        <w:pStyle w:val="Heading2"/>
      </w:pPr>
      <w:r>
        <w:t xml:space="preserve">D.2. Qué valora el tribunal</w:t>
      </w:r>
    </w:p>
    <w:p>
      <w:pPr>
        <w:numPr>
          <w:ilvl w:val="0"/>
          <w:numId w:val="1232"/>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2"/>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2"/>
        </w:numPr>
      </w:pPr>
      <w:r>
        <w:t xml:space="preserve">De ahí salen 4 capacidades:</w:t>
      </w:r>
    </w:p>
    <w:p>
      <w:pPr>
        <w:numPr>
          <w:ilvl w:val="1"/>
          <w:numId w:val="1233"/>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3"/>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3"/>
        </w:numPr>
      </w:pPr>
      <w:r>
        <w:rPr>
          <w:b/>
          <w:bCs/>
        </w:rPr>
        <w:t xml:space="preserve">Comprensión lectora</w:t>
      </w:r>
      <w:r>
        <w:t xml:space="preserve">: contestar a todo lo que se pregunta, cada subpregunta con su rótulo, y solo a eso.</w:t>
      </w:r>
    </w:p>
    <w:p>
      <w:pPr>
        <w:numPr>
          <w:ilvl w:val="1"/>
          <w:numId w:val="1233"/>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2"/>
        </w:numPr>
      </w:pPr>
      <w:r>
        <w:t xml:space="preserve">Y 2 principios que ordenan todo el análisis:</w:t>
      </w:r>
    </w:p>
    <w:p>
      <w:pPr>
        <w:numPr>
          <w:ilvl w:val="1"/>
          <w:numId w:val="1234"/>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4"/>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2"/>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7"/>
    <w:bookmarkStart w:id="430" w:name="anexo_tiempo"/>
    <w:p>
      <w:pPr>
        <w:pStyle w:val="Heading2"/>
      </w:pPr>
      <w:r>
        <w:t xml:space="preserve">D.3. El reparto del tiempo</w:t>
      </w:r>
    </w:p>
    <w:p>
      <w:pPr>
        <w:numPr>
          <w:ilvl w:val="0"/>
          <w:numId w:val="1235"/>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5"/>
        </w:numPr>
      </w:pPr>
      <w:r>
        <w:t xml:space="preserve">No hay tiempo que perder: si las preguntas o las tablas vienen grapadas, se separan. Si el dictamen es libre (sin preguntas), se empieza anunciando la estructura que se va a seguir.</w:t>
      </w:r>
    </w:p>
    <w:p>
      <w:pPr>
        <w:keepNext/>
        <w:numPr>
          <w:ilvl w:val="0"/>
          <w:numId w:val="1235"/>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6"/>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6"/>
        </w:numPr>
      </w:pPr>
      <w:r>
        <w:rPr>
          <w:i/>
          <w:iCs/>
        </w:rPr>
        <w:t xml:space="preserve">Repaso final</w:t>
      </w:r>
      <w:r>
        <w:t xml:space="preserve">: 4′-8′ (en torno al 5 %), para releer, completar la frase de diagnóstico y cerrar lo que haya quedado abierto.</w:t>
      </w:r>
    </w:p>
    <w:p>
      <w:pPr>
        <w:keepNext/>
        <w:numPr>
          <w:ilvl w:val="1"/>
          <w:numId w:val="1236"/>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7"/>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7"/>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5"/>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8"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8"/>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8"/>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9"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9"/>
    <w:p>
      <w:pPr>
        <w:pStyle w:val="BodyText"/>
        <w:keepNext/>
      </w:pPr>
      <w:r>
        <w:rPr>
          <w:i/>
          <w:iCs/>
        </w:rPr>
        <w:t xml:space="preserve">Fuente: Guía anterior (versión de 2025). Qué hay que ver: las cifras son medias; las preguntas con más peso o más análisis reciben más.</w:t>
      </w:r>
    </w:p>
    <w:p>
      <w:pPr>
        <w:numPr>
          <w:ilvl w:val="0"/>
          <w:numId w:val="1239"/>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9"/>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9"/>
        </w:numPr>
      </w:pPr>
      <w:r>
        <w:rPr>
          <w:i/>
          <w:iCs/>
        </w:rPr>
        <w:t xml:space="preserve">Antes de cada pregunta</w:t>
      </w:r>
      <w:r>
        <w:t xml:space="preserve">, si el tiempo lo permite, 1 o 2 minutos para pensar la frase que anticipa el diagnóstico de ese bloque.</w:t>
      </w:r>
    </w:p>
    <w:bookmarkEnd w:id="430"/>
    <w:bookmarkStart w:id="433" w:name="anexo_leer"/>
    <w:p>
      <w:pPr>
        <w:pStyle w:val="Heading2"/>
      </w:pPr>
      <w:r>
        <w:t xml:space="preserve">D.4. Cómo leer el cuadernillo</w:t>
      </w:r>
    </w:p>
    <w:p>
      <w:pPr>
        <w:numPr>
          <w:ilvl w:val="0"/>
          <w:numId w:val="1240"/>
        </w:numPr>
      </w:pPr>
      <w:r>
        <w:t xml:space="preserve">La idea: en los 10-12 primeros minutos no se escribe nada en las hojas de respuesta. Se trabaja sobre el cuadernillo, en el que sí se puede anotar, y se sale de ahí con el dictamen pensado.</w:t>
      </w:r>
    </w:p>
    <w:p>
      <w:pPr>
        <w:keepNext/>
        <w:numPr>
          <w:ilvl w:val="0"/>
          <w:numId w:val="1240"/>
        </w:numPr>
      </w:pPr>
      <w:r>
        <w:t xml:space="preserve">Los pasos, por este orden:</w:t>
      </w:r>
    </w:p>
    <w:p>
      <w:pPr>
        <w:numPr>
          <w:ilvl w:val="1"/>
          <w:numId w:val="1241"/>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1"/>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1"/>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1"/>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1"/>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1"/>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31"/>
      </w:r>
    </w:p>
    <w:p>
      <w:pPr>
        <w:numPr>
          <w:ilvl w:val="1"/>
          <w:numId w:val="1241"/>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32"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32"/>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2"/>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3"/>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3"/>
        </w:numPr>
      </w:pPr>
      <w:r>
        <w:t xml:space="preserve">La RNB crece más que el PIB en varios años y el superávit corriente lo explican las rentas primarias: un acreedor neto frente al exterior (preguntas 1 y 2).</w:t>
      </w:r>
    </w:p>
    <w:p>
      <w:pPr>
        <w:numPr>
          <w:ilvl w:val="1"/>
          <w:numId w:val="1243"/>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3"/>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2"/>
        </w:numPr>
      </w:pPr>
      <w:r>
        <w:t xml:space="preserve">Ni hace falta ni conviene adivinar el país: basta con lo que dice el cuadernillo.</w:t>
      </w:r>
    </w:p>
    <w:bookmarkEnd w:id="433"/>
    <w:bookmarkStart w:id="434" w:name="anexo_redactar"/>
    <w:p>
      <w:pPr>
        <w:pStyle w:val="Heading2"/>
      </w:pPr>
      <w:r>
        <w:t xml:space="preserve">D.5. Cómo redactar</w:t>
      </w:r>
    </w:p>
    <w:p>
      <w:pPr>
        <w:numPr>
          <w:ilvl w:val="0"/>
          <w:numId w:val="1244"/>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4"/>
        </w:numPr>
      </w:pPr>
      <w:r>
        <w:rPr>
          <w:i/>
          <w:iCs/>
        </w:rPr>
        <w:t xml:space="preserve">Analizar, no describir</w:t>
      </w:r>
      <w:r>
        <w:t xml:space="preserve">:</w:t>
      </w:r>
    </w:p>
    <w:p>
      <w:pPr>
        <w:numPr>
          <w:ilvl w:val="1"/>
          <w:numId w:val="1245"/>
        </w:numPr>
      </w:pPr>
      <w:r>
        <w:t xml:space="preserve">Descriptivo (a evitar): «la contribución de la demanda interna es positiva en 20x1, negativa en 20x2 y vuelve a ser positiva en 20x3».</w:t>
      </w:r>
    </w:p>
    <w:p>
      <w:pPr>
        <w:numPr>
          <w:ilvl w:val="1"/>
          <w:numId w:val="1245"/>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5"/>
        </w:numPr>
      </w:pPr>
      <w:r>
        <w:t xml:space="preserve">La descripción de los datos es tarea de la estadística; al economista le toca explicar lo que hay detrás.</w:t>
      </w:r>
    </w:p>
    <w:p>
      <w:pPr>
        <w:numPr>
          <w:ilvl w:val="0"/>
          <w:numId w:val="1244"/>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4"/>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4"/>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4"/>
        </w:numPr>
      </w:pPr>
      <w:r>
        <w:rPr>
          <w:i/>
          <w:iCs/>
        </w:rPr>
        <w:t xml:space="preserve">Sin solapes</w:t>
      </w:r>
      <w:r>
        <w:t xml:space="preserve">: cada cosa en su pregunta, tratadas como estancas. Si algo ya se ha explicado, basta una remisión («como se ha visto al analizar la demanda…»).</w:t>
      </w:r>
    </w:p>
    <w:p>
      <w:pPr>
        <w:numPr>
          <w:ilvl w:val="0"/>
          <w:numId w:val="1244"/>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4"/>
        </w:numPr>
      </w:pPr>
      <w:r>
        <w:rPr>
          <w:i/>
          <w:iCs/>
        </w:rPr>
        <w:t xml:space="preserve">Recomendaciones concretas</w:t>
      </w:r>
      <w:r>
        <w:t xml:space="preserve">: qué medida, para qué desequilibrio y con qué riesgo («una consolidación gradual, centrada en el gasto corriente, para no frenar la recuperación»).</w:t>
      </w:r>
    </w:p>
    <w:bookmarkEnd w:id="434"/>
    <w:bookmarkStart w:id="435" w:name="anexo_errores"/>
    <w:p>
      <w:pPr>
        <w:pStyle w:val="Heading2"/>
      </w:pPr>
      <w:r>
        <w:t xml:space="preserve">D.6. Errores típicos y la lectura</w:t>
      </w:r>
    </w:p>
    <w:p>
      <w:pPr>
        <w:keepNext/>
        <w:numPr>
          <w:ilvl w:val="0"/>
          <w:numId w:val="1246"/>
        </w:numPr>
      </w:pPr>
      <w:r>
        <w:rPr>
          <w:i/>
          <w:iCs/>
        </w:rPr>
        <w:t xml:space="preserve">Errores que más se repiten</w:t>
      </w:r>
      <w:r>
        <w:t xml:space="preserve">:</w:t>
      </w:r>
    </w:p>
    <w:p>
      <w:pPr>
        <w:numPr>
          <w:ilvl w:val="1"/>
          <w:numId w:val="1247"/>
        </w:numPr>
      </w:pPr>
      <w:r>
        <w:t xml:space="preserve">describir sin analizar («en 20x1 sube, en 20x2 baja, en 20x3 sube»);</w:t>
      </w:r>
    </w:p>
    <w:p>
      <w:pPr>
        <w:numPr>
          <w:ilvl w:val="1"/>
          <w:numId w:val="1247"/>
        </w:numPr>
      </w:pPr>
      <w:r>
        <w:t xml:space="preserve">confundir porcentajes con puntos porcentuales, niveles con variaciones o tasas nominales con reales;</w:t>
      </w:r>
    </w:p>
    <w:p>
      <w:pPr>
        <w:numPr>
          <w:ilvl w:val="1"/>
          <w:numId w:val="1247"/>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7"/>
        </w:numPr>
      </w:pPr>
      <w:r>
        <w:t xml:space="preserve">leer al revés el tipo de cambio (directo o indirecto) o la posición de inversión internacional;</w:t>
      </w:r>
    </w:p>
    <w:p>
      <w:pPr>
        <w:numPr>
          <w:ilvl w:val="1"/>
          <w:numId w:val="1247"/>
        </w:numPr>
      </w:pPr>
      <w:r>
        <w:t xml:space="preserve">juzgar el tono de la política monetaria solo por si el tipo nominal sube o baja, o el de la fiscal por el saldo total y no por el estructural primario;</w:t>
      </w:r>
    </w:p>
    <w:p>
      <w:pPr>
        <w:numPr>
          <w:ilvl w:val="1"/>
          <w:numId w:val="1247"/>
        </w:numPr>
      </w:pPr>
      <w:r>
        <w:t xml:space="preserve">dedicar demasiado tiempo al perfil cíclico y dejar a medias las últimas preguntas;</w:t>
      </w:r>
    </w:p>
    <w:p>
      <w:pPr>
        <w:numPr>
          <w:ilvl w:val="1"/>
          <w:numId w:val="1247"/>
        </w:numPr>
      </w:pPr>
      <w:r>
        <w:t xml:space="preserve">no contestar a una subpregunta, o contestar a lo que no se pregunta.</w:t>
      </w:r>
    </w:p>
    <w:p>
      <w:pPr>
        <w:numPr>
          <w:ilvl w:val="0"/>
          <w:numId w:val="1246"/>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6"/>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5"/>
    <w:bookmarkStart w:id="436" w:name="anexo_coherencia"/>
    <w:p>
      <w:pPr>
        <w:pStyle w:val="Heading2"/>
      </w:pPr>
      <w:r>
        <w:t xml:space="preserve">D.7. Comprobaciones de coherencia entre bloques</w:t>
      </w:r>
    </w:p>
    <w:p>
      <w:pPr>
        <w:keepNext/>
        <w:numPr>
          <w:ilvl w:val="0"/>
          <w:numId w:val="1248"/>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9"/>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9"/>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9"/>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9"/>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9"/>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9"/>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6"/>
    <w:bookmarkStart w:id="439" w:name="anexo_matriz"/>
    <w:p>
      <w:pPr>
        <w:pStyle w:val="Heading2"/>
      </w:pPr>
      <w:r>
        <w:t xml:space="preserve">D.8. La matriz de fortalezas y debilidades</w:t>
      </w:r>
    </w:p>
    <w:p>
      <w:pPr>
        <w:numPr>
          <w:ilvl w:val="0"/>
          <w:numId w:val="1250"/>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50"/>
        </w:numPr>
      </w:pPr>
      <w:r>
        <w:t xml:space="preserve">Sirve para 3 cosas:</w:t>
      </w:r>
    </w:p>
    <w:p>
      <w:pPr>
        <w:numPr>
          <w:ilvl w:val="1"/>
          <w:numId w:val="1251"/>
        </w:numPr>
      </w:pPr>
      <w:r>
        <w:t xml:space="preserve">anticipar el diagnóstico en la primera pregunta (apartado </w:t>
      </w:r>
      <w:hyperlink w:anchor="sec_anticipar">
        <w:r>
          <w:rPr>
            <w:rStyle w:val="Hyperlink"/>
          </w:rPr>
          <w:t xml:space="preserve">I.6</w:t>
        </w:r>
      </w:hyperlink>
      <w:r>
        <w:t xml:space="preserve">);</w:t>
      </w:r>
    </w:p>
    <w:p>
      <w:pPr>
        <w:numPr>
          <w:ilvl w:val="1"/>
          <w:numId w:val="1251"/>
        </w:numPr>
      </w:pPr>
      <w:r>
        <w:t xml:space="preserve">no contradecirse entre preguntas;</w:t>
      </w:r>
    </w:p>
    <w:p>
      <w:pPr>
        <w:numPr>
          <w:ilvl w:val="1"/>
          <w:numId w:val="1251"/>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7"/>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2"/>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8"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Según el tipo de paro (políticas de oferta)</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8"/>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3"/>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3"/>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3"/>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9"/>
    <w:bookmarkStart w:id="441" w:name="anexo_preguntas"/>
    <w:p>
      <w:pPr>
        <w:pStyle w:val="Heading2"/>
      </w:pPr>
      <w:r>
        <w:t xml:space="preserve">D.9. Qué se ha preguntado en los dictámenes oficiales</w:t>
      </w:r>
    </w:p>
    <w:p>
      <w:pPr>
        <w:numPr>
          <w:ilvl w:val="0"/>
          <w:numId w:val="1254"/>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40"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4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41"/>
    <w:bookmarkEnd w:id="442"/>
    <w:bookmarkStart w:id="775" w:name="bibliografia"/>
    <w:p>
      <w:pPr>
        <w:pStyle w:val="Heading1"/>
      </w:pPr>
      <w:r>
        <w:t xml:space="preserve">Bibliografía</w:t>
      </w:r>
    </w:p>
    <w:bookmarkStart w:id="774" w:name="refs"/>
    <w:bookmarkStart w:id="443" w:name="ref_Alam2019Macroprudencial"/>
    <w:p>
      <w:pPr>
        <w:pStyle w:val="Bibliography"/>
      </w:pPr>
      <w:r>
        <w:t xml:space="preserve">Alam, Zohair, Adrian Alter, Jesse Eiseman, Gaston Gelos, Heedon Kang, Machiko Narita, Erlend Nier y Naixi Wang (2019).</w:t>
      </w:r>
      <w:r>
        <w:t xml:space="preserve"> </w:t>
      </w:r>
      <w:r>
        <w:t xml:space="preserve">«Digging Deeper—Evidence on the Effects of Macroprudential Policies from a New Database»</w:t>
      </w:r>
      <w:r>
        <w:t xml:space="preserve">. IMF Working Paper 19/66. Fondo Monetario Internacional.</w:t>
      </w:r>
    </w:p>
    <w:bookmarkEnd w:id="443"/>
    <w:bookmarkStart w:id="444"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4"/>
    <w:bookmarkStart w:id="446"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5">
        <w:r>
          <w:rPr>
            <w:rStyle w:val="Hyperlink"/>
          </w:rPr>
          <w:t xml:space="preserve">https://doi.org/10.1257/jep.33.4.187</w:t>
        </w:r>
      </w:hyperlink>
      <w:r>
        <w:t xml:space="preserve">.</w:t>
      </w:r>
    </w:p>
    <w:bookmarkEnd w:id="446"/>
    <w:bookmarkStart w:id="448"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7">
        <w:r>
          <w:rPr>
            <w:rStyle w:val="Hyperlink"/>
          </w:rPr>
          <w:t xml:space="preserve">https://youtu.be/gJoQz2CiHBI</w:t>
        </w:r>
      </w:hyperlink>
      <w:r>
        <w:t xml:space="preserve">.</w:t>
      </w:r>
    </w:p>
    <w:bookmarkEnd w:id="448"/>
    <w:bookmarkStart w:id="449"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9"/>
    <w:bookmarkStart w:id="451"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50">
        <w:r>
          <w:rPr>
            <w:rStyle w:val="Hyperlink"/>
          </w:rPr>
          <w:t xml:space="preserve">https://atcee.es/la-oposicion-tcee/examenes-anteriores/</w:t>
        </w:r>
      </w:hyperlink>
      <w:r>
        <w:t xml:space="preserve">.</w:t>
      </w:r>
    </w:p>
    <w:bookmarkEnd w:id="451"/>
    <w:bookmarkStart w:id="453"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52">
        <w:r>
          <w:rPr>
            <w:rStyle w:val="Hyperlink"/>
          </w:rPr>
          <w:t xml:space="preserve">https://www.eba.europa.eu/regulation-and-policy/credit-risk/guidelines-legislative-and-non-legislative-moratoria-loan-repayments-applied-light-covid-19-crisis</w:t>
        </w:r>
      </w:hyperlink>
      <w:r>
        <w:t xml:space="preserve">.</w:t>
      </w:r>
    </w:p>
    <w:bookmarkEnd w:id="453"/>
    <w:bookmarkStart w:id="454"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4"/>
    <w:bookmarkStart w:id="455"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5"/>
    <w:bookmarkStart w:id="457"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6">
        <w:r>
          <w:rPr>
            <w:rStyle w:val="Hyperlink"/>
          </w:rPr>
          <w:t xml:space="preserve">https://doi.org/10.1111/jmcb.12420</w:t>
        </w:r>
      </w:hyperlink>
      <w:r>
        <w:t xml:space="preserve">.</w:t>
      </w:r>
    </w:p>
    <w:bookmarkEnd w:id="457"/>
    <w:bookmarkStart w:id="459"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8">
        <w:r>
          <w:rPr>
            <w:rStyle w:val="Hyperlink"/>
          </w:rPr>
          <w:t xml:space="preserve">https://www.ecb.europa.eu/pub/financial-stability/fsr/html/ecb.fsr202011~b7be9ae1f1.en.html</w:t>
        </w:r>
      </w:hyperlink>
      <w:r>
        <w:t xml:space="preserve">.</w:t>
      </w:r>
    </w:p>
    <w:bookmarkEnd w:id="459"/>
    <w:bookmarkStart w:id="461"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60">
        <w:r>
          <w:rPr>
            <w:rStyle w:val="Hyperlink"/>
          </w:rPr>
          <w:t xml:space="preserve">https://eur-lex.europa.eu/legal-content/ES/TXT/?uri=CELEX:32020HB0019</w:t>
        </w:r>
      </w:hyperlink>
      <w:r>
        <w:t xml:space="preserve">.</w:t>
      </w:r>
    </w:p>
    <w:bookmarkEnd w:id="461"/>
    <w:bookmarkStart w:id="463"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62">
        <w:r>
          <w:rPr>
            <w:rStyle w:val="Hyperlink"/>
          </w:rPr>
          <w:t xml:space="preserve">https://www.ecb.europa.eu/pub/annual/html/ecb.ar2022~8ae51d163b.es.html</w:t>
        </w:r>
      </w:hyperlink>
      <w:r>
        <w:t xml:space="preserve">.</w:t>
      </w:r>
    </w:p>
    <w:bookmarkEnd w:id="463"/>
    <w:bookmarkStart w:id="465"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4">
        <w:r>
          <w:rPr>
            <w:rStyle w:val="Hyperlink"/>
          </w:rPr>
          <w:t xml:space="preserve">https://www.ecb.europa.eu/press/pr/date/2024/html/ecb.pr240313~807e240020.en.html</w:t>
        </w:r>
      </w:hyperlink>
      <w:r>
        <w:t xml:space="preserve">.</w:t>
      </w:r>
    </w:p>
    <w:bookmarkEnd w:id="465"/>
    <w:bookmarkStart w:id="467"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6">
        <w:r>
          <w:rPr>
            <w:rStyle w:val="Hyperlink"/>
          </w:rPr>
          <w:t xml:space="preserve">https://www.bankingsupervision.europa.eu/activities/srep/2025/html/ssm.srep202511_aggregatedresults2025.en.html</w:t>
        </w:r>
      </w:hyperlink>
      <w:r>
        <w:t xml:space="preserve">.</w:t>
      </w:r>
    </w:p>
    <w:bookmarkEnd w:id="467"/>
    <w:bookmarkStart w:id="469"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8">
        <w:r>
          <w:rPr>
            <w:rStyle w:val="Hyperlink"/>
          </w:rPr>
          <w:t xml:space="preserve">https://www.ecb.europa.eu/mopo/strategy/strategy-review/ecb.strategyreview202506_strategy_statement.es.html</w:t>
        </w:r>
      </w:hyperlink>
      <w:r>
        <w:t xml:space="preserve">.</w:t>
      </w:r>
    </w:p>
    <w:bookmarkEnd w:id="469"/>
    <w:bookmarkStart w:id="471"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70">
        <w:r>
          <w:rPr>
            <w:rStyle w:val="Hyperlink"/>
          </w:rPr>
          <w:t xml:space="preserve">https://www.ecb.europa.eu/press/pr/date/2026/html/ecb.pr260101~c830245e42.es.html</w:t>
        </w:r>
      </w:hyperlink>
      <w:r>
        <w:t xml:space="preserve">.</w:t>
      </w:r>
    </w:p>
    <w:bookmarkEnd w:id="471"/>
    <w:bookmarkStart w:id="473"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72">
        <w:r>
          <w:rPr>
            <w:rStyle w:val="Hyperlink"/>
          </w:rPr>
          <w:t xml:space="preserve">https://data.ecb.europa.eu/data/datasets/EXR</w:t>
        </w:r>
      </w:hyperlink>
      <w:r>
        <w:t xml:space="preserve">.</w:t>
      </w:r>
    </w:p>
    <w:bookmarkEnd w:id="473"/>
    <w:bookmarkStart w:id="475"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4">
        <w:r>
          <w:rPr>
            <w:rStyle w:val="Hyperlink"/>
          </w:rPr>
          <w:t xml:space="preserve">https://data.ecb.europa.eu/data/datasets/ILM</w:t>
        </w:r>
      </w:hyperlink>
      <w:r>
        <w:t xml:space="preserve">.</w:t>
      </w:r>
    </w:p>
    <w:bookmarkEnd w:id="475"/>
    <w:bookmarkStart w:id="477"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6">
        <w:r>
          <w:rPr>
            <w:rStyle w:val="Hyperlink"/>
          </w:rPr>
          <w:t xml:space="preserve">https://www.bankingsupervision.europa.eu/press/pr/date/2026/html/ssm.pr260915~7917ca1416.es.html</w:t>
        </w:r>
      </w:hyperlink>
      <w:r>
        <w:t xml:space="preserve">.</w:t>
      </w:r>
    </w:p>
    <w:bookmarkEnd w:id="477"/>
    <w:bookmarkStart w:id="479"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8">
        <w:r>
          <w:rPr>
            <w:rStyle w:val="Hyperlink"/>
          </w:rPr>
          <w:t xml:space="preserve">https://www.ecb.europa.eu/paym/coll/risk/ecaf/html/index.en.html</w:t>
        </w:r>
      </w:hyperlink>
      <w:r>
        <w:t xml:space="preserve">.</w:t>
      </w:r>
    </w:p>
    <w:bookmarkEnd w:id="479"/>
    <w:bookmarkStart w:id="481"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80">
        <w:r>
          <w:rPr>
            <w:rStyle w:val="Hyperlink"/>
          </w:rPr>
          <w:t xml:space="preserve">https://www.ecb.europa.eu/stats/policy_and_exchange_rates/key_ecb_interest_rates/html/index.en.html</w:t>
        </w:r>
      </w:hyperlink>
      <w:r>
        <w:t xml:space="preserve">.</w:t>
      </w:r>
    </w:p>
    <w:bookmarkEnd w:id="481"/>
    <w:bookmarkStart w:id="483"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82">
        <w:r>
          <w:rPr>
            <w:rStyle w:val="Hyperlink"/>
          </w:rPr>
          <w:t xml:space="preserve">https://www.ecb.europa.eu/stats/ecb_surveys/safe/html/index.en.html</w:t>
        </w:r>
      </w:hyperlink>
      <w:r>
        <w:t xml:space="preserve">.</w:t>
      </w:r>
    </w:p>
    <w:bookmarkEnd w:id="483"/>
    <w:bookmarkStart w:id="485"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4">
        <w:r>
          <w:rPr>
            <w:rStyle w:val="Hyperlink"/>
          </w:rPr>
          <w:t xml:space="preserve">https://www.bde.es/webbe/es/estadisticas/compartido/docs/notaNGEU.pdf</w:t>
        </w:r>
      </w:hyperlink>
      <w:r>
        <w:t xml:space="preserve">.</w:t>
      </w:r>
    </w:p>
    <w:bookmarkEnd w:id="485"/>
    <w:bookmarkStart w:id="487"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6">
        <w:r>
          <w:rPr>
            <w:rStyle w:val="Hyperlink"/>
          </w:rPr>
          <w:t xml:space="preserve">https://www.bde.es/f/webbde/SES/Secciones/Publicaciones/PublicacionesAnuales/InformesAnuales/21/Fich/InfAnual_2021.pdf</w:t>
        </w:r>
      </w:hyperlink>
      <w:r>
        <w:t xml:space="preserve">.</w:t>
      </w:r>
    </w:p>
    <w:bookmarkEnd w:id="487"/>
    <w:bookmarkStart w:id="489" w:name="ref_BdE2024Vivienda"/>
    <w:p>
      <w:pPr>
        <w:pStyle w:val="Bibliography"/>
      </w:pPr>
      <w:r>
        <w:t xml:space="preserve">Banco de España (2024).</w:t>
      </w:r>
      <w:r>
        <w:t xml:space="preserve"> </w:t>
      </w:r>
      <w:r>
        <w:t xml:space="preserve">«El mercado de la vivienda en España: evolución reciente, riesgos y problemas de accesibilidad»</w:t>
      </w:r>
      <w:r>
        <w:t xml:space="preserve">. En</w:t>
      </w:r>
      <w:r>
        <w:t xml:space="preserve"> </w:t>
      </w:r>
      <w:r>
        <w:rPr>
          <w:i/>
          <w:iCs/>
        </w:rPr>
        <w:t xml:space="preserve">Informe Anual 2023</w:t>
      </w:r>
      <w:r>
        <w:t xml:space="preserve">, 230-300. Banco de España.</w:t>
      </w:r>
      <w:r>
        <w:t xml:space="preserve"> </w:t>
      </w:r>
      <w:hyperlink r:id="rId488">
        <w:r>
          <w:rPr>
            <w:rStyle w:val="Hyperlink"/>
          </w:rPr>
          <w:t xml:space="preserve">https://repositorio.bde.es/bitstream/123456789/36492/1/InfAnual_2023_Cap4.pdf</w:t>
        </w:r>
      </w:hyperlink>
      <w:r>
        <w:t xml:space="preserve">.</w:t>
      </w:r>
    </w:p>
    <w:bookmarkEnd w:id="489"/>
    <w:bookmarkStart w:id="491"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90">
        <w:r>
          <w:rPr>
            <w:rStyle w:val="Hyperlink"/>
          </w:rPr>
          <w:t xml:space="preserve">https://www.bde.es/f/webbe/INF/MenuVertical/EstabilidadFinanciera/Colchon_capital/Resolucion_CCA_2025T4.pdf</w:t>
        </w:r>
      </w:hyperlink>
      <w:r>
        <w:t xml:space="preserve">.</w:t>
      </w:r>
    </w:p>
    <w:bookmarkEnd w:id="491"/>
    <w:bookmarkStart w:id="493"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92">
        <w:r>
          <w:rPr>
            <w:rStyle w:val="Hyperlink"/>
          </w:rPr>
          <w:t xml:space="preserve">https://www.bde.es/f/webbe/GAP/Secciones/SalaPrensa/NotasInformativas/26/presbe2026-90.pdf</w:t>
        </w:r>
      </w:hyperlink>
      <w:r>
        <w:t xml:space="preserve">.</w:t>
      </w:r>
    </w:p>
    <w:bookmarkEnd w:id="493"/>
    <w:bookmarkStart w:id="495"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94">
        <w:r>
          <w:rPr>
            <w:rStyle w:val="Hyperlink"/>
          </w:rPr>
          <w:t xml:space="preserve">https://www.bde.es/wbe/es/publicaciones/informes-memorias-anuales/informe-anual/informe-anual-2025.html</w:t>
        </w:r>
      </w:hyperlink>
      <w:r>
        <w:t xml:space="preserve">.</w:t>
      </w:r>
    </w:p>
    <w:bookmarkEnd w:id="495"/>
    <w:bookmarkStart w:id="497"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6">
        <w:r>
          <w:rPr>
            <w:rStyle w:val="Hyperlink"/>
          </w:rPr>
          <w:t xml:space="preserve">https://www.bis.org/publ/arpdf/ar2022e2.htm</w:t>
        </w:r>
      </w:hyperlink>
      <w:r>
        <w:t xml:space="preserve">.</w:t>
      </w:r>
    </w:p>
    <w:bookmarkEnd w:id="497"/>
    <w:bookmarkStart w:id="499"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8">
        <w:r>
          <w:rPr>
            <w:rStyle w:val="Hyperlink"/>
          </w:rPr>
          <w:t xml:space="preserve">https://www.bis.org/publ/arpdf/ar2024e.htm</w:t>
        </w:r>
      </w:hyperlink>
      <w:r>
        <w:t xml:space="preserve">.</w:t>
      </w:r>
    </w:p>
    <w:bookmarkEnd w:id="499"/>
    <w:bookmarkStart w:id="501" w:name="ref_BM2026WDI"/>
    <w:p>
      <w:pPr>
        <w:pStyle w:val="Bibliography"/>
      </w:pPr>
      <w:r>
        <w:t xml:space="preserve">Banco Mundial (2026).</w:t>
      </w:r>
      <w:r>
        <w:t xml:space="preserve"> </w:t>
      </w:r>
      <w:r>
        <w:t xml:space="preserve">«World Development Indicators»</w:t>
      </w:r>
      <w:r>
        <w:t xml:space="preserve">. 2026.</w:t>
      </w:r>
      <w:r>
        <w:t xml:space="preserve"> </w:t>
      </w:r>
      <w:hyperlink r:id="rId500">
        <w:r>
          <w:rPr>
            <w:rStyle w:val="Hyperlink"/>
          </w:rPr>
          <w:t xml:space="preserve">https://data.worldbank.org/indicator/NE.TRD.GNFS.ZS</w:t>
        </w:r>
      </w:hyperlink>
      <w:r>
        <w:t xml:space="preserve">.</w:t>
      </w:r>
    </w:p>
    <w:bookmarkEnd w:id="501"/>
    <w:bookmarkStart w:id="503"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502">
        <w:r>
          <w:rPr>
            <w:rStyle w:val="Hyperlink"/>
          </w:rPr>
          <w:t xml:space="preserve">https://www.bankinter.com/blog/economia/leer-rating-agencias-calificacion-financiera</w:t>
        </w:r>
      </w:hyperlink>
      <w:r>
        <w:t xml:space="preserve">.</w:t>
      </w:r>
    </w:p>
    <w:bookmarkEnd w:id="503"/>
    <w:bookmarkStart w:id="505"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504">
        <w:r>
          <w:rPr>
            <w:rStyle w:val="Hyperlink"/>
          </w:rPr>
          <w:t xml:space="preserve">https://doi.org/10.1086/260266</w:t>
        </w:r>
      </w:hyperlink>
      <w:r>
        <w:t xml:space="preserve">.</w:t>
      </w:r>
    </w:p>
    <w:bookmarkEnd w:id="505"/>
    <w:bookmarkStart w:id="507"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6">
        <w:r>
          <w:rPr>
            <w:rStyle w:val="Hyperlink"/>
          </w:rPr>
          <w:t xml:space="preserve">https://www.bis.org/bcbs/publ/d424.htm</w:t>
        </w:r>
      </w:hyperlink>
      <w:r>
        <w:t xml:space="preserve">.</w:t>
      </w:r>
    </w:p>
    <w:bookmarkEnd w:id="507"/>
    <w:bookmarkStart w:id="508"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8"/>
    <w:bookmarkStart w:id="510"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9">
        <w:r>
          <w:rPr>
            <w:rStyle w:val="Hyperlink"/>
          </w:rPr>
          <w:t xml:space="preserve">https://doi.org/10.1257/jep.28.2.197</w:t>
        </w:r>
      </w:hyperlink>
      <w:r>
        <w:t xml:space="preserve">.</w:t>
      </w:r>
    </w:p>
    <w:bookmarkEnd w:id="510"/>
    <w:bookmarkStart w:id="512"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11">
        <w:r>
          <w:rPr>
            <w:rStyle w:val="Hyperlink"/>
          </w:rPr>
          <w:t xml:space="preserve">https://doi.org/10.1257/aer.109.4.1197</w:t>
        </w:r>
      </w:hyperlink>
      <w:r>
        <w:t xml:space="preserve">.</w:t>
      </w:r>
    </w:p>
    <w:bookmarkEnd w:id="512"/>
    <w:bookmarkStart w:id="514"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13">
        <w:r>
          <w:rPr>
            <w:rStyle w:val="Hyperlink"/>
          </w:rPr>
          <w:t xml:space="preserve">https://doi.org/10.2307/2534495</w:t>
        </w:r>
      </w:hyperlink>
      <w:r>
        <w:t xml:space="preserve">.</w:t>
      </w:r>
    </w:p>
    <w:bookmarkEnd w:id="514"/>
    <w:bookmarkStart w:id="515"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15"/>
    <w:bookmarkStart w:id="516"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6"/>
    <w:bookmarkStart w:id="518"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7">
        <w:r>
          <w:rPr>
            <w:rStyle w:val="Hyperlink"/>
          </w:rPr>
          <w:t xml:space="preserve">https://doi.org/10.1257/jep.5.1.73</w:t>
        </w:r>
      </w:hyperlink>
      <w:r>
        <w:t xml:space="preserve">.</w:t>
      </w:r>
    </w:p>
    <w:bookmarkEnd w:id="518"/>
    <w:bookmarkStart w:id="520"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9">
        <w:r>
          <w:rPr>
            <w:rStyle w:val="Hyperlink"/>
          </w:rPr>
          <w:t xml:space="preserve">https://www.bis.org/publ/work186.htm</w:t>
        </w:r>
      </w:hyperlink>
      <w:r>
        <w:t xml:space="preserve">.</w:t>
      </w:r>
    </w:p>
    <w:bookmarkEnd w:id="520"/>
    <w:bookmarkStart w:id="522"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21">
        <w:r>
          <w:rPr>
            <w:rStyle w:val="Hyperlink"/>
          </w:rPr>
          <w:t xml:space="preserve">https://www.bbvaresearch.com/publicaciones/espana-la-economia-espanola-en-el-primer-ano-de-la-guerra-de-ucrania/</w:t>
        </w:r>
      </w:hyperlink>
      <w:r>
        <w:t xml:space="preserve">.</w:t>
      </w:r>
    </w:p>
    <w:bookmarkEnd w:id="522"/>
    <w:bookmarkStart w:id="524"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23">
        <w:r>
          <w:rPr>
            <w:rStyle w:val="Hyperlink"/>
          </w:rPr>
          <w:t xml:space="preserve">https://doi.org/10.2307/1344503</w:t>
        </w:r>
      </w:hyperlink>
      <w:r>
        <w:t xml:space="preserve">.</w:t>
      </w:r>
    </w:p>
    <w:bookmarkEnd w:id="524"/>
    <w:bookmarkStart w:id="525"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25"/>
    <w:bookmarkStart w:id="527"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6">
        <w:r>
          <w:rPr>
            <w:rStyle w:val="Hyperlink"/>
          </w:rPr>
          <w:t xml:space="preserve">https://doi.org/10.1080/15140326.1998.12040516</w:t>
        </w:r>
      </w:hyperlink>
      <w:r>
        <w:t xml:space="preserve">.</w:t>
      </w:r>
    </w:p>
    <w:bookmarkEnd w:id="527"/>
    <w:bookmarkStart w:id="528"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8"/>
    <w:bookmarkStart w:id="530"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9">
        <w:r>
          <w:rPr>
            <w:rStyle w:val="Hyperlink"/>
          </w:rPr>
          <w:t xml:space="preserve">https://doi.org/10.1162/003355302753650274</w:t>
        </w:r>
      </w:hyperlink>
      <w:r>
        <w:t xml:space="preserve">.</w:t>
      </w:r>
    </w:p>
    <w:bookmarkEnd w:id="530"/>
    <w:bookmarkStart w:id="532"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31">
        <w:r>
          <w:rPr>
            <w:rStyle w:val="Hyperlink"/>
          </w:rPr>
          <w:t xml:space="preserve">https://doi.org/10.1162/003465305775098189</w:t>
        </w:r>
      </w:hyperlink>
      <w:r>
        <w:t xml:space="preserve">.</w:t>
      </w:r>
    </w:p>
    <w:bookmarkEnd w:id="532"/>
    <w:bookmarkStart w:id="533"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33"/>
    <w:bookmarkStart w:id="535"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34">
        <w:r>
          <w:rPr>
            <w:rStyle w:val="Hyperlink"/>
          </w:rPr>
          <w:t xml:space="preserve">https://doi.org/10.1093/jeea/jvx028</w:t>
        </w:r>
      </w:hyperlink>
      <w:r>
        <w:t xml:space="preserve">.</w:t>
      </w:r>
    </w:p>
    <w:bookmarkEnd w:id="535"/>
    <w:bookmarkStart w:id="536"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6"/>
    <w:bookmarkStart w:id="538" w:name="ref_Carozzi2024HelpToBuy"/>
    <w:p>
      <w:pPr>
        <w:pStyle w:val="Bibliography"/>
      </w:pPr>
      <w:r>
        <w:t xml:space="preserve">Carozzi, Felipe, Christian A. L. Hilber y Xiaolun Yu (2024).</w:t>
      </w:r>
      <w:r>
        <w:t xml:space="preserve"> </w:t>
      </w:r>
      <w:r>
        <w:t xml:space="preserve">«On the economic impacts of mortgage credit expansion policies: evidence from Help to Buy»</w:t>
      </w:r>
      <w:r>
        <w:t xml:space="preserve">.</w:t>
      </w:r>
      <w:r>
        <w:t xml:space="preserve"> </w:t>
      </w:r>
      <w:r>
        <w:rPr>
          <w:i/>
          <w:iCs/>
        </w:rPr>
        <w:t xml:space="preserve">Journal of Urban Economics</w:t>
      </w:r>
      <w:r>
        <w:t xml:space="preserve"> </w:t>
      </w:r>
      <w:r>
        <w:t xml:space="preserve">139: 103611.</w:t>
      </w:r>
      <w:r>
        <w:t xml:space="preserve"> </w:t>
      </w:r>
      <w:hyperlink r:id="rId537">
        <w:r>
          <w:rPr>
            <w:rStyle w:val="Hyperlink"/>
          </w:rPr>
          <w:t xml:space="preserve">https://doi.org/10.1016/j.jue.2023.103611</w:t>
        </w:r>
      </w:hyperlink>
      <w:r>
        <w:t xml:space="preserve">.</w:t>
      </w:r>
    </w:p>
    <w:bookmarkEnd w:id="538"/>
    <w:bookmarkStart w:id="540"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9">
        <w:r>
          <w:rPr>
            <w:rStyle w:val="Hyperlink"/>
          </w:rPr>
          <w:t xml:space="preserve">https://doi.org/10.1016/j.jinteco.2014.05.003</w:t>
        </w:r>
      </w:hyperlink>
      <w:r>
        <w:t xml:space="preserve">.</w:t>
      </w:r>
    </w:p>
    <w:bookmarkEnd w:id="540"/>
    <w:bookmarkStart w:id="542"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41">
        <w:r>
          <w:rPr>
            <w:rStyle w:val="Hyperlink"/>
          </w:rPr>
          <w:t xml:space="preserve">https://www.ecb.europa.eu/press/economic-bulletin/focus/2022/html/ecb.ebbox202207_04~a89ec1a6fe.en.html</w:t>
        </w:r>
      </w:hyperlink>
      <w:r>
        <w:t xml:space="preserve">.</w:t>
      </w:r>
    </w:p>
    <w:bookmarkEnd w:id="542"/>
    <w:bookmarkStart w:id="543"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43"/>
    <w:bookmarkStart w:id="545"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44">
        <w:r>
          <w:rPr>
            <w:rStyle w:val="Hyperlink"/>
          </w:rPr>
          <w:t xml:space="preserve">https://eur-lex.europa.eu/legal-content/ES/TXT/?uri=CELEX:52015PC0586</w:t>
        </w:r>
      </w:hyperlink>
      <w:r>
        <w:t xml:space="preserve">.</w:t>
      </w:r>
    </w:p>
    <w:bookmarkEnd w:id="545"/>
    <w:bookmarkStart w:id="547"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46">
        <w:r>
          <w:rPr>
            <w:rStyle w:val="Hyperlink"/>
          </w:rPr>
          <w:t xml:space="preserve">https://eur-lex.europa.eu/legal-content/ES/TXT/?uri=CELEX:52022DC0230</w:t>
        </w:r>
      </w:hyperlink>
      <w:r>
        <w:t xml:space="preserve">.</w:t>
      </w:r>
    </w:p>
    <w:bookmarkEnd w:id="547"/>
    <w:bookmarkStart w:id="549"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8">
        <w:r>
          <w:rPr>
            <w:rStyle w:val="Hyperlink"/>
          </w:rPr>
          <w:t xml:space="preserve">https://doi.org/10.2765/022983</w:t>
        </w:r>
      </w:hyperlink>
      <w:r>
        <w:t xml:space="preserve">.</w:t>
      </w:r>
    </w:p>
    <w:bookmarkEnd w:id="549"/>
    <w:bookmarkStart w:id="551"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50">
        <w:r>
          <w:rPr>
            <w:rStyle w:val="Hyperlink"/>
          </w:rPr>
          <w:t xml:space="preserve">https://data.consilium.europa.eu/doc/document/ST-17077-2024-ADD-1/en/pdf</w:t>
        </w:r>
      </w:hyperlink>
      <w:r>
        <w:t xml:space="preserve">.</w:t>
      </w:r>
    </w:p>
    <w:bookmarkEnd w:id="551"/>
    <w:bookmarkStart w:id="553"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52">
        <w:r>
          <w:rPr>
            <w:rStyle w:val="Hyperlink"/>
          </w:rPr>
          <w:t xml:space="preserve">https://eur-lex.europa.eu/legal-content/EN/ALL/?uri=CELEX:52025DC0956</w:t>
        </w:r>
      </w:hyperlink>
      <w:r>
        <w:t xml:space="preserve">.</w:t>
      </w:r>
    </w:p>
    <w:bookmarkEnd w:id="553"/>
    <w:bookmarkStart w:id="555"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54">
        <w:r>
          <w:rPr>
            <w:rStyle w:val="Hyperlink"/>
          </w:rPr>
          <w:t xml:space="preserve">https://economy-finance.ec.europa.eu/economic-forecast-and-surveys/business-and-consumer-surveys_en</w:t>
        </w:r>
      </w:hyperlink>
      <w:r>
        <w:t xml:space="preserve">.</w:t>
      </w:r>
    </w:p>
    <w:bookmarkEnd w:id="555"/>
    <w:bookmarkStart w:id="556"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56"/>
    <w:bookmarkStart w:id="558"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57">
        <w:r>
          <w:rPr>
            <w:rStyle w:val="Hyperlink"/>
          </w:rPr>
          <w:t xml:space="preserve">https://economy-finance.ec.europa.eu/economic-research-and-databases/economic-databases/ameco-database_en</w:t>
        </w:r>
      </w:hyperlink>
      <w:r>
        <w:t xml:space="preserve">.</w:t>
      </w:r>
    </w:p>
    <w:bookmarkEnd w:id="558"/>
    <w:bookmarkStart w:id="560"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9">
        <w:r>
          <w:rPr>
            <w:rStyle w:val="Hyperlink"/>
          </w:rPr>
          <w:t xml:space="preserve">https://www.bis.org/publ/bcbs187.htm</w:t>
        </w:r>
      </w:hyperlink>
      <w:r>
        <w:t xml:space="preserve">.</w:t>
      </w:r>
    </w:p>
    <w:bookmarkEnd w:id="560"/>
    <w:bookmarkStart w:id="562"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61">
        <w:r>
          <w:rPr>
            <w:rStyle w:val="Hyperlink"/>
          </w:rPr>
          <w:t xml:space="preserve">https://www.bis.org/publ/bcbs189.htm</w:t>
        </w:r>
      </w:hyperlink>
      <w:r>
        <w:t xml:space="preserve">.</w:t>
      </w:r>
    </w:p>
    <w:bookmarkEnd w:id="562"/>
    <w:bookmarkStart w:id="564"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63">
        <w:r>
          <w:rPr>
            <w:rStyle w:val="Hyperlink"/>
          </w:rPr>
          <w:t xml:space="preserve">https://www.bis.org/publ/bcbs238.htm</w:t>
        </w:r>
      </w:hyperlink>
      <w:r>
        <w:t xml:space="preserve">.</w:t>
      </w:r>
    </w:p>
    <w:bookmarkEnd w:id="564"/>
    <w:bookmarkStart w:id="566"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65">
        <w:r>
          <w:rPr>
            <w:rStyle w:val="Hyperlink"/>
          </w:rPr>
          <w:t xml:space="preserve">https://www.bis.org/bcbs/publ/d295.htm</w:t>
        </w:r>
      </w:hyperlink>
      <w:r>
        <w:t xml:space="preserve">.</w:t>
      </w:r>
    </w:p>
    <w:bookmarkEnd w:id="566"/>
    <w:bookmarkStart w:id="568"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67">
        <w:r>
          <w:rPr>
            <w:rStyle w:val="Hyperlink"/>
          </w:rPr>
          <w:t xml:space="preserve">https://eur-lex.europa.eu/legal-content/ES/TXT/?uri=CELEX:32013R1024</w:t>
        </w:r>
      </w:hyperlink>
      <w:r>
        <w:t xml:space="preserve">.</w:t>
      </w:r>
    </w:p>
    <w:bookmarkEnd w:id="568"/>
    <w:bookmarkStart w:id="570"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9">
        <w:r>
          <w:rPr>
            <w:rStyle w:val="Hyperlink"/>
          </w:rPr>
          <w:t xml:space="preserve">https://eur-lex.europa.eu/eli/reg/2024/1264/oj</w:t>
        </w:r>
      </w:hyperlink>
      <w:r>
        <w:t xml:space="preserve">.</w:t>
      </w:r>
    </w:p>
    <w:bookmarkEnd w:id="570"/>
    <w:bookmarkStart w:id="572"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71">
        <w:r>
          <w:rPr>
            <w:rStyle w:val="Hyperlink"/>
          </w:rPr>
          <w:t xml:space="preserve">https://doi.org/10.2307/2232670</w:t>
        </w:r>
      </w:hyperlink>
      <w:r>
        <w:t xml:space="preserve">.</w:t>
      </w:r>
    </w:p>
    <w:bookmarkEnd w:id="572"/>
    <w:bookmarkStart w:id="573" w:name="ref_GuiaDictamenJLCT"/>
    <w:p>
      <w:pPr>
        <w:pStyle w:val="Bibliography"/>
      </w:pPr>
      <w:r>
        <w:t xml:space="preserve">Cordero Tarifa, Juan Luis (s. f.).</w:t>
      </w:r>
      <w:r>
        <w:t xml:space="preserve"> </w:t>
      </w:r>
      <w:r>
        <w:t xml:space="preserve">«Guía de dictamen económico»</w:t>
      </w:r>
      <w:r>
        <w:t xml:space="preserve">.</w:t>
      </w:r>
    </w:p>
    <w:bookmarkEnd w:id="573"/>
    <w:bookmarkStart w:id="574"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74"/>
    <w:bookmarkStart w:id="575"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75"/>
    <w:bookmarkStart w:id="577"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76">
        <w:r>
          <w:rPr>
            <w:rStyle w:val="Hyperlink"/>
          </w:rPr>
          <w:t xml:space="preserve">https://doi.org/10.7208/chicago/9780226194578.003.0002</w:t>
        </w:r>
      </w:hyperlink>
      <w:r>
        <w:t xml:space="preserve">.</w:t>
      </w:r>
    </w:p>
    <w:bookmarkEnd w:id="577"/>
    <w:bookmarkStart w:id="579"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8">
        <w:r>
          <w:rPr>
            <w:rStyle w:val="Hyperlink"/>
          </w:rPr>
          <w:t xml:space="preserve">https://doi.org/10.1162/003465398557320</w:t>
        </w:r>
      </w:hyperlink>
      <w:r>
        <w:t xml:space="preserve">.</w:t>
      </w:r>
    </w:p>
    <w:bookmarkEnd w:id="579"/>
    <w:bookmarkStart w:id="581"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80">
        <w:r>
          <w:rPr>
            <w:rStyle w:val="Hyperlink"/>
          </w:rPr>
          <w:t xml:space="preserve">https://www.eba.europa.eu/risk-and-data-analysis/risk-analysis/risk-monitoring/risk-dashboard</w:t>
        </w:r>
      </w:hyperlink>
      <w:r>
        <w:t xml:space="preserve">.</w:t>
      </w:r>
    </w:p>
    <w:bookmarkEnd w:id="581"/>
    <w:bookmarkStart w:id="583"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82">
        <w:r>
          <w:rPr>
            <w:rStyle w:val="Hyperlink"/>
          </w:rPr>
          <w:t xml:space="preserve">https://www.eba.europa.eu/sites/default/files/2026-09/26394108-1837-4b5b-bce2-fba1d3c574b1/EBA%20Dashboard%20-%20Q2%202026.pdf</w:t>
        </w:r>
      </w:hyperlink>
      <w:r>
        <w:t xml:space="preserve">.</w:t>
      </w:r>
    </w:p>
    <w:bookmarkEnd w:id="583"/>
    <w:bookmarkStart w:id="585"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84">
        <w:r>
          <w:rPr>
            <w:rStyle w:val="Hyperlink"/>
          </w:rPr>
          <w:t xml:space="preserve">https://commission.europa.eu/system/files/2021-06/2021_06_16_efb_assessment_of_euro_area_fiscal_stance_en.pdf</w:t>
        </w:r>
      </w:hyperlink>
      <w:r>
        <w:t xml:space="preserve">.</w:t>
      </w:r>
    </w:p>
    <w:bookmarkEnd w:id="585"/>
    <w:bookmarkStart w:id="587"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86">
        <w:r>
          <w:rPr>
            <w:rStyle w:val="Hyperlink"/>
          </w:rPr>
          <w:t xml:space="preserve">https://ec.europa.eu/eurostat/web/products-euro-indicators/-/2-22042013-ap</w:t>
        </w:r>
      </w:hyperlink>
      <w:r>
        <w:t xml:space="preserve">.</w:t>
      </w:r>
    </w:p>
    <w:bookmarkEnd w:id="587"/>
    <w:bookmarkStart w:id="589"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8">
        <w:r>
          <w:rPr>
            <w:rStyle w:val="Hyperlink"/>
          </w:rPr>
          <w:t xml:space="preserve">https://ec.europa.eu/eurostat/statistics-explained/index.php?title=Glossary:Housing_cost_overburden_rate</w:t>
        </w:r>
      </w:hyperlink>
      <w:r>
        <w:t xml:space="preserve">.</w:t>
      </w:r>
    </w:p>
    <w:bookmarkEnd w:id="589"/>
    <w:bookmarkStart w:id="591"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90">
        <w:r>
          <w:rPr>
            <w:rStyle w:val="Hyperlink"/>
          </w:rPr>
          <w:t xml:space="preserve">https://ec.europa.eu/eurostat/statistics-explained/index.php?title=The_Macroeconomic_Imbalance_Procedure_(MIP)_introduced</w:t>
        </w:r>
      </w:hyperlink>
      <w:r>
        <w:t xml:space="preserve">.</w:t>
      </w:r>
    </w:p>
    <w:bookmarkEnd w:id="591"/>
    <w:bookmarkStart w:id="593"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92">
        <w:r>
          <w:rPr>
            <w:rStyle w:val="Hyperlink"/>
          </w:rPr>
          <w:t xml:space="preserve">https://ec.europa.eu/eurostat/databrowser/view/lfsq_argan/default/table</w:t>
        </w:r>
      </w:hyperlink>
      <w:r>
        <w:t xml:space="preserve">.</w:t>
      </w:r>
    </w:p>
    <w:bookmarkEnd w:id="593"/>
    <w:bookmarkStart w:id="595"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94">
        <w:r>
          <w:rPr>
            <w:rStyle w:val="Hyperlink"/>
          </w:rPr>
          <w:t xml:space="preserve">https://ec.europa.eu/eurostat/databrowser/view/lfsa_argan/default/table</w:t>
        </w:r>
      </w:hyperlink>
      <w:r>
        <w:t xml:space="preserve">.</w:t>
      </w:r>
    </w:p>
    <w:bookmarkEnd w:id="595"/>
    <w:bookmarkStart w:id="597"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96">
        <w:r>
          <w:rPr>
            <w:rStyle w:val="Hyperlink"/>
          </w:rPr>
          <w:t xml:space="preserve">https://ec.europa.eu/eurostat/databrowser/view/namq_10_a10_e/default/table</w:t>
        </w:r>
      </w:hyperlink>
      <w:r>
        <w:t xml:space="preserve">.</w:t>
      </w:r>
    </w:p>
    <w:bookmarkEnd w:id="597"/>
    <w:bookmarkStart w:id="599"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8">
        <w:r>
          <w:rPr>
            <w:rStyle w:val="Hyperlink"/>
          </w:rPr>
          <w:t xml:space="preserve">https://ec.europa.eu/eurostat/databrowser/view/namq_10_gdp/default/table</w:t>
        </w:r>
      </w:hyperlink>
      <w:r>
        <w:t xml:space="preserve">.</w:t>
      </w:r>
    </w:p>
    <w:bookmarkEnd w:id="599"/>
    <w:bookmarkStart w:id="601"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600">
        <w:r>
          <w:rPr>
            <w:rStyle w:val="Hyperlink"/>
          </w:rPr>
          <w:t xml:space="preserve">https://ec.europa.eu/eurostat/databrowser/view/nama_10_gdp/default/table</w:t>
        </w:r>
      </w:hyperlink>
      <w:r>
        <w:t xml:space="preserve">.</w:t>
      </w:r>
    </w:p>
    <w:bookmarkEnd w:id="601"/>
    <w:bookmarkStart w:id="603"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602">
        <w:r>
          <w:rPr>
            <w:rStyle w:val="Hyperlink"/>
          </w:rPr>
          <w:t xml:space="preserve">https://ec.europa.eu/eurostat/databrowser/view/nama_10_a10/default/table</w:t>
        </w:r>
      </w:hyperlink>
      <w:r>
        <w:t xml:space="preserve">.</w:t>
      </w:r>
    </w:p>
    <w:bookmarkEnd w:id="603"/>
    <w:bookmarkStart w:id="605"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604">
        <w:r>
          <w:rPr>
            <w:rStyle w:val="Hyperlink"/>
          </w:rPr>
          <w:t xml:space="preserve">https://ec.europa.eu/eurostat/databrowser/view/prc_hicp_minr/default/table</w:t>
        </w:r>
      </w:hyperlink>
      <w:r>
        <w:t xml:space="preserve">.</w:t>
      </w:r>
    </w:p>
    <w:bookmarkEnd w:id="605"/>
    <w:bookmarkStart w:id="607"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606">
        <w:r>
          <w:rPr>
            <w:rStyle w:val="Hyperlink"/>
          </w:rPr>
          <w:t xml:space="preserve">https://ec.europa.eu/eurostat/databrowser/view/jvs_q_r21/default/table</w:t>
        </w:r>
      </w:hyperlink>
      <w:r>
        <w:t xml:space="preserve">.</w:t>
      </w:r>
    </w:p>
    <w:bookmarkEnd w:id="607"/>
    <w:bookmarkStart w:id="609"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8">
        <w:r>
          <w:rPr>
            <w:rStyle w:val="Hyperlink"/>
          </w:rPr>
          <w:t xml:space="preserve">https://ec.europa.eu/eurostat/databrowser/view/une_rt_q/default/table</w:t>
        </w:r>
      </w:hyperlink>
      <w:r>
        <w:t xml:space="preserve">.</w:t>
      </w:r>
    </w:p>
    <w:bookmarkEnd w:id="609"/>
    <w:bookmarkStart w:id="610" w:name="ref_Fack2006Ayudas"/>
    <w:p>
      <w:pPr>
        <w:pStyle w:val="Bibliography"/>
      </w:pPr>
      <w:r>
        <w:t xml:space="preserve">Fack, Gabrielle (2006).</w:t>
      </w:r>
      <w:r>
        <w:t xml:space="preserve"> </w:t>
      </w:r>
      <w:r>
        <w:t xml:space="preserve">«Are housing benefit an effective way to redistribute income? Evidence from a natural experiment in France»</w:t>
      </w:r>
      <w:r>
        <w:t xml:space="preserve">.</w:t>
      </w:r>
      <w:r>
        <w:t xml:space="preserve"> </w:t>
      </w:r>
      <w:r>
        <w:rPr>
          <w:i/>
          <w:iCs/>
        </w:rPr>
        <w:t xml:space="preserve">Labour Economics</w:t>
      </w:r>
      <w:r>
        <w:t xml:space="preserve"> </w:t>
      </w:r>
      <w:r>
        <w:t xml:space="preserve">13 (6): 747-71.</w:t>
      </w:r>
    </w:p>
    <w:bookmarkEnd w:id="610"/>
    <w:bookmarkStart w:id="612"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11">
        <w:r>
          <w:rPr>
            <w:rStyle w:val="Hyperlink"/>
          </w:rPr>
          <w:t xml:space="preserve">https://doi.org/10.1093/qje/qjz036</w:t>
        </w:r>
      </w:hyperlink>
      <w:r>
        <w:t xml:space="preserve">.</w:t>
      </w:r>
    </w:p>
    <w:bookmarkEnd w:id="612"/>
    <w:bookmarkStart w:id="614"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13">
        <w:r>
          <w:rPr>
            <w:rStyle w:val="Hyperlink"/>
          </w:rPr>
          <w:t xml:space="preserve">https://www.levyinstitute.org/pubs/wp_651.pdf</w:t>
        </w:r>
      </w:hyperlink>
      <w:r>
        <w:t xml:space="preserve">.</w:t>
      </w:r>
    </w:p>
    <w:bookmarkEnd w:id="614"/>
    <w:bookmarkStart w:id="616"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15">
        <w:r>
          <w:rPr>
            <w:rStyle w:val="Hyperlink"/>
          </w:rPr>
          <w:t xml:space="preserve">https://doi.org/10.2307/1907327</w:t>
        </w:r>
      </w:hyperlink>
      <w:r>
        <w:t xml:space="preserve">.</w:t>
      </w:r>
    </w:p>
    <w:bookmarkEnd w:id="616"/>
    <w:bookmarkStart w:id="618"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17">
        <w:r>
          <w:rPr>
            <w:rStyle w:val="Hyperlink"/>
          </w:rPr>
          <w:t xml:space="preserve">https://www.imf.org/external/pubs/ft/bop/2007/pdf/bpm6.pdf</w:t>
        </w:r>
      </w:hyperlink>
      <w:r>
        <w:t xml:space="preserve">.</w:t>
      </w:r>
    </w:p>
    <w:bookmarkEnd w:id="618"/>
    <w:bookmarkStart w:id="620"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9">
        <w:r>
          <w:rPr>
            <w:rStyle w:val="Hyperlink"/>
          </w:rPr>
          <w:t xml:space="preserve">https://www.imf.org/external/np/pp/eng/2011/021411b.pdf</w:t>
        </w:r>
      </w:hyperlink>
      <w:r>
        <w:t xml:space="preserve">.</w:t>
      </w:r>
    </w:p>
    <w:bookmarkEnd w:id="620"/>
    <w:bookmarkStart w:id="622"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21">
        <w:r>
          <w:rPr>
            <w:rStyle w:val="Hyperlink"/>
          </w:rPr>
          <w:t xml:space="preserve">https://www.imf.org/external/np/pp/eng/2012/111412.pdf</w:t>
        </w:r>
      </w:hyperlink>
      <w:r>
        <w:t xml:space="preserve">.</w:t>
      </w:r>
    </w:p>
    <w:bookmarkEnd w:id="622"/>
    <w:bookmarkStart w:id="623"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23"/>
    <w:bookmarkStart w:id="624"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24"/>
    <w:bookmarkStart w:id="626"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25">
        <w:r>
          <w:rPr>
            <w:rStyle w:val="Hyperlink"/>
          </w:rPr>
          <w:t xml:space="preserve">https://www.imf.org/en/Publications/FM/Issues/2018/10/04/fiscal-monitor-october-2018</w:t>
        </w:r>
      </w:hyperlink>
      <w:r>
        <w:t xml:space="preserve">.</w:t>
      </w:r>
    </w:p>
    <w:bookmarkEnd w:id="626"/>
    <w:bookmarkStart w:id="627"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27"/>
    <w:bookmarkStart w:id="628"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28"/>
    <w:bookmarkStart w:id="629"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9"/>
    <w:bookmarkStart w:id="631"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30">
        <w:r>
          <w:rPr>
            <w:rStyle w:val="Hyperlink"/>
          </w:rPr>
          <w:t xml:space="preserve">https://www.edx.org/es/learn/finance/the-international-monetary-fund-financial-programming-and-policies-part-1-macroeconomic-accounts-analysis</w:t>
        </w:r>
      </w:hyperlink>
      <w:r>
        <w:t xml:space="preserve">.</w:t>
      </w:r>
    </w:p>
    <w:bookmarkEnd w:id="631"/>
    <w:bookmarkStart w:id="633"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32">
        <w:r>
          <w:rPr>
            <w:rStyle w:val="Hyperlink"/>
          </w:rPr>
          <w:t xml:space="preserve">https://www.edx.org/es/course/programacion-y-politicas-financieras-parte-1-cue-2</w:t>
        </w:r>
      </w:hyperlink>
      <w:r>
        <w:t xml:space="preserve">.</w:t>
      </w:r>
    </w:p>
    <w:bookmarkEnd w:id="633"/>
    <w:bookmarkStart w:id="634"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34"/>
    <w:bookmarkStart w:id="636"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35">
        <w:r>
          <w:rPr>
            <w:rStyle w:val="Hyperlink"/>
          </w:rPr>
          <w:t xml:space="preserve">https://www.imf.org/es/Publications/FM/Issues/2023/04/03/fiscal-monitor-april-2023</w:t>
        </w:r>
      </w:hyperlink>
      <w:r>
        <w:t xml:space="preserve">.</w:t>
      </w:r>
    </w:p>
    <w:bookmarkEnd w:id="636"/>
    <w:bookmarkStart w:id="638"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37">
        <w:r>
          <w:rPr>
            <w:rStyle w:val="Hyperlink"/>
          </w:rPr>
          <w:t xml:space="preserve">https://doi.org/10.5089/9798400230622.002.A001</w:t>
        </w:r>
      </w:hyperlink>
      <w:r>
        <w:t xml:space="preserve">.</w:t>
      </w:r>
    </w:p>
    <w:bookmarkEnd w:id="638"/>
    <w:bookmarkStart w:id="640"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9">
        <w:r>
          <w:rPr>
            <w:rStyle w:val="Hyperlink"/>
          </w:rPr>
          <w:t xml:space="preserve">https://www.imf.org/en/news/articles/2025/03/20/pr25072-imf-and-statistical-community-release-new-global-standards-for-macroeconomic-stats</w:t>
        </w:r>
      </w:hyperlink>
      <w:r>
        <w:t xml:space="preserve">.</w:t>
      </w:r>
    </w:p>
    <w:bookmarkEnd w:id="640"/>
    <w:bookmarkStart w:id="642"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41">
        <w:r>
          <w:rPr>
            <w:rStyle w:val="Hyperlink"/>
          </w:rPr>
          <w:t xml:space="preserve">https://www.imf.org/en/About/Factsheets/Sheets/2023/IMF-Conditionality</w:t>
        </w:r>
      </w:hyperlink>
      <w:r>
        <w:t xml:space="preserve">.</w:t>
      </w:r>
    </w:p>
    <w:bookmarkEnd w:id="642"/>
    <w:bookmarkStart w:id="644"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43">
        <w:r>
          <w:rPr>
            <w:rStyle w:val="Hyperlink"/>
          </w:rPr>
          <w:t xml:space="preserve">https://data.imf.org/en/Dashboards/FM%20Dashboard</w:t>
        </w:r>
      </w:hyperlink>
      <w:r>
        <w:t xml:space="preserve">.</w:t>
      </w:r>
    </w:p>
    <w:bookmarkEnd w:id="644"/>
    <w:bookmarkStart w:id="646"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45">
        <w:r>
          <w:rPr>
            <w:rStyle w:val="Hyperlink"/>
          </w:rPr>
          <w:t xml:space="preserve">https://www.imf.org/en/About/executive-board/Article-IV</w:t>
        </w:r>
      </w:hyperlink>
      <w:r>
        <w:t xml:space="preserve">.</w:t>
      </w:r>
    </w:p>
    <w:bookmarkEnd w:id="646"/>
    <w:bookmarkStart w:id="648"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47">
        <w:r>
          <w:rPr>
            <w:rStyle w:val="Hyperlink"/>
          </w:rPr>
          <w:t xml:space="preserve">https://www.imf.org/en/publications/cr/issues/2026/05/21/spain-2026-article-iv-consultation-press-release-staff-report-and-statement-by-the-576248</w:t>
        </w:r>
      </w:hyperlink>
      <w:r>
        <w:t xml:space="preserve">.</w:t>
      </w:r>
    </w:p>
    <w:bookmarkEnd w:id="648"/>
    <w:bookmarkStart w:id="650"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9">
        <w:r>
          <w:rPr>
            <w:rStyle w:val="Hyperlink"/>
          </w:rPr>
          <w:t xml:space="preserve">https://www.imf.org/en/publications/weo/issues/2026/10/13/world-economic-outlook-october-2026</w:t>
        </w:r>
      </w:hyperlink>
      <w:r>
        <w:t xml:space="preserve">.</w:t>
      </w:r>
    </w:p>
    <w:bookmarkEnd w:id="650"/>
    <w:bookmarkStart w:id="651"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51"/>
    <w:bookmarkStart w:id="652" w:name="ref_GarciaLopez2020Airbnb"/>
    <w:p>
      <w:pPr>
        <w:pStyle w:val="Bibliography"/>
      </w:pPr>
      <w:r>
        <w:t xml:space="preserve">Garcia-López, Miquel-Àngel, Jordi Jofre-Monseny, Rodrigo Martínez-Mazza y Mariona Segú (2020).</w:t>
      </w:r>
      <w:r>
        <w:t xml:space="preserve"> </w:t>
      </w:r>
      <w:r>
        <w:t xml:space="preserve">«Do short-term rental platforms affect housing markets? Evidence from Airbnb in Barcelona»</w:t>
      </w:r>
      <w:r>
        <w:t xml:space="preserve">.</w:t>
      </w:r>
      <w:r>
        <w:t xml:space="preserve"> </w:t>
      </w:r>
      <w:r>
        <w:rPr>
          <w:i/>
          <w:iCs/>
        </w:rPr>
        <w:t xml:space="preserve">Journal of Urban Economics</w:t>
      </w:r>
      <w:r>
        <w:t xml:space="preserve"> </w:t>
      </w:r>
      <w:r>
        <w:t xml:space="preserve">119: 103278.</w:t>
      </w:r>
    </w:p>
    <w:bookmarkEnd w:id="652"/>
    <w:bookmarkStart w:id="65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53">
        <w:r>
          <w:rPr>
            <w:rStyle w:val="Hyperlink"/>
          </w:rPr>
          <w:t xml:space="preserve">https://doi.org/10.1086/654131</w:t>
        </w:r>
      </w:hyperlink>
      <w:r>
        <w:t xml:space="preserve">.</w:t>
      </w:r>
    </w:p>
    <w:bookmarkEnd w:id="654"/>
    <w:bookmarkStart w:id="65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55">
        <w:r>
          <w:rPr>
            <w:rStyle w:val="Hyperlink"/>
          </w:rPr>
          <w:t xml:space="preserve">https://doi.org/10.1257/aer.20171201</w:t>
        </w:r>
      </w:hyperlink>
      <w:r>
        <w:t xml:space="preserve">.</w:t>
      </w:r>
    </w:p>
    <w:bookmarkEnd w:id="656"/>
    <w:bookmarkStart w:id="65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57">
        <w:r>
          <w:rPr>
            <w:rStyle w:val="Hyperlink"/>
          </w:rPr>
          <w:t xml:space="preserve">https://doi.org/10.1111/j.1468-0335.2009.00815.x</w:t>
        </w:r>
      </w:hyperlink>
      <w:r>
        <w:t xml:space="preserve">.</w:t>
      </w:r>
    </w:p>
    <w:bookmarkEnd w:id="658"/>
    <w:bookmarkStart w:id="660" w:name="ref_BdF2023AyudasVivienda"/>
    <w:p>
      <w:pPr>
        <w:pStyle w:val="Bibliography"/>
      </w:pPr>
      <w:r>
        <w:t xml:space="preserve">Grislain-Letrémy, Céline y Corentin Trevien (2023).</w:t>
      </w:r>
      <w:r>
        <w:t xml:space="preserve"> </w:t>
      </w:r>
      <w:r>
        <w:t xml:space="preserve">«Housing subsidies: a smaller upward impact on rents if supply adjusts»</w:t>
      </w:r>
      <w:r>
        <w:t xml:space="preserve">. Bloc-notes Éco, billet n.º 302. Banque de France. 30 de enero de 2023.</w:t>
      </w:r>
      <w:r>
        <w:t xml:space="preserve"> </w:t>
      </w:r>
      <w:hyperlink r:id="rId659">
        <w:r>
          <w:rPr>
            <w:rStyle w:val="Hyperlink"/>
          </w:rPr>
          <w:t xml:space="preserve">https://www.banque-france.fr/en/publications-and-statistics/publications/housing-subsidies-smaller-upward-impact-rents-if-supply-adjusts</w:t>
        </w:r>
      </w:hyperlink>
      <w:r>
        <w:t xml:space="preserve">.</w:t>
      </w:r>
    </w:p>
    <w:bookmarkEnd w:id="660"/>
    <w:bookmarkStart w:id="661"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61"/>
    <w:bookmarkStart w:id="663"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62">
        <w:r>
          <w:rPr>
            <w:rStyle w:val="Hyperlink"/>
          </w:rPr>
          <w:t xml:space="preserve">https://doi.org/10.1111/jeea.12083</w:t>
        </w:r>
      </w:hyperlink>
      <w:r>
        <w:t xml:space="preserve">.</w:t>
      </w:r>
    </w:p>
    <w:bookmarkEnd w:id="663"/>
    <w:bookmarkStart w:id="665"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64">
        <w:r>
          <w:rPr>
            <w:rStyle w:val="Hyperlink"/>
          </w:rPr>
          <w:t xml:space="preserve">https://doi.org/10.1086/260724</w:t>
        </w:r>
      </w:hyperlink>
      <w:r>
        <w:t xml:space="preserve">.</w:t>
      </w:r>
    </w:p>
    <w:bookmarkEnd w:id="665"/>
    <w:bookmarkStart w:id="667"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66">
        <w:r>
          <w:rPr>
            <w:rStyle w:val="Hyperlink"/>
          </w:rPr>
          <w:t xml:space="preserve">https://doi.org/10.2765/71437</w:t>
        </w:r>
      </w:hyperlink>
      <w:r>
        <w:t xml:space="preserve">.</w:t>
      </w:r>
    </w:p>
    <w:bookmarkEnd w:id="667"/>
    <w:bookmarkStart w:id="668"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68"/>
    <w:bookmarkStart w:id="670"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69">
        <w:r>
          <w:rPr>
            <w:rStyle w:val="Hyperlink"/>
          </w:rPr>
          <w:t xml:space="preserve">https://doi.org/10.2307/2953682</w:t>
        </w:r>
      </w:hyperlink>
      <w:r>
        <w:t xml:space="preserve">.</w:t>
      </w:r>
    </w:p>
    <w:bookmarkEnd w:id="670"/>
    <w:bookmarkStart w:id="672"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71">
        <w:r>
          <w:rPr>
            <w:rStyle w:val="Hyperlink"/>
          </w:rPr>
          <w:t xml:space="preserve">https://www.ine.es/dyngs/INEbase/es/operacion.htm?c=Estadistica_C&amp;cid=1254736176918&amp;menu=metodologia&amp;idp=1254735976595</w:t>
        </w:r>
      </w:hyperlink>
      <w:r>
        <w:t xml:space="preserve">.</w:t>
      </w:r>
    </w:p>
    <w:bookmarkEnd w:id="672"/>
    <w:bookmarkStart w:id="674"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73">
        <w:r>
          <w:rPr>
            <w:rStyle w:val="Hyperlink"/>
          </w:rPr>
          <w:t xml:space="preserve">https://www.ine.es/metodologia/t25/metodologia_IPC_base_2025.pdf</w:t>
        </w:r>
      </w:hyperlink>
      <w:r>
        <w:t xml:space="preserve">.</w:t>
      </w:r>
    </w:p>
    <w:bookmarkEnd w:id="674"/>
    <w:bookmarkStart w:id="675"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75"/>
    <w:bookmarkStart w:id="677"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76">
        <w:r>
          <w:rPr>
            <w:rStyle w:val="Hyperlink"/>
          </w:rPr>
          <w:t xml:space="preserve">https://www.esrb.europa.eu/pub/pdf/other/140303_esrb_handbook_mp.en.pdf</w:t>
        </w:r>
      </w:hyperlink>
      <w:r>
        <w:t xml:space="preserve">.</w:t>
      </w:r>
    </w:p>
    <w:bookmarkEnd w:id="677"/>
    <w:bookmarkStart w:id="678"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78"/>
    <w:bookmarkStart w:id="680"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79">
        <w:r>
          <w:rPr>
            <w:rStyle w:val="Hyperlink"/>
          </w:rPr>
          <w:t xml:space="preserve">https://doi.org/10.1086/ma.19.3585327</w:t>
        </w:r>
      </w:hyperlink>
      <w:r>
        <w:t xml:space="preserve">.</w:t>
      </w:r>
    </w:p>
    <w:bookmarkEnd w:id="680"/>
    <w:bookmarkStart w:id="681"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81"/>
    <w:bookmarkStart w:id="682"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82"/>
    <w:bookmarkStart w:id="683"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83"/>
    <w:bookmarkStart w:id="685"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84">
        <w:r>
          <w:rPr>
            <w:rStyle w:val="Hyperlink"/>
          </w:rPr>
          <w:t xml:space="preserve">https://doi.org/10.1016/0304-3932(91)90007-B</w:t>
        </w:r>
      </w:hyperlink>
      <w:r>
        <w:t xml:space="preserve">.</w:t>
      </w:r>
    </w:p>
    <w:bookmarkEnd w:id="685"/>
    <w:bookmarkStart w:id="686"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86"/>
    <w:bookmarkStart w:id="687"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87"/>
    <w:bookmarkStart w:id="689"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88">
        <w:r>
          <w:rPr>
            <w:rStyle w:val="Hyperlink"/>
          </w:rPr>
          <w:t xml:space="preserve">https://doi.org/10.2307/2534091</w:t>
        </w:r>
      </w:hyperlink>
      <w:r>
        <w:t xml:space="preserve">.</w:t>
      </w:r>
    </w:p>
    <w:bookmarkEnd w:id="689"/>
    <w:bookmarkStart w:id="691"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90">
        <w:r>
          <w:rPr>
            <w:rStyle w:val="Hyperlink"/>
          </w:rPr>
          <w:t xml:space="preserve">https://doi.org/10.1257/jep.35.1.3</w:t>
        </w:r>
      </w:hyperlink>
      <w:r>
        <w:t xml:space="preserve">.</w:t>
      </w:r>
    </w:p>
    <w:bookmarkEnd w:id="691"/>
    <w:bookmarkStart w:id="692" w:name="ref_Marshall1923"/>
    <w:p>
      <w:pPr>
        <w:pStyle w:val="Bibliography"/>
      </w:pPr>
      <w:r>
        <w:t xml:space="preserve">Marshall, Alfred (1923).</w:t>
      </w:r>
      <w:r>
        <w:t xml:space="preserve"> </w:t>
      </w:r>
      <w:r>
        <w:rPr>
          <w:i/>
          <w:iCs/>
        </w:rPr>
        <w:t xml:space="preserve">Money, Credit and Commerce</w:t>
      </w:r>
      <w:r>
        <w:t xml:space="preserve">. Londres: Macmillan.</w:t>
      </w:r>
    </w:p>
    <w:bookmarkEnd w:id="692"/>
    <w:bookmarkStart w:id="693"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93"/>
    <w:bookmarkStart w:id="695"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94">
        <w:r>
          <w:rPr>
            <w:rStyle w:val="Hyperlink"/>
          </w:rPr>
          <w:t xml:space="preserve">https://www.boe.es/diario_boe/txt.php?id=BOE-A-2024-27439</w:t>
        </w:r>
      </w:hyperlink>
      <w:r>
        <w:t xml:space="preserve">.</w:t>
      </w:r>
    </w:p>
    <w:bookmarkEnd w:id="695"/>
    <w:bookmarkStart w:id="697"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96">
        <w:r>
          <w:rPr>
            <w:rStyle w:val="Hyperlink"/>
          </w:rPr>
          <w:t xml:space="preserve">https://www.boe.es/diario_boe/txt.php?id=BOE-A-2025-26902</w:t>
        </w:r>
      </w:hyperlink>
      <w:r>
        <w:t xml:space="preserve">.</w:t>
      </w:r>
    </w:p>
    <w:bookmarkEnd w:id="697"/>
    <w:bookmarkStart w:id="698"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98"/>
    <w:bookmarkStart w:id="700"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99">
        <w:r>
          <w:rPr>
            <w:rStyle w:val="Hyperlink"/>
          </w:rPr>
          <w:t xml:space="preserve">https://www.ecb.europa.eu/pub/pdf/scpwps/ecbwp737.pdf</w:t>
        </w:r>
      </w:hyperlink>
      <w:r>
        <w:t xml:space="preserve">.</w:t>
      </w:r>
    </w:p>
    <w:bookmarkEnd w:id="700"/>
    <w:bookmarkStart w:id="702"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701">
        <w:r>
          <w:rPr>
            <w:rStyle w:val="Hyperlink"/>
          </w:rPr>
          <w:t xml:space="preserve">https://www.nber.org/research/business-cycle-dating/business-cycle-dating-procedure-frequently-asked-questions</w:t>
        </w:r>
      </w:hyperlink>
      <w:r>
        <w:t xml:space="preserve">.</w:t>
      </w:r>
    </w:p>
    <w:bookmarkEnd w:id="702"/>
    <w:bookmarkStart w:id="704"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703">
        <w:r>
          <w:rPr>
            <w:rStyle w:val="Hyperlink"/>
          </w:rPr>
          <w:t xml:space="preserve">https://www.oecd.org/en/topics/sub-issues/trade-in-value-added.html</w:t>
        </w:r>
      </w:hyperlink>
      <w:r>
        <w:t xml:space="preserve">.</w:t>
      </w:r>
    </w:p>
    <w:bookmarkEnd w:id="704"/>
    <w:bookmarkStart w:id="706"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705">
        <w:r>
          <w:rPr>
            <w:rStyle w:val="Hyperlink"/>
          </w:rPr>
          <w:t xml:space="preserve">https://data-explorer.oecd.org/</w:t>
        </w:r>
      </w:hyperlink>
      <w:r>
        <w:t xml:space="preserve">.</w:t>
      </w:r>
    </w:p>
    <w:bookmarkEnd w:id="706"/>
    <w:bookmarkStart w:id="708"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707">
        <w:r>
          <w:rPr>
            <w:rStyle w:val="Hyperlink"/>
          </w:rPr>
          <w:t xml:space="preserve">https://www.oecd.org/en/publications/2026/06/oecd-economic-outlook-volume-2026-issue-1_8be0dba6.html</w:t>
        </w:r>
      </w:hyperlink>
      <w:r>
        <w:t xml:space="preserve">.</w:t>
      </w:r>
    </w:p>
    <w:bookmarkEnd w:id="708"/>
    <w:bookmarkStart w:id="709"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709"/>
    <w:bookmarkStart w:id="711"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710">
        <w:r>
          <w:rPr>
            <w:rStyle w:val="Hyperlink"/>
          </w:rPr>
          <w:t xml:space="preserve">https://www.ilo.org/resource/article/moving-towards-full-employment-interview-aurelio-parisotto</w:t>
        </w:r>
      </w:hyperlink>
      <w:r>
        <w:t xml:space="preserve">.</w:t>
      </w:r>
    </w:p>
    <w:bookmarkEnd w:id="711"/>
    <w:bookmarkStart w:id="713"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12">
        <w:r>
          <w:rPr>
            <w:rStyle w:val="Hyperlink"/>
          </w:rPr>
          <w:t xml:space="preserve">https://eur-lex.europa.eu/eli/dir/2013/36/oj</w:t>
        </w:r>
      </w:hyperlink>
      <w:r>
        <w:t xml:space="preserve">.</w:t>
      </w:r>
    </w:p>
    <w:bookmarkEnd w:id="713"/>
    <w:bookmarkStart w:id="715"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14">
        <w:r>
          <w:rPr>
            <w:rStyle w:val="Hyperlink"/>
          </w:rPr>
          <w:t xml:space="preserve">https://eur-lex.europa.eu/eli/reg/2013/575/oj</w:t>
        </w:r>
      </w:hyperlink>
      <w:r>
        <w:t xml:space="preserve">.</w:t>
      </w:r>
    </w:p>
    <w:bookmarkEnd w:id="715"/>
    <w:bookmarkStart w:id="717"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16">
        <w:r>
          <w:rPr>
            <w:rStyle w:val="Hyperlink"/>
          </w:rPr>
          <w:t xml:space="preserve">https://eur-lex.europa.eu/eli/reg/2013/549/oj</w:t>
        </w:r>
      </w:hyperlink>
      <w:r>
        <w:t xml:space="preserve">.</w:t>
      </w:r>
    </w:p>
    <w:bookmarkEnd w:id="717"/>
    <w:bookmarkStart w:id="719"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18">
        <w:r>
          <w:rPr>
            <w:rStyle w:val="Hyperlink"/>
          </w:rPr>
          <w:t xml:space="preserve">https://eur-lex.europa.eu/legal-content/ES/TXT/?uri=CELEX:32014L0059</w:t>
        </w:r>
      </w:hyperlink>
      <w:r>
        <w:t xml:space="preserve">.</w:t>
      </w:r>
    </w:p>
    <w:bookmarkEnd w:id="719"/>
    <w:bookmarkStart w:id="721"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20">
        <w:r>
          <w:rPr>
            <w:rStyle w:val="Hyperlink"/>
          </w:rPr>
          <w:t xml:space="preserve">https://eur-lex.europa.eu/legal-content/ES/TXT/?uri=CELEX:32014R0806</w:t>
        </w:r>
      </w:hyperlink>
      <w:r>
        <w:t xml:space="preserve">.</w:t>
      </w:r>
    </w:p>
    <w:bookmarkEnd w:id="721"/>
    <w:bookmarkStart w:id="723"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22">
        <w:r>
          <w:rPr>
            <w:rStyle w:val="Hyperlink"/>
          </w:rPr>
          <w:t xml:space="preserve">https://eur-lex.europa.eu/eli/reg/2024/1263/oj</w:t>
        </w:r>
      </w:hyperlink>
      <w:r>
        <w:t xml:space="preserve">.</w:t>
      </w:r>
    </w:p>
    <w:bookmarkEnd w:id="723"/>
    <w:bookmarkStart w:id="725"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24">
        <w:r>
          <w:rPr>
            <w:rStyle w:val="Hyperlink"/>
          </w:rPr>
          <w:t xml:space="preserve">https://eur-lex.europa.eu/eli/reg/2024/1623/oj</w:t>
        </w:r>
      </w:hyperlink>
      <w:r>
        <w:t xml:space="preserve">.</w:t>
      </w:r>
    </w:p>
    <w:bookmarkEnd w:id="725"/>
    <w:bookmarkStart w:id="726"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26"/>
    <w:bookmarkStart w:id="728"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27">
        <w:r>
          <w:rPr>
            <w:rStyle w:val="Hyperlink"/>
          </w:rPr>
          <w:t xml:space="preserve">https://doi.org/10.2307/2550759</w:t>
        </w:r>
      </w:hyperlink>
      <w:r>
        <w:t xml:space="preserve">.</w:t>
      </w:r>
    </w:p>
    <w:bookmarkEnd w:id="728"/>
    <w:bookmarkStart w:id="729"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29"/>
    <w:bookmarkStart w:id="731"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30">
        <w:r>
          <w:rPr>
            <w:rStyle w:val="Hyperlink"/>
          </w:rPr>
          <w:t xml:space="preserve">https://doi.org/10.1353/eca.2003.0018</w:t>
        </w:r>
      </w:hyperlink>
      <w:r>
        <w:t xml:space="preserve">.</w:t>
      </w:r>
    </w:p>
    <w:bookmarkEnd w:id="731"/>
    <w:bookmarkStart w:id="732"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32"/>
    <w:bookmarkStart w:id="733"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33"/>
    <w:bookmarkStart w:id="734"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34"/>
    <w:bookmarkStart w:id="735"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35"/>
    <w:bookmarkStart w:id="737"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36">
        <w:r>
          <w:rPr>
            <w:rStyle w:val="Hyperlink"/>
          </w:rPr>
          <w:t xml:space="preserve">https://doi.org/10.21034/qr.531</w:t>
        </w:r>
      </w:hyperlink>
      <w:r>
        <w:t xml:space="preserve">.</w:t>
      </w:r>
    </w:p>
    <w:bookmarkEnd w:id="737"/>
    <w:bookmarkStart w:id="738"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38"/>
    <w:bookmarkStart w:id="740"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39">
        <w:r>
          <w:rPr>
            <w:rStyle w:val="Hyperlink"/>
          </w:rPr>
          <w:t xml:space="preserve">https://laadministracionaldia.inap.es/noticia.asp?id=1500719</w:t>
        </w:r>
      </w:hyperlink>
      <w:r>
        <w:t xml:space="preserve">.</w:t>
      </w:r>
    </w:p>
    <w:bookmarkEnd w:id="740"/>
    <w:bookmarkStart w:id="742" w:name="ref_Segu2020Vacantes"/>
    <w:p>
      <w:pPr>
        <w:pStyle w:val="Bibliography"/>
      </w:pPr>
      <w:r>
        <w:t xml:space="preserve">Segú, Mariona (2020).</w:t>
      </w:r>
      <w:r>
        <w:t xml:space="preserve"> </w:t>
      </w:r>
      <w:r>
        <w:t xml:space="preserve">«The impact of taxing vacancy on housing markets: Evidence from France»</w:t>
      </w:r>
      <w:r>
        <w:t xml:space="preserve">.</w:t>
      </w:r>
      <w:r>
        <w:t xml:space="preserve"> </w:t>
      </w:r>
      <w:r>
        <w:rPr>
          <w:i/>
          <w:iCs/>
        </w:rPr>
        <w:t xml:space="preserve">Journal of Public Economics</w:t>
      </w:r>
      <w:r>
        <w:t xml:space="preserve"> </w:t>
      </w:r>
      <w:r>
        <w:t xml:space="preserve">185: 104079.</w:t>
      </w:r>
      <w:r>
        <w:t xml:space="preserve"> </w:t>
      </w:r>
      <w:hyperlink r:id="rId741">
        <w:r>
          <w:rPr>
            <w:rStyle w:val="Hyperlink"/>
          </w:rPr>
          <w:t xml:space="preserve">https://doi.org/10.1016/j.jpubeco.2019.104079</w:t>
        </w:r>
      </w:hyperlink>
      <w:r>
        <w:t xml:space="preserve">.</w:t>
      </w:r>
    </w:p>
    <w:bookmarkEnd w:id="742"/>
    <w:bookmarkStart w:id="743"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43"/>
    <w:bookmarkStart w:id="745"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44">
        <w:r>
          <w:rPr>
            <w:rStyle w:val="Hyperlink"/>
          </w:rPr>
          <w:t xml:space="preserve">https://doi.org/10.1057/imfer.2012.6</w:t>
        </w:r>
      </w:hyperlink>
      <w:r>
        <w:t xml:space="preserve">.</w:t>
      </w:r>
    </w:p>
    <w:bookmarkEnd w:id="745"/>
    <w:bookmarkStart w:id="746"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46"/>
    <w:bookmarkStart w:id="747"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47"/>
    <w:bookmarkStart w:id="749"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48">
        <w:r>
          <w:rPr>
            <w:rStyle w:val="Hyperlink"/>
          </w:rPr>
          <w:t xml:space="preserve">https://www.spglobal.com/marketintelligence/en/mi/products/pmi.html</w:t>
        </w:r>
      </w:hyperlink>
      <w:r>
        <w:t xml:space="preserve">.</w:t>
      </w:r>
    </w:p>
    <w:bookmarkEnd w:id="749"/>
    <w:bookmarkStart w:id="751"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50">
        <w:r>
          <w:rPr>
            <w:rStyle w:val="Hyperlink"/>
          </w:rPr>
          <w:t xml:space="preserve">https://doi.org/10.1016/S1574-0048(99)01004-6</w:t>
        </w:r>
      </w:hyperlink>
      <w:r>
        <w:t xml:space="preserve">.</w:t>
      </w:r>
    </w:p>
    <w:bookmarkEnd w:id="751"/>
    <w:bookmarkStart w:id="753"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52">
        <w:r>
          <w:rPr>
            <w:rStyle w:val="Hyperlink"/>
          </w:rPr>
          <w:t xml:space="preserve">https://doi.org/10.1016/0167-2231(93)90009-L</w:t>
        </w:r>
      </w:hyperlink>
      <w:r>
        <w:t xml:space="preserve">.</w:t>
      </w:r>
    </w:p>
    <w:bookmarkEnd w:id="753"/>
    <w:bookmarkStart w:id="755"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54">
        <w:r>
          <w:rPr>
            <w:rStyle w:val="Hyperlink"/>
          </w:rPr>
          <w:t xml:space="preserve">https://doi.org/10.1016/S0014-2921(00)00037-4</w:t>
        </w:r>
      </w:hyperlink>
      <w:r>
        <w:t xml:space="preserve">.</w:t>
      </w:r>
    </w:p>
    <w:bookmarkEnd w:id="755"/>
    <w:bookmarkStart w:id="757"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56">
        <w:r>
          <w:rPr>
            <w:rStyle w:val="Hyperlink"/>
          </w:rPr>
          <w:t xml:space="preserve">https://doi.org/10.1257/mac.1.1.58</w:t>
        </w:r>
      </w:hyperlink>
      <w:r>
        <w:t xml:space="preserve">.</w:t>
      </w:r>
    </w:p>
    <w:bookmarkEnd w:id="757"/>
    <w:bookmarkStart w:id="759"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58">
        <w:r>
          <w:rPr>
            <w:rStyle w:val="Hyperlink"/>
          </w:rPr>
          <w:t xml:space="preserve">https://www.conference-board.org/topics/us-leading-indicators</w:t>
        </w:r>
      </w:hyperlink>
      <w:r>
        <w:t xml:space="preserve">.</w:t>
      </w:r>
    </w:p>
    <w:bookmarkEnd w:id="759"/>
    <w:bookmarkStart w:id="761"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60">
        <w:r>
          <w:rPr>
            <w:rStyle w:val="Hyperlink"/>
          </w:rPr>
          <w:t xml:space="preserve">https://www.economist.com/finance-and-economics/2008/12/30/diagnosing-depression</w:t>
        </w:r>
      </w:hyperlink>
      <w:r>
        <w:t xml:space="preserve">.</w:t>
      </w:r>
    </w:p>
    <w:bookmarkEnd w:id="761"/>
    <w:bookmarkStart w:id="763"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62">
        <w:r>
          <w:rPr>
            <w:rStyle w:val="Hyperlink"/>
          </w:rPr>
          <w:t xml:space="preserve">https://uniblog.unicajabanco.es/8-indicadores-bancarios-para-no-iniciados</w:t>
        </w:r>
      </w:hyperlink>
      <w:r>
        <w:t xml:space="preserve">.</w:t>
      </w:r>
    </w:p>
    <w:bookmarkEnd w:id="763"/>
    <w:bookmarkStart w:id="765"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64">
        <w:r>
          <w:rPr>
            <w:rStyle w:val="Hyperlink"/>
          </w:rPr>
          <w:t xml:space="preserve">https://eur-lex.europa.eu/legal-content/ES/TXT/?uri=CELEX:12012E/PRO/12</w:t>
        </w:r>
      </w:hyperlink>
      <w:r>
        <w:t xml:space="preserve">.</w:t>
      </w:r>
    </w:p>
    <w:bookmarkEnd w:id="765"/>
    <w:bookmarkStart w:id="767"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66">
        <w:r>
          <w:rPr>
            <w:rStyle w:val="Hyperlink"/>
          </w:rPr>
          <w:t xml:space="preserve">https://www.ucm.es/data/cont/docs/518-2015-04-29-COSTE%20LABORAL%20UNITARIO.pdf</w:t>
        </w:r>
      </w:hyperlink>
      <w:r>
        <w:t xml:space="preserve">.</w:t>
      </w:r>
    </w:p>
    <w:bookmarkEnd w:id="767"/>
    <w:bookmarkStart w:id="769"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68">
        <w:r>
          <w:rPr>
            <w:rStyle w:val="Hyperlink"/>
          </w:rPr>
          <w:t xml:space="preserve">https://fred.stlouisfed.org/series/GDPC1</w:t>
        </w:r>
      </w:hyperlink>
      <w:r>
        <w:t xml:space="preserve">.</w:t>
      </w:r>
    </w:p>
    <w:bookmarkEnd w:id="769"/>
    <w:bookmarkStart w:id="771"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70">
        <w:r>
          <w:rPr>
            <w:rStyle w:val="Hyperlink"/>
          </w:rPr>
          <w:t xml:space="preserve">https://www.eia.gov/dnav/pet/hist/LeafHandler.ashx?n=PET&amp;s=RBRTE&amp;f=M</w:t>
        </w:r>
      </w:hyperlink>
      <w:r>
        <w:t xml:space="preserve">.</w:t>
      </w:r>
    </w:p>
    <w:bookmarkEnd w:id="771"/>
    <w:bookmarkStart w:id="772" w:name="ref_VichGadella2007Guia"/>
    <w:p>
      <w:pPr>
        <w:pStyle w:val="Bibliography"/>
      </w:pPr>
      <w:r>
        <w:t xml:space="preserve">Vich Gadella, Ana Lucía (2007).</w:t>
      </w:r>
      <w:r>
        <w:t xml:space="preserve"> </w:t>
      </w:r>
      <w:r>
        <w:t xml:space="preserve">«Guía de dictamen económico»</w:t>
      </w:r>
      <w:r>
        <w:t xml:space="preserve">. ICEX-CECO.</w:t>
      </w:r>
    </w:p>
    <w:bookmarkEnd w:id="772"/>
    <w:bookmarkStart w:id="773"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73"/>
    <w:bookmarkEnd w:id="774"/>
    <w:bookmarkEnd w:id="77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328">
    <w:p>
      <w:pPr>
        <w:pStyle w:val="FootnoteText"/>
      </w:pPr>
      <w:r>
        <w:rPr>
          <w:rStyle w:val="FootnoteReference"/>
        </w:rPr>
        <w:footnoteRef/>
      </w:r>
      <w:r>
        <w:t xml:space="preserve"> </w:t>
      </w:r>
      <w:r>
        <w:t xml:space="preserve">El FMI pide a España que las ayudas a la financiación de la compra y del alquiler se limiten a grupos y zonas concretos para no empujar más la demanda y los precios, y que introduzca límites macroprudenciales a los préstamos hipotecarios (LTV o préstamo sobre precio)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y 80)</w:t>
      </w:r>
      <w:r>
        <w:t xml:space="preserve">. Las medidas fiscales sobre los pisos turísticos y el impuesto a las compras de no residentes de fuera de la UE no se pueden evaluar aún: en España siguen en proyecto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82-84)</w:t>
      </w:r>
      <w:r>
        <w:t xml:space="preserve">.</w:t>
      </w:r>
    </w:p>
  </w:footnote>
  <w:footnote w:id="329">
    <w:p>
      <w:pPr>
        <w:pStyle w:val="FootnoteText"/>
      </w:pPr>
      <w:r>
        <w:rPr>
          <w:rStyle w:val="FootnoteReference"/>
        </w:rPr>
        <w:footnoteRef/>
      </w:r>
      <w:r>
        <w:t xml:space="preserve"> </w:t>
      </w:r>
      <w:r>
        <w:t xml:space="preserve">El FMI recomienda a España acelerar el desarrollo urbanístico, simplificar y agilizar las licencias, retomar la reforma de la ley del suelo y reforzar la vivienda social en alquiler en las zonas con más escasez, y que el control de alquileres sea temporal y condicionado a que las comunidades autónomas tomen medidas para aumentar la oferta. Los estudios que cita sobre Cataluña encuentran bajadas moderadas de los alquileres (4-6 %) y caídas de los anuncios de alquiler del 15-30 %</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81)</w:t>
      </w:r>
      <w:r>
        <w:t xml:space="preserve">.</w:t>
      </w:r>
    </w:p>
  </w:footnote>
  <w:footnote w:id="400">
    <w:p>
      <w:pPr>
        <w:pStyle w:val="FootnoteText"/>
      </w:pPr>
      <w:r>
        <w:rPr>
          <w:rStyle w:val="FootnoteReference"/>
        </w:rPr>
        <w:footnoteRef/>
      </w:r>
      <w:r>
        <w:t xml:space="preserve"> </w:t>
      </w:r>
      <w:r>
        <w:t xml:space="preserve">El FMI recomienda acelerar el desarrollo urbanístico, simplificar las licencias y retomar la reforma de la ley del suelo; un control de alquileres temporal y condicionado a medidas que aumenten la oferta; ayudas a la financiación limitadas a grupos y zonas concretos; y límites a los préstamos hipotecarios (LTV)</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29 y 80-81)</w:t>
      </w:r>
      <w:r>
        <w:t xml:space="preserve">.</w:t>
      </w:r>
    </w:p>
  </w:footnote>
  <w:footnote w:id="431">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8" Target="media/rId37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2" Target="media/rId332.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50" Target="https://atcee.es/la-oposicion-tcee/examenes-anteriores/" TargetMode="External" /><Relationship Type="http://schemas.openxmlformats.org/officeDocument/2006/relationships/hyperlink" Id="rId584" Target="https://commission.europa.eu/system/files/2021-06/2021_06_16_efb_assessment_of_euro_area_fiscal_stance_en.pdf" TargetMode="External" /><Relationship Type="http://schemas.openxmlformats.org/officeDocument/2006/relationships/hyperlink" Id="rId705" Target="https://data-explorer.oecd.org/" TargetMode="External" /><Relationship Type="http://schemas.openxmlformats.org/officeDocument/2006/relationships/hyperlink" Id="rId550" Target="https://data.consilium.europa.eu/doc/document/ST-17077-2024-ADD-1/en/pdf" TargetMode="External" /><Relationship Type="http://schemas.openxmlformats.org/officeDocument/2006/relationships/hyperlink" Id="rId472" Target="https://data.ecb.europa.eu/data/datasets/EXR" TargetMode="External" /><Relationship Type="http://schemas.openxmlformats.org/officeDocument/2006/relationships/hyperlink" Id="rId474" Target="https://data.ecb.europa.eu/data/datasets/ILM" TargetMode="External" /><Relationship Type="http://schemas.openxmlformats.org/officeDocument/2006/relationships/hyperlink" Id="rId643" Target="https://data.imf.org/en/Dashboards/FM%20Dashboard" TargetMode="External" /><Relationship Type="http://schemas.openxmlformats.org/officeDocument/2006/relationships/hyperlink" Id="rId500" Target="https://data.worldbank.org/indicator/NE.TRD.GNFS.ZS" TargetMode="External" /><Relationship Type="http://schemas.openxmlformats.org/officeDocument/2006/relationships/hyperlink" Id="rId752" Target="https://doi.org/10.1016/0167-2231(93)90009-L" TargetMode="External" /><Relationship Type="http://schemas.openxmlformats.org/officeDocument/2006/relationships/hyperlink" Id="rId684" Target="https://doi.org/10.1016/0304-3932(91)90007-B" TargetMode="External" /><Relationship Type="http://schemas.openxmlformats.org/officeDocument/2006/relationships/hyperlink" Id="rId754" Target="https://doi.org/10.1016/S0014-2921(00)00037-4" TargetMode="External" /><Relationship Type="http://schemas.openxmlformats.org/officeDocument/2006/relationships/hyperlink" Id="rId750" Target="https://doi.org/10.1016/S1574-0048(99)01004-6" TargetMode="External" /><Relationship Type="http://schemas.openxmlformats.org/officeDocument/2006/relationships/hyperlink" Id="rId539" Target="https://doi.org/10.1016/j.jinteco.2014.05.003" TargetMode="External" /><Relationship Type="http://schemas.openxmlformats.org/officeDocument/2006/relationships/hyperlink" Id="rId741" Target="https://doi.org/10.1016/j.jpubeco.2019.104079" TargetMode="External" /><Relationship Type="http://schemas.openxmlformats.org/officeDocument/2006/relationships/hyperlink" Id="rId537" Target="https://doi.org/10.1016/j.jue.2023.103611" TargetMode="External" /><Relationship Type="http://schemas.openxmlformats.org/officeDocument/2006/relationships/hyperlink" Id="rId744" Target="https://doi.org/10.1057/imfer.2012.6" TargetMode="External" /><Relationship Type="http://schemas.openxmlformats.org/officeDocument/2006/relationships/hyperlink" Id="rId526" Target="https://doi.org/10.1080/15140326.1998.12040516" TargetMode="External" /><Relationship Type="http://schemas.openxmlformats.org/officeDocument/2006/relationships/hyperlink" Id="rId504" Target="https://doi.org/10.1086/260266" TargetMode="External" /><Relationship Type="http://schemas.openxmlformats.org/officeDocument/2006/relationships/hyperlink" Id="rId664" Target="https://doi.org/10.1086/260724" TargetMode="External" /><Relationship Type="http://schemas.openxmlformats.org/officeDocument/2006/relationships/hyperlink" Id="rId653" Target="https://doi.org/10.1086/654131" TargetMode="External" /><Relationship Type="http://schemas.openxmlformats.org/officeDocument/2006/relationships/hyperlink" Id="rId679" Target="https://doi.org/10.1086/ma.19.3585327" TargetMode="External" /><Relationship Type="http://schemas.openxmlformats.org/officeDocument/2006/relationships/hyperlink" Id="rId534" Target="https://doi.org/10.1093/jeea/jvx028" TargetMode="External" /><Relationship Type="http://schemas.openxmlformats.org/officeDocument/2006/relationships/hyperlink" Id="rId611" Target="https://doi.org/10.1093/qje/qjz036" TargetMode="External" /><Relationship Type="http://schemas.openxmlformats.org/officeDocument/2006/relationships/hyperlink" Id="rId657" Target="https://doi.org/10.1111/j.1468-0335.2009.00815.x" TargetMode="External" /><Relationship Type="http://schemas.openxmlformats.org/officeDocument/2006/relationships/hyperlink" Id="rId662" Target="https://doi.org/10.1111/jeea.12083" TargetMode="External" /><Relationship Type="http://schemas.openxmlformats.org/officeDocument/2006/relationships/hyperlink" Id="rId456" Target="https://doi.org/10.1111/jmcb.12420" TargetMode="External" /><Relationship Type="http://schemas.openxmlformats.org/officeDocument/2006/relationships/hyperlink" Id="rId529" Target="https://doi.org/10.1162/003355302753650274" TargetMode="External" /><Relationship Type="http://schemas.openxmlformats.org/officeDocument/2006/relationships/hyperlink" Id="rId531" Target="https://doi.org/10.1162/003465305775098189" TargetMode="External" /><Relationship Type="http://schemas.openxmlformats.org/officeDocument/2006/relationships/hyperlink" Id="rId578" Target="https://doi.org/10.1162/003465398557320" TargetMode="External" /><Relationship Type="http://schemas.openxmlformats.org/officeDocument/2006/relationships/hyperlink" Id="rId511" Target="https://doi.org/10.1257/aer.109.4.1197" TargetMode="External" /><Relationship Type="http://schemas.openxmlformats.org/officeDocument/2006/relationships/hyperlink" Id="rId655" Target="https://doi.org/10.1257/aer.20171201" TargetMode="External" /><Relationship Type="http://schemas.openxmlformats.org/officeDocument/2006/relationships/hyperlink" Id="rId509" Target="https://doi.org/10.1257/jep.28.2.197" TargetMode="External" /><Relationship Type="http://schemas.openxmlformats.org/officeDocument/2006/relationships/hyperlink" Id="rId445" Target="https://doi.org/10.1257/jep.33.4.187" TargetMode="External" /><Relationship Type="http://schemas.openxmlformats.org/officeDocument/2006/relationships/hyperlink" Id="rId690" Target="https://doi.org/10.1257/jep.35.1.3" TargetMode="External" /><Relationship Type="http://schemas.openxmlformats.org/officeDocument/2006/relationships/hyperlink" Id="rId517" Target="https://doi.org/10.1257/jep.5.1.73" TargetMode="External" /><Relationship Type="http://schemas.openxmlformats.org/officeDocument/2006/relationships/hyperlink" Id="rId756" Target="https://doi.org/10.1257/mac.1.1.58" TargetMode="External" /><Relationship Type="http://schemas.openxmlformats.org/officeDocument/2006/relationships/hyperlink" Id="rId730" Target="https://doi.org/10.1353/eca.2003.0018" TargetMode="External" /><Relationship Type="http://schemas.openxmlformats.org/officeDocument/2006/relationships/hyperlink" Id="rId736" Target="https://doi.org/10.21034/qr.531" TargetMode="External" /><Relationship Type="http://schemas.openxmlformats.org/officeDocument/2006/relationships/hyperlink" Id="rId523" Target="https://doi.org/10.2307/1344503" TargetMode="External" /><Relationship Type="http://schemas.openxmlformats.org/officeDocument/2006/relationships/hyperlink" Id="rId615" Target="https://doi.org/10.2307/1907327" TargetMode="External" /><Relationship Type="http://schemas.openxmlformats.org/officeDocument/2006/relationships/hyperlink" Id="rId571" Target="https://doi.org/10.2307/2232670" TargetMode="External" /><Relationship Type="http://schemas.openxmlformats.org/officeDocument/2006/relationships/hyperlink" Id="rId688" Target="https://doi.org/10.2307/2534091" TargetMode="External" /><Relationship Type="http://schemas.openxmlformats.org/officeDocument/2006/relationships/hyperlink" Id="rId513" Target="https://doi.org/10.2307/2534495" TargetMode="External" /><Relationship Type="http://schemas.openxmlformats.org/officeDocument/2006/relationships/hyperlink" Id="rId727" Target="https://doi.org/10.2307/2550759" TargetMode="External" /><Relationship Type="http://schemas.openxmlformats.org/officeDocument/2006/relationships/hyperlink" Id="rId669" Target="https://doi.org/10.2307/2953682" TargetMode="External" /><Relationship Type="http://schemas.openxmlformats.org/officeDocument/2006/relationships/hyperlink" Id="rId548" Target="https://doi.org/10.2765/022983" TargetMode="External" /><Relationship Type="http://schemas.openxmlformats.org/officeDocument/2006/relationships/hyperlink" Id="rId666" Target="https://doi.org/10.2765/71437" TargetMode="External" /><Relationship Type="http://schemas.openxmlformats.org/officeDocument/2006/relationships/hyperlink" Id="rId637" Target="https://doi.org/10.5089/9798400230622.002.A001" TargetMode="External" /><Relationship Type="http://schemas.openxmlformats.org/officeDocument/2006/relationships/hyperlink" Id="rId576" Target="https://doi.org/10.7208/chicago/9780226194578.003.0002" TargetMode="External" /><Relationship Type="http://schemas.openxmlformats.org/officeDocument/2006/relationships/hyperlink" Id="rId606" Target="https://ec.europa.eu/eurostat/databrowser/view/jvs_q_r21/default/table" TargetMode="External" /><Relationship Type="http://schemas.openxmlformats.org/officeDocument/2006/relationships/hyperlink" Id="rId594" Target="https://ec.europa.eu/eurostat/databrowser/view/lfsa_argan/default/table" TargetMode="External" /><Relationship Type="http://schemas.openxmlformats.org/officeDocument/2006/relationships/hyperlink" Id="rId592" Target="https://ec.europa.eu/eurostat/databrowser/view/lfsq_argan/default/table" TargetMode="External" /><Relationship Type="http://schemas.openxmlformats.org/officeDocument/2006/relationships/hyperlink" Id="rId602" Target="https://ec.europa.eu/eurostat/databrowser/view/nama_10_a10/default/table" TargetMode="External" /><Relationship Type="http://schemas.openxmlformats.org/officeDocument/2006/relationships/hyperlink" Id="rId600" Target="https://ec.europa.eu/eurostat/databrowser/view/nama_10_gdp/default/table" TargetMode="External" /><Relationship Type="http://schemas.openxmlformats.org/officeDocument/2006/relationships/hyperlink" Id="rId596" Target="https://ec.europa.eu/eurostat/databrowser/view/namq_10_a10_e/default/table" TargetMode="External" /><Relationship Type="http://schemas.openxmlformats.org/officeDocument/2006/relationships/hyperlink" Id="rId598" Target="https://ec.europa.eu/eurostat/databrowser/view/namq_10_gdp/default/table" TargetMode="External" /><Relationship Type="http://schemas.openxmlformats.org/officeDocument/2006/relationships/hyperlink" Id="rId604" Target="https://ec.europa.eu/eurostat/databrowser/view/prc_hicp_minr/default/table" TargetMode="External" /><Relationship Type="http://schemas.openxmlformats.org/officeDocument/2006/relationships/hyperlink" Id="rId608" Target="https://ec.europa.eu/eurostat/databrowser/view/une_rt_q/default/table" TargetMode="External" /><Relationship Type="http://schemas.openxmlformats.org/officeDocument/2006/relationships/hyperlink" Id="rId588" Target="https://ec.europa.eu/eurostat/statistics-explained/index.php?title=Glossary:Housing_cost_overburden_rate" TargetMode="External" /><Relationship Type="http://schemas.openxmlformats.org/officeDocument/2006/relationships/hyperlink" Id="rId590" Target="https://ec.europa.eu/eurostat/statistics-explained/index.php?title=The_Macroeconomic_Imbalance_Procedure_(MIP)_introduced" TargetMode="External" /><Relationship Type="http://schemas.openxmlformats.org/officeDocument/2006/relationships/hyperlink" Id="rId586" Target="https://ec.europa.eu/eurostat/web/products-euro-indicators/-/2-22042013-ap" TargetMode="External" /><Relationship Type="http://schemas.openxmlformats.org/officeDocument/2006/relationships/hyperlink" Id="rId554" Target="https://economy-finance.ec.europa.eu/economic-forecast-and-surveys/business-and-consumer-surveys_en" TargetMode="External" /><Relationship Type="http://schemas.openxmlformats.org/officeDocument/2006/relationships/hyperlink" Id="rId557" Target="https://economy-finance.ec.europa.eu/economic-research-and-databases/economic-databases/ameco-database_en" TargetMode="External" /><Relationship Type="http://schemas.openxmlformats.org/officeDocument/2006/relationships/hyperlink" Id="rId712" Target="https://eur-lex.europa.eu/eli/dir/2013/36/oj" TargetMode="External" /><Relationship Type="http://schemas.openxmlformats.org/officeDocument/2006/relationships/hyperlink" Id="rId716" Target="https://eur-lex.europa.eu/eli/reg/2013/549/oj" TargetMode="External" /><Relationship Type="http://schemas.openxmlformats.org/officeDocument/2006/relationships/hyperlink" Id="rId714" Target="https://eur-lex.europa.eu/eli/reg/2013/575/oj" TargetMode="External" /><Relationship Type="http://schemas.openxmlformats.org/officeDocument/2006/relationships/hyperlink" Id="rId722" Target="https://eur-lex.europa.eu/eli/reg/2024/1263/oj" TargetMode="External" /><Relationship Type="http://schemas.openxmlformats.org/officeDocument/2006/relationships/hyperlink" Id="rId569" Target="https://eur-lex.europa.eu/eli/reg/2024/1264/oj" TargetMode="External" /><Relationship Type="http://schemas.openxmlformats.org/officeDocument/2006/relationships/hyperlink" Id="rId724" Target="https://eur-lex.europa.eu/eli/reg/2024/1623/oj" TargetMode="External" /><Relationship Type="http://schemas.openxmlformats.org/officeDocument/2006/relationships/hyperlink" Id="rId552" Target="https://eur-lex.europa.eu/legal-content/EN/ALL/?uri=CELEX:52025DC0956" TargetMode="External" /><Relationship Type="http://schemas.openxmlformats.org/officeDocument/2006/relationships/hyperlink" Id="rId764" Target="https://eur-lex.europa.eu/legal-content/ES/TXT/?uri=CELEX:12012E/PRO/12" TargetMode="External" /><Relationship Type="http://schemas.openxmlformats.org/officeDocument/2006/relationships/hyperlink" Id="rId567" Target="https://eur-lex.europa.eu/legal-content/ES/TXT/?uri=CELEX:32013R1024" TargetMode="External" /><Relationship Type="http://schemas.openxmlformats.org/officeDocument/2006/relationships/hyperlink" Id="rId718" Target="https://eur-lex.europa.eu/legal-content/ES/TXT/?uri=CELEX:32014L0059" TargetMode="External" /><Relationship Type="http://schemas.openxmlformats.org/officeDocument/2006/relationships/hyperlink" Id="rId720" Target="https://eur-lex.europa.eu/legal-content/ES/TXT/?uri=CELEX:32014R0806" TargetMode="External" /><Relationship Type="http://schemas.openxmlformats.org/officeDocument/2006/relationships/hyperlink" Id="rId460" Target="https://eur-lex.europa.eu/legal-content/ES/TXT/?uri=CELEX:32020HB0019" TargetMode="External" /><Relationship Type="http://schemas.openxmlformats.org/officeDocument/2006/relationships/hyperlink" Id="rId544" Target="https://eur-lex.europa.eu/legal-content/ES/TXT/?uri=CELEX:52015PC0586" TargetMode="External" /><Relationship Type="http://schemas.openxmlformats.org/officeDocument/2006/relationships/hyperlink" Id="rId546" Target="https://eur-lex.europa.eu/legal-content/ES/TXT/?uri=CELEX:52022DC0230" TargetMode="External" /><Relationship Type="http://schemas.openxmlformats.org/officeDocument/2006/relationships/hyperlink" Id="rId768" Target="https://fred.stlouisfed.org/series/GDPC1" TargetMode="External" /><Relationship Type="http://schemas.openxmlformats.org/officeDocument/2006/relationships/hyperlink" Id="rId739" Target="https://laadministracionaldia.inap.es/noticia.asp?id=1500719" TargetMode="External" /><Relationship Type="http://schemas.openxmlformats.org/officeDocument/2006/relationships/hyperlink" Id="rId488" Target="https://repositorio.bde.es/bitstream/123456789/36492/1/InfAnual_2023_Cap4.pdf" TargetMode="External" /><Relationship Type="http://schemas.openxmlformats.org/officeDocument/2006/relationships/hyperlink" Id="rId762" Target="https://uniblog.unicajabanco.es/8-indicadores-bancarios-para-no-iniciados" TargetMode="External" /><Relationship Type="http://schemas.openxmlformats.org/officeDocument/2006/relationships/hyperlink" Id="rId466" Target="https://www.bankingsupervision.europa.eu/activities/srep/2025/html/ssm.srep202511_aggregatedresults2025.en.html" TargetMode="External" /><Relationship Type="http://schemas.openxmlformats.org/officeDocument/2006/relationships/hyperlink" Id="rId476" Target="https://www.bankingsupervision.europa.eu/press/pr/date/2026/html/ssm.pr260915~7917ca1416.es.html" TargetMode="External" /><Relationship Type="http://schemas.openxmlformats.org/officeDocument/2006/relationships/hyperlink" Id="rId502" Target="https://www.bankinter.com/blog/economia/leer-rating-agencias-calificacion-financiera" TargetMode="External" /><Relationship Type="http://schemas.openxmlformats.org/officeDocument/2006/relationships/hyperlink" Id="rId659" Target="https://www.banque-france.fr/en/publications-and-statistics/publications/housing-subsidies-smaller-upward-impact-rents-if-supply-adjusts" TargetMode="External" /><Relationship Type="http://schemas.openxmlformats.org/officeDocument/2006/relationships/hyperlink" Id="rId521" Target="https://www.bbvaresearch.com/publicaciones/espana-la-economia-espanola-en-el-primer-ano-de-la-guerra-de-ucrania/" TargetMode="External" /><Relationship Type="http://schemas.openxmlformats.org/officeDocument/2006/relationships/hyperlink" Id="rId486" Target="https://www.bde.es/f/webbde/SES/Secciones/Publicaciones/PublicacionesAnuales/InformesAnuales/21/Fich/InfAnual_2021.pdf" TargetMode="External" /><Relationship Type="http://schemas.openxmlformats.org/officeDocument/2006/relationships/hyperlink" Id="rId492" Target="https://www.bde.es/f/webbe/GAP/Secciones/SalaPrensa/NotasInformativas/26/presbe2026-90.pdf" TargetMode="External" /><Relationship Type="http://schemas.openxmlformats.org/officeDocument/2006/relationships/hyperlink" Id="rId490" Target="https://www.bde.es/f/webbe/INF/MenuVertical/EstabilidadFinanciera/Colchon_capital/Resolucion_CCA_2025T4.pdf" TargetMode="External" /><Relationship Type="http://schemas.openxmlformats.org/officeDocument/2006/relationships/hyperlink" Id="rId494" Target="https://www.bde.es/wbe/es/publicaciones/informes-memorias-anuales/informe-anual/informe-anual-2025.html" TargetMode="External" /><Relationship Type="http://schemas.openxmlformats.org/officeDocument/2006/relationships/hyperlink" Id="rId484" Target="https://www.bde.es/webbe/es/estadisticas/compartido/docs/notaNGEU.pdf" TargetMode="External" /><Relationship Type="http://schemas.openxmlformats.org/officeDocument/2006/relationships/hyperlink" Id="rId565" Target="https://www.bis.org/bcbs/publ/d295.htm" TargetMode="External" /><Relationship Type="http://schemas.openxmlformats.org/officeDocument/2006/relationships/hyperlink" Id="rId506" Target="https://www.bis.org/bcbs/publ/d424.htm" TargetMode="External" /><Relationship Type="http://schemas.openxmlformats.org/officeDocument/2006/relationships/hyperlink" Id="rId496" Target="https://www.bis.org/publ/arpdf/ar2022e2.htm" TargetMode="External" /><Relationship Type="http://schemas.openxmlformats.org/officeDocument/2006/relationships/hyperlink" Id="rId498" Target="https://www.bis.org/publ/arpdf/ar2024e.htm" TargetMode="External" /><Relationship Type="http://schemas.openxmlformats.org/officeDocument/2006/relationships/hyperlink" Id="rId559" Target="https://www.bis.org/publ/bcbs187.htm" TargetMode="External" /><Relationship Type="http://schemas.openxmlformats.org/officeDocument/2006/relationships/hyperlink" Id="rId561" Target="https://www.bis.org/publ/bcbs189.htm" TargetMode="External" /><Relationship Type="http://schemas.openxmlformats.org/officeDocument/2006/relationships/hyperlink" Id="rId563" Target="https://www.bis.org/publ/bcbs238.htm" TargetMode="External" /><Relationship Type="http://schemas.openxmlformats.org/officeDocument/2006/relationships/hyperlink" Id="rId519" Target="https://www.bis.org/publ/work186.htm" TargetMode="External" /><Relationship Type="http://schemas.openxmlformats.org/officeDocument/2006/relationships/hyperlink" Id="rId694" Target="https://www.boe.es/diario_boe/txt.php?id=BOE-A-2024-27439" TargetMode="External" /><Relationship Type="http://schemas.openxmlformats.org/officeDocument/2006/relationships/hyperlink" Id="rId696" Target="https://www.boe.es/diario_boe/txt.php?id=BOE-A-2025-26902" TargetMode="External" /><Relationship Type="http://schemas.openxmlformats.org/officeDocument/2006/relationships/hyperlink" Id="rId758" Target="https://www.conference-board.org/topics/us-leading-indicators" TargetMode="External" /><Relationship Type="http://schemas.openxmlformats.org/officeDocument/2006/relationships/hyperlink" Id="rId452" Target="https://www.eba.europa.eu/regulation-and-policy/credit-risk/guidelines-legislative-and-non-legislative-moratoria-loan-repayments-applied-light-covid-19-crisis" TargetMode="External" /><Relationship Type="http://schemas.openxmlformats.org/officeDocument/2006/relationships/hyperlink" Id="rId580" Target="https://www.eba.europa.eu/risk-and-data-analysis/risk-analysis/risk-monitoring/risk-dashboard" TargetMode="External" /><Relationship Type="http://schemas.openxmlformats.org/officeDocument/2006/relationships/hyperlink" Id="rId582" Target="https://www.eba.europa.eu/sites/default/files/2026-09/26394108-1837-4b5b-bce2-fba1d3c574b1/EBA%20Dashboard%20-%20Q2%202026.pdf" TargetMode="External" /><Relationship Type="http://schemas.openxmlformats.org/officeDocument/2006/relationships/hyperlink" Id="rId468" Target="https://www.ecb.europa.eu/mopo/strategy/strategy-review/ecb.strategyreview202506_strategy_statement.es.html" TargetMode="External" /><Relationship Type="http://schemas.openxmlformats.org/officeDocument/2006/relationships/hyperlink" Id="rId478" Target="https://www.ecb.europa.eu/paym/coll/risk/ecaf/html/index.en.html" TargetMode="External" /><Relationship Type="http://schemas.openxmlformats.org/officeDocument/2006/relationships/hyperlink" Id="rId541" Target="https://www.ecb.europa.eu/press/economic-bulletin/focus/2022/html/ecb.ebbox202207_04~a89ec1a6fe.en.html" TargetMode="External" /><Relationship Type="http://schemas.openxmlformats.org/officeDocument/2006/relationships/hyperlink" Id="rId464" Target="https://www.ecb.europa.eu/press/pr/date/2024/html/ecb.pr240313~807e240020.en.html" TargetMode="External" /><Relationship Type="http://schemas.openxmlformats.org/officeDocument/2006/relationships/hyperlink" Id="rId470" Target="https://www.ecb.europa.eu/press/pr/date/2026/html/ecb.pr260101~c830245e42.es.html" TargetMode="External" /><Relationship Type="http://schemas.openxmlformats.org/officeDocument/2006/relationships/hyperlink" Id="rId462" Target="https://www.ecb.europa.eu/pub/annual/html/ecb.ar2022~8ae51d163b.es.html" TargetMode="External" /><Relationship Type="http://schemas.openxmlformats.org/officeDocument/2006/relationships/hyperlink" Id="rId458" Target="https://www.ecb.europa.eu/pub/financial-stability/fsr/html/ecb.fsr202011~b7be9ae1f1.en.html" TargetMode="External" /><Relationship Type="http://schemas.openxmlformats.org/officeDocument/2006/relationships/hyperlink" Id="rId699" Target="https://www.ecb.europa.eu/pub/pdf/scpwps/ecbwp737.pdf" TargetMode="External" /><Relationship Type="http://schemas.openxmlformats.org/officeDocument/2006/relationships/hyperlink" Id="rId482" Target="https://www.ecb.europa.eu/stats/ecb_surveys/safe/html/index.en.html" TargetMode="External" /><Relationship Type="http://schemas.openxmlformats.org/officeDocument/2006/relationships/hyperlink" Id="rId480" Target="https://www.ecb.europa.eu/stats/policy_and_exchange_rates/key_ecb_interest_rates/html/index.en.html" TargetMode="External" /><Relationship Type="http://schemas.openxmlformats.org/officeDocument/2006/relationships/hyperlink" Id="rId760" Target="https://www.economist.com/finance-and-economics/2008/12/30/diagnosing-depression" TargetMode="External" /><Relationship Type="http://schemas.openxmlformats.org/officeDocument/2006/relationships/hyperlink" Id="rId632" Target="https://www.edx.org/es/course/programacion-y-politicas-financieras-parte-1-cue-2" TargetMode="External" /><Relationship Type="http://schemas.openxmlformats.org/officeDocument/2006/relationships/hyperlink" Id="rId630" Target="https://www.edx.org/es/learn/finance/the-international-monetary-fund-financial-programming-and-policies-part-1-macroeconomic-accounts-analysis" TargetMode="External" /><Relationship Type="http://schemas.openxmlformats.org/officeDocument/2006/relationships/hyperlink" Id="rId770" Target="https://www.eia.gov/dnav/pet/hist/LeafHandler.ashx?n=PET&amp;s=RBRTE&amp;f=M" TargetMode="External" /><Relationship Type="http://schemas.openxmlformats.org/officeDocument/2006/relationships/hyperlink" Id="rId676" Target="https://www.esrb.europa.eu/pub/pdf/other/140303_esrb_handbook_mp.en.pdf" TargetMode="External" /><Relationship Type="http://schemas.openxmlformats.org/officeDocument/2006/relationships/hyperlink" Id="rId710" Target="https://www.ilo.org/resource/article/moving-towards-full-employment-interview-aurelio-parisotto" TargetMode="External" /><Relationship Type="http://schemas.openxmlformats.org/officeDocument/2006/relationships/hyperlink" Id="rId641" Target="https://www.imf.org/en/About/Factsheets/Sheets/2023/IMF-Conditionality" TargetMode="External" /><Relationship Type="http://schemas.openxmlformats.org/officeDocument/2006/relationships/hyperlink" Id="rId645" Target="https://www.imf.org/en/About/executive-board/Article-IV" TargetMode="External" /><Relationship Type="http://schemas.openxmlformats.org/officeDocument/2006/relationships/hyperlink" Id="rId625" Target="https://www.imf.org/en/Publications/FM/Issues/2018/10/04/fiscal-monitor-october-2018" TargetMode="External" /><Relationship Type="http://schemas.openxmlformats.org/officeDocument/2006/relationships/hyperlink" Id="rId639" Target="https://www.imf.org/en/news/articles/2025/03/20/pr25072-imf-and-statistical-community-release-new-global-standards-for-macroeconomic-stats" TargetMode="External" /><Relationship Type="http://schemas.openxmlformats.org/officeDocument/2006/relationships/hyperlink" Id="rId647" Target="https://www.imf.org/en/publications/cr/issues/2026/05/21/spain-2026-article-iv-consultation-press-release-staff-report-and-statement-by-the-576248" TargetMode="External" /><Relationship Type="http://schemas.openxmlformats.org/officeDocument/2006/relationships/hyperlink" Id="rId649" Target="https://www.imf.org/en/publications/weo/issues/2026/10/13/world-economic-outlook-october-2026" TargetMode="External" /><Relationship Type="http://schemas.openxmlformats.org/officeDocument/2006/relationships/hyperlink" Id="rId635" Target="https://www.imf.org/es/Publications/FM/Issues/2023/04/03/fiscal-monitor-april-2023" TargetMode="External" /><Relationship Type="http://schemas.openxmlformats.org/officeDocument/2006/relationships/hyperlink" Id="rId619" Target="https://www.imf.org/external/np/pp/eng/2011/021411b.pdf" TargetMode="External" /><Relationship Type="http://schemas.openxmlformats.org/officeDocument/2006/relationships/hyperlink" Id="rId621" Target="https://www.imf.org/external/np/pp/eng/2012/111412.pdf" TargetMode="External" /><Relationship Type="http://schemas.openxmlformats.org/officeDocument/2006/relationships/hyperlink" Id="rId617" Target="https://www.imf.org/external/pubs/ft/bop/2007/pdf/bpm6.pdf" TargetMode="External" /><Relationship Type="http://schemas.openxmlformats.org/officeDocument/2006/relationships/hyperlink" Id="rId671" Target="https://www.ine.es/dyngs/INEbase/es/operacion.htm?c=Estadistica_C&amp;cid=1254736176918&amp;menu=metodologia&amp;idp=1254735976595" TargetMode="External" /><Relationship Type="http://schemas.openxmlformats.org/officeDocument/2006/relationships/hyperlink" Id="rId673" Target="https://www.ine.es/metodologia/t25/metodologia_IPC_base_2025.pdf" TargetMode="External" /><Relationship Type="http://schemas.openxmlformats.org/officeDocument/2006/relationships/hyperlink" Id="rId613" Target="https://www.levyinstitute.org/pubs/wp_651.pdf" TargetMode="External" /><Relationship Type="http://schemas.openxmlformats.org/officeDocument/2006/relationships/hyperlink" Id="rId701" Target="https://www.nber.org/research/business-cycle-dating/business-cycle-dating-procedure-frequently-asked-questions" TargetMode="External" /><Relationship Type="http://schemas.openxmlformats.org/officeDocument/2006/relationships/hyperlink" Id="rId707" Target="https://www.oecd.org/en/publications/2026/06/oecd-economic-outlook-volume-2026-issue-1_8be0dba6.html" TargetMode="External" /><Relationship Type="http://schemas.openxmlformats.org/officeDocument/2006/relationships/hyperlink" Id="rId703" Target="https://www.oecd.org/en/topics/sub-issues/trade-in-value-added.html" TargetMode="External" /><Relationship Type="http://schemas.openxmlformats.org/officeDocument/2006/relationships/hyperlink" Id="rId748" Target="https://www.spglobal.com/marketintelligence/en/mi/products/pmi.html" TargetMode="External" /><Relationship Type="http://schemas.openxmlformats.org/officeDocument/2006/relationships/hyperlink" Id="rId766"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7"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0" Target="https://atcee.es/la-oposicion-tcee/examenes-anteriores/" TargetMode="External" /><Relationship Type="http://schemas.openxmlformats.org/officeDocument/2006/relationships/hyperlink" Id="rId584" Target="https://commission.europa.eu/system/files/2021-06/2021_06_16_efb_assessment_of_euro_area_fiscal_stance_en.pdf" TargetMode="External" /><Relationship Type="http://schemas.openxmlformats.org/officeDocument/2006/relationships/hyperlink" Id="rId705" Target="https://data-explorer.oecd.org/" TargetMode="External" /><Relationship Type="http://schemas.openxmlformats.org/officeDocument/2006/relationships/hyperlink" Id="rId550" Target="https://data.consilium.europa.eu/doc/document/ST-17077-2024-ADD-1/en/pdf" TargetMode="External" /><Relationship Type="http://schemas.openxmlformats.org/officeDocument/2006/relationships/hyperlink" Id="rId472" Target="https://data.ecb.europa.eu/data/datasets/EXR" TargetMode="External" /><Relationship Type="http://schemas.openxmlformats.org/officeDocument/2006/relationships/hyperlink" Id="rId474" Target="https://data.ecb.europa.eu/data/datasets/ILM" TargetMode="External" /><Relationship Type="http://schemas.openxmlformats.org/officeDocument/2006/relationships/hyperlink" Id="rId643" Target="https://data.imf.org/en/Dashboards/FM%20Dashboard" TargetMode="External" /><Relationship Type="http://schemas.openxmlformats.org/officeDocument/2006/relationships/hyperlink" Id="rId500" Target="https://data.worldbank.org/indicator/NE.TRD.GNFS.ZS" TargetMode="External" /><Relationship Type="http://schemas.openxmlformats.org/officeDocument/2006/relationships/hyperlink" Id="rId752" Target="https://doi.org/10.1016/0167-2231(93)90009-L" TargetMode="External" /><Relationship Type="http://schemas.openxmlformats.org/officeDocument/2006/relationships/hyperlink" Id="rId684" Target="https://doi.org/10.1016/0304-3932(91)90007-B" TargetMode="External" /><Relationship Type="http://schemas.openxmlformats.org/officeDocument/2006/relationships/hyperlink" Id="rId754" Target="https://doi.org/10.1016/S0014-2921(00)00037-4" TargetMode="External" /><Relationship Type="http://schemas.openxmlformats.org/officeDocument/2006/relationships/hyperlink" Id="rId750" Target="https://doi.org/10.1016/S1574-0048(99)01004-6" TargetMode="External" /><Relationship Type="http://schemas.openxmlformats.org/officeDocument/2006/relationships/hyperlink" Id="rId539" Target="https://doi.org/10.1016/j.jinteco.2014.05.003" TargetMode="External" /><Relationship Type="http://schemas.openxmlformats.org/officeDocument/2006/relationships/hyperlink" Id="rId741" Target="https://doi.org/10.1016/j.jpubeco.2019.104079" TargetMode="External" /><Relationship Type="http://schemas.openxmlformats.org/officeDocument/2006/relationships/hyperlink" Id="rId537" Target="https://doi.org/10.1016/j.jue.2023.103611" TargetMode="External" /><Relationship Type="http://schemas.openxmlformats.org/officeDocument/2006/relationships/hyperlink" Id="rId744" Target="https://doi.org/10.1057/imfer.2012.6" TargetMode="External" /><Relationship Type="http://schemas.openxmlformats.org/officeDocument/2006/relationships/hyperlink" Id="rId526" Target="https://doi.org/10.1080/15140326.1998.12040516" TargetMode="External" /><Relationship Type="http://schemas.openxmlformats.org/officeDocument/2006/relationships/hyperlink" Id="rId504" Target="https://doi.org/10.1086/260266" TargetMode="External" /><Relationship Type="http://schemas.openxmlformats.org/officeDocument/2006/relationships/hyperlink" Id="rId664" Target="https://doi.org/10.1086/260724" TargetMode="External" /><Relationship Type="http://schemas.openxmlformats.org/officeDocument/2006/relationships/hyperlink" Id="rId653" Target="https://doi.org/10.1086/654131" TargetMode="External" /><Relationship Type="http://schemas.openxmlformats.org/officeDocument/2006/relationships/hyperlink" Id="rId679" Target="https://doi.org/10.1086/ma.19.3585327" TargetMode="External" /><Relationship Type="http://schemas.openxmlformats.org/officeDocument/2006/relationships/hyperlink" Id="rId534" Target="https://doi.org/10.1093/jeea/jvx028" TargetMode="External" /><Relationship Type="http://schemas.openxmlformats.org/officeDocument/2006/relationships/hyperlink" Id="rId611" Target="https://doi.org/10.1093/qje/qjz036" TargetMode="External" /><Relationship Type="http://schemas.openxmlformats.org/officeDocument/2006/relationships/hyperlink" Id="rId657" Target="https://doi.org/10.1111/j.1468-0335.2009.00815.x" TargetMode="External" /><Relationship Type="http://schemas.openxmlformats.org/officeDocument/2006/relationships/hyperlink" Id="rId662" Target="https://doi.org/10.1111/jeea.12083" TargetMode="External" /><Relationship Type="http://schemas.openxmlformats.org/officeDocument/2006/relationships/hyperlink" Id="rId456" Target="https://doi.org/10.1111/jmcb.12420" TargetMode="External" /><Relationship Type="http://schemas.openxmlformats.org/officeDocument/2006/relationships/hyperlink" Id="rId529" Target="https://doi.org/10.1162/003355302753650274" TargetMode="External" /><Relationship Type="http://schemas.openxmlformats.org/officeDocument/2006/relationships/hyperlink" Id="rId531" Target="https://doi.org/10.1162/003465305775098189" TargetMode="External" /><Relationship Type="http://schemas.openxmlformats.org/officeDocument/2006/relationships/hyperlink" Id="rId578" Target="https://doi.org/10.1162/003465398557320" TargetMode="External" /><Relationship Type="http://schemas.openxmlformats.org/officeDocument/2006/relationships/hyperlink" Id="rId511" Target="https://doi.org/10.1257/aer.109.4.1197" TargetMode="External" /><Relationship Type="http://schemas.openxmlformats.org/officeDocument/2006/relationships/hyperlink" Id="rId655" Target="https://doi.org/10.1257/aer.20171201" TargetMode="External" /><Relationship Type="http://schemas.openxmlformats.org/officeDocument/2006/relationships/hyperlink" Id="rId509" Target="https://doi.org/10.1257/jep.28.2.197" TargetMode="External" /><Relationship Type="http://schemas.openxmlformats.org/officeDocument/2006/relationships/hyperlink" Id="rId445" Target="https://doi.org/10.1257/jep.33.4.187" TargetMode="External" /><Relationship Type="http://schemas.openxmlformats.org/officeDocument/2006/relationships/hyperlink" Id="rId690" Target="https://doi.org/10.1257/jep.35.1.3" TargetMode="External" /><Relationship Type="http://schemas.openxmlformats.org/officeDocument/2006/relationships/hyperlink" Id="rId517" Target="https://doi.org/10.1257/jep.5.1.73" TargetMode="External" /><Relationship Type="http://schemas.openxmlformats.org/officeDocument/2006/relationships/hyperlink" Id="rId756" Target="https://doi.org/10.1257/mac.1.1.58" TargetMode="External" /><Relationship Type="http://schemas.openxmlformats.org/officeDocument/2006/relationships/hyperlink" Id="rId730" Target="https://doi.org/10.1353/eca.2003.0018" TargetMode="External" /><Relationship Type="http://schemas.openxmlformats.org/officeDocument/2006/relationships/hyperlink" Id="rId736" Target="https://doi.org/10.21034/qr.531" TargetMode="External" /><Relationship Type="http://schemas.openxmlformats.org/officeDocument/2006/relationships/hyperlink" Id="rId523" Target="https://doi.org/10.2307/1344503" TargetMode="External" /><Relationship Type="http://schemas.openxmlformats.org/officeDocument/2006/relationships/hyperlink" Id="rId615" Target="https://doi.org/10.2307/1907327" TargetMode="External" /><Relationship Type="http://schemas.openxmlformats.org/officeDocument/2006/relationships/hyperlink" Id="rId571" Target="https://doi.org/10.2307/2232670" TargetMode="External" /><Relationship Type="http://schemas.openxmlformats.org/officeDocument/2006/relationships/hyperlink" Id="rId688" Target="https://doi.org/10.2307/2534091" TargetMode="External" /><Relationship Type="http://schemas.openxmlformats.org/officeDocument/2006/relationships/hyperlink" Id="rId513" Target="https://doi.org/10.2307/2534495" TargetMode="External" /><Relationship Type="http://schemas.openxmlformats.org/officeDocument/2006/relationships/hyperlink" Id="rId727" Target="https://doi.org/10.2307/2550759" TargetMode="External" /><Relationship Type="http://schemas.openxmlformats.org/officeDocument/2006/relationships/hyperlink" Id="rId669" Target="https://doi.org/10.2307/2953682" TargetMode="External" /><Relationship Type="http://schemas.openxmlformats.org/officeDocument/2006/relationships/hyperlink" Id="rId548" Target="https://doi.org/10.2765/022983" TargetMode="External" /><Relationship Type="http://schemas.openxmlformats.org/officeDocument/2006/relationships/hyperlink" Id="rId666" Target="https://doi.org/10.2765/71437" TargetMode="External" /><Relationship Type="http://schemas.openxmlformats.org/officeDocument/2006/relationships/hyperlink" Id="rId637" Target="https://doi.org/10.5089/9798400230622.002.A001" TargetMode="External" /><Relationship Type="http://schemas.openxmlformats.org/officeDocument/2006/relationships/hyperlink" Id="rId576" Target="https://doi.org/10.7208/chicago/9780226194578.003.0002" TargetMode="External" /><Relationship Type="http://schemas.openxmlformats.org/officeDocument/2006/relationships/hyperlink" Id="rId606" Target="https://ec.europa.eu/eurostat/databrowser/view/jvs_q_r21/default/table" TargetMode="External" /><Relationship Type="http://schemas.openxmlformats.org/officeDocument/2006/relationships/hyperlink" Id="rId594" Target="https://ec.europa.eu/eurostat/databrowser/view/lfsa_argan/default/table" TargetMode="External" /><Relationship Type="http://schemas.openxmlformats.org/officeDocument/2006/relationships/hyperlink" Id="rId592" Target="https://ec.europa.eu/eurostat/databrowser/view/lfsq_argan/default/table" TargetMode="External" /><Relationship Type="http://schemas.openxmlformats.org/officeDocument/2006/relationships/hyperlink" Id="rId602" Target="https://ec.europa.eu/eurostat/databrowser/view/nama_10_a10/default/table" TargetMode="External" /><Relationship Type="http://schemas.openxmlformats.org/officeDocument/2006/relationships/hyperlink" Id="rId600" Target="https://ec.europa.eu/eurostat/databrowser/view/nama_10_gdp/default/table" TargetMode="External" /><Relationship Type="http://schemas.openxmlformats.org/officeDocument/2006/relationships/hyperlink" Id="rId596" Target="https://ec.europa.eu/eurostat/databrowser/view/namq_10_a10_e/default/table" TargetMode="External" /><Relationship Type="http://schemas.openxmlformats.org/officeDocument/2006/relationships/hyperlink" Id="rId598" Target="https://ec.europa.eu/eurostat/databrowser/view/namq_10_gdp/default/table" TargetMode="External" /><Relationship Type="http://schemas.openxmlformats.org/officeDocument/2006/relationships/hyperlink" Id="rId604" Target="https://ec.europa.eu/eurostat/databrowser/view/prc_hicp_minr/default/table" TargetMode="External" /><Relationship Type="http://schemas.openxmlformats.org/officeDocument/2006/relationships/hyperlink" Id="rId608" Target="https://ec.europa.eu/eurostat/databrowser/view/une_rt_q/default/table" TargetMode="External" /><Relationship Type="http://schemas.openxmlformats.org/officeDocument/2006/relationships/hyperlink" Id="rId588" Target="https://ec.europa.eu/eurostat/statistics-explained/index.php?title=Glossary:Housing_cost_overburden_rate" TargetMode="External" /><Relationship Type="http://schemas.openxmlformats.org/officeDocument/2006/relationships/hyperlink" Id="rId590" Target="https://ec.europa.eu/eurostat/statistics-explained/index.php?title=The_Macroeconomic_Imbalance_Procedure_(MIP)_introduced" TargetMode="External" /><Relationship Type="http://schemas.openxmlformats.org/officeDocument/2006/relationships/hyperlink" Id="rId586" Target="https://ec.europa.eu/eurostat/web/products-euro-indicators/-/2-22042013-ap" TargetMode="External" /><Relationship Type="http://schemas.openxmlformats.org/officeDocument/2006/relationships/hyperlink" Id="rId554" Target="https://economy-finance.ec.europa.eu/economic-forecast-and-surveys/business-and-consumer-surveys_en" TargetMode="External" /><Relationship Type="http://schemas.openxmlformats.org/officeDocument/2006/relationships/hyperlink" Id="rId557" Target="https://economy-finance.ec.europa.eu/economic-research-and-databases/economic-databases/ameco-database_en" TargetMode="External" /><Relationship Type="http://schemas.openxmlformats.org/officeDocument/2006/relationships/hyperlink" Id="rId712" Target="https://eur-lex.europa.eu/eli/dir/2013/36/oj" TargetMode="External" /><Relationship Type="http://schemas.openxmlformats.org/officeDocument/2006/relationships/hyperlink" Id="rId716" Target="https://eur-lex.europa.eu/eli/reg/2013/549/oj" TargetMode="External" /><Relationship Type="http://schemas.openxmlformats.org/officeDocument/2006/relationships/hyperlink" Id="rId714" Target="https://eur-lex.europa.eu/eli/reg/2013/575/oj" TargetMode="External" /><Relationship Type="http://schemas.openxmlformats.org/officeDocument/2006/relationships/hyperlink" Id="rId722" Target="https://eur-lex.europa.eu/eli/reg/2024/1263/oj" TargetMode="External" /><Relationship Type="http://schemas.openxmlformats.org/officeDocument/2006/relationships/hyperlink" Id="rId569" Target="https://eur-lex.europa.eu/eli/reg/2024/1264/oj" TargetMode="External" /><Relationship Type="http://schemas.openxmlformats.org/officeDocument/2006/relationships/hyperlink" Id="rId724" Target="https://eur-lex.europa.eu/eli/reg/2024/1623/oj" TargetMode="External" /><Relationship Type="http://schemas.openxmlformats.org/officeDocument/2006/relationships/hyperlink" Id="rId552" Target="https://eur-lex.europa.eu/legal-content/EN/ALL/?uri=CELEX:52025DC0956" TargetMode="External" /><Relationship Type="http://schemas.openxmlformats.org/officeDocument/2006/relationships/hyperlink" Id="rId764" Target="https://eur-lex.europa.eu/legal-content/ES/TXT/?uri=CELEX:12012E/PRO/12" TargetMode="External" /><Relationship Type="http://schemas.openxmlformats.org/officeDocument/2006/relationships/hyperlink" Id="rId567" Target="https://eur-lex.europa.eu/legal-content/ES/TXT/?uri=CELEX:32013R1024" TargetMode="External" /><Relationship Type="http://schemas.openxmlformats.org/officeDocument/2006/relationships/hyperlink" Id="rId718" Target="https://eur-lex.europa.eu/legal-content/ES/TXT/?uri=CELEX:32014L0059" TargetMode="External" /><Relationship Type="http://schemas.openxmlformats.org/officeDocument/2006/relationships/hyperlink" Id="rId720" Target="https://eur-lex.europa.eu/legal-content/ES/TXT/?uri=CELEX:32014R0806" TargetMode="External" /><Relationship Type="http://schemas.openxmlformats.org/officeDocument/2006/relationships/hyperlink" Id="rId460" Target="https://eur-lex.europa.eu/legal-content/ES/TXT/?uri=CELEX:32020HB0019" TargetMode="External" /><Relationship Type="http://schemas.openxmlformats.org/officeDocument/2006/relationships/hyperlink" Id="rId544" Target="https://eur-lex.europa.eu/legal-content/ES/TXT/?uri=CELEX:52015PC0586" TargetMode="External" /><Relationship Type="http://schemas.openxmlformats.org/officeDocument/2006/relationships/hyperlink" Id="rId546" Target="https://eur-lex.europa.eu/legal-content/ES/TXT/?uri=CELEX:52022DC0230" TargetMode="External" /><Relationship Type="http://schemas.openxmlformats.org/officeDocument/2006/relationships/hyperlink" Id="rId768" Target="https://fred.stlouisfed.org/series/GDPC1" TargetMode="External" /><Relationship Type="http://schemas.openxmlformats.org/officeDocument/2006/relationships/hyperlink" Id="rId739" Target="https://laadministracionaldia.inap.es/noticia.asp?id=1500719" TargetMode="External" /><Relationship Type="http://schemas.openxmlformats.org/officeDocument/2006/relationships/hyperlink" Id="rId488" Target="https://repositorio.bde.es/bitstream/123456789/36492/1/InfAnual_2023_Cap4.pdf" TargetMode="External" /><Relationship Type="http://schemas.openxmlformats.org/officeDocument/2006/relationships/hyperlink" Id="rId762" Target="https://uniblog.unicajabanco.es/8-indicadores-bancarios-para-no-iniciados" TargetMode="External" /><Relationship Type="http://schemas.openxmlformats.org/officeDocument/2006/relationships/hyperlink" Id="rId466" Target="https://www.bankingsupervision.europa.eu/activities/srep/2025/html/ssm.srep202511_aggregatedresults2025.en.html" TargetMode="External" /><Relationship Type="http://schemas.openxmlformats.org/officeDocument/2006/relationships/hyperlink" Id="rId476" Target="https://www.bankingsupervision.europa.eu/press/pr/date/2026/html/ssm.pr260915~7917ca1416.es.html" TargetMode="External" /><Relationship Type="http://schemas.openxmlformats.org/officeDocument/2006/relationships/hyperlink" Id="rId502" Target="https://www.bankinter.com/blog/economia/leer-rating-agencias-calificacion-financiera" TargetMode="External" /><Relationship Type="http://schemas.openxmlformats.org/officeDocument/2006/relationships/hyperlink" Id="rId659" Target="https://www.banque-france.fr/en/publications-and-statistics/publications/housing-subsidies-smaller-upward-impact-rents-if-supply-adjusts" TargetMode="External" /><Relationship Type="http://schemas.openxmlformats.org/officeDocument/2006/relationships/hyperlink" Id="rId521" Target="https://www.bbvaresearch.com/publicaciones/espana-la-economia-espanola-en-el-primer-ano-de-la-guerra-de-ucrania/" TargetMode="External" /><Relationship Type="http://schemas.openxmlformats.org/officeDocument/2006/relationships/hyperlink" Id="rId486" Target="https://www.bde.es/f/webbde/SES/Secciones/Publicaciones/PublicacionesAnuales/InformesAnuales/21/Fich/InfAnual_2021.pdf" TargetMode="External" /><Relationship Type="http://schemas.openxmlformats.org/officeDocument/2006/relationships/hyperlink" Id="rId492" Target="https://www.bde.es/f/webbe/GAP/Secciones/SalaPrensa/NotasInformativas/26/presbe2026-90.pdf" TargetMode="External" /><Relationship Type="http://schemas.openxmlformats.org/officeDocument/2006/relationships/hyperlink" Id="rId490" Target="https://www.bde.es/f/webbe/INF/MenuVertical/EstabilidadFinanciera/Colchon_capital/Resolucion_CCA_2025T4.pdf" TargetMode="External" /><Relationship Type="http://schemas.openxmlformats.org/officeDocument/2006/relationships/hyperlink" Id="rId494" Target="https://www.bde.es/wbe/es/publicaciones/informes-memorias-anuales/informe-anual/informe-anual-2025.html" TargetMode="External" /><Relationship Type="http://schemas.openxmlformats.org/officeDocument/2006/relationships/hyperlink" Id="rId484" Target="https://www.bde.es/webbe/es/estadisticas/compartido/docs/notaNGEU.pdf" TargetMode="External" /><Relationship Type="http://schemas.openxmlformats.org/officeDocument/2006/relationships/hyperlink" Id="rId565" Target="https://www.bis.org/bcbs/publ/d295.htm" TargetMode="External" /><Relationship Type="http://schemas.openxmlformats.org/officeDocument/2006/relationships/hyperlink" Id="rId506" Target="https://www.bis.org/bcbs/publ/d424.htm" TargetMode="External" /><Relationship Type="http://schemas.openxmlformats.org/officeDocument/2006/relationships/hyperlink" Id="rId496" Target="https://www.bis.org/publ/arpdf/ar2022e2.htm" TargetMode="External" /><Relationship Type="http://schemas.openxmlformats.org/officeDocument/2006/relationships/hyperlink" Id="rId498" Target="https://www.bis.org/publ/arpdf/ar2024e.htm" TargetMode="External" /><Relationship Type="http://schemas.openxmlformats.org/officeDocument/2006/relationships/hyperlink" Id="rId559" Target="https://www.bis.org/publ/bcbs187.htm" TargetMode="External" /><Relationship Type="http://schemas.openxmlformats.org/officeDocument/2006/relationships/hyperlink" Id="rId561" Target="https://www.bis.org/publ/bcbs189.htm" TargetMode="External" /><Relationship Type="http://schemas.openxmlformats.org/officeDocument/2006/relationships/hyperlink" Id="rId563" Target="https://www.bis.org/publ/bcbs238.htm" TargetMode="External" /><Relationship Type="http://schemas.openxmlformats.org/officeDocument/2006/relationships/hyperlink" Id="rId519" Target="https://www.bis.org/publ/work186.htm" TargetMode="External" /><Relationship Type="http://schemas.openxmlformats.org/officeDocument/2006/relationships/hyperlink" Id="rId694" Target="https://www.boe.es/diario_boe/txt.php?id=BOE-A-2024-27439" TargetMode="External" /><Relationship Type="http://schemas.openxmlformats.org/officeDocument/2006/relationships/hyperlink" Id="rId696" Target="https://www.boe.es/diario_boe/txt.php?id=BOE-A-2025-26902" TargetMode="External" /><Relationship Type="http://schemas.openxmlformats.org/officeDocument/2006/relationships/hyperlink" Id="rId758" Target="https://www.conference-board.org/topics/us-leading-indicators" TargetMode="External" /><Relationship Type="http://schemas.openxmlformats.org/officeDocument/2006/relationships/hyperlink" Id="rId452" Target="https://www.eba.europa.eu/regulation-and-policy/credit-risk/guidelines-legislative-and-non-legislative-moratoria-loan-repayments-applied-light-covid-19-crisis" TargetMode="External" /><Relationship Type="http://schemas.openxmlformats.org/officeDocument/2006/relationships/hyperlink" Id="rId580" Target="https://www.eba.europa.eu/risk-and-data-analysis/risk-analysis/risk-monitoring/risk-dashboard" TargetMode="External" /><Relationship Type="http://schemas.openxmlformats.org/officeDocument/2006/relationships/hyperlink" Id="rId582" Target="https://www.eba.europa.eu/sites/default/files/2026-09/26394108-1837-4b5b-bce2-fba1d3c574b1/EBA%20Dashboard%20-%20Q2%202026.pdf" TargetMode="External" /><Relationship Type="http://schemas.openxmlformats.org/officeDocument/2006/relationships/hyperlink" Id="rId468" Target="https://www.ecb.europa.eu/mopo/strategy/strategy-review/ecb.strategyreview202506_strategy_statement.es.html" TargetMode="External" /><Relationship Type="http://schemas.openxmlformats.org/officeDocument/2006/relationships/hyperlink" Id="rId478" Target="https://www.ecb.europa.eu/paym/coll/risk/ecaf/html/index.en.html" TargetMode="External" /><Relationship Type="http://schemas.openxmlformats.org/officeDocument/2006/relationships/hyperlink" Id="rId541" Target="https://www.ecb.europa.eu/press/economic-bulletin/focus/2022/html/ecb.ebbox202207_04~a89ec1a6fe.en.html" TargetMode="External" /><Relationship Type="http://schemas.openxmlformats.org/officeDocument/2006/relationships/hyperlink" Id="rId464" Target="https://www.ecb.europa.eu/press/pr/date/2024/html/ecb.pr240313~807e240020.en.html" TargetMode="External" /><Relationship Type="http://schemas.openxmlformats.org/officeDocument/2006/relationships/hyperlink" Id="rId470" Target="https://www.ecb.europa.eu/press/pr/date/2026/html/ecb.pr260101~c830245e42.es.html" TargetMode="External" /><Relationship Type="http://schemas.openxmlformats.org/officeDocument/2006/relationships/hyperlink" Id="rId462" Target="https://www.ecb.europa.eu/pub/annual/html/ecb.ar2022~8ae51d163b.es.html" TargetMode="External" /><Relationship Type="http://schemas.openxmlformats.org/officeDocument/2006/relationships/hyperlink" Id="rId458" Target="https://www.ecb.europa.eu/pub/financial-stability/fsr/html/ecb.fsr202011~b7be9ae1f1.en.html" TargetMode="External" /><Relationship Type="http://schemas.openxmlformats.org/officeDocument/2006/relationships/hyperlink" Id="rId699" Target="https://www.ecb.europa.eu/pub/pdf/scpwps/ecbwp737.pdf" TargetMode="External" /><Relationship Type="http://schemas.openxmlformats.org/officeDocument/2006/relationships/hyperlink" Id="rId482" Target="https://www.ecb.europa.eu/stats/ecb_surveys/safe/html/index.en.html" TargetMode="External" /><Relationship Type="http://schemas.openxmlformats.org/officeDocument/2006/relationships/hyperlink" Id="rId480" Target="https://www.ecb.europa.eu/stats/policy_and_exchange_rates/key_ecb_interest_rates/html/index.en.html" TargetMode="External" /><Relationship Type="http://schemas.openxmlformats.org/officeDocument/2006/relationships/hyperlink" Id="rId760" Target="https://www.economist.com/finance-and-economics/2008/12/30/diagnosing-depression" TargetMode="External" /><Relationship Type="http://schemas.openxmlformats.org/officeDocument/2006/relationships/hyperlink" Id="rId632" Target="https://www.edx.org/es/course/programacion-y-politicas-financieras-parte-1-cue-2" TargetMode="External" /><Relationship Type="http://schemas.openxmlformats.org/officeDocument/2006/relationships/hyperlink" Id="rId630" Target="https://www.edx.org/es/learn/finance/the-international-monetary-fund-financial-programming-and-policies-part-1-macroeconomic-accounts-analysis" TargetMode="External" /><Relationship Type="http://schemas.openxmlformats.org/officeDocument/2006/relationships/hyperlink" Id="rId770" Target="https://www.eia.gov/dnav/pet/hist/LeafHandler.ashx?n=PET&amp;s=RBRTE&amp;f=M" TargetMode="External" /><Relationship Type="http://schemas.openxmlformats.org/officeDocument/2006/relationships/hyperlink" Id="rId676" Target="https://www.esrb.europa.eu/pub/pdf/other/140303_esrb_handbook_mp.en.pdf" TargetMode="External" /><Relationship Type="http://schemas.openxmlformats.org/officeDocument/2006/relationships/hyperlink" Id="rId710" Target="https://www.ilo.org/resource/article/moving-towards-full-employment-interview-aurelio-parisotto" TargetMode="External" /><Relationship Type="http://schemas.openxmlformats.org/officeDocument/2006/relationships/hyperlink" Id="rId641" Target="https://www.imf.org/en/About/Factsheets/Sheets/2023/IMF-Conditionality" TargetMode="External" /><Relationship Type="http://schemas.openxmlformats.org/officeDocument/2006/relationships/hyperlink" Id="rId645" Target="https://www.imf.org/en/About/executive-board/Article-IV" TargetMode="External" /><Relationship Type="http://schemas.openxmlformats.org/officeDocument/2006/relationships/hyperlink" Id="rId625" Target="https://www.imf.org/en/Publications/FM/Issues/2018/10/04/fiscal-monitor-october-2018" TargetMode="External" /><Relationship Type="http://schemas.openxmlformats.org/officeDocument/2006/relationships/hyperlink" Id="rId639" Target="https://www.imf.org/en/news/articles/2025/03/20/pr25072-imf-and-statistical-community-release-new-global-standards-for-macroeconomic-stats" TargetMode="External" /><Relationship Type="http://schemas.openxmlformats.org/officeDocument/2006/relationships/hyperlink" Id="rId647" Target="https://www.imf.org/en/publications/cr/issues/2026/05/21/spain-2026-article-iv-consultation-press-release-staff-report-and-statement-by-the-576248" TargetMode="External" /><Relationship Type="http://schemas.openxmlformats.org/officeDocument/2006/relationships/hyperlink" Id="rId649" Target="https://www.imf.org/en/publications/weo/issues/2026/10/13/world-economic-outlook-october-2026" TargetMode="External" /><Relationship Type="http://schemas.openxmlformats.org/officeDocument/2006/relationships/hyperlink" Id="rId635" Target="https://www.imf.org/es/Publications/FM/Issues/2023/04/03/fiscal-monitor-april-2023" TargetMode="External" /><Relationship Type="http://schemas.openxmlformats.org/officeDocument/2006/relationships/hyperlink" Id="rId619" Target="https://www.imf.org/external/np/pp/eng/2011/021411b.pdf" TargetMode="External" /><Relationship Type="http://schemas.openxmlformats.org/officeDocument/2006/relationships/hyperlink" Id="rId621" Target="https://www.imf.org/external/np/pp/eng/2012/111412.pdf" TargetMode="External" /><Relationship Type="http://schemas.openxmlformats.org/officeDocument/2006/relationships/hyperlink" Id="rId617" Target="https://www.imf.org/external/pubs/ft/bop/2007/pdf/bpm6.pdf" TargetMode="External" /><Relationship Type="http://schemas.openxmlformats.org/officeDocument/2006/relationships/hyperlink" Id="rId671" Target="https://www.ine.es/dyngs/INEbase/es/operacion.htm?c=Estadistica_C&amp;cid=1254736176918&amp;menu=metodologia&amp;idp=1254735976595" TargetMode="External" /><Relationship Type="http://schemas.openxmlformats.org/officeDocument/2006/relationships/hyperlink" Id="rId673" Target="https://www.ine.es/metodologia/t25/metodologia_IPC_base_2025.pdf" TargetMode="External" /><Relationship Type="http://schemas.openxmlformats.org/officeDocument/2006/relationships/hyperlink" Id="rId613" Target="https://www.levyinstitute.org/pubs/wp_651.pdf" TargetMode="External" /><Relationship Type="http://schemas.openxmlformats.org/officeDocument/2006/relationships/hyperlink" Id="rId701" Target="https://www.nber.org/research/business-cycle-dating/business-cycle-dating-procedure-frequently-asked-questions" TargetMode="External" /><Relationship Type="http://schemas.openxmlformats.org/officeDocument/2006/relationships/hyperlink" Id="rId707" Target="https://www.oecd.org/en/publications/2026/06/oecd-economic-outlook-volume-2026-issue-1_8be0dba6.html" TargetMode="External" /><Relationship Type="http://schemas.openxmlformats.org/officeDocument/2006/relationships/hyperlink" Id="rId703" Target="https://www.oecd.org/en/topics/sub-issues/trade-in-value-added.html" TargetMode="External" /><Relationship Type="http://schemas.openxmlformats.org/officeDocument/2006/relationships/hyperlink" Id="rId748" Target="https://www.spglobal.com/marketintelligence/en/mi/products/pmi.html" TargetMode="External" /><Relationship Type="http://schemas.openxmlformats.org/officeDocument/2006/relationships/hyperlink" Id="rId766"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7"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2026-10-26T15:21:28Z</dcterms:created>
  <dcterms:modified xsi:type="dcterms:W3CDTF">2026-10-26T15:21:28Z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12</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