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22.png" ContentType="image/png"/>
  <Override PartName="/word/media/rId267.png" ContentType="image/png"/>
  <Override PartName="/word/media/rId249.png" ContentType="image/png"/>
  <Override PartName="/word/media/rId253.png" ContentType="image/png"/>
  <Override PartName="/word/media/rId73.png" ContentType="image/png"/>
  <Override PartName="/word/media/rId62.png" ContentType="image/png"/>
  <Override PartName="/word/media/rId263.png" ContentType="image/png"/>
  <Override PartName="/word/media/rId40.png" ContentType="image/png"/>
  <Override PartName="/word/media/rId149.png" ContentType="image/png"/>
  <Override PartName="/word/media/rId271.png" ContentType="image/png"/>
  <Override PartName="/word/media/rId275.png" ContentType="image/png"/>
  <Override PartName="/word/media/rId86.png" ContentType="image/png"/>
  <Override PartName="/word/media/rId259.png" ContentType="image/png"/>
  <Override PartName="/word/media/rId207.png" ContentType="image/png"/>
  <Override PartName="/word/media/rId190.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23/10/2026</w:t>
      </w:r>
    </w:p>
    <w:p>
      <w:pPr>
        <w:pStyle w:val="Paginasdeltema"/>
      </w:pPr>
      <w:r>
        <w:t xml:space="preserve">Guía: 45 págs. · Anexos: 20 · Bibliografía: 8 (PDF)</w:t>
      </w:r>
    </w:p>
    <w:bookmarkStart w:id="22"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 cuadro macroeconómico y unos gráficos de un país, casi siempre anónimo, hay que contestar por escrito a 5 o 6 preguntas en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 hay que</w:t>
      </w:r>
      <w:r>
        <w:t xml:space="preserve"> </w:t>
      </w:r>
      <w:r>
        <w:rPr>
          <w:i/>
          <w:iCs/>
        </w:rPr>
        <w:t xml:space="preserve">interpretar</w:t>
      </w:r>
      <w:r>
        <w:t xml:space="preserve"> </w:t>
      </w:r>
      <w:r>
        <w:t xml:space="preserve">la evolución de los agregados, proponer relaciones causales con prudencia y decir qué importa en ese país.</w:t>
      </w:r>
    </w:p>
    <w:p>
      <w:pPr>
        <w:keepNext/>
        <w:numPr>
          <w:ilvl w:val="1"/>
          <w:numId w:val="1002"/>
        </w:numPr>
      </w:pPr>
      <w:r>
        <w:t xml:space="preserve">Un análisis completo tiene 3 partes:</w:t>
      </w:r>
    </w:p>
    <w:p>
      <w:pPr>
        <w:numPr>
          <w:ilvl w:val="2"/>
          <w:numId w:val="1003"/>
        </w:numPr>
      </w:pPr>
      <w:r>
        <w:t xml:space="preserve">una idea de conjunto del estado de la economía, con sus fortalezas y debilidades;</w:t>
      </w:r>
    </w:p>
    <w:p>
      <w:pPr>
        <w:numPr>
          <w:ilvl w:val="2"/>
          <w:numId w:val="1003"/>
        </w:numPr>
      </w:pPr>
      <w:r>
        <w:t xml:space="preserve">los factores que la han llevado a esa situación, para lo que hay que dominar las relaciones entre las macromagnitudes (y saber que no siempre se cumplen ni se ven en todos los países);</w:t>
      </w:r>
    </w:p>
    <w:p>
      <w:pPr>
        <w:numPr>
          <w:ilvl w:val="2"/>
          <w:numId w:val="1003"/>
        </w:numPr>
      </w:pPr>
      <w:r>
        <w:t xml:space="preserve">un esbozo de la evolución futura y de las políticas que corregirían los desequilibrios.</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105 minutos solo cabe lo importante.</w:t>
      </w:r>
    </w:p>
    <w:p>
      <w:pPr>
        <w:keepNext/>
        <w:numPr>
          <w:ilvl w:val="0"/>
          <w:numId w:val="1001"/>
        </w:numPr>
      </w:pPr>
      <w:r>
        <w:rPr>
          <w:b/>
          <w:bCs/>
          <w:i/>
          <w:iCs/>
        </w:rPr>
        <w:t xml:space="preserve">Cómo está organizada</w:t>
      </w:r>
      <w:r>
        <w:t xml:space="preserve">:</w:t>
      </w:r>
    </w:p>
    <w:p>
      <w:pPr>
        <w:numPr>
          <w:ilvl w:val="1"/>
          <w:numId w:val="1004"/>
        </w:numPr>
      </w:pPr>
      <w:r>
        <w:t xml:space="preserve">El capítulo </w:t>
      </w:r>
      <w:hyperlink w:anchor="sec_metodo">
        <w:r>
          <w:rPr>
            <w:rStyle w:val="Hyperlink"/>
          </w:rPr>
          <w:t xml:space="preserve">I</w:t>
        </w:r>
      </w:hyperlink>
      <w:r>
        <w:t xml:space="preserve"> </w:t>
      </w:r>
      <w:r>
        <w:t xml:space="preserve">es el</w:t>
      </w:r>
      <w:r>
        <w:t xml:space="preserve"> </w:t>
      </w:r>
      <w:r>
        <w:rPr>
          <w:i/>
          <w:iCs/>
        </w:rPr>
        <w:t xml:space="preserve">método</w:t>
      </w:r>
      <w:r>
        <w:t xml:space="preserve">: qué es el ejercicio, qué valora el tribunal, cómo repartir el tiempo, cómo leer el cuadernillo, cómo redactar y qué errores evitar.</w:t>
      </w:r>
    </w:p>
    <w:p>
      <w:pPr>
        <w:numPr>
          <w:ilvl w:val="1"/>
          <w:numId w:val="1004"/>
        </w:numPr>
      </w:pPr>
      <w:r>
        <w:t xml:space="preserve">Los capítulos siguientes siguen el orden en que suelen preguntarse las cosas: el perfil cíclico (capítulo </w:t>
      </w:r>
      <w:hyperlink w:anchor="sec_perfil">
        <w:r>
          <w:rPr>
            <w:rStyle w:val="Hyperlink"/>
          </w:rPr>
          <w:t xml:space="preserve">II</w:t>
        </w:r>
      </w:hyperlink>
      <w:r>
        <w:t xml:space="preserve">), los mercados de factores, la competitividad, el sector exterior, las políticas y las recomendaciones.</w:t>
      </w:r>
    </w:p>
    <w:p>
      <w:pPr>
        <w:numPr>
          <w:ilvl w:val="1"/>
          <w:numId w:val="1004"/>
        </w:numPr>
      </w:pPr>
      <w:r>
        <w:t xml:space="preserve">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Los anexos recogen lo que se consulta y no se memoriza entero: la tabla de indicadores y umbrales, lo que se ha preguntado en los dictámenes oficiales desde 2011, expresiones útiles para redactar, la lectura de series, los cálculos tipo y la programación financiera del FMI.</w:t>
      </w:r>
    </w:p>
    <w:p>
      <w:pPr>
        <w:keepNext/>
        <w:numPr>
          <w:ilvl w:val="0"/>
          <w:numId w:val="1001"/>
        </w:numPr>
      </w:pPr>
      <w:r>
        <w:rPr>
          <w:b/>
          <w:bCs/>
          <w:i/>
          <w:iCs/>
        </w:rPr>
        <w:t xml:space="preserve">Cómo usarla</w:t>
      </w:r>
      <w:r>
        <w:t xml:space="preserve">:</w:t>
      </w:r>
    </w:p>
    <w:p>
      <w:pPr>
        <w:numPr>
          <w:ilvl w:val="1"/>
          <w:numId w:val="1005"/>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5"/>
        </w:numPr>
      </w:pPr>
      <w:r>
        <w:t xml:space="preserve">Se aprende con dictámenes resueltos: primero el método y el bloque del perfil cíclico, después un dictamen oficial completo con el reloj delante, y luego los demás bloques a medida que salen en los exámenes.</w:t>
      </w:r>
    </w:p>
    <w:p>
      <w:pPr>
        <w:numPr>
          <w:ilvl w:val="1"/>
          <w:numId w:val="1005"/>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bookmarkEnd w:id="22"/>
    <w:bookmarkStart w:id="36" w:name="sec_metodo"/>
    <w:p>
      <w:pPr>
        <w:pStyle w:val="Heading1"/>
      </w:pPr>
      <w:r>
        <w:t xml:space="preserve">I.</w:t>
      </w:r>
      <w:r>
        <w:t xml:space="preserve"> </w:t>
      </w:r>
      <w:r>
        <w:t xml:space="preserve">El ejercicio y el método</w:t>
      </w:r>
    </w:p>
    <w:p>
      <w:pPr>
        <w:numPr>
          <w:ilvl w:val="0"/>
          <w:numId w:val="1006"/>
        </w:numPr>
      </w:pPr>
      <w:r>
        <w:t xml:space="preserve">Este capítulo da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 reparto del tiempo decidido en casa y respetado en el examen.</w:t>
      </w:r>
    </w:p>
    <w:bookmarkStart w:id="24" w:name="sec_ejercicio"/>
    <w:p>
      <w:pPr>
        <w:pStyle w:val="Heading2"/>
      </w:pPr>
      <w:r>
        <w:t xml:space="preserve">I.1.</w:t>
      </w:r>
      <w:r>
        <w:t xml:space="preserve"> </w:t>
      </w:r>
      <w:r>
        <w:t xml:space="preserve">Qué es el ejercicio y cómo se califica</w:t>
      </w:r>
    </w:p>
    <w:p>
      <w:pPr>
        <w:numPr>
          <w:ilvl w:val="0"/>
          <w:numId w:val="1007"/>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007"/>
        </w:numPr>
      </w:pPr>
      <w:r>
        <w:rPr>
          <w:i/>
          <w:iCs/>
        </w:rPr>
        <w:t xml:space="preserve">Qué trae el cuadernillo</w:t>
      </w:r>
      <w:r>
        <w:t xml:space="preserve">:</w:t>
      </w:r>
    </w:p>
    <w:p>
      <w:pPr>
        <w:numPr>
          <w:ilvl w:val="1"/>
          <w:numId w:val="1008"/>
        </w:numPr>
      </w:pPr>
      <w:r>
        <w:t xml:space="preserve">un cuadro macroeconómico de unos 8-12 años (a veces con previsiones), con el PIB y sus componentes, el mercado de trabajo, los precios, el sector exterior, las cuentas públicas y los tipos de interés;</w:t>
      </w:r>
    </w:p>
    <w:p>
      <w:pPr>
        <w:numPr>
          <w:ilvl w:val="1"/>
          <w:numId w:val="1008"/>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008"/>
        </w:numPr>
      </w:pPr>
      <w:r>
        <w:t xml:space="preserve">a veces, unas líneas de contexto: régimen cambiario, objetivo de inflación, pertenencia al euro o al G-20, un programa del FMI, un sector dominante;</w:t>
      </w:r>
    </w:p>
    <w:p>
      <w:pPr>
        <w:numPr>
          <w:ilvl w:val="1"/>
          <w:numId w:val="1008"/>
        </w:numPr>
      </w:pPr>
      <w:r>
        <w:t xml:space="preserve">5 o 6 preguntas con subpreguntas (desde 2023).</w:t>
      </w:r>
    </w:p>
    <w:p>
      <w:pPr>
        <w:numPr>
          <w:ilvl w:val="0"/>
          <w:numId w:val="1007"/>
        </w:numPr>
      </w:pPr>
      <w:r>
        <w:rPr>
          <w:i/>
          <w:iCs/>
        </w:rPr>
        <w:t xml:space="preserve">Cómo se escribe</w:t>
      </w:r>
      <w:r>
        <w:t xml:space="preserve">: a mano, en hojas autocopiativas, con bolígrafo azul o negro y sin calculadora. En 2026 solo se admitían las abreviaturas del enunciado y las convencionales del análisis económico (PIB, pp, pb, FMI); las demás se escriben completas.</w:t>
      </w:r>
    </w:p>
    <w:p>
      <w:pPr>
        <w:numPr>
          <w:ilvl w:val="0"/>
          <w:numId w:val="1007"/>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007"/>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007"/>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w:t>
        </w:r>
      </w:hyperlink>
      <w:r>
        <w:t xml:space="preserve">). La guía, por eso, da reglas que valen para cualquier formato y no un horario cerrado.</w:t>
      </w:r>
    </w:p>
    <w:bookmarkStart w:id="23" w:name="tab_formato"/>
    <w:p>
      <w:pPr>
        <w:pStyle w:val="TableCaption"/>
      </w:pPr>
      <w:r>
        <w:t xml:space="preserve">Tabla 1.–</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sin cálculos; subpreguntas;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23"/>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24"/>
    <w:bookmarkStart w:id="25" w:name="sec_que_valora"/>
    <w:p>
      <w:pPr>
        <w:pStyle w:val="Heading2"/>
      </w:pPr>
      <w:r>
        <w:t xml:space="preserve">I.2.</w:t>
      </w:r>
      <w:r>
        <w:t xml:space="preserve"> </w:t>
      </w:r>
      <w:r>
        <w:t xml:space="preserve">Qué valora el tribunal</w:t>
      </w:r>
    </w:p>
    <w:p>
      <w:pPr>
        <w:numPr>
          <w:ilvl w:val="0"/>
          <w:numId w:val="1009"/>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09"/>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009"/>
        </w:numPr>
      </w:pPr>
      <w:r>
        <w:t xml:space="preserve">De ahí salen 4 capacidades:</w:t>
      </w:r>
    </w:p>
    <w:p>
      <w:pPr>
        <w:numPr>
          <w:ilvl w:val="1"/>
          <w:numId w:val="1010"/>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010"/>
        </w:numPr>
      </w:pPr>
      <w:r>
        <w:rPr>
          <w:b/>
          <w:bCs/>
        </w:rPr>
        <w:t xml:space="preserve">Capacidad de síntesis</w:t>
      </w:r>
      <w:r>
        <w:t xml:space="preserve">: lo importante primero, con una frase de diagnóstico al empezar cada respuesta (apartado </w:t>
      </w:r>
      <w:hyperlink w:anchor="sec_redactar">
        <w:r>
          <w:rPr>
            <w:rStyle w:val="Hyperlink"/>
          </w:rPr>
          <w:t xml:space="preserve">I.5</w:t>
        </w:r>
      </w:hyperlink>
      <w:r>
        <w:t xml:space="preserve">), y una visión de conjunto de la serie, no año a año.</w:t>
      </w:r>
    </w:p>
    <w:p>
      <w:pPr>
        <w:numPr>
          <w:ilvl w:val="1"/>
          <w:numId w:val="1010"/>
        </w:numPr>
      </w:pPr>
      <w:r>
        <w:rPr>
          <w:b/>
          <w:bCs/>
        </w:rPr>
        <w:t xml:space="preserve">Comprensión lectora</w:t>
      </w:r>
      <w:r>
        <w:t xml:space="preserve">: contestar a todo lo que se pregunta, cada subpregunta con su rótulo, y solo a eso.</w:t>
      </w:r>
    </w:p>
    <w:p>
      <w:pPr>
        <w:numPr>
          <w:ilvl w:val="1"/>
          <w:numId w:val="1010"/>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009"/>
        </w:numPr>
      </w:pPr>
      <w:r>
        <w:t xml:space="preserve">Y 2 principios que ordenan todo el análisis:</w:t>
      </w:r>
    </w:p>
    <w:p>
      <w:pPr>
        <w:numPr>
          <w:ilvl w:val="1"/>
          <w:numId w:val="1011"/>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011"/>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009"/>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25"/>
    <w:bookmarkStart w:id="27" w:name="sec_tiempo"/>
    <w:p>
      <w:pPr>
        <w:pStyle w:val="Heading2"/>
      </w:pPr>
      <w:r>
        <w:t xml:space="preserve">I.3.</w:t>
      </w:r>
      <w:r>
        <w:t xml:space="preserve"> </w:t>
      </w:r>
      <w:r>
        <w:t xml:space="preserve">El reparto del tiempo</w:t>
      </w:r>
    </w:p>
    <w:p>
      <w:pPr>
        <w:numPr>
          <w:ilvl w:val="0"/>
          <w:numId w:val="1012"/>
        </w:numPr>
      </w:pPr>
      <w:r>
        <w:t xml:space="preserve">La idea: el reparto se decide antes del examen con una regla sencilla, que vale aunque cambien la duración o el número de preguntas, y en el examen solo se aplica.</w:t>
      </w:r>
    </w:p>
    <w:p>
      <w:pPr>
        <w:keepNext/>
        <w:numPr>
          <w:ilvl w:val="0"/>
          <w:numId w:val="1012"/>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013"/>
        </w:numPr>
      </w:pPr>
      <w:r>
        <w:rPr>
          <w:i/>
          <w:iCs/>
        </w:rPr>
        <w:t xml:space="preserve">Lectura y plan</w:t>
      </w:r>
      <w:r>
        <w:t xml:space="preserve">: 10′-12′ al principio, sea cual sea la duración (en torno al 10 % del tiempo). Se escribe solo en el cuadernillo (apartado </w:t>
      </w:r>
      <w:hyperlink w:anchor="sec_leer">
        <w:r>
          <w:rPr>
            <w:rStyle w:val="Hyperlink"/>
          </w:rPr>
          <w:t xml:space="preserve">I.4</w:t>
        </w:r>
      </w:hyperlink>
      <w:r>
        <w:t xml:space="preserve">).</w:t>
      </w:r>
    </w:p>
    <w:p>
      <w:pPr>
        <w:numPr>
          <w:ilvl w:val="1"/>
          <w:numId w:val="1013"/>
        </w:numPr>
      </w:pPr>
      <w:r>
        <w:rPr>
          <w:i/>
          <w:iCs/>
        </w:rPr>
        <w:t xml:space="preserve">Repaso final</w:t>
      </w:r>
      <w:r>
        <w:t xml:space="preserve">: 4′-8′ (en torno al 5 %), para releer, completar la frase de diagnóstico y cerrar lo que haya quedado abierto.</w:t>
      </w:r>
    </w:p>
    <w:p>
      <w:pPr>
        <w:keepNext/>
        <w:numPr>
          <w:ilvl w:val="1"/>
          <w:numId w:val="1013"/>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014"/>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014"/>
        </w:numPr>
      </w:pPr>
      <w:r>
        <w:t xml:space="preserve">Si el tribunal da la puntuación (como en 2018, 2019, 2021 y 2022), el tiempo se reparte en proporción a los puntos:</w:t>
      </w:r>
      <w:r>
        <w:t xml:space="preserve"> </w:t>
      </w:r>
      <m:oMath>
        <m:r>
          <m:t>W</m:t>
        </m:r>
      </m:oMath>
      <w:r>
        <w:t xml:space="preserve"> </w:t>
      </w:r>
      <w:r>
        <w:t xml:space="preserve">entre los puntos totales da los minutos por punto.</w:t>
      </w:r>
    </w:p>
    <w:p>
      <w:pPr>
        <w:numPr>
          <w:ilvl w:val="0"/>
          <w:numId w:val="1012"/>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2</w:t>
        </w:r>
      </w:hyperlink>
      <w:r>
        <w:t xml:space="preserve">).</w:t>
      </w:r>
    </w:p>
    <w:bookmarkStart w:id="26" w:name="tab_reparto"/>
    <w:p>
      <w:pPr>
        <w:pStyle w:val="TableCaption"/>
      </w:pPr>
      <w:r>
        <w:t xml:space="preserve">Tabla 2.–</w:t>
      </w:r>
      <w:r>
        <w:t xml:space="preserve"> </w:t>
      </w:r>
      <w:r>
        <w:t xml:space="preserve">Reparto del tiempo según la regla, por convocatoria</w:t>
      </w:r>
    </w:p>
    <w:tbl>
      <w:tblPr>
        <w:tblStyle w:val="Table"/>
        <w:tblW w:type="auto" w:w="0"/>
        <w:tblLook w:firstRow="1" w:lastRow="0" w:firstColumn="0" w:lastColumn="0" w:noHBand="0" w:noVBand="0" w:val="0020"/>
        <w:tblCaption w:val="Tabla 2.–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26"/>
    <w:p>
      <w:pPr>
        <w:pStyle w:val="BodyText"/>
        <w:keepNext/>
      </w:pPr>
      <w:r>
        <w:rPr>
          <w:i/>
          <w:iCs/>
        </w:rPr>
        <w:t xml:space="preserve">Fuente: Elaboración propia con la regla del texto y los formatos de la tabla </w:t>
      </w:r>
      <w:hyperlink w:anchor="tab_formato">
        <w:r>
          <w:rPr>
            <w:rStyle w:val="Hyperlink"/>
            <w:i/>
            <w:iCs/>
          </w:rPr>
          <w:t xml:space="preserve">1</w:t>
        </w:r>
      </w:hyperlink>
      <w:r>
        <w:rPr>
          <w:i/>
          <w:iCs/>
        </w:rPr>
        <w:t xml:space="preserve">.</w:t>
      </w:r>
    </w:p>
    <w:p>
      <w:pPr>
        <w:numPr>
          <w:ilvl w:val="0"/>
          <w:numId w:val="1015"/>
        </w:numPr>
      </w:pPr>
      <w:r>
        <w:rPr>
          <w:i/>
          <w:iCs/>
        </w:rPr>
        <w:t xml:space="preserve">Ninguna pregunta en blanco</w:t>
      </w:r>
      <w:r>
        <w:t xml:space="preserve">: si se acaba el tiempo de una, se cierra con una frase de conclusión y se pasa a la siguiente; al final, si sobra, se vuelve. Un esquema en viñetas es mejor que nada.</w:t>
      </w:r>
    </w:p>
    <w:p>
      <w:pPr>
        <w:numPr>
          <w:ilvl w:val="0"/>
          <w:numId w:val="1015"/>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015"/>
        </w:numPr>
      </w:pPr>
      <w:r>
        <w:rPr>
          <w:i/>
          <w:iCs/>
        </w:rPr>
        <w:t xml:space="preserve">Antes de cada pregunta</w:t>
      </w:r>
      <w:r>
        <w:t xml:space="preserve">, si el tiempo lo permite, 1 o 2 minutos para pensar la frase que anticipa el diagnóstico de ese bloque.</w:t>
      </w:r>
    </w:p>
    <w:bookmarkEnd w:id="27"/>
    <w:bookmarkStart w:id="30" w:name="sec_leer"/>
    <w:p>
      <w:pPr>
        <w:pStyle w:val="Heading2"/>
      </w:pPr>
      <w:r>
        <w:t xml:space="preserve">I.4.</w:t>
      </w:r>
      <w:r>
        <w:t xml:space="preserve"> </w:t>
      </w:r>
      <w:r>
        <w:t xml:space="preserve">Cómo leer el cuadernillo</w:t>
      </w:r>
    </w:p>
    <w:p>
      <w:pPr>
        <w:numPr>
          <w:ilvl w:val="0"/>
          <w:numId w:val="1016"/>
        </w:numPr>
      </w:pPr>
      <w:r>
        <w:t xml:space="preserve">La idea: en los 10-12 primeros minutos no se escribe nada en las hojas de respuesta. Se trabaja sobre el cuadernillo, en el que sí se puede anotar, y se sale de ahí con el dictamen pensado.</w:t>
      </w:r>
    </w:p>
    <w:p>
      <w:pPr>
        <w:keepNext/>
        <w:numPr>
          <w:ilvl w:val="0"/>
          <w:numId w:val="1016"/>
        </w:numPr>
      </w:pPr>
      <w:r>
        <w:t xml:space="preserve">Los pasos, por este orden:</w:t>
      </w:r>
    </w:p>
    <w:p>
      <w:pPr>
        <w:numPr>
          <w:ilvl w:val="1"/>
          <w:numId w:val="1017"/>
        </w:numPr>
      </w:pPr>
      <w:r>
        <w:rPr>
          <w:i/>
          <w:iCs/>
        </w:rPr>
        <w:t xml:space="preserve">Leer las instrucciones y todas las preguntas enteras</w:t>
      </w:r>
      <w:r>
        <w:t xml:space="preserve">, subrayando los periodos («entre 2019 y 2022») y lo que pide cada subpregunta. Si las preguntas o las tablas vienen grapadas, se separan para tenerlas a la vista.</w:t>
      </w:r>
    </w:p>
    <w:p>
      <w:pPr>
        <w:numPr>
          <w:ilvl w:val="1"/>
          <w:numId w:val="1017"/>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017"/>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II.1</w:t>
        </w:r>
      </w:hyperlink>
      <w:r>
        <w:t xml:space="preserve">) y ponerles nombre.</w:t>
      </w:r>
    </w:p>
    <w:p>
      <w:pPr>
        <w:numPr>
          <w:ilvl w:val="1"/>
          <w:numId w:val="1017"/>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017"/>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017"/>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28"/>
      </w:r>
    </w:p>
    <w:p>
      <w:pPr>
        <w:numPr>
          <w:ilvl w:val="1"/>
          <w:numId w:val="1017"/>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sec_matriz">
        <w:r>
          <w:rPr>
            <w:rStyle w:val="Hyperlink"/>
          </w:rPr>
          <w:t xml:space="preserve">I.7</w:t>
        </w:r>
      </w:hyperlink>
      <w:r>
        <w:t xml:space="preserve">).</w:t>
      </w:r>
    </w:p>
    <w:bookmarkStart w:id="29" w:name="tab_cuadernillo"/>
    <w:p>
      <w:pPr>
        <w:pStyle w:val="TableCaption"/>
      </w:pPr>
      <w:r>
        <w:t xml:space="preserve">Tabla 3.–</w:t>
      </w:r>
      <w:r>
        <w:t xml:space="preserve"> </w:t>
      </w:r>
      <w:r>
        <w:t xml:space="preserve">Un cuadro macroeconómico leído: el dictamen de 2026</w:t>
      </w:r>
    </w:p>
    <w:tbl>
      <w:tblPr>
        <w:tblStyle w:val="Table"/>
        <w:tblW w:type="auto" w:w="0"/>
        <w:tblLook w:firstRow="0" w:lastRow="0" w:firstColumn="0" w:lastColumn="0" w:noHBand="0" w:noVBand="0" w:val="0000"/>
        <w:tblCaption w:val="Tabla 3.–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Recup.</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29"/>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018"/>
        </w:numPr>
      </w:pPr>
      <w:r>
        <w:rPr>
          <w:i/>
          <w:iCs/>
        </w:rPr>
        <w:t xml:space="preserve">Qué hay que ver en la tabla </w:t>
      </w:r>
      <w:hyperlink w:anchor="tab_cuadernillo">
        <w:r>
          <w:rPr>
            <w:rStyle w:val="Hyperlink"/>
            <w:i/>
            <w:iCs/>
          </w:rPr>
          <w:t xml:space="preserve">3</w:t>
        </w:r>
      </w:hyperlink>
      <w:r>
        <w:t xml:space="preserve">: el cuadro no da la brecha de producción, así que las fases salen solo del crecimiento del PIB.</w:t>
      </w:r>
    </w:p>
    <w:p>
      <w:pPr>
        <w:numPr>
          <w:ilvl w:val="1"/>
          <w:numId w:val="1019"/>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019"/>
        </w:numPr>
      </w:pPr>
      <w:r>
        <w:t xml:space="preserve">La RNB crece más que el PIB en varios años y el superávit corriente lo explican las rentas primarias: un acreedor neto frente al exterior (preguntas 1 y 2).</w:t>
      </w:r>
    </w:p>
    <w:p>
      <w:pPr>
        <w:numPr>
          <w:ilvl w:val="1"/>
          <w:numId w:val="1019"/>
        </w:numPr>
      </w:pPr>
      <w:r>
        <w:t xml:space="preserve">El tipo de cambio real se deprecia en torno a un tercio desde 2020 mientras el IPC sube solo al 2,5-3,2 %: indicio de un traspaso bajo (pregunta 2).</w:t>
      </w:r>
    </w:p>
    <w:p>
      <w:pPr>
        <w:numPr>
          <w:ilvl w:val="1"/>
          <w:numId w:val="1019"/>
        </w:numPr>
      </w:pPr>
      <w:r>
        <w:t xml:space="preserve">El déficit público es persistente, con un salto en 2020, aunque se reduce desde entonces (pregunta 4).</w:t>
      </w:r>
    </w:p>
    <w:p>
      <w:pPr>
        <w:numPr>
          <w:ilvl w:val="0"/>
          <w:numId w:val="1018"/>
        </w:numPr>
      </w:pPr>
      <w:r>
        <w:t xml:space="preserve">Ni hace falta ni conviene adivinar el país: basta con lo que dice el cuadernillo.</w:t>
      </w:r>
    </w:p>
    <w:bookmarkEnd w:id="30"/>
    <w:bookmarkStart w:id="32" w:name="sec_redactar"/>
    <w:p>
      <w:pPr>
        <w:pStyle w:val="Heading2"/>
      </w:pPr>
      <w:r>
        <w:t xml:space="preserve">I.5.</w:t>
      </w:r>
      <w:r>
        <w:t xml:space="preserve"> </w:t>
      </w:r>
      <w:r>
        <w:t xml:space="preserve">Cómo redactar</w:t>
      </w:r>
    </w:p>
    <w:p>
      <w:pPr>
        <w:numPr>
          <w:ilvl w:val="0"/>
          <w:numId w:val="1020"/>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2026b</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II.1</w:t>
        </w:r>
      </w:hyperlink>
      <w:r>
        <w:t xml:space="preserve">).</w:t>
      </w:r>
    </w:p>
    <w:p>
      <w:pPr>
        <w:keepNext/>
        <w:numPr>
          <w:ilvl w:val="0"/>
          <w:numId w:val="1020"/>
        </w:numPr>
      </w:pPr>
      <w:r>
        <w:rPr>
          <w:i/>
          <w:iCs/>
        </w:rPr>
        <w:t xml:space="preserve">Analizar, no describir</w:t>
      </w:r>
      <w:r>
        <w:t xml:space="preserve">:</w:t>
      </w:r>
    </w:p>
    <w:p>
      <w:pPr>
        <w:numPr>
          <w:ilvl w:val="1"/>
          <w:numId w:val="1021"/>
        </w:numPr>
      </w:pPr>
      <w:r>
        <w:t xml:space="preserve">Descriptivo (a evitar): «la contribución de la demanda interna es positiva en 2014, negativa en 2015 y vuelve a ser positiva en 2016».</w:t>
      </w:r>
    </w:p>
    <w:p>
      <w:pPr>
        <w:numPr>
          <w:ilvl w:val="1"/>
          <w:numId w:val="1021"/>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021"/>
        </w:numPr>
      </w:pPr>
      <w:r>
        <w:t xml:space="preserve">La descripción de los datos es tarea de la estadística; al economista le toca explicar lo que hay detrás.</w:t>
      </w:r>
    </w:p>
    <w:p>
      <w:pPr>
        <w:numPr>
          <w:ilvl w:val="0"/>
          <w:numId w:val="1020"/>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020"/>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020"/>
        </w:numPr>
      </w:pPr>
      <w:r>
        <w:rPr>
          <w:i/>
          <w:iCs/>
        </w:rPr>
        <w:t xml:space="preserve">Condicionales y matices</w:t>
      </w:r>
      <w:r>
        <w:t xml:space="preserve">: con pocos datos y poco tiempo solo se ven correlaciones, no causalidad (</w:t>
      </w:r>
      <w:hyperlink r:id="rId31">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020"/>
        </w:numPr>
      </w:pPr>
      <w:r>
        <w:rPr>
          <w:i/>
          <w:iCs/>
        </w:rPr>
        <w:t xml:space="preserve">Sin solapes</w:t>
      </w:r>
      <w:r>
        <w:t xml:space="preserve">: cada cosa en su pregunta, tratadas como estancas. Si algo ya se ha explicado, basta una remisión («como se ha visto al analizar la demanda…»).</w:t>
      </w:r>
    </w:p>
    <w:p>
      <w:pPr>
        <w:numPr>
          <w:ilvl w:val="0"/>
          <w:numId w:val="1020"/>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020"/>
        </w:numPr>
      </w:pPr>
      <w:r>
        <w:rPr>
          <w:i/>
          <w:iCs/>
        </w:rPr>
        <w:t xml:space="preserve">Recomendaciones concretas</w:t>
      </w:r>
      <w:r>
        <w:t xml:space="preserve">: qué medida, para qué desequilibrio y con qué riesgo («una consolidación gradual, centrada en el gasto corriente, para no frenar la recuperación»).</w:t>
      </w:r>
    </w:p>
    <w:bookmarkEnd w:id="32"/>
    <w:bookmarkStart w:id="33" w:name="sec_errores"/>
    <w:p>
      <w:pPr>
        <w:pStyle w:val="Heading2"/>
      </w:pPr>
      <w:r>
        <w:t xml:space="preserve">I.6.</w:t>
      </w:r>
      <w:r>
        <w:t xml:space="preserve"> </w:t>
      </w:r>
      <w:r>
        <w:t xml:space="preserve">Errores típicos y la lectura</w:t>
      </w:r>
    </w:p>
    <w:p>
      <w:pPr>
        <w:keepNext/>
        <w:numPr>
          <w:ilvl w:val="0"/>
          <w:numId w:val="1022"/>
        </w:numPr>
      </w:pPr>
      <w:r>
        <w:rPr>
          <w:i/>
          <w:iCs/>
        </w:rPr>
        <w:t xml:space="preserve">Errores que más se repiten</w:t>
      </w:r>
      <w:r>
        <w:t xml:space="preserve">:</w:t>
      </w:r>
    </w:p>
    <w:p>
      <w:pPr>
        <w:numPr>
          <w:ilvl w:val="1"/>
          <w:numId w:val="1023"/>
        </w:numPr>
      </w:pPr>
      <w:r>
        <w:t xml:space="preserve">describir sin analizar («en 2015 sube, en 2016 baja, en 2017 sube»);</w:t>
      </w:r>
    </w:p>
    <w:p>
      <w:pPr>
        <w:numPr>
          <w:ilvl w:val="1"/>
          <w:numId w:val="1023"/>
        </w:numPr>
      </w:pPr>
      <w:r>
        <w:t xml:space="preserve">confundir porcentajes con puntos porcentuales, niveles con variaciones o tasas nominales con reales;</w:t>
      </w:r>
    </w:p>
    <w:p>
      <w:pPr>
        <w:numPr>
          <w:ilvl w:val="1"/>
          <w:numId w:val="1023"/>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023"/>
        </w:numPr>
      </w:pPr>
      <w:r>
        <w:t xml:space="preserve">leer al revés el tipo de cambio (directo o indirecto) o la posición de inversión internacional;</w:t>
      </w:r>
    </w:p>
    <w:p>
      <w:pPr>
        <w:numPr>
          <w:ilvl w:val="1"/>
          <w:numId w:val="1023"/>
        </w:numPr>
      </w:pPr>
      <w:r>
        <w:t xml:space="preserve">juzgar el tono de la política monetaria solo por si el tipo nominal sube o baja, o el de la fiscal por el saldo total y no por el estructural primario;</w:t>
      </w:r>
    </w:p>
    <w:p>
      <w:pPr>
        <w:numPr>
          <w:ilvl w:val="1"/>
          <w:numId w:val="1023"/>
        </w:numPr>
      </w:pPr>
      <w:r>
        <w:t xml:space="preserve">dedicar demasiado tiempo al perfil cíclico y dejar a medias las últimas preguntas;</w:t>
      </w:r>
    </w:p>
    <w:p>
      <w:pPr>
        <w:numPr>
          <w:ilvl w:val="1"/>
          <w:numId w:val="1023"/>
        </w:numPr>
      </w:pPr>
      <w:r>
        <w:t xml:space="preserve">no contestar a una subpregunta, o contestar a lo que no se pregunta.</w:t>
      </w:r>
    </w:p>
    <w:p>
      <w:pPr>
        <w:numPr>
          <w:ilvl w:val="0"/>
          <w:numId w:val="1022"/>
        </w:numPr>
      </w:pPr>
      <w:r>
        <w:rPr>
          <w:i/>
          <w:iCs/>
        </w:rPr>
        <w:t xml:space="preserve">No adivinar el país</w:t>
      </w:r>
      <w:r>
        <w:t xml:space="preserve">: aunque el país suele ser real,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022"/>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33"/>
    <w:bookmarkStart w:id="35" w:name="sec_matriz"/>
    <w:p>
      <w:pPr>
        <w:pStyle w:val="Heading2"/>
      </w:pPr>
      <w:r>
        <w:t xml:space="preserve">I.7.</w:t>
      </w:r>
      <w:r>
        <w:t xml:space="preserve"> </w:t>
      </w:r>
      <w:r>
        <w:t xml:space="preserve">La matriz de fortalezas y debilidades</w:t>
      </w:r>
    </w:p>
    <w:p>
      <w:pPr>
        <w:numPr>
          <w:ilvl w:val="0"/>
          <w:numId w:val="1024"/>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024"/>
        </w:numPr>
      </w:pPr>
      <w:r>
        <w:t xml:space="preserve">Sirve para 3 cosas:</w:t>
      </w:r>
    </w:p>
    <w:p>
      <w:pPr>
        <w:numPr>
          <w:ilvl w:val="1"/>
          <w:numId w:val="1025"/>
        </w:numPr>
      </w:pPr>
      <w:r>
        <w:t xml:space="preserve">anticipar el diagnóstico en la primera pregunta (apartado </w:t>
      </w:r>
      <w:hyperlink w:anchor="sec_anticipar">
        <w:r>
          <w:rPr>
            <w:rStyle w:val="Hyperlink"/>
          </w:rPr>
          <w:t xml:space="preserve">II.5</w:t>
        </w:r>
      </w:hyperlink>
      <w:r>
        <w:t xml:space="preserve">);</w:t>
      </w:r>
    </w:p>
    <w:p>
      <w:pPr>
        <w:numPr>
          <w:ilvl w:val="1"/>
          <w:numId w:val="1025"/>
        </w:numPr>
      </w:pPr>
      <w:r>
        <w:t xml:space="preserve">no contradecirse entre preguntas;</w:t>
      </w:r>
    </w:p>
    <w:p>
      <w:pPr>
        <w:numPr>
          <w:ilvl w:val="1"/>
          <w:numId w:val="1025"/>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34" w:name="tab_matriz"/>
    <w:p>
      <w:pPr>
        <w:pStyle w:val="TableCaption"/>
      </w:pPr>
      <w:r>
        <w:t xml:space="preserve">Tabla 4.–</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4.–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34"/>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VII.2</w:t>
        </w:r>
      </w:hyperlink>
      <w:r>
        <w:rPr>
          <w:i/>
          <w:iCs/>
        </w:rPr>
        <w:t xml:space="preserve">.</w:t>
      </w:r>
    </w:p>
    <w:p>
      <w:pPr>
        <w:numPr>
          <w:ilvl w:val="0"/>
          <w:numId w:val="1026"/>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15</w:t>
        </w:r>
      </w:hyperlink>
      <w:r>
        <w:t xml:space="preserve">, en los anexos, los reúne por bloque.</w:t>
      </w:r>
    </w:p>
    <w:p>
      <w:pPr>
        <w:numPr>
          <w:ilvl w:val="0"/>
          <w:numId w:val="1026"/>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(la regla del tiempo),</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 Con él, pasamos a la primera pregunta de casi todos los dictámenes: el perfil cíclico.</w:t>
      </w:r>
    </w:p>
    <w:bookmarkEnd w:id="35"/>
    <w:bookmarkEnd w:id="36"/>
    <w:bookmarkStart w:id="106" w:name="sec_perfil"/>
    <w:p>
      <w:pPr>
        <w:pStyle w:val="Heading1"/>
      </w:pPr>
      <w:r>
        <w:t xml:space="preserve">II.</w:t>
      </w:r>
      <w:r>
        <w:t xml:space="preserve"> </w:t>
      </w:r>
      <w:r>
        <w:t xml:space="preserve">Perfil cíclico de la economía</w:t>
      </w:r>
    </w:p>
    <w:p>
      <w:pPr>
        <w:keepNext/>
        <w:numPr>
          <w:ilvl w:val="0"/>
          <w:numId w:val="1027"/>
        </w:numPr>
      </w:pPr>
      <w:r>
        <w:t xml:space="preserve">La conclusión por adelantado: la pregunta del perfil cíclico se contesta en 3 pasos, siempre los mismos:</w:t>
      </w:r>
    </w:p>
    <w:p>
      <w:pPr>
        <w:numPr>
          <w:ilvl w:val="1"/>
          <w:numId w:val="1028"/>
        </w:numPr>
      </w:pPr>
      <w:r>
        <w:t xml:space="preserve">dividir la serie en fases con el crecimiento del PIB real y la brecha de producción;</w:t>
      </w:r>
    </w:p>
    <w:p>
      <w:pPr>
        <w:numPr>
          <w:ilvl w:val="1"/>
          <w:numId w:val="1028"/>
        </w:numPr>
      </w:pPr>
      <w:r>
        <w:t xml:space="preserve">explicar qué tira del crecimiento, por el lado de la demanda (interna o externa) y, si hay datos, por el de la oferta (empleo o productividad);</w:t>
      </w:r>
    </w:p>
    <w:p>
      <w:pPr>
        <w:numPr>
          <w:ilvl w:val="1"/>
          <w:numId w:val="1028"/>
        </w:numPr>
      </w:pPr>
      <w:r>
        <w:t xml:space="preserve">anticipar el diagnóstico, con los desequilibrios y las fortalezas.</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Conviene hacer esta pregunta en primer lugar, porque ordena todo lo demás, pero sin pasarse del tiempo previsto (apartado </w:t>
      </w:r>
      <w:hyperlink w:anchor="sec_tiempo">
        <w:r>
          <w:rPr>
            <w:rStyle w:val="Hyperlink"/>
          </w:rPr>
          <w:t xml:space="preserve">I.3</w:t>
        </w:r>
      </w:hyperlink>
      <w:r>
        <w:t xml:space="preserve">): en la coyuntura nunca sobra tiempo, y hay cosas mejores que hacer que analizar el último detalle de esta guía.</w:t>
      </w:r>
    </w:p>
    <w:bookmarkStart w:id="45" w:name="sec_etapas"/>
    <w:p>
      <w:pPr>
        <w:pStyle w:val="Heading2"/>
      </w:pPr>
      <w:r>
        <w:t xml:space="preserve">II.1.</w:t>
      </w:r>
      <w:r>
        <w:t xml:space="preserve"> </w:t>
      </w:r>
      <w:r>
        <w:t xml:space="preserve">Diagnóstico y etapas del ciclo</w:t>
      </w:r>
    </w:p>
    <w:bookmarkStart w:id="38" w:name="la_frase_ejecutiva"/>
    <w:p>
      <w:pPr>
        <w:pStyle w:val="Heading4"/>
      </w:pPr>
      <w:r>
        <w:t xml:space="preserve">La frase ejecutiva</w:t>
      </w:r>
    </w:p>
    <w:p>
      <w:pPr>
        <w:numPr>
          <w:ilvl w:val="0"/>
          <w:numId w:val="1029"/>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2026b</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29"/>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29"/>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2026b</w:t>
        </w:r>
      </w:hyperlink>
      <w:r>
        <w:t xml:space="preserve">)</w:t>
      </w:r>
      <w:r>
        <w:t xml:space="preserve">.</w:t>
      </w:r>
      <w:r>
        <w:rPr>
          <w:rStyle w:val="FootnoteReference"/>
        </w:rPr>
        <w:footnoteReference w:id="37"/>
      </w:r>
    </w:p>
    <w:bookmarkEnd w:id="38"/>
    <w:bookmarkStart w:id="44" w:name="las_fases_del_ciclo"/>
    <w:p>
      <w:pPr>
        <w:pStyle w:val="Heading4"/>
      </w:pPr>
      <w:r>
        <w:t xml:space="preserve">Las fases del ciclo</w:t>
      </w:r>
    </w:p>
    <w:p>
      <w:pPr>
        <w:numPr>
          <w:ilvl w:val="0"/>
          <w:numId w:val="1030"/>
        </w:numPr>
      </w:pPr>
      <w:r>
        <w:t xml:space="preserve">El</w:t>
      </w:r>
      <w:r>
        <w:t xml:space="preserve"> </w:t>
      </w:r>
      <w:r>
        <w:rPr>
          <w:b/>
          <w:bCs/>
        </w:rPr>
        <w:t xml:space="preserve">ciclo económico</w:t>
      </w:r>
      <w:r>
        <w:t xml:space="preserve"> </w:t>
      </w:r>
      <w:r>
        <w:t xml:space="preserve">es la oscilación de la actividad alrededor de su tendencia: de un pico a un valle, la contracción; de un valle a un pico, la expansión</w:t>
      </w:r>
      <w:r>
        <w:t xml:space="preserve"> </w:t>
      </w:r>
      <w:hyperlink r:id="rId21">
        <w:r>
          <w:rPr>
            <w:rStyle w:val="Referenciaatema"/>
          </w:rPr>
          <w:t xml:space="preserve">[ver tema 3.A.42]</w:t>
        </w:r>
      </w:hyperlink>
      <w:r>
        <w:t xml:space="preserve">.</w:t>
      </w:r>
    </w:p>
    <w:p>
      <w:pPr>
        <w:keepNext/>
        <w:numPr>
          <w:ilvl w:val="0"/>
          <w:numId w:val="1030"/>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II.2</w:t>
        </w:r>
      </w:hyperlink>
      <w:r>
        <w:t xml:space="preserve">):</w:t>
      </w:r>
    </w:p>
    <w:p>
      <w:pPr>
        <w:numPr>
          <w:ilvl w:val="1"/>
          <w:numId w:val="1031"/>
        </w:numPr>
      </w:pPr>
      <w:r>
        <w:rPr>
          <w:b/>
          <w:bCs/>
        </w:rPr>
        <w:t xml:space="preserve">recuperación</w:t>
      </w:r>
      <w:r>
        <w:t xml:space="preserve">: el PIB crece y más que el potencial, pero la brecha aún es negativa (se está cerrando);</w:t>
      </w:r>
    </w:p>
    <w:p>
      <w:pPr>
        <w:numPr>
          <w:ilvl w:val="1"/>
          <w:numId w:val="1031"/>
        </w:numPr>
      </w:pPr>
      <w:r>
        <w:rPr>
          <w:b/>
          <w:bCs/>
        </w:rPr>
        <w:t xml:space="preserve">expansión</w:t>
      </w:r>
      <w:r>
        <w:t xml:space="preserve">: la brecha es positiva y se sigue abriendo;</w:t>
      </w:r>
    </w:p>
    <w:p>
      <w:pPr>
        <w:numPr>
          <w:ilvl w:val="1"/>
          <w:numId w:val="1031"/>
        </w:numPr>
      </w:pPr>
      <w:r>
        <w:rPr>
          <w:b/>
          <w:bCs/>
        </w:rPr>
        <w:t xml:space="preserve">desaceleración</w:t>
      </w:r>
      <w:r>
        <w:t xml:space="preserve">: el PIB aún crece, pero menos que el potencial, y la brecha se reduce;</w:t>
      </w:r>
    </w:p>
    <w:p>
      <w:pPr>
        <w:numPr>
          <w:ilvl w:val="1"/>
          <w:numId w:val="1031"/>
        </w:numPr>
      </w:pPr>
      <w:r>
        <w:rPr>
          <w:b/>
          <w:bCs/>
        </w:rPr>
        <w:t xml:space="preserve">recesión</w:t>
      </w:r>
      <w:r>
        <w:t xml:space="preserve">: el PIB cae y la brecha se vuelve negativa (gráfico </w:t>
      </w:r>
      <w:hyperlink w:anchor="fig_fases_ciclo">
        <w:r>
          <w:rPr>
            <w:rStyle w:val="Hyperlink"/>
          </w:rPr>
          <w:t xml:space="preserve">1</w:t>
        </w:r>
      </w:hyperlink>
      <w:r>
        <w:t xml:space="preserve">).</w:t>
      </w:r>
    </w:p>
    <w:p>
      <w:pPr>
        <w:numPr>
          <w:ilvl w:val="0"/>
          <w:numId w:val="1030"/>
        </w:numPr>
      </w:pPr>
      <w:r>
        <w:t xml:space="preserve">La forma de la recesión se describe con una letra: en</w:t>
      </w:r>
      <w:r>
        <w:t xml:space="preserve"> </w:t>
      </w:r>
      <w:r>
        <w:rPr>
          <w:i/>
          <w:iCs/>
        </w:rPr>
        <w:t xml:space="preserve">V</w:t>
      </w:r>
      <w:r>
        <w:t xml:space="preserve"> </w:t>
      </w:r>
      <w:r>
        <w:t xml:space="preserve">(caída y recuperación rápidas, como la de 2020),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30"/>
        </w:numPr>
      </w:pPr>
      <w:r>
        <w:t xml:space="preserve">Recesión es, como regla práctica, una caída del PIB real durante 2 trimestres seguidos; depresión, una caída de más del 10 % o una recesión de más de 3 años.</w:t>
      </w:r>
      <w:r>
        <w:rPr>
          <w:rStyle w:val="FootnoteReference"/>
        </w:rPr>
        <w:footnoteReference w:id="39"/>
      </w:r>
    </w:p>
    <w:bookmarkStart w:id="43" w:name="fig_fases_ciclo"/>
    <w:p>
      <w:pPr>
        <w:pStyle w:val="ImageCaption"/>
      </w:pPr>
      <w:r>
        <w:t xml:space="preserve">Gráfico 1.–</w:t>
      </w:r>
      <w:r>
        <w:t xml:space="preserve"> </w:t>
      </w:r>
      <w:r>
        <w:t xml:space="preserve">Las 4 fases del ciclo según la brecha de producción</w:t>
      </w:r>
    </w:p>
    <w:p>
      <w:pPr>
        <w:pStyle w:val="CaptionedFigure"/>
      </w:pPr>
      <w:r>
        <w:drawing>
          <wp:inline>
            <wp:extent cx="4476750" cy="1534716"/>
            <wp:effectExtent b="0" l="0" r="0" t="0"/>
            <wp:docPr descr="Gráfico 1.– Las 4 fases del ciclo según la brecha de producción" title="" id="41" name="Picture"/>
            <a:graphic>
              <a:graphicData uri="http://schemas.openxmlformats.org/drawingml/2006/picture">
                <pic:pic>
                  <pic:nvPicPr>
                    <pic:cNvPr descr="C:\Users\vgutierrez\Documents\src\victorgutierrezmarcos.github.io-revision\oposicion\temario\fuentes\1D01\graficos/fases-ciclo-brecha.png" id="42" name="Picture"/>
                    <pic:cNvPicPr>
                      <a:picLocks noChangeArrowheads="1" noChangeAspect="1"/>
                    </pic:cNvPicPr>
                  </pic:nvPicPr>
                  <pic:blipFill>
                    <a:blip r:embed="rId40"/>
                    <a:stretch>
                      <a:fillRect/>
                    </a:stretch>
                  </pic:blipFill>
                  <pic:spPr bwMode="auto">
                    <a:xfrm>
                      <a:off x="0" y="0"/>
                      <a:ext cx="4476750" cy="1534716"/>
                    </a:xfrm>
                    <a:prstGeom prst="rect">
                      <a:avLst/>
                    </a:prstGeom>
                    <a:noFill/>
                    <a:ln w="9525">
                      <a:noFill/>
                      <a:headEnd/>
                      <a:tailEnd/>
                    </a:ln>
                  </pic:spPr>
                </pic:pic>
              </a:graphicData>
            </a:graphic>
          </wp:inline>
        </w:drawing>
      </w:r>
    </w:p>
    <w:bookmarkEnd w:id="43"/>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32"/>
        </w:numPr>
      </w:pPr>
      <w:r>
        <w:rPr>
          <w:i/>
          <w:iCs/>
        </w:rPr>
        <w:t xml:space="preserve">Cómo se escribe</w:t>
      </w:r>
      <w:r>
        <w:t xml:space="preserve">: «el cuadro recoge 2 etapas: una expansión entre 2014 y 2017, en la que la economía crece por encima de su potencial y la brecha se hace positiva, y una desaceleración en 2018-2019, en la que sigue creciendo, pero menos, y la brecha se cierra; en 2020 la recesión rompe el ciclo». Si el cuadro recoge más de un ciclo (por ejemplo, la crisis financiera y la de la COVID-19), se dice al principio.</w:t>
      </w:r>
    </w:p>
    <w:p>
      <w:pPr>
        <w:numPr>
          <w:ilvl w:val="0"/>
          <w:numId w:val="1032"/>
        </w:numPr>
      </w:pPr>
      <w:r>
        <w:rPr>
          <w:i/>
          <w:iCs/>
        </w:rPr>
        <w:t xml:space="preserve">Visión de conjunto</w:t>
      </w:r>
      <w:r>
        <w:t xml:space="preserve">: lo atípico se señala como excepción («crecimiento sostenido entre 2014 y 2018, salvo una ligera desaceleración en 2016»), sin contar la serie año a año.</w:t>
      </w:r>
    </w:p>
    <w:bookmarkEnd w:id="44"/>
    <w:bookmarkEnd w:id="45"/>
    <w:bookmarkStart w:id="60" w:name="sec_medidores"/>
    <w:p>
      <w:pPr>
        <w:pStyle w:val="Heading2"/>
      </w:pPr>
      <w:r>
        <w:t xml:space="preserve">II.2.</w:t>
      </w:r>
      <w:r>
        <w:t xml:space="preserve"> </w:t>
      </w:r>
      <w:r>
        <w:t xml:space="preserve">Medidores</w:t>
      </w:r>
    </w:p>
    <w:p>
      <w:pPr>
        <w:numPr>
          <w:ilvl w:val="0"/>
          <w:numId w:val="1033"/>
        </w:numPr>
      </w:pPr>
      <w:r>
        <w:t xml:space="preserve">La idea: para dividir la serie se usa el crecimiento del PIB real, que el cuadro da siempre, y se completa con la brecha de producción, que no siempre está. Se elige el que dé fases más claras.</w:t>
      </w:r>
    </w:p>
    <w:p>
      <w:pPr>
        <w:numPr>
          <w:ilvl w:val="0"/>
          <w:numId w:val="1033"/>
        </w:numPr>
      </w:pPr>
      <w:r>
        <w:t xml:space="preserve">No siempre coinciden: un país puede crecer al 2 % con la brecha abriéndose hacia abajo si su potencial crece al 3 %. Si discrepan, se dice y se explica.</w:t>
      </w:r>
    </w:p>
    <w:bookmarkStart w:id="47" w:name="crecimiento_del_pib_real"/>
    <w:p>
      <w:pPr>
        <w:pStyle w:val="Heading4"/>
      </w:pPr>
      <w:r>
        <w:t xml:space="preserve">Crecimiento del PIB real</w:t>
      </w:r>
    </w:p>
    <w:p>
      <w:pPr>
        <w:numPr>
          <w:ilvl w:val="0"/>
          <w:numId w:val="1034"/>
        </w:numPr>
      </w:pPr>
      <w:r>
        <w:rPr>
          <w:i/>
          <w:iCs/>
        </w:rPr>
        <w:t xml:space="preserve">Qué mide</w:t>
      </w:r>
      <w:r>
        <w:t xml:space="preserve">: el ritmo de avance de la producción, sin el efecto de los precios.</w:t>
      </w:r>
    </w:p>
    <w:p>
      <w:pPr>
        <w:numPr>
          <w:ilvl w:val="0"/>
          <w:numId w:val="1034"/>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34"/>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2026c</w:t>
        </w:r>
      </w:hyperlink>
      <w:r>
        <w:t xml:space="preserve">)</w:t>
      </w:r>
      <w:r>
        <w:t xml:space="preserve">: en un emergente, un 3 % puede ser débil.</w:t>
      </w:r>
    </w:p>
    <w:p>
      <w:pPr>
        <w:keepNext/>
        <w:numPr>
          <w:ilvl w:val="0"/>
          <w:numId w:val="1034"/>
        </w:numPr>
      </w:pPr>
      <w:r>
        <w:rPr>
          <w:i/>
          <w:iCs/>
        </w:rPr>
        <w:t xml:space="preserve">Cómo se lee</w:t>
      </w:r>
      <w:r>
        <w:t xml:space="preserve">:</w:t>
      </w:r>
    </w:p>
    <w:p>
      <w:pPr>
        <w:numPr>
          <w:ilvl w:val="1"/>
          <w:numId w:val="1035"/>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35"/>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35"/>
        </w:numPr>
      </w:pPr>
      <w:r>
        <w:t xml:space="preserve">en los países en desarrollo las tasas son más altas y más volátiles, porque tienen menos estabilizadores automáticos.</w:t>
      </w:r>
    </w:p>
    <w:p>
      <w:pPr>
        <w:numPr>
          <w:ilvl w:val="0"/>
          <w:numId w:val="1034"/>
        </w:numPr>
      </w:pPr>
      <w:r>
        <w:rPr>
          <w:i/>
          <w:iCs/>
        </w:rPr>
        <w:t xml:space="preserve">Con qué se cruza</w:t>
      </w:r>
      <w:r>
        <w:t xml:space="preserve">: con la brecha, el empleo y la inflación.</w:t>
      </w:r>
    </w:p>
    <w:p>
      <w:pPr>
        <w:numPr>
          <w:ilvl w:val="0"/>
          <w:numId w:val="1034"/>
        </w:numPr>
      </w:pPr>
      <w:r>
        <w:rPr>
          <w:i/>
          <w:iCs/>
        </w:rPr>
        <w:t xml:space="preserve">Tema</w:t>
      </w:r>
      <w:r>
        <w:t xml:space="preserve">:</w:t>
      </w:r>
      <w:r>
        <w:t xml:space="preserve"> </w:t>
      </w:r>
      <w:hyperlink r:id="rId20">
        <w:r>
          <w:rPr>
            <w:rStyle w:val="Referenciaatema"/>
          </w:rPr>
          <w:t xml:space="preserve">[ver tema 3.A.30]</w:t>
        </w:r>
      </w:hyperlink>
      <w:r>
        <w:t xml:space="preserve"> </w:t>
      </w:r>
      <w:hyperlink r:id="rId46">
        <w:r>
          <w:rPr>
            <w:rStyle w:val="Referenciaatema"/>
          </w:rPr>
          <w:t xml:space="preserve">[ver tema 4.A.1]</w:t>
        </w:r>
      </w:hyperlink>
      <w:r>
        <w:t xml:space="preserve">.</w:t>
      </w:r>
    </w:p>
    <w:bookmarkEnd w:id="47"/>
    <w:bookmarkStart w:id="53" w:name="brecha_de_producci__n_y_pib_potencial"/>
    <w:p>
      <w:pPr>
        <w:pStyle w:val="Heading4"/>
      </w:pPr>
      <w:r>
        <w:t xml:space="preserve">Brecha de producción y PIB potencial</w:t>
      </w:r>
    </w:p>
    <w:p>
      <w:pPr>
        <w:numPr>
          <w:ilvl w:val="0"/>
          <w:numId w:val="1036"/>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48"/>
      </w:r>
    </w:p>
    <w:p>
      <w:pPr>
        <w:numPr>
          <w:ilvl w:val="0"/>
          <w:numId w:val="1036"/>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50">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36"/>
        </w:numPr>
      </w:pPr>
      <w:r>
        <w:rPr>
          <w:i/>
          <w:iCs/>
        </w:rPr>
        <w:t xml:space="preserve">Umbral o referencia</w:t>
      </w:r>
      <w:r>
        <w:t xml:space="preserve">: 0, la producción en su potencial.</w:t>
      </w:r>
    </w:p>
    <w:p>
      <w:pPr>
        <w:keepNext/>
        <w:numPr>
          <w:ilvl w:val="0"/>
          <w:numId w:val="1036"/>
        </w:numPr>
      </w:pPr>
      <w:r>
        <w:rPr>
          <w:i/>
          <w:iCs/>
        </w:rPr>
        <w:t xml:space="preserve">Cómo se lee</w:t>
      </w:r>
      <w:r>
        <w:t xml:space="preserve">:</w:t>
      </w:r>
    </w:p>
    <w:p>
      <w:pPr>
        <w:numPr>
          <w:ilvl w:val="1"/>
          <w:numId w:val="1037"/>
        </w:numPr>
      </w:pPr>
      <w:r>
        <w:rPr>
          <w:i/>
          <w:iCs/>
        </w:rPr>
        <w:t xml:space="preserve">Negativa</w:t>
      </w:r>
      <w:r>
        <w:t xml:space="preserve">: producción por debajo del potencial, recursos infrautilizados (paro, capacidad ociosa) y presiones a la baja sobre la inflación.</w:t>
      </w:r>
    </w:p>
    <w:p>
      <w:pPr>
        <w:numPr>
          <w:ilvl w:val="1"/>
          <w:numId w:val="1037"/>
        </w:numPr>
      </w:pPr>
      <w:r>
        <w:rPr>
          <w:i/>
          <w:iCs/>
        </w:rPr>
        <w:t xml:space="preserve">Positiva</w:t>
      </w:r>
      <w:r>
        <w:t xml:space="preserve">: la demanda empuja por encima del potencial; aparecen cuellos de botella y riesgo de sobrecalentamiento e inflación.</w:t>
      </w:r>
    </w:p>
    <w:p>
      <w:pPr>
        <w:numPr>
          <w:ilvl w:val="1"/>
          <w:numId w:val="1037"/>
        </w:numPr>
      </w:pPr>
      <w:r>
        <w:rPr>
          <w:i/>
          <w:iCs/>
        </w:rPr>
        <w:t xml:space="preserve">Cercana a 0</w:t>
      </w:r>
      <w:r>
        <w:t xml:space="preserve">: paro y uso del capital en sus niveles normales e inflación estable. Es lo deseable.</w:t>
      </w:r>
    </w:p>
    <w:p>
      <w:pPr>
        <w:numPr>
          <w:ilvl w:val="1"/>
          <w:numId w:val="1037"/>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C</w:t>
        </w:r>
      </w:hyperlink>
      <w:r>
        <w:t xml:space="preserve">).</w:t>
      </w:r>
    </w:p>
    <w:p>
      <w:pPr>
        <w:numPr>
          <w:ilvl w:val="0"/>
          <w:numId w:val="1036"/>
        </w:numPr>
      </w:pPr>
      <w:r>
        <w:rPr>
          <w:i/>
          <w:iCs/>
        </w:rPr>
        <w:t xml:space="preserve">Con qué se cruza</w:t>
      </w:r>
      <w:r>
        <w:t xml:space="preserve">: si el cuadro da la brecha y el crecimiento, se deduce el crecimiento del potencial,</w:t>
      </w:r>
      <w:r>
        <w:rPr>
          <w:rStyle w:val="FootnoteReference"/>
        </w:rPr>
        <w:footnoteReference w:id="51"/>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t xml:space="preserve">que se pregunta a veces (2018 y 2021). Si la economía crece con fuerza y la brecha no se cierra, el potencial crece mucho: no es un cuadro «débil». Al revés, cerrar la brecha creciendo poco no es buena señal: el potencial crece poco.</w:t>
      </w:r>
    </w:p>
    <w:p>
      <w:pPr>
        <w:numPr>
          <w:ilvl w:val="0"/>
          <w:numId w:val="1036"/>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36"/>
        </w:numPr>
      </w:pPr>
      <w:r>
        <w:rPr>
          <w:i/>
          <w:iCs/>
        </w:rPr>
        <w:t xml:space="preserve">Tema</w:t>
      </w:r>
      <w:r>
        <w:t xml:space="preserve">:</w:t>
      </w:r>
      <w:r>
        <w:t xml:space="preserve"> </w:t>
      </w:r>
      <w:hyperlink r:id="rId21">
        <w:r>
          <w:rPr>
            <w:rStyle w:val="Referenciaatema"/>
          </w:rPr>
          <w:t xml:space="preserve">[ver tema 3.A.42]</w:t>
        </w:r>
      </w:hyperlink>
      <w:r>
        <w:t xml:space="preserve"> </w:t>
      </w:r>
      <w:hyperlink r:id="rId52">
        <w:r>
          <w:rPr>
            <w:rStyle w:val="Referenciaatema"/>
          </w:rPr>
          <w:t xml:space="preserve">[ver tema 3.A.45]</w:t>
        </w:r>
      </w:hyperlink>
      <w:r>
        <w:t xml:space="preserve"> </w:t>
      </w:r>
      <w:hyperlink r:id="rId49">
        <w:r>
          <w:rPr>
            <w:rStyle w:val="Referenciaatema"/>
          </w:rPr>
          <w:t xml:space="preserve">[ver tema 3.A.28]</w:t>
        </w:r>
      </w:hyperlink>
      <w:r>
        <w:t xml:space="preserve"> </w:t>
      </w:r>
      <w:hyperlink r:id="rId50">
        <w:r>
          <w:rPr>
            <w:rStyle w:val="Referenciaatema"/>
          </w:rPr>
          <w:t xml:space="preserve">[ver tema 4.B.4]</w:t>
        </w:r>
      </w:hyperlink>
      <w:r>
        <w:t xml:space="preserve">.</w:t>
      </w:r>
    </w:p>
    <w:bookmarkEnd w:id="53"/>
    <w:bookmarkStart w:id="56" w:name="pib_frente_a_renta_nacional_bruta"/>
    <w:p>
      <w:pPr>
        <w:pStyle w:val="Heading4"/>
      </w:pPr>
      <w:r>
        <w:t xml:space="preserve">PIB frente a renta nacional bruta</w:t>
      </w:r>
    </w:p>
    <w:p>
      <w:pPr>
        <w:numPr>
          <w:ilvl w:val="0"/>
          <w:numId w:val="1038"/>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38"/>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38"/>
        </w:numPr>
      </w:pPr>
      <w:r>
        <w:rPr>
          <w:i/>
          <w:iCs/>
        </w:rPr>
        <w:t xml:space="preserve">Umbral o referencia</w:t>
      </w:r>
      <w:r>
        <w:t xml:space="preserve">: no hay; importa el signo y si la diferencia es grande y persistente.</w:t>
      </w:r>
    </w:p>
    <w:p>
      <w:pPr>
        <w:keepNext/>
        <w:numPr>
          <w:ilvl w:val="0"/>
          <w:numId w:val="1038"/>
        </w:numPr>
      </w:pPr>
      <w:r>
        <w:rPr>
          <w:i/>
          <w:iCs/>
        </w:rPr>
        <w:t xml:space="preserve">Cómo se lee</w:t>
      </w:r>
      <w:r>
        <w:t xml:space="preserve">:</w:t>
      </w:r>
    </w:p>
    <w:p>
      <w:pPr>
        <w:numPr>
          <w:ilvl w:val="1"/>
          <w:numId w:val="1039"/>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39"/>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39"/>
        </w:numPr>
      </w:pPr>
      <w:r>
        <w:t xml:space="preserve">Un salto puntual suele deberse a multinacionales que trasladan activos (patentes) o beneficios: el PIB sube sin que suba la renta de los residentes, como en Irlanda en 2015.</w:t>
      </w:r>
    </w:p>
    <w:p>
      <w:pPr>
        <w:numPr>
          <w:ilvl w:val="0"/>
          <w:numId w:val="1038"/>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V</w:t>
        </w:r>
      </w:hyperlink>
      <w:r>
        <w:t xml:space="preserve">). Se preguntó en 2023 y 2026.</w:t>
      </w:r>
    </w:p>
    <w:p>
      <w:pPr>
        <w:numPr>
          <w:ilvl w:val="0"/>
          <w:numId w:val="1038"/>
        </w:numPr>
      </w:pPr>
      <w:r>
        <w:rPr>
          <w:i/>
          <w:iCs/>
        </w:rPr>
        <w:t xml:space="preserve">Tema</w:t>
      </w:r>
      <w:r>
        <w:t xml:space="preserve">:</w:t>
      </w:r>
      <w:r>
        <w:t xml:space="preserve"> </w:t>
      </w:r>
      <w:hyperlink r:id="rId20">
        <w:r>
          <w:rPr>
            <w:rStyle w:val="Referenciaatema"/>
          </w:rPr>
          <w:t xml:space="preserve">[ver tema 3.A.30]</w:t>
        </w:r>
      </w:hyperlink>
      <w:r>
        <w:t xml:space="preserve"> </w:t>
      </w:r>
      <w:hyperlink r:id="rId54">
        <w:r>
          <w:rPr>
            <w:rStyle w:val="Referenciaatema"/>
          </w:rPr>
          <w:t xml:space="preserve">[ver tema 3.B.11]</w:t>
        </w:r>
      </w:hyperlink>
      <w:r>
        <w:t xml:space="preserve"> </w:t>
      </w:r>
      <w:hyperlink r:id="rId55">
        <w:r>
          <w:rPr>
            <w:rStyle w:val="Referenciaatema"/>
          </w:rPr>
          <w:t xml:space="preserve">[ver tema 4.A.21]</w:t>
        </w:r>
      </w:hyperlink>
      <w:r>
        <w:t xml:space="preserve">.</w:t>
      </w:r>
    </w:p>
    <w:bookmarkEnd w:id="56"/>
    <w:bookmarkStart w:id="59" w:name="indicadores_adelantados_y_de_alta__09005"/>
    <w:p>
      <w:pPr>
        <w:pStyle w:val="Heading4"/>
      </w:pPr>
      <w:r>
        <w:t xml:space="preserve">Indicadores adelantados y de alta frecuencia</w:t>
      </w:r>
    </w:p>
    <w:p>
      <w:pPr>
        <w:numPr>
          <w:ilvl w:val="0"/>
          <w:numId w:val="1040"/>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 (2016, 2019 y 2024).</w:t>
      </w:r>
    </w:p>
    <w:p>
      <w:pPr>
        <w:keepNext/>
        <w:numPr>
          <w:ilvl w:val="0"/>
          <w:numId w:val="1040"/>
        </w:numPr>
      </w:pPr>
      <w:r>
        <w:rPr>
          <w:i/>
          <w:iCs/>
        </w:rPr>
        <w:t xml:space="preserve">Los más habituales</w:t>
      </w:r>
      <w:r>
        <w:t xml:space="preserve">:</w:t>
      </w:r>
    </w:p>
    <w:p>
      <w:pPr>
        <w:numPr>
          <w:ilvl w:val="1"/>
          <w:numId w:val="1041"/>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 Por encima de 50, la actividad</w:t>
      </w:r>
      <w:r>
        <w:t xml:space="preserve"> </w:t>
      </w:r>
      <w:r>
        <w:rPr>
          <w:i/>
          <w:iCs/>
        </w:rPr>
        <w:t xml:space="preserve">crece</w:t>
      </w:r>
      <w:r>
        <w:t xml:space="preserve"> </w:t>
      </w:r>
      <w:r>
        <w:t xml:space="preserve">respecto al mes anterior (no que esté alta);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41"/>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41"/>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57"/>
      </w:r>
    </w:p>
    <w:p>
      <w:pPr>
        <w:numPr>
          <w:ilvl w:val="1"/>
          <w:numId w:val="1041"/>
        </w:numPr>
      </w:pPr>
      <w:r>
        <w:t xml:space="preserve">Otros adelantados: bolsa, crédito nuevo, pedidos industriales, permisos de construcción.</w:t>
      </w:r>
    </w:p>
    <w:p>
      <w:pPr>
        <w:numPr>
          <w:ilvl w:val="1"/>
          <w:numId w:val="1041"/>
        </w:numPr>
      </w:pPr>
      <w:r>
        <w:rPr>
          <w:i/>
          <w:iCs/>
        </w:rPr>
        <w:t xml:space="preserve">Coincidentes</w:t>
      </w:r>
      <w:r>
        <w:t xml:space="preserve">: producción industrial, afiliación, ventas minoristas, consumo de electricidad.</w:t>
      </w:r>
    </w:p>
    <w:p>
      <w:pPr>
        <w:numPr>
          <w:ilvl w:val="1"/>
          <w:numId w:val="1041"/>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40"/>
        </w:numPr>
      </w:pPr>
      <w:r>
        <w:rPr>
          <w:i/>
          <w:iCs/>
        </w:rPr>
        <w:t xml:space="preserve">Umbral o referencia</w:t>
      </w:r>
      <w:r>
        <w:t xml:space="preserve">: 50 en el PMI; 100 en el ESI; pendiente negativa en la curva de tipos.</w:t>
      </w:r>
    </w:p>
    <w:p>
      <w:pPr>
        <w:numPr>
          <w:ilvl w:val="0"/>
          <w:numId w:val="1040"/>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40"/>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está en el anexo </w:t>
      </w:r>
      <w:hyperlink w:anchor="anexo_series">
        <w:r>
          <w:rPr>
            <w:rStyle w:val="Hyperlink"/>
          </w:rPr>
          <w:t xml:space="preserve">D</w:t>
        </w:r>
      </w:hyperlink>
      <w:r>
        <w:t xml:space="preserve">.</w:t>
      </w:r>
    </w:p>
    <w:p>
      <w:pPr>
        <w:numPr>
          <w:ilvl w:val="0"/>
          <w:numId w:val="1040"/>
        </w:numPr>
      </w:pPr>
      <w:r>
        <w:rPr>
          <w:i/>
          <w:iCs/>
        </w:rPr>
        <w:t xml:space="preserve">Tema</w:t>
      </w:r>
      <w:r>
        <w:t xml:space="preserve">:</w:t>
      </w:r>
      <w:r>
        <w:t xml:space="preserve"> </w:t>
      </w:r>
      <w:hyperlink r:id="rId21">
        <w:r>
          <w:rPr>
            <w:rStyle w:val="Referenciaatema"/>
          </w:rPr>
          <w:t xml:space="preserve">[ver tema 3.A.42]</w:t>
        </w:r>
      </w:hyperlink>
      <w:r>
        <w:t xml:space="preserve"> </w:t>
      </w:r>
      <w:hyperlink r:id="rId46">
        <w:r>
          <w:rPr>
            <w:rStyle w:val="Referenciaatema"/>
          </w:rPr>
          <w:t xml:space="preserve">[ver tema 4.A.1]</w:t>
        </w:r>
      </w:hyperlink>
      <w:r>
        <w:t xml:space="preserve">.</w:t>
      </w:r>
    </w:p>
    <w:bookmarkEnd w:id="59"/>
    <w:bookmarkEnd w:id="60"/>
    <w:bookmarkStart w:id="91" w:name="sec_demanda"/>
    <w:p>
      <w:pPr>
        <w:pStyle w:val="Heading2"/>
      </w:pPr>
      <w:r>
        <w:t xml:space="preserve">II.3.</w:t>
      </w:r>
      <w:r>
        <w:t xml:space="preserve"> </w:t>
      </w:r>
      <w:r>
        <w:t xml:space="preserve">Demanda</w:t>
      </w:r>
    </w:p>
    <w:p>
      <w:pPr>
        <w:numPr>
          <w:ilvl w:val="0"/>
          <w:numId w:val="1042"/>
        </w:numPr>
      </w:pPr>
      <w:r>
        <w:t xml:space="preserve">La idea: el lado de la demanda explica la evolución del PIB por el enfoque del gasto: quién compra lo que se produce. Es lo primero que se mira, porque el cuadro siempre trae sus componentes.</w:t>
      </w:r>
    </w:p>
    <w:p>
      <w:pPr>
        <w:numPr>
          <w:ilvl w:val="0"/>
          <w:numId w:val="1042"/>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66" w:name="contribuciones_al_crecimiento_el_motor"/>
    <w:p>
      <w:pPr>
        <w:pStyle w:val="Heading4"/>
      </w:pPr>
      <w:r>
        <w:t xml:space="preserve">Contribuciones al crecimiento: el motor</w:t>
      </w:r>
    </w:p>
    <w:p>
      <w:pPr>
        <w:numPr>
          <w:ilvl w:val="0"/>
          <w:numId w:val="1043"/>
        </w:numPr>
      </w:pPr>
      <w:r>
        <w:rPr>
          <w:i/>
          <w:iCs/>
        </w:rPr>
        <w:t xml:space="preserve">Qué mide</w:t>
      </w:r>
      <w:r>
        <w:t xml:space="preserve">: cuántos puntos del crecimiento del PIB aporta cada componente.</w:t>
      </w:r>
    </w:p>
    <w:p>
      <w:pPr>
        <w:numPr>
          <w:ilvl w:val="0"/>
          <w:numId w:val="1043"/>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r>
            <m:rPr>
              <m:sty m:val="p"/>
            </m:rPr>
            <m:t>.</m:t>
          </m:r>
        </m:oMath>
      </m:oMathPara>
    </w:p>
    <w:p>
      <w:pPr>
        <w:numPr>
          <w:ilvl w:val="0"/>
          <w:numId w:val="1000"/>
        </w:numPr>
      </w:pPr>
      <w:r>
        <w:t xml:space="preserve">Cada contribución es el peso del componente en el año anterior por su crecimiento: depende de los 2. Las importaciones restan.</w:t>
      </w:r>
    </w:p>
    <w:p>
      <w:pPr>
        <w:numPr>
          <w:ilvl w:val="0"/>
          <w:numId w:val="1043"/>
        </w:numPr>
      </w:pPr>
      <w:r>
        <w:rPr>
          <w:i/>
          <w:iCs/>
        </w:rPr>
        <w:t xml:space="preserve">Unidades</w:t>
      </w:r>
      <w:r>
        <w:t xml:space="preserve">: las contribuciones se miden en</w:t>
      </w:r>
      <w:r>
        <w:t xml:space="preserve"> </w:t>
      </w:r>
      <w:r>
        <w:rPr>
          <w:i/>
          <w:iCs/>
        </w:rPr>
        <w:t xml:space="preserve">puntos porcentuales</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43"/>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43"/>
        </w:numPr>
      </w:pPr>
      <w:r>
        <w:rPr>
          <w:i/>
          <w:iCs/>
        </w:rPr>
        <w:t xml:space="preserve">Cómo se lee</w:t>
      </w:r>
      <w:r>
        <w:t xml:space="preserve">:</w:t>
      </w:r>
    </w:p>
    <w:p>
      <w:pPr>
        <w:numPr>
          <w:ilvl w:val="1"/>
          <w:numId w:val="1044"/>
        </w:numPr>
      </w:pPr>
      <w:r>
        <w:t xml:space="preserve">contribuciones positivas y parecidas de las 2:</w:t>
      </w:r>
      <w:r>
        <w:t xml:space="preserve"> </w:t>
      </w:r>
      <w:r>
        <w:rPr>
          <w:i/>
          <w:iCs/>
        </w:rPr>
        <w:t xml:space="preserve">crecimiento equilibrado</w:t>
      </w:r>
      <w:r>
        <w:t xml:space="preserve">;</w:t>
      </w:r>
    </w:p>
    <w:p>
      <w:pPr>
        <w:numPr>
          <w:ilvl w:val="1"/>
          <w:numId w:val="1044"/>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44"/>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44"/>
        </w:numPr>
      </w:pPr>
      <w:r>
        <w:t xml:space="preserve">ante un cambio de patrón, ¿es coyuntural (un auge del precio del petróleo en un exportador) o estructural?</w:t>
      </w:r>
    </w:p>
    <w:p>
      <w:pPr>
        <w:numPr>
          <w:ilvl w:val="0"/>
          <w:numId w:val="1043"/>
        </w:numPr>
      </w:pPr>
      <w:r>
        <w:rPr>
          <w:i/>
          <w:iCs/>
        </w:rPr>
        <w:t xml:space="preserve">Tema</w:t>
      </w:r>
      <w:r>
        <w:t xml:space="preserve">:</w:t>
      </w:r>
      <w:r>
        <w:t xml:space="preserve"> </w:t>
      </w:r>
      <w:hyperlink r:id="rId20">
        <w:r>
          <w:rPr>
            <w:rStyle w:val="Referenciaatema"/>
          </w:rPr>
          <w:t xml:space="preserve">[ver tema 3.A.30]</w:t>
        </w:r>
      </w:hyperlink>
      <w:r>
        <w:t xml:space="preserve"> </w:t>
      </w:r>
      <w:hyperlink r:id="rId61">
        <w:r>
          <w:rPr>
            <w:rStyle w:val="Referenciaatema"/>
          </w:rPr>
          <w:t xml:space="preserve">[ver tema 4.A.29]</w:t>
        </w:r>
      </w:hyperlink>
      <w:r>
        <w:t xml:space="preserve">.</w:t>
      </w:r>
    </w:p>
    <w:bookmarkStart w:id="65" w:name="fig_contribuciones_pib_zona_euro"/>
    <w:p>
      <w:pPr>
        <w:pStyle w:val="ImageCaption"/>
      </w:pPr>
      <w:r>
        <w:t xml:space="preserve">Gráfico 2.–</w:t>
      </w:r>
      <w:r>
        <w:t xml:space="preserve"> </w:t>
      </w:r>
      <w:r>
        <w:t xml:space="preserve">Contribuciones al crecimiento del PIB real de la zona del euro</w:t>
      </w:r>
    </w:p>
    <w:p>
      <w:pPr>
        <w:pStyle w:val="CaptionedFigure"/>
      </w:pPr>
      <w:r>
        <w:drawing>
          <wp:inline>
            <wp:extent cx="5073650" cy="2830883"/>
            <wp:effectExtent b="0" l="0" r="0" t="0"/>
            <wp:docPr descr="Gráfico 2.– Contribuciones al crecimiento del PIB real de la zona del euro" title="" id="63" name="Picture"/>
            <a:graphic>
              <a:graphicData uri="http://schemas.openxmlformats.org/drawingml/2006/picture">
                <pic:pic>
                  <pic:nvPicPr>
                    <pic:cNvPr descr="C:\Users\vgutierrez\Documents\src\victorgutierrezmarcos.github.io-revision\oposicion\temario\fuentes\1D01\graficos/contribuciones-pib-zona-euro.png" id="64" name="Picture"/>
                    <pic:cNvPicPr>
                      <a:picLocks noChangeArrowheads="1" noChangeAspect="1"/>
                    </pic:cNvPicPr>
                  </pic:nvPicPr>
                  <pic:blipFill>
                    <a:blip r:embed="rId62"/>
                    <a:stretch>
                      <a:fillRect/>
                    </a:stretch>
                  </pic:blipFill>
                  <pic:spPr bwMode="auto">
                    <a:xfrm>
                      <a:off x="0" y="0"/>
                      <a:ext cx="5073650" cy="2830883"/>
                    </a:xfrm>
                    <a:prstGeom prst="rect">
                      <a:avLst/>
                    </a:prstGeom>
                    <a:noFill/>
                    <a:ln w="9525">
                      <a:noFill/>
                      <a:headEnd/>
                      <a:tailEnd/>
                    </a:ln>
                  </pic:spPr>
                </pic:pic>
              </a:graphicData>
            </a:graphic>
          </wp:inline>
        </w:drawing>
      </w:r>
    </w:p>
    <w:bookmarkEnd w:id="65"/>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bookmarkEnd w:id="66"/>
    <w:bookmarkStart w:id="77" w:name="consumo_privado"/>
    <w:p>
      <w:pPr>
        <w:pStyle w:val="Heading4"/>
      </w:pPr>
      <w:r>
        <w:t xml:space="preserve">Consumo privado</w:t>
      </w:r>
    </w:p>
    <w:p>
      <w:pPr>
        <w:numPr>
          <w:ilvl w:val="0"/>
          <w:numId w:val="1045"/>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w:t>
      </w:r>
    </w:p>
    <w:p>
      <w:pPr>
        <w:keepNext/>
        <w:numPr>
          <w:ilvl w:val="0"/>
          <w:numId w:val="1045"/>
        </w:numPr>
      </w:pPr>
      <w:r>
        <w:rPr>
          <w:i/>
          <w:iCs/>
        </w:rPr>
        <w:t xml:space="preserve">Hechos estilizados</w:t>
      </w:r>
      <w:r>
        <w:t xml:space="preserve"> </w:t>
      </w:r>
      <w:r>
        <w:t xml:space="preserve">(comprobar si se cumplen en el cuadro):</w:t>
      </w:r>
    </w:p>
    <w:p>
      <w:pPr>
        <w:numPr>
          <w:ilvl w:val="1"/>
          <w:numId w:val="1046"/>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46"/>
        </w:numPr>
      </w:pPr>
      <w:r>
        <w:rPr>
          <w:i/>
          <w:iCs/>
        </w:rPr>
        <w:t xml:space="preserve">Volatilidad</w:t>
      </w:r>
      <w:r>
        <w:t xml:space="preserve">: el menos volátil de los componentes privados, por su peso y porque los hogares prefieren suavizar el consumo según su renta permanente</w:t>
      </w:r>
      <w:r>
        <w:t xml:space="preserve"> </w:t>
      </w:r>
      <w:hyperlink r:id="rId67">
        <w:r>
          <w:rPr>
            <w:rStyle w:val="Referenciaatema"/>
          </w:rPr>
          <w:t xml:space="preserve">[ver tema 3.A.33]</w:t>
        </w:r>
      </w:hyperlink>
      <w:r>
        <w:t xml:space="preserve">. Si en el cuadro es más volátil que el PIB, puede haber sobrecalentamiento e inflación de demanda.</w:t>
      </w:r>
    </w:p>
    <w:p>
      <w:pPr>
        <w:numPr>
          <w:ilvl w:val="1"/>
          <w:numId w:val="1046"/>
        </w:numPr>
      </w:pPr>
      <w:r>
        <w:rPr>
          <w:i/>
          <w:iCs/>
        </w:rPr>
        <w:t xml:space="preserve">Comovimiento</w:t>
      </w:r>
      <w:r>
        <w:t xml:space="preserve">: procíclico y contemporáneo con el PIB; los bienes duraderos, más volátiles</w:t>
      </w:r>
      <w:r>
        <w:t xml:space="preserve"> </w:t>
      </w:r>
      <w:r>
        <w:t xml:space="preserve">(</w:t>
      </w:r>
      <w:hyperlink w:anchor="ref_StockWatson1999Ciclo">
        <w:r>
          <w:rPr>
            <w:rStyle w:val="Hyperlink"/>
            <w:smallCaps/>
          </w:rPr>
          <w:t xml:space="preserve">Stock</w:t>
        </w:r>
        <w:r>
          <w:rPr>
            <w:rStyle w:val="Hyperlink"/>
          </w:rPr>
          <w:t xml:space="preserve"> </w:t>
        </w:r>
        <w:r>
          <w:rPr>
            <w:rStyle w:val="Hyperlink"/>
          </w:rPr>
          <w:t xml:space="preserve">y</w:t>
        </w:r>
        <w:r>
          <w:rPr>
            <w:rStyle w:val="Hyperlink"/>
          </w:rPr>
          <w:t xml:space="preserve"> </w:t>
        </w:r>
        <w:r>
          <w:rPr>
            <w:rStyle w:val="Hyperlink"/>
            <w:smallCaps/>
          </w:rPr>
          <w:t xml:space="preserve">Watson</w:t>
        </w:r>
        <w:r>
          <w:rPr>
            <w:rStyle w:val="Hyperlink"/>
          </w:rPr>
          <w:t xml:space="preserve">, 1999</w:t>
        </w:r>
      </w:hyperlink>
      <w:r>
        <w:t xml:space="preserve">)</w:t>
      </w:r>
      <w:r>
        <w:t xml:space="preserve">.</w:t>
      </w:r>
    </w:p>
    <w:p>
      <w:pPr>
        <w:keepNext/>
        <w:numPr>
          <w:ilvl w:val="0"/>
          <w:numId w:val="1045"/>
        </w:numPr>
      </w:pPr>
      <w:r>
        <w:rPr>
          <w:i/>
          <w:iCs/>
        </w:rPr>
        <w:t xml:space="preserve">Determinantes</w:t>
      </w:r>
      <w:r>
        <w:t xml:space="preserve">, con el signo de su relación con el consumo:</w:t>
      </w:r>
    </w:p>
    <w:p>
      <w:pPr>
        <w:numPr>
          <w:ilvl w:val="1"/>
          <w:numId w:val="1047"/>
        </w:numPr>
      </w:pPr>
      <w:r>
        <w:rPr>
          <w:i/>
          <w:iCs/>
        </w:rPr>
        <w:t xml:space="preserve">Renta disponible real</w:t>
      </w:r>
      <w:r>
        <w:t xml:space="preserve"> </w:t>
      </w:r>
      <w:r>
        <w:t xml:space="preserve">(</w:t>
      </w:r>
      <m:oMath>
        <m:r>
          <m:rPr>
            <m:sty m:val="p"/>
          </m:rPr>
          <m:t>+</m:t>
        </m:r>
      </m:oMath>
      <w:r>
        <w:t xml:space="preserve">), sin duda el principal. A su vez depende del empleo y del salario real (que cae con la inflación), de las rentas del capital, de los impuestos y de las transferencias.</w:t>
      </w:r>
      <w:r>
        <w:rPr>
          <w:rStyle w:val="FootnoteReference"/>
        </w:rPr>
        <w:footnoteReference w:id="68"/>
      </w:r>
    </w:p>
    <w:p>
      <w:pPr>
        <w:numPr>
          <w:ilvl w:val="1"/>
          <w:numId w:val="1047"/>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47"/>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p>
    <w:p>
      <w:pPr>
        <w:numPr>
          <w:ilvl w:val="1"/>
          <w:numId w:val="1047"/>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69"/>
      </w:r>
    </w:p>
    <w:p>
      <w:pPr>
        <w:numPr>
          <w:ilvl w:val="1"/>
          <w:numId w:val="1047"/>
        </w:numPr>
      </w:pPr>
      <w:r>
        <w:rPr>
          <w:i/>
          <w:iCs/>
        </w:rPr>
        <w:t xml:space="preserve">Crédito</w:t>
      </w:r>
      <w:r>
        <w:t xml:space="preserve"> </w:t>
      </w:r>
      <w:r>
        <w:t xml:space="preserve">(</w:t>
      </w:r>
      <m:oMath>
        <m:r>
          <m:rPr>
            <m:sty m:val="p"/>
          </m:rPr>
          <m:t>+</m:t>
        </m:r>
      </m:oMath>
      <w:r>
        <w:t xml:space="preserve">)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47"/>
        </w:numPr>
      </w:pPr>
      <w:r>
        <w:rPr>
          <w:i/>
          <w:iCs/>
        </w:rPr>
        <w:t xml:space="preserve">Incertidumbre y paro esperado</w:t>
      </w:r>
      <w:r>
        <w:t xml:space="preserve"> </w:t>
      </w:r>
      <w:r>
        <w:t xml:space="preserve">(</w:t>
      </w:r>
      <m:oMath>
        <m:r>
          <m:rPr>
            <m:sty m:val="p"/>
          </m:rPr>
          <m:t>−</m:t>
        </m:r>
      </m:oMath>
      <w:r>
        <w:t xml:space="preserve">): ahorro precautorio</w:t>
      </w:r>
      <w:r>
        <w:t xml:space="preserve"> </w:t>
      </w:r>
      <w:hyperlink r:id="rId70">
        <w:r>
          <w:rPr>
            <w:rStyle w:val="Referenciaatema"/>
          </w:rPr>
          <w:t xml:space="preserve">[ver tema 3.A.10]</w:t>
        </w:r>
      </w:hyperlink>
      <w:r>
        <w:t xml:space="preserve">.</w:t>
      </w:r>
    </w:p>
    <w:p>
      <w:pPr>
        <w:numPr>
          <w:ilvl w:val="1"/>
          <w:numId w:val="1047"/>
        </w:numPr>
      </w:pPr>
      <w:r>
        <w:rPr>
          <w:i/>
          <w:iCs/>
        </w:rPr>
        <w:t xml:space="preserve">Demografía</w:t>
      </w:r>
      <w:r>
        <w:t xml:space="preserve">: crece con la población;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47"/>
        </w:numPr>
      </w:pPr>
      <w:r>
        <w:rPr>
          <w:i/>
          <w:iCs/>
        </w:rPr>
        <w:t xml:space="preserve">Expectativas</w:t>
      </w:r>
      <w:r>
        <w:t xml:space="preserve"> </w:t>
      </w:r>
      <w:r>
        <w:t xml:space="preserve">(</w:t>
      </w:r>
      <m:oMath>
        <m:r>
          <m:rPr>
            <m:sty m:val="p"/>
          </m:rPr>
          <m:t>+</m:t>
        </m:r>
      </m:oMath>
      <w:r>
        <w:t xml:space="preserve">): confianza de los consumidores, PMI, pendiente de la curva de tipos, crecimiento mundial. El índice de miseria (inflación más paro) resume 2 frenos.</w:t>
      </w:r>
    </w:p>
    <w:p>
      <w:pPr>
        <w:numPr>
          <w:ilvl w:val="1"/>
          <w:numId w:val="1047"/>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71">
        <w:r>
          <w:rPr>
            <w:rStyle w:val="Referenciaatema"/>
          </w:rPr>
          <w:t xml:space="preserve">[ver tema 3.A.39]</w:t>
        </w:r>
      </w:hyperlink>
      <w:r>
        <w:t xml:space="preserve">); una bajada de tipos anunciada adelanta consumo.</w:t>
      </w:r>
    </w:p>
    <w:p>
      <w:pPr>
        <w:numPr>
          <w:ilvl w:val="0"/>
          <w:numId w:val="1045"/>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72"/>
      </w:r>
    </w:p>
    <w:p>
      <w:pPr>
        <w:numPr>
          <w:ilvl w:val="0"/>
          <w:numId w:val="1045"/>
        </w:numPr>
      </w:pPr>
      <w:r>
        <w:rPr>
          <w:i/>
          <w:iCs/>
        </w:rPr>
        <w:t xml:space="preserve">Cómo se escribe</w:t>
      </w:r>
      <w:r>
        <w:t xml:space="preserve">: se vinculan los determinantes con los años: «entre los determinantes habituales del consumo, la renta disponible y el empleo evolucionan de modo que podrían explicar su caída en 2020 y su recuperación posterior».</w:t>
      </w:r>
    </w:p>
    <w:bookmarkStart w:id="76" w:name="fig_consumo_renta_ahorro"/>
    <w:p>
      <w:pPr>
        <w:pStyle w:val="ImageCaption"/>
      </w:pPr>
      <w:r>
        <w:t xml:space="preserve">Gráfico 3.–</w:t>
      </w:r>
      <w:r>
        <w:t xml:space="preserve"> </w:t>
      </w:r>
      <w:r>
        <w:t xml:space="preserve">Consumo, renta disponible y tasa de ahorro de los hogares de la zona del euro</w:t>
      </w:r>
    </w:p>
    <w:p>
      <w:pPr>
        <w:pStyle w:val="CaptionedFigure"/>
      </w:pPr>
      <w:r>
        <w:drawing>
          <wp:inline>
            <wp:extent cx="5073650" cy="2498666"/>
            <wp:effectExtent b="0" l="0" r="0" t="0"/>
            <wp:docPr descr="Gráfico 3.– Consumo, renta disponible y tasa de ahorro de los hogares de la zona del euro" title="" id="74" name="Picture"/>
            <a:graphic>
              <a:graphicData uri="http://schemas.openxmlformats.org/drawingml/2006/picture">
                <pic:pic>
                  <pic:nvPicPr>
                    <pic:cNvPr descr="C:\Users\vgutierrez\Documents\src\victorgutierrezmarcos.github.io-revision\oposicion\temario\fuentes\1D01\graficos/consumo-renta-ahorro-zona-euro.png" id="75" name="Picture"/>
                    <pic:cNvPicPr>
                      <a:picLocks noChangeArrowheads="1" noChangeAspect="1"/>
                    </pic:cNvPicPr>
                  </pic:nvPicPr>
                  <pic:blipFill>
                    <a:blip r:embed="rId73"/>
                    <a:stretch>
                      <a:fillRect/>
                    </a:stretch>
                  </pic:blipFill>
                  <pic:spPr bwMode="auto">
                    <a:xfrm>
                      <a:off x="0" y="0"/>
                      <a:ext cx="5073650" cy="2498666"/>
                    </a:xfrm>
                    <a:prstGeom prst="rect">
                      <a:avLst/>
                    </a:prstGeom>
                    <a:noFill/>
                    <a:ln w="9525">
                      <a:noFill/>
                      <a:headEnd/>
                      <a:tailEnd/>
                    </a:ln>
                  </pic:spPr>
                </pic:pic>
              </a:graphicData>
            </a:graphic>
          </wp:inline>
        </w:drawing>
      </w:r>
    </w:p>
    <w:bookmarkEnd w:id="76"/>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bookmarkEnd w:id="77"/>
    <w:bookmarkStart w:id="83" w:name="inversi__n"/>
    <w:p>
      <w:pPr>
        <w:pStyle w:val="Heading4"/>
      </w:pPr>
      <w:r>
        <w:t xml:space="preserve">Inversión</w:t>
      </w:r>
    </w:p>
    <w:p>
      <w:pPr>
        <w:keepNext/>
        <w:numPr>
          <w:ilvl w:val="0"/>
          <w:numId w:val="1048"/>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49"/>
        </w:numPr>
      </w:pPr>
      <w:r>
        <w:t xml:space="preserve">la</w:t>
      </w:r>
      <w:r>
        <w:t xml:space="preserve"> </w:t>
      </w:r>
      <w:r>
        <w:rPr>
          <w:b/>
          <w:bCs/>
        </w:rPr>
        <w:t xml:space="preserve">formación bruta de capital fijo</w:t>
      </w:r>
      <w:r>
        <w:t xml:space="preserve"> </w:t>
      </w:r>
      <w:r>
        <w:t xml:space="preserve">(FBCF): adquisiciones menos cesiones de activos fijos, los que se usan para producir más de un año (vivienda, otras construcciones, maquinaria y equipo, armamento, recursos biológicos, I+D, programas informáticos y otros derechos de propiedad intelectual).</w:t>
      </w:r>
      <w:r>
        <w:rPr>
          <w:rStyle w:val="FootnoteReference"/>
        </w:rPr>
        <w:footnoteReference w:id="78"/>
      </w:r>
      <w:r>
        <w:t xml:space="preserve"> </w:t>
      </w:r>
      <w:r>
        <w:t xml:space="preserve">Incluye la reposición del capital que se desgasta (consumo de capital fijo);</w:t>
      </w:r>
    </w:p>
    <w:p>
      <w:pPr>
        <w:numPr>
          <w:ilvl w:val="1"/>
          <w:numId w:val="1049"/>
        </w:numPr>
      </w:pPr>
      <w:r>
        <w:t xml:space="preserve">la</w:t>
      </w:r>
      <w:r>
        <w:t xml:space="preserve"> </w:t>
      </w:r>
      <w:r>
        <w:rPr>
          <w:b/>
          <w:bCs/>
        </w:rPr>
        <w:t xml:space="preserve">variación de existencias</w:t>
      </w:r>
      <w:r>
        <w:t xml:space="preserve">: entradas menos salidas de existencias;</w:t>
      </w:r>
    </w:p>
    <w:p>
      <w:pPr>
        <w:numPr>
          <w:ilvl w:val="1"/>
          <w:numId w:val="1049"/>
        </w:numPr>
      </w:pPr>
      <w:r>
        <w:t xml:space="preserve">las adquisiciones menos cesiones de</w:t>
      </w:r>
      <w:r>
        <w:t xml:space="preserve"> </w:t>
      </w:r>
      <w:r>
        <w:rPr>
          <w:i/>
          <w:iCs/>
        </w:rPr>
        <w:t xml:space="preserve">objetos valiosos</w:t>
      </w:r>
      <w:r>
        <w:t xml:space="preserve"> </w:t>
      </w:r>
      <w:r>
        <w:t xml:space="preserve">(bienes que se mantienen como depósito de valor).</w:t>
      </w:r>
    </w:p>
    <w:p>
      <w:pPr>
        <w:numPr>
          <w:ilvl w:val="0"/>
          <w:numId w:val="1048"/>
        </w:numPr>
      </w:pPr>
      <w:r>
        <w:rPr>
          <w:i/>
          <w:iCs/>
        </w:rPr>
        <w:t xml:space="preserve">Por qué importa</w:t>
      </w:r>
      <w:r>
        <w:t xml:space="preserve">: es demanda a corto plazo y oferta a largo, porque acumula capital y eleva el potencial</w:t>
      </w:r>
      <w:r>
        <w:t xml:space="preserve"> </w:t>
      </w:r>
      <w:hyperlink r:id="rId52">
        <w:r>
          <w:rPr>
            <w:rStyle w:val="Referenciaatema"/>
          </w:rPr>
          <w:t xml:space="preserve">[ver tema 3.A.45]</w:t>
        </w:r>
      </w:hyperlink>
      <w:r>
        <w:t xml:space="preserve">.</w:t>
      </w:r>
    </w:p>
    <w:p>
      <w:pPr>
        <w:keepNext/>
        <w:numPr>
          <w:ilvl w:val="0"/>
          <w:numId w:val="1048"/>
        </w:numPr>
      </w:pPr>
      <w:r>
        <w:rPr>
          <w:i/>
          <w:iCs/>
        </w:rPr>
        <w:t xml:space="preserve">Hechos estilizados</w:t>
      </w:r>
      <w:r>
        <w:t xml:space="preserve"> </w:t>
      </w:r>
      <w:r>
        <w:t xml:space="preserve">(comprobar si se cumplen):</w:t>
      </w:r>
    </w:p>
    <w:p>
      <w:pPr>
        <w:numPr>
          <w:ilvl w:val="1"/>
          <w:numId w:val="1050"/>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50"/>
        </w:numPr>
      </w:pPr>
      <w:r>
        <w:rPr>
          <w:i/>
          <w:iCs/>
        </w:rPr>
        <w:t xml:space="preserve">Volatilidad</w:t>
      </w:r>
      <w:r>
        <w:t xml:space="preserve">: el componente más volátil, varias veces más que el PIB,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w:t>
      </w:r>
    </w:p>
    <w:p>
      <w:pPr>
        <w:numPr>
          <w:ilvl w:val="1"/>
          <w:numId w:val="1050"/>
        </w:numPr>
      </w:pPr>
      <w:r>
        <w:rPr>
          <w:i/>
          <w:iCs/>
        </w:rPr>
        <w:t xml:space="preserve">Comovimiento</w:t>
      </w:r>
      <w:r>
        <w:t xml:space="preserve">: procíclica; la inversión en equipo, contemporánea o algo retrasada, y la residencial, adelantada</w:t>
      </w:r>
      <w:r>
        <w:t xml:space="preserve"> </w:t>
      </w:r>
      <w:r>
        <w:t xml:space="preserve">(</w:t>
      </w:r>
      <w:hyperlink w:anchor="ref_StockWatson1999Ciclo">
        <w:r>
          <w:rPr>
            <w:rStyle w:val="Hyperlink"/>
            <w:smallCaps/>
          </w:rPr>
          <w:t xml:space="preserve">Stock</w:t>
        </w:r>
        <w:r>
          <w:rPr>
            <w:rStyle w:val="Hyperlink"/>
          </w:rPr>
          <w:t xml:space="preserve"> </w:t>
        </w:r>
        <w:r>
          <w:rPr>
            <w:rStyle w:val="Hyperlink"/>
          </w:rPr>
          <w:t xml:space="preserve">y</w:t>
        </w:r>
        <w:r>
          <w:rPr>
            <w:rStyle w:val="Hyperlink"/>
          </w:rPr>
          <w:t xml:space="preserve"> </w:t>
        </w:r>
        <w:r>
          <w:rPr>
            <w:rStyle w:val="Hyperlink"/>
            <w:smallCaps/>
          </w:rPr>
          <w:t xml:space="preserve">Watson</w:t>
        </w:r>
        <w:r>
          <w:rPr>
            <w:rStyle w:val="Hyperlink"/>
          </w:rPr>
          <w:t xml:space="preserve">, 1999</w:t>
        </w:r>
      </w:hyperlink>
      <w:r>
        <w:t xml:space="preserve">)</w:t>
      </w:r>
      <w:r>
        <w:t xml:space="preserve">.</w:t>
      </w:r>
    </w:p>
    <w:p>
      <w:pPr>
        <w:numPr>
          <w:ilvl w:val="1"/>
          <w:numId w:val="1050"/>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keepNext/>
        <w:numPr>
          <w:ilvl w:val="0"/>
          <w:numId w:val="1048"/>
        </w:numPr>
      </w:pPr>
      <w:r>
        <w:rPr>
          <w:i/>
          <w:iCs/>
        </w:rPr>
        <w:t xml:space="preserve">Determinantes</w:t>
      </w:r>
      <w:r>
        <w:t xml:space="preserve">:</w:t>
      </w:r>
    </w:p>
    <w:p>
      <w:pPr>
        <w:numPr>
          <w:ilvl w:val="1"/>
          <w:numId w:val="1051"/>
        </w:numPr>
      </w:pPr>
      <w:r>
        <w:rPr>
          <w:i/>
          <w:iCs/>
        </w:rPr>
        <w:t xml:space="preserve">Positivos</w:t>
      </w:r>
      <w:r>
        <w:t xml:space="preserve">: crecimiento esperado de la demanda (interna y externa);</w:t>
      </w:r>
      <w:r>
        <w:t xml:space="preserve"> </w:t>
      </w:r>
      <w:r>
        <w:rPr>
          <w:i/>
          <w:iCs/>
        </w:rPr>
        <w:t xml:space="preserve">brecha de producción y grado de utilización de la capacidad</w:t>
      </w:r>
      <w:r>
        <w:t xml:space="preserve">, porque con la brecha positiva las empresas necesitan ampliar capacidad (acelerador); rentabilidad empresarial (excedente bruto de explotación o, si falta, el margen, apartado </w:t>
      </w:r>
      <w:hyperlink w:anchor="sec_trabajo">
        <w:r>
          <w:rPr>
            <w:rStyle w:val="Hyperlink"/>
          </w:rPr>
          <w:t xml:space="preserve">III.1</w:t>
        </w:r>
      </w:hyperlink>
      <w:r>
        <w:t xml:space="preserve">); incentivos fiscales; crédito; expectativas (confianza empresarial, bolsa, curva de tipos).</w:t>
      </w:r>
    </w:p>
    <w:p>
      <w:pPr>
        <w:numPr>
          <w:ilvl w:val="1"/>
          <w:numId w:val="1051"/>
        </w:numPr>
      </w:pPr>
      <w:r>
        <w:rPr>
          <w:i/>
          <w:iCs/>
        </w:rPr>
        <w:t xml:space="preserve">Negativos</w:t>
      </w:r>
      <w:r>
        <w:t xml:space="preserve">: tipo de interés real a largo plazo;</w:t>
      </w:r>
      <w:r>
        <w:rPr>
          <w:rStyle w:val="FootnoteReference"/>
        </w:rPr>
        <w:footnoteReference w:id="80"/>
      </w:r>
      <w:r>
        <w:t xml:space="preserve"> </w:t>
      </w:r>
      <w:r>
        <w:t xml:space="preserve">costes de construcción y precio real del equipo; incertidumbre económica y política.</w:t>
      </w:r>
      <w:r>
        <w:rPr>
          <w:rStyle w:val="FootnoteReference"/>
        </w:rPr>
        <w:footnoteReference w:id="81"/>
      </w:r>
    </w:p>
    <w:p>
      <w:pPr>
        <w:numPr>
          <w:ilvl w:val="1"/>
          <w:numId w:val="1051"/>
        </w:numPr>
      </w:pPr>
      <w:r>
        <w:rPr>
          <w:i/>
          <w:i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w:t>
      </w:r>
    </w:p>
    <w:p>
      <w:pPr>
        <w:numPr>
          <w:ilvl w:val="1"/>
          <w:numId w:val="1051"/>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48"/>
        </w:numPr>
      </w:pPr>
      <w:r>
        <w:rPr>
          <w:i/>
          <w:iCs/>
        </w:rPr>
        <w:t xml:space="preserve">Cómo se escribe</w:t>
      </w:r>
      <w:r>
        <w:t xml:space="preserve">: «la inversión es, como es habitual, el componente más volátil; sus caídas coinciden con las del crédito al sector privado y sus aumentos, con tipos de interés reales negativos». Se preguntaron sus determinantes en 2023 y 2026.</w:t>
      </w:r>
    </w:p>
    <w:p>
      <w:pPr>
        <w:numPr>
          <w:ilvl w:val="0"/>
          <w:numId w:val="1048"/>
        </w:numPr>
      </w:pPr>
      <w:r>
        <w:rPr>
          <w:i/>
          <w:iCs/>
        </w:rPr>
        <w:t xml:space="preserve">Tema</w:t>
      </w:r>
      <w:r>
        <w:t xml:space="preserve">:</w:t>
      </w:r>
      <w:r>
        <w:t xml:space="preserve"> </w:t>
      </w:r>
      <w:hyperlink r:id="rId82">
        <w:r>
          <w:rPr>
            <w:rStyle w:val="Referenciaatema"/>
          </w:rPr>
          <w:t xml:space="preserve">[ver tema 3.A.34]</w:t>
        </w:r>
      </w:hyperlink>
      <w:r>
        <w:t xml:space="preserve"> </w:t>
      </w:r>
      <w:hyperlink r:id="rId61">
        <w:r>
          <w:rPr>
            <w:rStyle w:val="Referenciaatema"/>
          </w:rPr>
          <w:t xml:space="preserve">[ver tema 4.A.29]</w:t>
        </w:r>
      </w:hyperlink>
      <w:r>
        <w:t xml:space="preserve">.</w:t>
      </w:r>
    </w:p>
    <w:bookmarkEnd w:id="83"/>
    <w:bookmarkStart w:id="84" w:name="consumo_e_inversi__n_p__blicos"/>
    <w:p>
      <w:pPr>
        <w:pStyle w:val="Heading4"/>
      </w:pPr>
      <w:r>
        <w:t xml:space="preserve">Consumo e inversión públicos</w:t>
      </w:r>
    </w:p>
    <w:p>
      <w:pPr>
        <w:numPr>
          <w:ilvl w:val="0"/>
          <w:numId w:val="1052"/>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52"/>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VI.2</w:t>
        </w:r>
      </w:hyperlink>
      <w:r>
        <w:t xml:space="preserve">).</w:t>
      </w:r>
    </w:p>
    <w:p>
      <w:pPr>
        <w:numPr>
          <w:ilvl w:val="0"/>
          <w:numId w:val="1052"/>
        </w:numPr>
      </w:pPr>
      <w:r>
        <w:t xml:space="preserve">La inversión pública puede arrastrar a la privada (infraestructuras que la hacen rentable) o expulsarla: por superposición (expulsión real) o porque el endeudamiento público detrae financiación (expulsión financiera).</w:t>
      </w:r>
    </w:p>
    <w:bookmarkEnd w:id="84"/>
    <w:bookmarkStart w:id="90" w:name="demanda_externa"/>
    <w:p>
      <w:pPr>
        <w:pStyle w:val="Heading4"/>
      </w:pPr>
      <w:r>
        <w:t xml:space="preserve">Demanda externa</w:t>
      </w:r>
    </w:p>
    <w:p>
      <w:pPr>
        <w:numPr>
          <w:ilvl w:val="0"/>
          <w:numId w:val="1053"/>
        </w:numPr>
      </w:pPr>
      <w:r>
        <w:t xml:space="preserve">En el perfil cíclico se comenta en 1 o 2 frases: su contribución y si la explican las exportaciones o las importaciones. Si faltan los datos de bienes y servicios, se usa la balanza comercial, diciéndolo. El análisis de sus determinantes va en la pregunta del sector exterior (capítulo </w:t>
      </w:r>
      <w:hyperlink w:anchor="sec_exterior">
        <w:r>
          <w:rPr>
            <w:rStyle w:val="Hyperlink"/>
          </w:rPr>
          <w:t xml:space="preserve">V</w:t>
        </w:r>
      </w:hyperlink>
      <w:r>
        <w:t xml:space="preserve">).</w:t>
      </w:r>
    </w:p>
    <w:p>
      <w:pPr>
        <w:numPr>
          <w:ilvl w:val="0"/>
          <w:numId w:val="1053"/>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w:t>
      </w:r>
      <w:r>
        <w:rPr>
          <w:rStyle w:val="FootnoteReference"/>
        </w:rPr>
        <w:footnoteReference w:id="85"/>
      </w:r>
    </w:p>
    <w:p>
      <w:pPr>
        <w:numPr>
          <w:ilvl w:val="0"/>
          <w:numId w:val="1053"/>
        </w:numPr>
      </w:pPr>
      <w:r>
        <w:rPr>
          <w:i/>
          <w:iCs/>
        </w:rPr>
        <w:t xml:space="preserve">Importaciones</w:t>
      </w:r>
      <w:r>
        <w:t xml:space="preserve">: dependen positivamente de la renta nacional (son procíclicas, por su alta elasticidad-renta) y negativamente de la competitividad-precio y no precio de la producción nacional; y de rasgos estructurales, como la dependencia energética o tecnológica.</w:t>
      </w:r>
    </w:p>
    <w:bookmarkStart w:id="89" w:name="fig_pib_comercio_mundial"/>
    <w:p>
      <w:pPr>
        <w:pStyle w:val="ImageCaption"/>
      </w:pPr>
      <w:r>
        <w:t xml:space="preserve">Gráfico 4.–</w:t>
      </w:r>
      <w:r>
        <w:t xml:space="preserve"> </w:t>
      </w:r>
      <w:r>
        <w:t xml:space="preserve">Crecimiento del PIB y del volumen de comercio mundiales</w:t>
      </w:r>
    </w:p>
    <w:p>
      <w:pPr>
        <w:pStyle w:val="CaptionedFigure"/>
      </w:pPr>
      <w:r>
        <w:drawing>
          <wp:inline>
            <wp:extent cx="5073650" cy="2906119"/>
            <wp:effectExtent b="0" l="0" r="0" t="0"/>
            <wp:docPr descr="Gráfico 4.– Crecimiento del PIB y del volumen de comercio mundiales" title="" id="87" name="Picture"/>
            <a:graphic>
              <a:graphicData uri="http://schemas.openxmlformats.org/drawingml/2006/picture">
                <pic:pic>
                  <pic:nvPicPr>
                    <pic:cNvPr descr="C:\Users\vgutierrez\Documents\src\victorgutierrezmarcos.github.io-revision\oposicion\temario\fuentes\1D01\graficos/pib-comercio-mundial.png" id="88" name="Picture"/>
                    <pic:cNvPicPr>
                      <a:picLocks noChangeArrowheads="1" noChangeAspect="1"/>
                    </pic:cNvPicPr>
                  </pic:nvPicPr>
                  <pic:blipFill>
                    <a:blip r:embed="rId86"/>
                    <a:stretch>
                      <a:fillRect/>
                    </a:stretch>
                  </pic:blipFill>
                  <pic:spPr bwMode="auto">
                    <a:xfrm>
                      <a:off x="0" y="0"/>
                      <a:ext cx="5073650" cy="2906119"/>
                    </a:xfrm>
                    <a:prstGeom prst="rect">
                      <a:avLst/>
                    </a:prstGeom>
                    <a:noFill/>
                    <a:ln w="9525">
                      <a:noFill/>
                      <a:headEnd/>
                      <a:tailEnd/>
                    </a:ln>
                  </pic:spPr>
                </pic:pic>
              </a:graphicData>
            </a:graphic>
          </wp:inline>
        </w:drawing>
      </w:r>
    </w:p>
    <w:bookmarkEnd w:id="89"/>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2026c</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w:t>
      </w:r>
    </w:p>
    <w:bookmarkEnd w:id="90"/>
    <w:bookmarkEnd w:id="91"/>
    <w:bookmarkStart w:id="102" w:name="sec_oferta"/>
    <w:p>
      <w:pPr>
        <w:pStyle w:val="Heading2"/>
      </w:pPr>
      <w:r>
        <w:t xml:space="preserve">II.4.</w:t>
      </w:r>
      <w:r>
        <w:t xml:space="preserve"> </w:t>
      </w:r>
      <w:r>
        <w:t xml:space="preserve">Oferta</w:t>
      </w:r>
    </w:p>
    <w:p>
      <w:pPr>
        <w:numPr>
          <w:ilvl w:val="0"/>
          <w:numId w:val="1054"/>
        </w:numPr>
      </w:pPr>
      <w:r>
        <w:t xml:space="preserve">La idea: el lado de la oferta explica el PIB por el enfoque de la producción. A corto plazo la economía depende de la demanda; a largo plazo, de la oferta. Se pregunta menos (2013, 2014 y 2024), pero siempre da 2 ideas: si se crece con productividad o con más factores, y qué sectores tiran.</w:t>
      </w:r>
    </w:p>
    <w:bookmarkStart w:id="93" w:name="motor_de_crecimiento_productividad_52659"/>
    <w:p>
      <w:pPr>
        <w:pStyle w:val="Heading4"/>
      </w:pPr>
      <w:r>
        <w:t xml:space="preserve">Motor de crecimiento: productividad o acumulación de factores</w:t>
      </w:r>
    </w:p>
    <w:p>
      <w:pPr>
        <w:numPr>
          <w:ilvl w:val="0"/>
          <w:numId w:val="1055"/>
        </w:numPr>
      </w:pPr>
      <w:r>
        <w:rPr>
          <w:i/>
          <w:iCs/>
        </w:rPr>
        <w:t xml:space="preserve">Qué mide</w:t>
      </w:r>
      <w:r>
        <w:t xml:space="preserve">: si el crecimiento se basa en mejoras de la productividad o en más trabajo y capital.</w:t>
      </w:r>
    </w:p>
    <w:p>
      <w:pPr>
        <w:numPr>
          <w:ilvl w:val="0"/>
          <w:numId w:val="1055"/>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52">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BodyText"/>
        <w:keepNext/>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r>
            <m:rPr>
              <m:sty m:val="p"/>
            </m:rPr>
            <m:t>.</m:t>
          </m:r>
        </m:oMath>
      </m:oMathPara>
    </w:p>
    <w:p>
      <w:pPr>
        <w:keepNext/>
        <w:numPr>
          <w:ilvl w:val="0"/>
          <w:numId w:val="1055"/>
        </w:numPr>
      </w:pPr>
      <w:r>
        <w:rPr>
          <w:i/>
          <w:iCs/>
        </w:rPr>
        <w:t xml:space="preserve">Cómo se lee</w:t>
      </w:r>
      <w:r>
        <w:t xml:space="preserve">:</w:t>
      </w:r>
    </w:p>
    <w:p>
      <w:pPr>
        <w:numPr>
          <w:ilvl w:val="1"/>
          <w:numId w:val="1056"/>
        </w:numPr>
      </w:pPr>
      <w:r>
        <w:t xml:space="preserve">crecimiento con empleo y PAT estancada: patrón extensivo (más factores);</w:t>
      </w:r>
    </w:p>
    <w:p>
      <w:pPr>
        <w:numPr>
          <w:ilvl w:val="1"/>
          <w:numId w:val="1056"/>
        </w:numPr>
      </w:pPr>
      <w:r>
        <w:t xml:space="preserve">crecimiento con PAT al alza: patrón intensivo, más sostenible;</w:t>
      </w:r>
    </w:p>
    <w:p>
      <w:pPr>
        <w:numPr>
          <w:ilvl w:val="1"/>
          <w:numId w:val="1056"/>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55"/>
        </w:numPr>
      </w:pPr>
      <w:r>
        <w:rPr>
          <w:i/>
          <w:iCs/>
        </w:rPr>
        <w:t xml:space="preserve">Con qué se cruza</w:t>
      </w:r>
      <w:r>
        <w:t xml:space="preserve">: con el empleo, las horas y los CLU (apartado </w:t>
      </w:r>
      <w:hyperlink w:anchor="sec_trabajo">
        <w:r>
          <w:rPr>
            <w:rStyle w:val="Hyperlink"/>
          </w:rPr>
          <w:t xml:space="preserve">III.1</w:t>
        </w:r>
      </w:hyperlink>
      <w:r>
        <w:t xml:space="preserve">) y con la brecha: si la economía crece y la brecha no se cierra, el potencial crece (apartado </w:t>
      </w:r>
      <w:hyperlink w:anchor="sec_medidores">
        <w:r>
          <w:rPr>
            <w:rStyle w:val="Hyperlink"/>
          </w:rPr>
          <w:t xml:space="preserve">II.2</w:t>
        </w:r>
      </w:hyperlink>
      <w:r>
        <w:t xml:space="preserve">).</w:t>
      </w:r>
    </w:p>
    <w:p>
      <w:pPr>
        <w:numPr>
          <w:ilvl w:val="0"/>
          <w:numId w:val="1055"/>
        </w:numPr>
      </w:pPr>
      <w:r>
        <w:rPr>
          <w:i/>
          <w:iCs/>
        </w:rPr>
        <w:t xml:space="preserve">Tema</w:t>
      </w:r>
      <w:r>
        <w:t xml:space="preserve">:</w:t>
      </w:r>
      <w:r>
        <w:t xml:space="preserve"> </w:t>
      </w:r>
      <w:hyperlink r:id="rId52">
        <w:r>
          <w:rPr>
            <w:rStyle w:val="Referenciaatema"/>
          </w:rPr>
          <w:t xml:space="preserve">[ver tema 3.A.45]</w:t>
        </w:r>
      </w:hyperlink>
      <w:r>
        <w:t xml:space="preserve"> </w:t>
      </w:r>
      <w:hyperlink r:id="rId92">
        <w:r>
          <w:rPr>
            <w:rStyle w:val="Referenciaatema"/>
          </w:rPr>
          <w:t xml:space="preserve">[ver tema 3.A.43]</w:t>
        </w:r>
      </w:hyperlink>
      <w:r>
        <w:t xml:space="preserve"> </w:t>
      </w:r>
      <w:hyperlink r:id="rId61">
        <w:r>
          <w:rPr>
            <w:rStyle w:val="Referenciaatema"/>
          </w:rPr>
          <w:t xml:space="preserve">[ver tema 4.A.29]</w:t>
        </w:r>
      </w:hyperlink>
      <w:r>
        <w:t xml:space="preserve">.</w:t>
      </w:r>
    </w:p>
    <w:bookmarkEnd w:id="93"/>
    <w:bookmarkStart w:id="98" w:name="sectores"/>
    <w:p>
      <w:pPr>
        <w:pStyle w:val="Heading4"/>
      </w:pPr>
      <w:r>
        <w:t xml:space="preserve">Sectores</w:t>
      </w:r>
    </w:p>
    <w:p>
      <w:pPr>
        <w:numPr>
          <w:ilvl w:val="0"/>
          <w:numId w:val="1057"/>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57"/>
        </w:numPr>
      </w:pPr>
      <w:r>
        <w:rPr>
          <w:i/>
          <w:iCs/>
        </w:rPr>
        <w:t xml:space="preserve">Rasgos de cada sector</w:t>
      </w:r>
      <w:r>
        <w:t xml:space="preserve">:</w:t>
      </w:r>
    </w:p>
    <w:p>
      <w:pPr>
        <w:numPr>
          <w:ilvl w:val="1"/>
          <w:numId w:val="1058"/>
        </w:numPr>
      </w:pPr>
      <w:r>
        <w:rPr>
          <w:i/>
          <w:iCs/>
        </w:rPr>
        <w:t xml:space="preserve">Primario</w:t>
      </w:r>
      <w:r>
        <w:t xml:space="preserve">: en general acíclico; intensivo en trabajo; baja elasticidad-renta; protección y subvenciones; más peso cuanto menos desarrollado el país</w:t>
      </w:r>
      <w:r>
        <w:t xml:space="preserve"> </w:t>
      </w:r>
      <w:hyperlink r:id="rId94">
        <w:r>
          <w:rPr>
            <w:rStyle w:val="Referenciaatema"/>
          </w:rPr>
          <w:t xml:space="preserve">[ver tema 4.A.4]</w:t>
        </w:r>
      </w:hyperlink>
      <w:r>
        <w:t xml:space="preserve">.</w:t>
      </w:r>
    </w:p>
    <w:p>
      <w:pPr>
        <w:numPr>
          <w:ilvl w:val="1"/>
          <w:numId w:val="1058"/>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95">
        <w:r>
          <w:rPr>
            <w:rStyle w:val="Referenciaatema"/>
          </w:rPr>
          <w:t xml:space="preserve">[ver tema 4.A.5]</w:t>
        </w:r>
      </w:hyperlink>
      <w:r>
        <w:t xml:space="preserve">.</w:t>
      </w:r>
    </w:p>
    <w:p>
      <w:pPr>
        <w:numPr>
          <w:ilvl w:val="1"/>
          <w:numId w:val="1058"/>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79">
        <w:r>
          <w:rPr>
            <w:rStyle w:val="Referenciaatema"/>
          </w:rPr>
          <w:t xml:space="preserve">[ver tema 4.A.11]</w:t>
        </w:r>
      </w:hyperlink>
      <w:r>
        <w:t xml:space="preserve">.</w:t>
      </w:r>
    </w:p>
    <w:p>
      <w:pPr>
        <w:numPr>
          <w:ilvl w:val="1"/>
          <w:numId w:val="1058"/>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96">
        <w:r>
          <w:rPr>
            <w:rStyle w:val="Referenciaatema"/>
          </w:rPr>
          <w:t xml:space="preserve">[ver tema 4.A.9]</w:t>
        </w:r>
      </w:hyperlink>
      <w:r>
        <w:t xml:space="preserve">.</w:t>
      </w:r>
    </w:p>
    <w:p>
      <w:pPr>
        <w:numPr>
          <w:ilvl w:val="1"/>
          <w:numId w:val="1058"/>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97">
        <w:r>
          <w:rPr>
            <w:rStyle w:val="Referenciaatema"/>
          </w:rPr>
          <w:t xml:space="preserve">[ver tema 4.A.13]</w:t>
        </w:r>
      </w:hyperlink>
      <w:r>
        <w:t xml:space="preserve">.</w:t>
      </w:r>
    </w:p>
    <w:p>
      <w:pPr>
        <w:numPr>
          <w:ilvl w:val="0"/>
          <w:numId w:val="1057"/>
        </w:numPr>
      </w:pPr>
      <w:r>
        <w:rPr>
          <w:i/>
          <w:iCs/>
        </w:rPr>
        <w:t xml:space="preserve">Tamaño de las empresas</w:t>
      </w:r>
      <w:r>
        <w:t xml:space="preserve">: un tejido muy atomizado hace al país más vulnerable a las crisis y limita la innovación, la internacionalización y la financiación, y con ello la productividad.</w:t>
      </w:r>
    </w:p>
    <w:bookmarkEnd w:id="98"/>
    <w:bookmarkStart w:id="101" w:name="un_sector_dominante_petr__leo_y_ma_15552"/>
    <w:p>
      <w:pPr>
        <w:pStyle w:val="Heading4"/>
      </w:pPr>
      <w:r>
        <w:t xml:space="preserve">Un sector dominante: petróleo y materias primas</w:t>
      </w:r>
    </w:p>
    <w:p>
      <w:pPr>
        <w:numPr>
          <w:ilvl w:val="0"/>
          <w:numId w:val="1059"/>
        </w:numPr>
      </w:pPr>
      <w:r>
        <w:rPr>
          <w:i/>
          <w:iCs/>
        </w:rPr>
        <w:t xml:space="preserve">Qué hay que mirar</w:t>
      </w:r>
      <w:r>
        <w:t xml:space="preserve"> </w:t>
      </w:r>
      <w:r>
        <w:t xml:space="preserve">(2016 y 2025): el peso del sector en el VAB, en las exportaciones y en los ingresos públicos, y el precio internacional, en dólares.</w:t>
      </w:r>
    </w:p>
    <w:p>
      <w:pPr>
        <w:keepNext/>
        <w:numPr>
          <w:ilvl w:val="0"/>
          <w:numId w:val="1059"/>
        </w:numPr>
      </w:pPr>
      <w:r>
        <w:rPr>
          <w:i/>
          <w:iCs/>
        </w:rPr>
        <w:t xml:space="preserve">Canales de un cambio del precio del petróleo</w:t>
      </w:r>
      <w:r>
        <w:t xml:space="preserve">:</w:t>
      </w:r>
    </w:p>
    <w:p>
      <w:pPr>
        <w:numPr>
          <w:ilvl w:val="1"/>
          <w:numId w:val="1060"/>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060"/>
        </w:numPr>
      </w:pPr>
      <w:r>
        <w:rPr>
          <w:i/>
          <w:iCs/>
        </w:rPr>
        <w:t xml:space="preserve">Sector exterior</w:t>
      </w:r>
      <w:r>
        <w:t xml:space="preserve">: la balanza de bienes y la cuenta corriente siguen al precio; con tipo flexible, la moneda del exportador se aprecia.</w:t>
      </w:r>
    </w:p>
    <w:p>
      <w:pPr>
        <w:numPr>
          <w:ilvl w:val="1"/>
          <w:numId w:val="1060"/>
        </w:numPr>
      </w:pPr>
      <w:r>
        <w:rPr>
          <w:i/>
          <w:iCs/>
        </w:rPr>
        <w:t xml:space="preserve">Cuentas públicas</w:t>
      </w:r>
      <w:r>
        <w:t xml:space="preserve">: regalías e impuestos sobre el sector (exportador) o subvenciones a los combustibles; los ingresos se vuelven volátiles y procíclicos.</w:t>
      </w:r>
    </w:p>
    <w:p>
      <w:pPr>
        <w:numPr>
          <w:ilvl w:val="0"/>
          <w:numId w:val="1059"/>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059"/>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059"/>
        </w:numPr>
      </w:pPr>
      <w:r>
        <w:rPr>
          <w:i/>
          <w:iCs/>
        </w:rPr>
        <w:t xml:space="preserve">Tema</w:t>
      </w:r>
      <w:r>
        <w:t xml:space="preserve">:</w:t>
      </w:r>
      <w:r>
        <w:t xml:space="preserve"> </w:t>
      </w:r>
      <w:hyperlink r:id="rId99">
        <w:r>
          <w:rPr>
            <w:rStyle w:val="Referenciaatema"/>
          </w:rPr>
          <w:t xml:space="preserve">[ver tema 3.B.28]</w:t>
        </w:r>
      </w:hyperlink>
      <w:r>
        <w:t xml:space="preserve"> </w:t>
      </w:r>
      <w:hyperlink r:id="rId100">
        <w:r>
          <w:rPr>
            <w:rStyle w:val="Referenciaatema"/>
          </w:rPr>
          <w:t xml:space="preserve">[ver tema 3.B.32]</w:t>
        </w:r>
      </w:hyperlink>
      <w:r>
        <w:t xml:space="preserve"> </w:t>
      </w:r>
      <w:hyperlink r:id="rId95">
        <w:r>
          <w:rPr>
            <w:rStyle w:val="Referenciaatema"/>
          </w:rPr>
          <w:t xml:space="preserve">[ver tema 4.A.5]</w:t>
        </w:r>
      </w:hyperlink>
      <w:r>
        <w:t xml:space="preserve">.</w:t>
      </w:r>
    </w:p>
    <w:bookmarkEnd w:id="101"/>
    <w:bookmarkEnd w:id="102"/>
    <w:bookmarkStart w:id="105" w:name="sec_anticipar"/>
    <w:p>
      <w:pPr>
        <w:pStyle w:val="Heading2"/>
      </w:pPr>
      <w:r>
        <w:t xml:space="preserve">II.5.</w:t>
      </w:r>
      <w:r>
        <w:t xml:space="preserve"> </w:t>
      </w:r>
      <w:r>
        <w:t xml:space="preserve">Anticipar el diagnóstico</w:t>
      </w:r>
    </w:p>
    <w:p>
      <w:pPr>
        <w:numPr>
          <w:ilvl w:val="0"/>
          <w:numId w:val="1061"/>
        </w:numPr>
      </w:pPr>
      <w:r>
        <w:t xml:space="preserve">La idea: si está claro y da tiempo, la respuesta del perfil cíclico se cierra con un diagnóstico general que anuncia lo que se desarrollará después. Se deja hueco y se escribe al final.</w:t>
      </w:r>
    </w:p>
    <w:p>
      <w:pPr>
        <w:numPr>
          <w:ilvl w:val="0"/>
          <w:numId w:val="1061"/>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103" w:name="econom__a_avanzada_o_emergente_qu__95834"/>
    <w:p>
      <w:pPr>
        <w:pStyle w:val="Heading4"/>
      </w:pPr>
      <w:r>
        <w:t xml:space="preserve">Economía avanzada o emergente: qué cambia en el análisis</w:t>
      </w:r>
    </w:p>
    <w:p>
      <w:pPr>
        <w:numPr>
          <w:ilvl w:val="0"/>
          <w:numId w:val="1062"/>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12</w:t>
        </w:r>
      </w:hyperlink>
      <w:r>
        <w:t xml:space="preserve">, en los anexos).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2026c</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2026c</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062"/>
        </w:numPr>
      </w:pPr>
      <w:r>
        <w:t xml:space="preserve">Ojo con los países exportadores de petróleo, con rentas per cápita altas y rasgos de emergente.</w:t>
      </w:r>
    </w:p>
    <w:bookmarkEnd w:id="103"/>
    <w:bookmarkStart w:id="104" w:name="desequilibrios_y_fortalezas_t__picos"/>
    <w:p>
      <w:pPr>
        <w:pStyle w:val="Heading4"/>
      </w:pPr>
      <w:r>
        <w:t xml:space="preserve">Desequilibrios y fortalezas típicos</w:t>
      </w:r>
    </w:p>
    <w:p>
      <w:pPr>
        <w:keepNext/>
        <w:numPr>
          <w:ilvl w:val="0"/>
          <w:numId w:val="1063"/>
        </w:numPr>
      </w:pPr>
      <w:r>
        <w:t xml:space="preserve">Los desequilibrios que más se repiten en los dictámenes, con el indicador que los delata:</w:t>
      </w:r>
    </w:p>
    <w:p>
      <w:pPr>
        <w:numPr>
          <w:ilvl w:val="1"/>
          <w:numId w:val="1064"/>
        </w:numPr>
      </w:pPr>
      <w:r>
        <w:rPr>
          <w:i/>
          <w:iCs/>
        </w:rPr>
        <w:t xml:space="preserve">Débil crecimiento o recesión</w:t>
      </w:r>
      <w:r>
        <w:t xml:space="preserve">: PIB real que crece poco o cae; crecimiento potencial bajo.</w:t>
      </w:r>
    </w:p>
    <w:p>
      <w:pPr>
        <w:numPr>
          <w:ilvl w:val="1"/>
          <w:numId w:val="1064"/>
        </w:numPr>
      </w:pPr>
      <w:r>
        <w:rPr>
          <w:i/>
          <w:iCs/>
        </w:rPr>
        <w:t xml:space="preserve">Demanda interna anémica</w:t>
      </w:r>
      <w:r>
        <w:t xml:space="preserve">: consumo privado que apenas crece.</w:t>
      </w:r>
    </w:p>
    <w:p>
      <w:pPr>
        <w:numPr>
          <w:ilvl w:val="1"/>
          <w:numId w:val="1064"/>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64"/>
        </w:numPr>
      </w:pPr>
      <w:r>
        <w:rPr>
          <w:i/>
          <w:iCs/>
        </w:rPr>
        <w:t xml:space="preserve">Mercado de trabajo deficiente</w:t>
      </w:r>
      <w:r>
        <w:t xml:space="preserve">: paro alto y persistente, CLU crecientes.</w:t>
      </w:r>
    </w:p>
    <w:p>
      <w:pPr>
        <w:numPr>
          <w:ilvl w:val="1"/>
          <w:numId w:val="1064"/>
        </w:numPr>
      </w:pPr>
      <w:r>
        <w:rPr>
          <w:i/>
          <w:iCs/>
        </w:rPr>
        <w:t xml:space="preserve">Déficit y deuda públicos</w:t>
      </w:r>
      <w:r>
        <w:t xml:space="preserve">: altos, persistentes o con trayectoria insostenible.</w:t>
      </w:r>
    </w:p>
    <w:p>
      <w:pPr>
        <w:numPr>
          <w:ilvl w:val="1"/>
          <w:numId w:val="1064"/>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64"/>
        </w:numPr>
      </w:pPr>
      <w:r>
        <w:rPr>
          <w:i/>
          <w:iCs/>
        </w:rPr>
        <w:t xml:space="preserve">Riesgos en el sistema financiero</w:t>
      </w:r>
      <w:r>
        <w:t xml:space="preserve">: prima de riesgo alta, endeudamiento privado y público alto, morosidad, racionamiento del crédito.</w:t>
      </w:r>
    </w:p>
    <w:p>
      <w:pPr>
        <w:numPr>
          <w:ilvl w:val="1"/>
          <w:numId w:val="1064"/>
        </w:numPr>
      </w:pPr>
      <w:r>
        <w:rPr>
          <w:i/>
          <w:iCs/>
        </w:rPr>
        <w:t xml:space="preserve">Estructura sectorial desequilibrada</w:t>
      </w:r>
      <w:r>
        <w:t xml:space="preserve">: dependencia de un sector (inmobiliario, energético, materias primas).</w:t>
      </w:r>
    </w:p>
    <w:p>
      <w:pPr>
        <w:numPr>
          <w:ilvl w:val="0"/>
          <w:numId w:val="1063"/>
        </w:numPr>
      </w:pPr>
      <w:r>
        <w:t xml:space="preserve">Las fortalezas son su reverso (tabla </w:t>
      </w:r>
      <w:hyperlink w:anchor="tab_matriz">
        <w:r>
          <w:rPr>
            <w:rStyle w:val="Hyperlink"/>
          </w:rPr>
          <w:t xml:space="preserve">4</w:t>
        </w:r>
      </w:hyperlink>
      <w:r>
        <w:t xml:space="preserve">). Cada uno se desarrolla en su bloque, y la recomendación tipo para cada desequilibrio está en el apartado </w:t>
      </w:r>
      <w:hyperlink w:anchor="sec_por_desequilibrio">
        <w:r>
          <w:rPr>
            <w:rStyle w:val="Hyperlink"/>
          </w:rPr>
          <w:t xml:space="preserve">VII.2</w:t>
        </w:r>
      </w:hyperlink>
      <w:r>
        <w:t xml:space="preserve">.</w:t>
      </w:r>
    </w:p>
    <w:p>
      <w:pPr>
        <w:numPr>
          <w:ilvl w:val="0"/>
          <w:numId w:val="1065"/>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104"/>
    <w:bookmarkEnd w:id="105"/>
    <w:bookmarkEnd w:id="106"/>
    <w:bookmarkStart w:id="141" w:name="sec_factores"/>
    <w:p>
      <w:pPr>
        <w:pStyle w:val="Heading1"/>
      </w:pPr>
      <w:r>
        <w:t xml:space="preserve">III.</w:t>
      </w:r>
      <w:r>
        <w:t xml:space="preserve"> </w:t>
      </w:r>
      <w:r>
        <w:t xml:space="preserve">Mercados de factores</w:t>
      </w:r>
    </w:p>
    <w:p>
      <w:pPr>
        <w:numPr>
          <w:ilvl w:val="0"/>
          <w:numId w:val="1066"/>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66"/>
        </w:numPr>
      </w:pPr>
      <w:r>
        <w:t xml:space="preserve">Desde el punto de vista macroeconómico, el trabajo es, junto con el capital, uno de los 2 factores de producción (la tierra se suele incluir en el capital).</w:t>
      </w:r>
    </w:p>
    <w:bookmarkStart w:id="130" w:name="sec_trabajo"/>
    <w:p>
      <w:pPr>
        <w:pStyle w:val="Heading2"/>
      </w:pPr>
      <w:r>
        <w:t xml:space="preserve">III.1.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la curva de</w:t>
      </w:r>
      <w:r>
        <w:t xml:space="preserve"> </w:t>
      </w:r>
      <w:r>
        <w:rPr>
          <w:smallCaps/>
        </w:rPr>
        <w:t xml:space="preserve">Beveridge</w:t>
      </w:r>
      <w:r>
        <w:t xml:space="preserve">, un cálculo de CLU). Conviene contestarlas al principio de la respuesta, con un rótulo, para que el tribunal las encuentre al oírlas en la lectura.</w:t>
      </w:r>
    </w:p>
    <w:bookmarkStart w:id="111" w:name="indicadores_de_cantidad"/>
    <w:p>
      <w:pPr>
        <w:pStyle w:val="Heading4"/>
      </w:pPr>
      <w:r>
        <w:t xml:space="preserve">Indicadores de cantidad</w:t>
      </w:r>
    </w:p>
    <w:p>
      <w:pPr>
        <w:numPr>
          <w:ilvl w:val="0"/>
          <w:numId w:val="1067"/>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46">
        <w:r>
          <w:rPr>
            <w:rStyle w:val="Referenciaatema"/>
          </w:rPr>
          <w:t xml:space="preserve">[ver tema 4.A.1]</w:t>
        </w:r>
      </w:hyperlink>
      <w:r>
        <w:t xml:space="preserve">,</w:t>
      </w:r>
    </w:p>
    <w:p>
      <w:pPr>
        <w:pStyle w:val="BodyText"/>
        <w:keepNext/>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r>
            <m:rPr>
              <m:sty m:val="p"/>
            </m:rPr>
            <m:t>.</m:t>
          </m:r>
        </m:oMath>
      </m:oMathPara>
    </w:p>
    <w:p>
      <w:pPr>
        <w:numPr>
          <w:ilvl w:val="0"/>
          <w:numId w:val="1067"/>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 Solo se comparan tasas con la misma definición.</w:t>
      </w:r>
    </w:p>
    <w:p>
      <w:pPr>
        <w:numPr>
          <w:ilvl w:val="0"/>
          <w:numId w:val="1067"/>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107">
        <w:r>
          <w:rPr>
            <w:rStyle w:val="Referenciaatema"/>
          </w:rPr>
          <w:t xml:space="preserve">[ver tema 4.A.30]</w:t>
        </w:r>
      </w:hyperlink>
      <w:r>
        <w:t xml:space="preserve">.</w:t>
      </w:r>
    </w:p>
    <w:p>
      <w:pPr>
        <w:numPr>
          <w:ilvl w:val="0"/>
          <w:numId w:val="1067"/>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rPr>
          <w:rStyle w:val="FootnoteReference"/>
        </w:rPr>
        <w:footnoteReference w:id="108"/>
      </w:r>
    </w:p>
    <w:p>
      <w:pPr>
        <w:numPr>
          <w:ilvl w:val="0"/>
          <w:numId w:val="1067"/>
        </w:numPr>
      </w:pPr>
      <w:r>
        <w:rPr>
          <w:i/>
          <w:iCs/>
        </w:rPr>
        <w:t xml:space="preserve">Cómo se lee</w:t>
      </w:r>
      <w:r>
        <w:t xml:space="preserve">: la tasa de actividad depende de la demografía, de la incorporación de la mujer, de los años de estudio y de los incentivos (jubilación, prestaciones, fiscalidad). El empleo y el paro pueden subir a la vez si llegan más activos (inmigración) de los que encuentran trabajo, y bajar a la vez si los parados emigran. En 2020 el empleo y el paro apenas reflejaron la caída del PIB por los esquemas de mantenimiento del empleo, que además no cuentan a sus trabajadores como parados.</w:t>
      </w:r>
    </w:p>
    <w:p>
      <w:pPr>
        <w:numPr>
          <w:ilvl w:val="0"/>
          <w:numId w:val="1067"/>
        </w:numPr>
      </w:pPr>
      <w:r>
        <w:rPr>
          <w:i/>
          <w:iCs/>
        </w:rPr>
        <w:t xml:space="preserve">Tema</w:t>
      </w:r>
      <w:r>
        <w:t xml:space="preserve">:</w:t>
      </w:r>
      <w:r>
        <w:t xml:space="preserve"> </w:t>
      </w:r>
      <w:hyperlink r:id="rId109">
        <w:r>
          <w:rPr>
            <w:rStyle w:val="Referenciaatema"/>
          </w:rPr>
          <w:t xml:space="preserve">[ver tema 3.A.25]</w:t>
        </w:r>
      </w:hyperlink>
      <w:r>
        <w:t xml:space="preserve"> </w:t>
      </w:r>
      <w:hyperlink r:id="rId110">
        <w:r>
          <w:rPr>
            <w:rStyle w:val="Referenciaatema"/>
          </w:rPr>
          <w:t xml:space="preserve">[ver tema 4.A.16]</w:t>
        </w:r>
      </w:hyperlink>
      <w:r>
        <w:t xml:space="preserve">.</w:t>
      </w:r>
    </w:p>
    <w:bookmarkEnd w:id="111"/>
    <w:bookmarkStart w:id="112" w:name="productividad"/>
    <w:p>
      <w:pPr>
        <w:pStyle w:val="Heading4"/>
      </w:pPr>
      <w:r>
        <w:t xml:space="preserve">Productividad</w:t>
      </w:r>
    </w:p>
    <w:p>
      <w:pPr>
        <w:numPr>
          <w:ilvl w:val="0"/>
          <w:numId w:val="1068"/>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68"/>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II.4</w:t>
        </w:r>
      </w:hyperlink>
      <w:r>
        <w:t xml:space="preserve">). Con horas trabajadas, el PIB por persona en edad de trabajar se descompone en PIB por hora y horas por persona.</w:t>
      </w:r>
    </w:p>
    <w:p>
      <w:pPr>
        <w:numPr>
          <w:ilvl w:val="0"/>
          <w:numId w:val="1068"/>
        </w:numPr>
      </w:pPr>
      <w:r>
        <w:rPr>
          <w:i/>
          <w:iCs/>
        </w:rPr>
        <w:t xml:space="preserve">Cómo se lee</w:t>
      </w:r>
      <w:r>
        <w:t xml:space="preserve">: crece por</w:t>
      </w:r>
      <w:r>
        <w:t xml:space="preserve"> </w:t>
      </w:r>
      <w:r>
        <w:rPr>
          <w:i/>
          <w:iCs/>
        </w:rPr>
        <w:t xml:space="preserve">intensificación del capital</w:t>
      </w:r>
      <w:r>
        <w:t xml:space="preserve"> </w:t>
      </w:r>
      <w:r>
        <w:t xml:space="preserve">(más capital por trabajador, gracias a la inversión neta) o por</w:t>
      </w:r>
      <w:r>
        <w:t xml:space="preserve"> </w:t>
      </w:r>
      <w:r>
        <w:rPr>
          <w:i/>
          <w:iCs/>
        </w:rPr>
        <w:t xml:space="preserve">progreso técnico</w:t>
      </w:r>
      <w:r>
        <w:t xml:space="preserve"> </w:t>
      </w:r>
      <w:r>
        <w:t xml:space="preserve">(sube la productividad total de los factores). Si cae el empleo menos productivo, la PAT sube sin que nadie trabaje mejor. A largo plazo, la productividad es la que eleva la renta per cápita y los salarios reales.</w:t>
      </w:r>
    </w:p>
    <w:p>
      <w:pPr>
        <w:numPr>
          <w:ilvl w:val="0"/>
          <w:numId w:val="1068"/>
        </w:numPr>
      </w:pPr>
      <w:r>
        <w:rPr>
          <w:i/>
          <w:iCs/>
        </w:rPr>
        <w:t xml:space="preserve">Tema</w:t>
      </w:r>
      <w:r>
        <w:t xml:space="preserve">:</w:t>
      </w:r>
      <w:r>
        <w:t xml:space="preserve"> </w:t>
      </w:r>
      <w:hyperlink r:id="rId52">
        <w:r>
          <w:rPr>
            <w:rStyle w:val="Referenciaatema"/>
          </w:rPr>
          <w:t xml:space="preserve">[ver tema 3.A.45]</w:t>
        </w:r>
      </w:hyperlink>
      <w:r>
        <w:t xml:space="preserve"> </w:t>
      </w:r>
      <w:hyperlink r:id="rId61">
        <w:r>
          <w:rPr>
            <w:rStyle w:val="Referenciaatema"/>
          </w:rPr>
          <w:t xml:space="preserve">[ver tema 4.A.29]</w:t>
        </w:r>
      </w:hyperlink>
      <w:r>
        <w:t xml:space="preserve">.</w:t>
      </w:r>
    </w:p>
    <w:bookmarkEnd w:id="112"/>
    <w:bookmarkStart w:id="117" w:name="salarios_costes_laborales_unitario_37226"/>
    <w:p>
      <w:pPr>
        <w:pStyle w:val="Heading4"/>
      </w:pPr>
      <w:r>
        <w:t xml:space="preserve">Salarios, costes laborales unitarios y margen</w:t>
      </w:r>
    </w:p>
    <w:p>
      <w:pPr>
        <w:numPr>
          <w:ilvl w:val="0"/>
          <w:numId w:val="1069"/>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la medida de competitividad en costes que más se usa.</w:t>
      </w:r>
    </w:p>
    <w:p>
      <w:pPr>
        <w:numPr>
          <w:ilvl w:val="0"/>
          <w:numId w:val="1069"/>
        </w:numPr>
      </w:pPr>
      <w:r>
        <w:rPr>
          <w:i/>
          <w:iCs/>
        </w:rPr>
        <w:t xml:space="preserve">Cómo se calcula</w:t>
      </w:r>
      <w:r>
        <w:t xml:space="preserve">:</w:t>
      </w:r>
    </w:p>
    <w:p>
      <w:pPr>
        <w:pStyle w:val="BodyText"/>
        <w:keepNext/>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113"/>
      </w:r>
    </w:p>
    <w:p>
      <w:pPr>
        <w:numPr>
          <w:ilvl w:val="0"/>
          <w:numId w:val="1069"/>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t xml:space="preserve">Los márgenes suben exactamente cuando caen los CLU reales. Es una aproximación: supone constantes los impuestos indirectos netos y el peso de los consumos intermedios importados. El excedente bruto de explotación es otra cosa, un nivel de rentas, y su crecimiento no es el del margen.</w:t>
      </w:r>
    </w:p>
    <w:p>
      <w:pPr>
        <w:numPr>
          <w:ilvl w:val="0"/>
          <w:numId w:val="1069"/>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114"/>
      </w:r>
    </w:p>
    <w:p>
      <w:pPr>
        <w:keepNext/>
        <w:numPr>
          <w:ilvl w:val="0"/>
          <w:numId w:val="1069"/>
        </w:numPr>
      </w:pPr>
      <w:r>
        <w:rPr>
          <w:i/>
          <w:iCs/>
        </w:rPr>
        <w:t xml:space="preserve">Cómo se lee</w:t>
      </w:r>
      <w:r>
        <w:t xml:space="preserve">:</w:t>
      </w:r>
    </w:p>
    <w:p>
      <w:pPr>
        <w:numPr>
          <w:ilvl w:val="1"/>
          <w:numId w:val="1070"/>
        </w:numPr>
      </w:pPr>
      <w:r>
        <w:t xml:space="preserve">CLU nominales que crecen</w:t>
      </w:r>
      <w:r>
        <w:t xml:space="preserve"> </w:t>
      </w:r>
      <w:r>
        <w:rPr>
          <w:i/>
          <w:i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70"/>
        </w:numPr>
      </w:pPr>
      <w:r>
        <w:t xml:space="preserve">CLU nominales que crecen</w:t>
      </w:r>
      <w:r>
        <w:t xml:space="preserve"> </w:t>
      </w:r>
      <w:r>
        <w:rPr>
          <w:i/>
          <w:iCs/>
        </w:rPr>
        <w:t xml:space="preserve">más que en los socios</w:t>
      </w:r>
      <w:r>
        <w:t xml:space="preserve">: pérdida de competitividad-precio (apartado </w:t>
      </w:r>
      <w:hyperlink w:anchor="sec_tipo_cambio">
        <w:r>
          <w:rPr>
            <w:rStyle w:val="Hyperlink"/>
          </w:rPr>
          <w:t xml:space="preserve">IV.2</w:t>
        </w:r>
      </w:hyperlink>
      <w:r>
        <w:t xml:space="preserve">).</w:t>
      </w:r>
    </w:p>
    <w:p>
      <w:pPr>
        <w:numPr>
          <w:ilvl w:val="1"/>
          <w:numId w:val="1070"/>
        </w:numPr>
      </w:pPr>
      <w:r>
        <w:t xml:space="preserve">CLU que crecen poco con paro alto: ajuste por salarios (devaluación interna).</w:t>
      </w:r>
    </w:p>
    <w:p>
      <w:pPr>
        <w:numPr>
          <w:ilvl w:val="0"/>
          <w:numId w:val="1069"/>
        </w:numPr>
      </w:pPr>
      <w:r>
        <w:rPr>
          <w:i/>
          <w:iCs/>
        </w:rPr>
        <w:t xml:space="preserve">Tema</w:t>
      </w:r>
      <w:r>
        <w:t xml:space="preserve">:</w:t>
      </w:r>
      <w:r>
        <w:t xml:space="preserve"> </w:t>
      </w:r>
      <w:hyperlink r:id="rId115">
        <w:r>
          <w:rPr>
            <w:rStyle w:val="Referenciaatema"/>
          </w:rPr>
          <w:t xml:space="preserve">[ver tema 3.A.27]</w:t>
        </w:r>
      </w:hyperlink>
      <w:r>
        <w:t xml:space="preserve"> </w:t>
      </w:r>
      <w:hyperlink r:id="rId49">
        <w:r>
          <w:rPr>
            <w:rStyle w:val="Referenciaatema"/>
          </w:rPr>
          <w:t xml:space="preserve">[ver tema 3.A.28]</w:t>
        </w:r>
      </w:hyperlink>
      <w:r>
        <w:t xml:space="preserve"> </w:t>
      </w:r>
      <w:hyperlink r:id="rId116">
        <w:r>
          <w:rPr>
            <w:rStyle w:val="Referenciaatema"/>
          </w:rPr>
          <w:t xml:space="preserve">[ver tema 4.A.22]</w:t>
        </w:r>
      </w:hyperlink>
      <w:r>
        <w:t xml:space="preserve">.</w:t>
      </w:r>
    </w:p>
    <w:bookmarkEnd w:id="117"/>
    <w:bookmarkStart w:id="118" w:name="demanda_y_oferta_de_trabajo"/>
    <w:p>
      <w:pPr>
        <w:pStyle w:val="Heading4"/>
      </w:pPr>
      <w:r>
        <w:t xml:space="preserve">Demanda y oferta de trabajo</w:t>
      </w:r>
    </w:p>
    <w:p>
      <w:pPr>
        <w:numPr>
          <w:ilvl w:val="0"/>
          <w:numId w:val="1071"/>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71"/>
        </w:numPr>
      </w:pPr>
      <w:r>
        <w:rPr>
          <w:i/>
          <w:iCs/>
        </w:rPr>
        <w:t xml:space="preserve">Oferta de trabajo</w:t>
      </w:r>
      <w:r>
        <w:t xml:space="preserve"> </w:t>
      </w:r>
      <w:r>
        <w:t xml:space="preserve">(los activos): depende del salario real y de la demografía y la inmigración, y la reducen las prestaciones mal diseñadas.</w:t>
      </w:r>
    </w:p>
    <w:p>
      <w:pPr>
        <w:numPr>
          <w:ilvl w:val="0"/>
          <w:numId w:val="1071"/>
        </w:numPr>
      </w:pPr>
      <w:r>
        <w:rPr>
          <w:i/>
          <w:iCs/>
        </w:rPr>
        <w:t xml:space="preserve">Cómo se escribe</w:t>
      </w:r>
      <w:r>
        <w:t xml:space="preserve">: «el crecimiento del PIB parece correlacionar bien con la creación de empleo; el persistente aumento de los CLU y la caída de los márgenes podrían explicar las tímidas tasas de creación de empleo».</w:t>
      </w:r>
    </w:p>
    <w:bookmarkEnd w:id="118"/>
    <w:bookmarkStart w:id="120" w:name="qu___tipo_de_paro_hay"/>
    <w:p>
      <w:pPr>
        <w:pStyle w:val="Heading4"/>
      </w:pPr>
      <w:r>
        <w:t xml:space="preserve">Qué tipo de paro hay</w:t>
      </w:r>
    </w:p>
    <w:p>
      <w:pPr>
        <w:keepNext/>
        <w:numPr>
          <w:ilvl w:val="0"/>
          <w:numId w:val="1072"/>
        </w:numPr>
      </w:pPr>
      <w:r>
        <w:t xml:space="preserve">La receta depende del diagnóstico, así que hay que identificar el tipo de paro:</w:t>
      </w:r>
    </w:p>
    <w:p>
      <w:pPr>
        <w:numPr>
          <w:ilvl w:val="1"/>
          <w:numId w:val="1073"/>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p>
    <w:p>
      <w:pPr>
        <w:numPr>
          <w:ilvl w:val="1"/>
          <w:numId w:val="1073"/>
        </w:numPr>
      </w:pPr>
      <w:r>
        <w:rPr>
          <w:b/>
          <w:bCs/>
        </w:rPr>
        <w:t xml:space="preserve">keynesiano</w:t>
      </w:r>
      <w:r>
        <w:t xml:space="preserve">: demanda insuficiente; consumo y demanda interna anémicos;</w:t>
      </w:r>
    </w:p>
    <w:p>
      <w:pPr>
        <w:numPr>
          <w:ilvl w:val="1"/>
          <w:numId w:val="1073"/>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73"/>
        </w:numPr>
      </w:pPr>
      <w:r>
        <w:rPr>
          <w:b/>
          <w:bCs/>
        </w:rPr>
        <w:t xml:space="preserve">de larga duración</w:t>
      </w:r>
      <w:r>
        <w:t xml:space="preserve">: se retroalimenta (pérdida de cualificación, desánimo, estigma) y es causa de histéresis.</w:t>
      </w:r>
    </w:p>
    <w:p>
      <w:pPr>
        <w:numPr>
          <w:ilvl w:val="0"/>
          <w:numId w:val="1072"/>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49">
        <w:r>
          <w:rPr>
            <w:rStyle w:val="Referenciaatema"/>
          </w:rPr>
          <w:t xml:space="preserve">[ver tema 3.A.28]</w:t>
        </w:r>
      </w:hyperlink>
      <w:r>
        <w:t xml:space="preserve">. En el examen se aproxima con el paro de los años en que la brecha de producción es nula.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72"/>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49">
        <w:r>
          <w:rPr>
            <w:rStyle w:val="Referenciaatema"/>
          </w:rPr>
          <w:t xml:space="preserve">[ver tema 3.A.28]</w:t>
        </w:r>
      </w:hyperlink>
      <w:r>
        <w:t xml:space="preserve">.</w:t>
      </w:r>
    </w:p>
    <w:p>
      <w:pPr>
        <w:keepNext/>
        <w:numPr>
          <w:ilvl w:val="0"/>
          <w:numId w:val="1072"/>
        </w:numPr>
      </w:pPr>
      <w:r>
        <w:rPr>
          <w:i/>
          <w:iCs/>
        </w:rPr>
        <w:t xml:space="preserve">Ley de</w:t>
      </w:r>
      <w:r>
        <w:rPr>
          <w:i/>
          <w:iCs/>
        </w:rPr>
        <w:t xml:space="preserve"> </w:t>
      </w:r>
      <w:r>
        <w:rPr>
          <w:i/>
          <w:iCs/>
          <w:smallCaps/>
        </w:rPr>
        <w:t xml:space="preserve">Okun</w:t>
      </w:r>
      <w:r>
        <w:rPr>
          <w:i/>
          <w:iCs/>
        </w:rPr>
        <w:t xml:space="preserve"> </w:t>
      </w:r>
      <w:r>
        <w:rPr>
          <w:i/>
          <w:iCs/>
        </w:rPr>
        <w:t xml:space="preserve">y curva de</w:t>
      </w:r>
      <w:r>
        <w:rPr>
          <w:i/>
          <w:iCs/>
        </w:rPr>
        <w:t xml:space="preserve"> </w:t>
      </w:r>
      <w:r>
        <w:rPr>
          <w:i/>
          <w:iCs/>
          <w:smallCaps/>
        </w:rPr>
        <w:t xml:space="preserve">Phillips</w:t>
      </w:r>
      <w:r>
        <w:t xml:space="preserve"> </w:t>
      </w:r>
      <w:r>
        <w:t xml:space="preserve">(2021):</w:t>
      </w:r>
    </w:p>
    <w:p>
      <w:pPr>
        <w:numPr>
          <w:ilvl w:val="1"/>
          <w:numId w:val="1074"/>
        </w:numPr>
      </w:pPr>
      <w:r>
        <w:t xml:space="preserve">la ley de</w:t>
      </w:r>
      <w:r>
        <w:t xml:space="preserve"> </w:t>
      </w:r>
      <w:r>
        <w:rPr>
          <w:smallCaps/>
        </w:rPr>
        <w:t xml:space="preserve">Okun</w:t>
      </w:r>
      <w:r>
        <w:t xml:space="preserve"> </w:t>
      </w:r>
      <w:r>
        <w:t xml:space="preserve">relaciona la variación del paro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 En el cuadro sirve para ver a partir de qué crecimiento baja el paro (si el PIB crece mucho y el empleo poco, la elasticidad es baja);</w:t>
      </w:r>
    </w:p>
    <w:p>
      <w:pPr>
        <w:numPr>
          <w:ilvl w:val="1"/>
          <w:numId w:val="1074"/>
        </w:numPr>
      </w:pPr>
      <w:r>
        <w:t xml:space="preserve">la curva de</w:t>
      </w:r>
      <w:r>
        <w:t xml:space="preserve"> </w:t>
      </w:r>
      <w:r>
        <w:rPr>
          <w:smallCaps/>
        </w:rPr>
        <w:t xml:space="preserve">Phillips</w:t>
      </w:r>
      <w:r>
        <w:t xml:space="preserve"> </w:t>
      </w:r>
      <w:r>
        <w:t xml:space="preserve">con expectativas,</w:t>
      </w:r>
      <w:r>
        <w:t xml:space="preserve"> </w:t>
      </w: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w:r>
        <w:t xml:space="preserve">,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rPr>
          <w:rStyle w:val="FootnoteReference"/>
        </w:rPr>
        <w:footnoteReference w:id="119"/>
      </w:r>
      <w:r>
        <w:t xml:space="preserve"> </w:t>
      </w:r>
      <w:hyperlink r:id="rId49">
        <w:r>
          <w:rPr>
            <w:rStyle w:val="Referenciaatema"/>
          </w:rPr>
          <w:t xml:space="preserve">[ver tema 3.A.28]</w:t>
        </w:r>
      </w:hyperlink>
      <w:r>
        <w:t xml:space="preserve">;</w:t>
      </w:r>
    </w:p>
    <w:p>
      <w:pPr>
        <w:numPr>
          <w:ilvl w:val="1"/>
          <w:numId w:val="1074"/>
        </w:numPr>
      </w:pPr>
      <w:r>
        <w:t xml:space="preserve">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w:t>
      </w:r>
    </w:p>
    <w:bookmarkEnd w:id="120"/>
    <w:bookmarkStart w:id="126" w:name="curva_de_beveridge"/>
    <w:p>
      <w:pPr>
        <w:pStyle w:val="Heading4"/>
      </w:pPr>
      <w:r>
        <w:t xml:space="preserve">Curva de</w:t>
      </w:r>
      <w:r>
        <w:t xml:space="preserve"> </w:t>
      </w:r>
      <w:r>
        <w:rPr>
          <w:smallCaps/>
        </w:rPr>
        <w:t xml:space="preserve">Beveridge</w:t>
      </w:r>
    </w:p>
    <w:p>
      <w:pPr>
        <w:numPr>
          <w:ilvl w:val="0"/>
          <w:numId w:val="1075"/>
        </w:numPr>
      </w:pPr>
      <w:r>
        <w:rPr>
          <w:i/>
          <w:iCs/>
        </w:rPr>
        <w:t xml:space="preserve">Qué mide</w:t>
      </w:r>
      <w:r>
        <w:t xml:space="preserve">: la relación entre la tasa de vacantes y la de paro.</w:t>
      </w:r>
    </w:p>
    <w:p>
      <w:pPr>
        <w:numPr>
          <w:ilvl w:val="0"/>
          <w:numId w:val="1075"/>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 Si las vacantes suben y el paro no baja, el problema es estructural, no de demanda (2023).</w:t>
      </w:r>
    </w:p>
    <w:p>
      <w:pPr>
        <w:numPr>
          <w:ilvl w:val="0"/>
          <w:numId w:val="1075"/>
        </w:numPr>
      </w:pPr>
      <w:r>
        <w:rPr>
          <w:i/>
          <w:iCs/>
        </w:rPr>
        <w:t xml:space="preserve">Tema</w:t>
      </w:r>
      <w:r>
        <w:t xml:space="preserve">:</w:t>
      </w:r>
      <w:r>
        <w:t xml:space="preserve"> </w:t>
      </w:r>
      <w:hyperlink r:id="rId121">
        <w:r>
          <w:rPr>
            <w:rStyle w:val="Referenciaatema"/>
          </w:rPr>
          <w:t xml:space="preserve">[ver tema 3.A.26]</w:t>
        </w:r>
      </w:hyperlink>
      <w:r>
        <w:t xml:space="preserve">.</w:t>
      </w:r>
    </w:p>
    <w:bookmarkStart w:id="125" w:name="fig_beveridge"/>
    <w:p>
      <w:pPr>
        <w:pStyle w:val="ImageCaption"/>
      </w:pPr>
      <w:r>
        <w:t xml:space="preserve">Gráfico 5.–</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4178300" cy="2879164"/>
            <wp:effectExtent b="0" l="0" r="0" t="0"/>
            <wp:docPr descr="Gráfico 5.– Curva de Beveridge de España y de la zona del euro" title="" id="123" name="Picture"/>
            <a:graphic>
              <a:graphicData uri="http://schemas.openxmlformats.org/drawingml/2006/picture">
                <pic:pic>
                  <pic:nvPicPr>
                    <pic:cNvPr descr="C:\Users\vgutierrez\Documents\src\victorgutierrezmarcos.github.io-revision\oposicion\temario\fuentes\1D01\graficos/beveridge-espana-zona-euro.png" id="124" name="Picture"/>
                    <pic:cNvPicPr>
                      <a:picLocks noChangeArrowheads="1" noChangeAspect="1"/>
                    </pic:cNvPicPr>
                  </pic:nvPicPr>
                  <pic:blipFill>
                    <a:blip r:embed="rId122"/>
                    <a:stretch>
                      <a:fillRect/>
                    </a:stretch>
                  </pic:blipFill>
                  <pic:spPr bwMode="auto">
                    <a:xfrm>
                      <a:off x="0" y="0"/>
                      <a:ext cx="4178300" cy="2879164"/>
                    </a:xfrm>
                    <a:prstGeom prst="rect">
                      <a:avLst/>
                    </a:prstGeom>
                    <a:noFill/>
                    <a:ln w="9525">
                      <a:noFill/>
                      <a:headEnd/>
                      <a:tailEnd/>
                    </a:ln>
                  </pic:spPr>
                </pic:pic>
              </a:graphicData>
            </a:graphic>
          </wp:inline>
        </w:drawing>
      </w:r>
    </w:p>
    <w:bookmarkEnd w:id="125"/>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26"/>
    <w:bookmarkStart w:id="129" w:name="demograf__a_migraci__n_y_salario_m__nimo"/>
    <w:p>
      <w:pPr>
        <w:pStyle w:val="Heading4"/>
      </w:pPr>
      <w:r>
        <w:t xml:space="preserve">Demografía, migración y salario mínimo</w:t>
      </w:r>
    </w:p>
    <w:p>
      <w:pPr>
        <w:numPr>
          <w:ilvl w:val="0"/>
          <w:numId w:val="1076"/>
        </w:numPr>
      </w:pPr>
      <w:r>
        <w:rPr>
          <w:i/>
          <w:iCs/>
        </w:rPr>
        <w:t xml:space="preserve">Demografía</w:t>
      </w:r>
      <w:r>
        <w:t xml:space="preserve"> </w:t>
      </w:r>
      <w:r>
        <w:t xml:space="preserve">(2026):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127">
        <w:r>
          <w:rPr>
            <w:rStyle w:val="Referenciaatema"/>
          </w:rPr>
          <w:t xml:space="preserve">[ver tema 4.A.2]</w:t>
        </w:r>
      </w:hyperlink>
      <w:r>
        <w:t xml:space="preserve">.</w:t>
      </w:r>
    </w:p>
    <w:p>
      <w:pPr>
        <w:numPr>
          <w:ilvl w:val="0"/>
          <w:numId w:val="1076"/>
        </w:numPr>
      </w:pPr>
      <w:r>
        <w:rPr>
          <w:i/>
          <w:iCs/>
        </w:rPr>
        <w:t xml:space="preserve">Un endurecimiento de los visados de trabajo</w:t>
      </w:r>
      <w:r>
        <w:t xml:space="preserve"> </w:t>
      </w:r>
      <w:r>
        <w:t xml:space="preserve">(2020): menos oferta de trabajo, más tensión salarial en los sectores con más inmigrantes, más vacantes sin cubrir, menos PIB potencial y, si los inmigrantes eran contribuyentes netos, peor saldo público. Al revés, la inmigración eleva primero el paro y después el crecimiento potencial.</w:t>
      </w:r>
    </w:p>
    <w:p>
      <w:pPr>
        <w:numPr>
          <w:ilvl w:val="0"/>
          <w:numId w:val="1076"/>
        </w:numPr>
      </w:pPr>
      <w:r>
        <w:rPr>
          <w:i/>
          <w:iCs/>
        </w:rPr>
        <w:t xml:space="preserve">Una subida del salario mínimo</w:t>
      </w:r>
      <w:r>
        <w:t xml:space="preserve"> </w:t>
      </w:r>
      <w:r>
        <w:t xml:space="preserve">(2019) 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128">
        <w:r>
          <w:rPr>
            <w:rStyle w:val="Referenciaatema"/>
          </w:rPr>
          <w:t xml:space="preserve">[ver tema 3.A.17]</w:t>
        </w:r>
      </w:hyperlink>
      <w:r>
        <w:t xml:space="preserve">. El saldo público mejora por las cotizaciones de quienes conservan el empleo y empeora por los que lo pierden.</w:t>
      </w:r>
    </w:p>
    <w:bookmarkEnd w:id="129"/>
    <w:bookmarkEnd w:id="130"/>
    <w:bookmarkStart w:id="140" w:name="sec_capitales"/>
    <w:p>
      <w:pPr>
        <w:pStyle w:val="Heading2"/>
      </w:pPr>
      <w:r>
        <w:t xml:space="preserve">III.2.</w:t>
      </w:r>
      <w:r>
        <w:t xml:space="preserve"> </w:t>
      </w:r>
      <w:r>
        <w:t xml:space="preserve">Mercado de capitales</w:t>
      </w:r>
    </w:p>
    <w:p>
      <w:pPr>
        <w:pStyle w:val="Ideaclave"/>
        <w:keepLines/>
      </w:pPr>
      <w:r>
        <w:rPr>
          <w:b/>
          <w:bCs/>
        </w:rPr>
        <w:t xml:space="preserve">Qué hay que contestar</w:t>
      </w:r>
      <w:r>
        <w:t xml:space="preserve">: ¿está endeudada la economía, y con quién? ¿En qué punto del ciclo financiero está? ¿Es el sistema bancario solvente, líquido y rentable? ¿Hay burbujas en la vivienda o en la bolsa? ¿Qué debe hacer la política macroprudencial?</w:t>
      </w:r>
    </w:p>
    <w:p>
      <w:pPr>
        <w:numPr>
          <w:ilvl w:val="0"/>
          <w:numId w:val="1077"/>
        </w:numPr>
      </w:pPr>
      <w:r>
        <w:t xml:space="preserve">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El orden de análisis: endeudamiento y ciclo financiero, banca, vivienda, bolsa y política macroprudencial</w:t>
      </w:r>
      <w:r>
        <w:t xml:space="preserve"> </w:t>
      </w:r>
      <w:hyperlink r:id="rId131">
        <w:r>
          <w:rPr>
            <w:rStyle w:val="Referenciaatema"/>
          </w:rPr>
          <w:t xml:space="preserve">[ver tema 3.B.27]</w:t>
        </w:r>
      </w:hyperlink>
      <w:r>
        <w:t xml:space="preserve"> </w:t>
      </w:r>
      <w:hyperlink r:id="rId132">
        <w:r>
          <w:rPr>
            <w:rStyle w:val="Referenciaatema"/>
          </w:rPr>
          <w:t xml:space="preserve">[ver tema 4.A.19]</w:t>
        </w:r>
      </w:hyperlink>
      <w:r>
        <w:t xml:space="preserve">.</w:t>
      </w:r>
    </w:p>
    <w:bookmarkStart w:id="133" w:name="endeudamiento_y_ciclo_financiero"/>
    <w:p>
      <w:pPr>
        <w:pStyle w:val="Heading4"/>
      </w:pPr>
      <w:r>
        <w:t xml:space="preserve">Endeudamiento y ciclo financiero</w:t>
      </w:r>
    </w:p>
    <w:p>
      <w:pPr>
        <w:numPr>
          <w:ilvl w:val="0"/>
          <w:numId w:val="1078"/>
        </w:numPr>
      </w:pPr>
      <w:r>
        <w:rPr>
          <w:i/>
          <w:iCs/>
        </w:rPr>
        <w:t xml:space="preserve">Qué se mira</w:t>
      </w:r>
      <w:r>
        <w:t xml:space="preserve">: la deuda de los hogares, de las empresas y del Estado (esta, en la pregunta de política fiscal, apartado </w:t>
      </w:r>
      <w:hyperlink w:anchor="sec_fiscal">
        <w:r>
          <w:rPr>
            <w:rStyle w:val="Hyperlink"/>
          </w:rPr>
          <w:t xml:space="preserve">VI.2</w:t>
        </w:r>
      </w:hyperlink>
      <w:r>
        <w:t xml:space="preserve">) y el flujo de crédito; si gran parte es frente al exterior (posición de inversión internacional muy negativa), la economía es más vulnerable a un encarecimiento de la financiación. El desarrollo del mercado financiero se aproxima por el diferencial entre los tipos de los préstamos y los de los depósitos.</w:t>
      </w:r>
    </w:p>
    <w:p>
      <w:pPr>
        <w:numPr>
          <w:ilvl w:val="0"/>
          <w:numId w:val="1078"/>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078"/>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w:t>
      </w:r>
    </w:p>
    <w:p>
      <w:pPr>
        <w:numPr>
          <w:ilvl w:val="0"/>
          <w:numId w:val="1078"/>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bookmarkEnd w:id="133"/>
    <w:bookmarkStart w:id="135" w:name="sector_bancario"/>
    <w:p>
      <w:pPr>
        <w:pStyle w:val="Heading4"/>
      </w:pPr>
      <w:r>
        <w:t xml:space="preserve">Sector bancario</w:t>
      </w:r>
    </w:p>
    <w:p>
      <w:pPr>
        <w:numPr>
          <w:ilvl w:val="0"/>
          <w:numId w:val="1079"/>
        </w:numPr>
      </w:pPr>
      <w:r>
        <w:rPr>
          <w:i/>
          <w:iCs/>
        </w:rPr>
        <w:t xml:space="preserve">Solvencia</w:t>
      </w:r>
      <w:r>
        <w:t xml:space="preserve"> </w:t>
      </w:r>
      <w:r>
        <w:t xml:space="preserve">(capacidad de absorber pérdidas con recursos propios): recursos propios sobre activos ponderados por riesgo (APR), con 3 ratios según la calidad del capital: el</w:t>
      </w:r>
      <w:r>
        <w:t xml:space="preserve"> </w:t>
      </w:r>
      <w:r>
        <w:rPr>
          <w:b/>
          <w:bCs/>
        </w:rPr>
        <w:t xml:space="preserve">CET1</w:t>
      </w:r>
      <w:r>
        <w:t xml:space="preserve"> </w:t>
      </w:r>
      <w:r>
        <w:t xml:space="preserve">(capital y reservas), el</w:t>
      </w:r>
      <w:r>
        <w:t xml:space="preserve"> </w:t>
      </w:r>
      <w:r>
        <w:rPr>
          <w:b/>
          <w:bCs/>
        </w:rPr>
        <w:t xml:space="preserve">Tier 1</w:t>
      </w:r>
      <w:r>
        <w:t xml:space="preserve"> </w:t>
      </w:r>
      <w:r>
        <w:t xml:space="preserve">(más instrumentos híbridos) y el</w:t>
      </w:r>
      <w:r>
        <w:t xml:space="preserve"> </w:t>
      </w:r>
      <w:r>
        <w:rPr>
          <w:b/>
          <w:bCs/>
        </w:rPr>
        <w:t xml:space="preserve">capital total</w:t>
      </w:r>
      <w:r>
        <w:t xml:space="preserve"> </w:t>
      </w:r>
      <w:r>
        <w:t xml:space="preserve">(más deuda subordinada).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Se completa con la</w:t>
      </w:r>
      <w:r>
        <w:t xml:space="preserve"> </w:t>
      </w:r>
      <w:r>
        <w:rPr>
          <w:b/>
          <w:bCs/>
        </w:rPr>
        <w:t xml:space="preserve">ratio de apalancamiento</w:t>
      </w:r>
      <w:r>
        <w:t xml:space="preserve"> </w:t>
      </w:r>
      <w:r>
        <w:t xml:space="preserve">(Tier 1 sobre la exposición total sin ponderar), con un mínimo del 3 %.</w:t>
      </w:r>
    </w:p>
    <w:p>
      <w:pPr>
        <w:numPr>
          <w:ilvl w:val="0"/>
          <w:numId w:val="1079"/>
        </w:numPr>
      </w:pPr>
      <w:r>
        <w:rPr>
          <w:i/>
          <w:iCs/>
        </w:rPr>
        <w:t xml:space="preserve">Calidad de los activos</w:t>
      </w:r>
      <w:r>
        <w:t xml:space="preserve">:</w:t>
      </w:r>
      <w:r>
        <w:t xml:space="preserve"> </w:t>
      </w:r>
      <w:r>
        <w:rPr>
          <w:b/>
          <w:bCs/>
        </w:rPr>
        <w:t xml:space="preserve">ratio de dudosos</w:t>
      </w:r>
      <w:r>
        <w:t xml:space="preserve"> </w:t>
      </w:r>
      <w:r>
        <w:t xml:space="preserve">(préstamos con más de 90 días de impago o de pago improbable sobre el crédito total) y</w:t>
      </w:r>
      <w:r>
        <w:t xml:space="preserve"> </w:t>
      </w:r>
      <w:r>
        <w:rPr>
          <w:b/>
          <w:bCs/>
        </w:rPr>
        <w:t xml:space="preserve">ratio de cobertura</w:t>
      </w:r>
      <w:r>
        <w:t xml:space="preserve"> </w:t>
      </w:r>
      <w:r>
        <w:t xml:space="preserve">(provisiones sobre dudosos). La morosidad va retrasada respecto al ciclo.</w:t>
      </w:r>
    </w:p>
    <w:p>
      <w:pPr>
        <w:numPr>
          <w:ilvl w:val="0"/>
          <w:numId w:val="1079"/>
        </w:numPr>
      </w:pPr>
      <w:r>
        <w:rPr>
          <w:i/>
          <w:iCs/>
        </w:rPr>
        <w:t xml:space="preserve">Liquidez</w:t>
      </w:r>
      <w:r>
        <w:t xml:space="preserve"> </w:t>
      </w:r>
      <w:r>
        <w:t xml:space="preserve">(capacidad de atender los pagos sin vender activos con pérdidas; un banco solvente puede caer por falta de liquidez):</w:t>
      </w:r>
      <w:r>
        <w:t xml:space="preserve"> </w:t>
      </w:r>
      <w:r>
        <w:rPr>
          <w:b/>
          <w:bCs/>
        </w:rPr>
        <w:t xml:space="preserve">LCR</w:t>
      </w:r>
      <w:r>
        <w:t xml:space="preserve"> </w:t>
      </w:r>
      <w:r>
        <w:t xml:space="preserve">(activos líquidos sobre las salidas netas en 30 días de tensión) y</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y la ratio créditos/depósitos: por encima del 100 %, el banco depende de los mercados mayoristas.</w:t>
      </w:r>
    </w:p>
    <w:p>
      <w:pPr>
        <w:numPr>
          <w:ilvl w:val="0"/>
          <w:numId w:val="1079"/>
        </w:numPr>
      </w:pPr>
      <w:r>
        <w:rPr>
          <w:i/>
          <w:iCs/>
        </w:rPr>
        <w:t xml:space="preserve">Rentabilidad</w:t>
      </w:r>
      <w:r>
        <w:t xml:space="preserve">:</w:t>
      </w:r>
      <w:r>
        <w:t xml:space="preserve"> </w:t>
      </w:r>
      <w:r>
        <w:rPr>
          <w:b/>
          <w:bCs/>
        </w:rPr>
        <w:t xml:space="preserve">ROE</w:t>
      </w:r>
      <w:r>
        <w:t xml:space="preserve"> </w:t>
      </w:r>
      <w:r>
        <w:t xml:space="preserve">(beneficio neto sobre patrimonio neto) y ROA bancario (beneficio neto sobre activo medio, distinto del ROA de la empresa no financiera</w:t>
      </w:r>
      <w:r>
        <w:t xml:space="preserve"> </w:t>
      </w:r>
      <w:hyperlink r:id="rId134">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y</w:t>
      </w:r>
      <w:r>
        <w:t xml:space="preserve"> </w:t>
      </w:r>
      <w:r>
        <w:rPr>
          <w:b/>
          <w:bCs/>
        </w:rPr>
        <w:t xml:space="preserve">ratio de eficiencia</w:t>
      </w:r>
      <w:r>
        <w:t xml:space="preserve"> </w:t>
      </w:r>
      <w:r>
        <w:t xml:space="preserve">(gastos de explotación sobre margen bruto; cuanto menor, mejor).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w:t>
      </w:r>
    </w:p>
    <w:p>
      <w:pPr>
        <w:numPr>
          <w:ilvl w:val="0"/>
          <w:numId w:val="1079"/>
        </w:numPr>
      </w:pPr>
      <w:r>
        <w:rPr>
          <w:i/>
          <w:iCs/>
        </w:rPr>
        <w:t xml:space="preserve">Referencias orientativas</w:t>
      </w:r>
      <w:r>
        <w:t xml:space="preserve"> </w:t>
      </w:r>
      <w:r>
        <w:t xml:space="preserve">(no regulatorias) de la Autoridad Bancaria Europea: CET1 holgado por encima del 14 %; dudosos bajos por debajo del 3 % y altos por encima del 8 %; ROE favorable por encima del 10 %;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079"/>
        </w:numPr>
      </w:pPr>
      <w:r>
        <w:rPr>
          <w:i/>
          <w:iCs/>
        </w:rPr>
        <w:t xml:space="preserve">Cómo se lee</w:t>
      </w:r>
      <w:r>
        <w:t xml:space="preserve">: las debilidades se refuerzan entre sí: más dudosos, más provisiones, menos beneficio y menos capital. Con los tipos, 2 efectos opuestos: tipos más bajos estrechan el margen de intermediación (efecto precio) pero aumentan el crédito y mejoran la calidad de los préstamos (efecto volumen); con subidas de tipos, al revés.</w:t>
      </w:r>
    </w:p>
    <w:bookmarkEnd w:id="135"/>
    <w:bookmarkStart w:id="136" w:name="precio_de_la_vivienda"/>
    <w:p>
      <w:pPr>
        <w:pStyle w:val="Heading4"/>
      </w:pPr>
      <w:r>
        <w:t xml:space="preserve">Precio de la vivienda</w:t>
      </w:r>
    </w:p>
    <w:p>
      <w:pPr>
        <w:numPr>
          <w:ilvl w:val="0"/>
          <w:numId w:val="1080"/>
        </w:numPr>
      </w:pPr>
      <w:r>
        <w:rPr>
          <w:i/>
          <w:iCs/>
        </w:rPr>
        <w:t xml:space="preserve">Qué mide</w:t>
      </w:r>
      <w:r>
        <w:t xml:space="preserve">: el valor del principal activo de los hogares y de la garantía de buena parte del crédito bancario (se preguntó en 2016 y 2020).</w:t>
      </w:r>
    </w:p>
    <w:p>
      <w:pPr>
        <w:keepNext/>
        <w:numPr>
          <w:ilvl w:val="0"/>
          <w:numId w:val="1080"/>
        </w:numPr>
      </w:pPr>
      <w:r>
        <w:rPr>
          <w:i/>
          <w:iCs/>
        </w:rPr>
        <w:t xml:space="preserve">Cómo se lee</w:t>
      </w:r>
      <w:r>
        <w:t xml:space="preserve">: hay que separar fundamentos y burbuja.</w:t>
      </w:r>
    </w:p>
    <w:p>
      <w:pPr>
        <w:numPr>
          <w:ilvl w:val="1"/>
          <w:numId w:val="1081"/>
        </w:numPr>
      </w:pPr>
      <w:r>
        <w:rPr>
          <w:i/>
          <w:iCs/>
        </w:rPr>
        <w:t xml:space="preserve">Fundamentos</w:t>
      </w:r>
      <w:r>
        <w:t xml:space="preserve">: renta disponible, población y formación de hogares, tipos hipotecarios, oferta de vivienda nueva, fiscalidad, demanda extranjera.</w:t>
      </w:r>
    </w:p>
    <w:p>
      <w:pPr>
        <w:numPr>
          <w:ilvl w:val="1"/>
          <w:numId w:val="1081"/>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0"/>
          <w:numId w:val="1080"/>
        </w:numPr>
      </w:pPr>
      <w:r>
        <w:rPr>
          <w:i/>
          <w:iCs/>
        </w:rPr>
        <w:t xml:space="preserve">Umbral</w:t>
      </w:r>
      <w:r>
        <w:t xml:space="preserve">: el cuadro de indicadores del procedimiento de desequilibrios alerta con subidas del precio nominal 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Para la accesibilidad, como referencia orientativa,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0"/>
          <w:numId w:val="1080"/>
        </w:numPr>
      </w:pPr>
      <w:r>
        <w:rPr>
          <w:i/>
          <w:iCs/>
        </w:rPr>
        <w:t xml:space="preserve">Con qué se cruza</w:t>
      </w:r>
      <w:r>
        <w:t xml:space="preserve">: consumo (efecto riqueza), inversión residencial, crédito y morosidad, y movilidad laboral (vivienda cara, peor emparejamiento)</w:t>
      </w:r>
      <w:r>
        <w:t xml:space="preserve"> </w:t>
      </w:r>
      <w:hyperlink r:id="rId79">
        <w:r>
          <w:rPr>
            <w:rStyle w:val="Referenciaatema"/>
          </w:rPr>
          <w:t xml:space="preserve">[ver tema 4.A.11]</w:t>
        </w:r>
      </w:hyperlink>
      <w:r>
        <w:t xml:space="preserve">.</w:t>
      </w:r>
    </w:p>
    <w:bookmarkEnd w:id="136"/>
    <w:bookmarkStart w:id="137" w:name="tc___ndice_burs__til"/>
    <w:p>
      <w:pPr>
        <w:pStyle w:val="Heading4"/>
      </w:pPr>
      <w:r>
        <w:t xml:space="preserve">Índice bursátil</w:t>
      </w:r>
    </w:p>
    <w:p>
      <w:pPr>
        <w:numPr>
          <w:ilvl w:val="0"/>
          <w:numId w:val="1082"/>
        </w:numPr>
      </w:pPr>
      <w:r>
        <w:rPr>
          <w:i/>
          <w:iCs/>
        </w:rPr>
        <w:t xml:space="preserve">Qué mide</w:t>
      </w:r>
      <w:r>
        <w:t xml:space="preserve">: las expectativas de beneficios empresariales descontadas con una prima de riesgo; es un indicador adelantado del ciclo.</w:t>
      </w:r>
    </w:p>
    <w:p>
      <w:pPr>
        <w:numPr>
          <w:ilvl w:val="0"/>
          <w:numId w:val="1082"/>
        </w:numPr>
      </w:pPr>
      <w:r>
        <w:rPr>
          <w:i/>
          <w:iCs/>
        </w:rPr>
        <w:t xml:space="preserve">Cómo se lee</w:t>
      </w:r>
      <w:r>
        <w:t xml:space="preserve">: si sube con el PIB y los beneficios, refleja buenas perspectivas; si sube mucho más que los beneficios con tipos muy bajos o con fuertes entradas de inversión de cartera, puede haber sobrevaloración.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82">
        <w:r>
          <w:rPr>
            <w:rStyle w:val="Referenciaatema"/>
          </w:rPr>
          <w:t xml:space="preserve">[ver tema 3.A.34]</w:t>
        </w:r>
      </w:hyperlink>
      <w:r>
        <w:t xml:space="preserve">) y con el consumo (efecto riqueza, menor que el de la vivienda).</w:t>
      </w:r>
    </w:p>
    <w:bookmarkEnd w:id="137"/>
    <w:bookmarkStart w:id="139" w:name="pol__tica_macroprudencial"/>
    <w:p>
      <w:pPr>
        <w:pStyle w:val="Heading4"/>
      </w:pPr>
      <w:r>
        <w:t xml:space="preserve">Política macroprudencial</w:t>
      </w:r>
    </w:p>
    <w:p>
      <w:pPr>
        <w:numPr>
          <w:ilvl w:val="0"/>
          <w:numId w:val="1083"/>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numPr>
          <w:ilvl w:val="0"/>
          <w:numId w:val="1083"/>
        </w:numPr>
      </w:pPr>
      <w:r>
        <w:rPr>
          <w:i/>
          <w:iCs/>
        </w:rPr>
        <w:t xml:space="preserve">En la fase alcista</w:t>
      </w:r>
      <w:r>
        <w:t xml:space="preserve"> </w:t>
      </w:r>
      <w:r>
        <w:t xml:space="preserve">(crédito y vivienda muy dinámicos, brecha crédito-PIB positiva): activar el colchón anticíclico (hasta el 2,5 %) o uno de riesgo sistémico sectorial, y limitar a los prestatarios (préstamo sobre valor, sobre renta y servicio de la deuda sobre renta).</w:t>
      </w:r>
    </w:p>
    <w:p>
      <w:pPr>
        <w:numPr>
          <w:ilvl w:val="0"/>
          <w:numId w:val="1083"/>
        </w:numPr>
      </w:pPr>
      <w:r>
        <w:rPr>
          <w:i/>
          <w:iCs/>
        </w:rPr>
        <w:t xml:space="preserve">En la fase bajista o en una crisis</w:t>
      </w:r>
      <w:r>
        <w:t xml:space="preserve">: liberar los colchones para que el capital absorba pérdidas sin cortar el crédito, dar flexibilidad supervisora temporal y limitar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y vigilar el precio de los activos.</w:t>
      </w:r>
    </w:p>
    <w:p>
      <w:pPr>
        <w:numPr>
          <w:ilvl w:val="0"/>
          <w:numId w:val="1083"/>
        </w:numPr>
      </w:pPr>
      <w:r>
        <w:rPr>
          <w:i/>
          <w:iCs/>
        </w:rPr>
        <w:t xml:space="preserve">Tipos muy bajos durante mucho tiempo</w:t>
      </w:r>
      <w:r>
        <w:t xml:space="preserve">: pueden ser un riesgo (búsqueda de rentabilidad, proyectos de baja calidad, menor margen de bancos y aseguradoras, activos inflados).</w:t>
      </w:r>
    </w:p>
    <w:p>
      <w:pPr>
        <w:numPr>
          <w:ilvl w:val="0"/>
          <w:numId w:val="1083"/>
        </w:numPr>
      </w:pPr>
      <w:r>
        <w:rPr>
          <w:i/>
          <w:iCs/>
        </w:rPr>
        <w:t xml:space="preserve">Tema</w:t>
      </w:r>
      <w:r>
        <w:t xml:space="preserve">:</w:t>
      </w:r>
      <w:r>
        <w:t xml:space="preserve"> </w:t>
      </w:r>
      <w:hyperlink r:id="rId131">
        <w:r>
          <w:rPr>
            <w:rStyle w:val="Referenciaatema"/>
          </w:rPr>
          <w:t xml:space="preserve">[ver tema 3.B.27]</w:t>
        </w:r>
      </w:hyperlink>
      <w:r>
        <w:t xml:space="preserve"> </w:t>
      </w:r>
      <w:hyperlink r:id="rId138">
        <w:r>
          <w:rPr>
            <w:rStyle w:val="Referenciaatema"/>
          </w:rPr>
          <w:t xml:space="preserve">[ver tema 3.B.44]</w:t>
        </w:r>
      </w:hyperlink>
      <w:r>
        <w:t xml:space="preserve"> </w:t>
      </w:r>
      <w:hyperlink r:id="rId132">
        <w:r>
          <w:rPr>
            <w:rStyle w:val="Referenciaatema"/>
          </w:rPr>
          <w:t xml:space="preserve">[ver tema 4.A.19]</w:t>
        </w:r>
      </w:hyperlink>
      <w:r>
        <w:t xml:space="preserve">.</w:t>
      </w:r>
    </w:p>
    <w:p>
      <w:pPr>
        <w:numPr>
          <w:ilvl w:val="0"/>
          <w:numId w:val="1084"/>
        </w:numPr>
      </w:pPr>
      <w:r>
        <w:rPr>
          <w:i/>
          <w:iCs/>
        </w:rPr>
        <w:t xml:space="preserve">Recapitulación</w:t>
      </w:r>
      <w:r>
        <w:t xml:space="preserve">: el mercado de trabajo dice cuánto empleo crea el crecimiento y si los costes siguen a la productividad (CLU); el de capitales, si el crédito y la banca lo sostienen sin acumular riesgos. Los CLU llevan directamente al bloque siguiente: la competitividad.</w:t>
      </w:r>
    </w:p>
    <w:bookmarkEnd w:id="139"/>
    <w:bookmarkEnd w:id="140"/>
    <w:bookmarkEnd w:id="141"/>
    <w:bookmarkStart w:id="170" w:name="sec_competitividad"/>
    <w:p>
      <w:pPr>
        <w:pStyle w:val="Heading1"/>
      </w:pPr>
      <w:r>
        <w:t xml:space="preserve">IV.</w:t>
      </w:r>
      <w:r>
        <w:t xml:space="preserve"> </w:t>
      </w:r>
      <w:r>
        <w:t xml:space="preserve">Competitividad</w:t>
      </w:r>
    </w:p>
    <w:p>
      <w:pPr>
        <w:numPr>
          <w:ilvl w:val="0"/>
          <w:numId w:val="1085"/>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56" w:name="sec_precios"/>
    <w:p>
      <w:pPr>
        <w:pStyle w:val="Heading2"/>
      </w:pPr>
      <w:r>
        <w:t xml:space="preserve">IV.1.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bookmarkStart w:id="144" w:name="tc___ndices_de_precios"/>
    <w:p>
      <w:pPr>
        <w:pStyle w:val="Heading4"/>
      </w:pPr>
      <w:r>
        <w:t xml:space="preserve">Índices de precios</w:t>
      </w:r>
    </w:p>
    <w:p>
      <w:pPr>
        <w:numPr>
          <w:ilvl w:val="0"/>
          <w:numId w:val="1086"/>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Se mide con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r>
        <w:rPr>
          <w:rStyle w:val="FootnoteReference"/>
        </w:rPr>
        <w:footnoteReference w:id="142"/>
      </w:r>
    </w:p>
    <w:p>
      <w:pPr>
        <w:keepNext/>
        <w:numPr>
          <w:ilvl w:val="0"/>
          <w:numId w:val="1086"/>
        </w:numPr>
      </w:pPr>
      <w:r>
        <w:rPr>
          <w:i/>
          <w:iCs/>
        </w:rPr>
        <w:t xml:space="preserve">Los más usados</w:t>
      </w:r>
      <w:r>
        <w:t xml:space="preserve">:</w:t>
      </w:r>
    </w:p>
    <w:p>
      <w:pPr>
        <w:numPr>
          <w:ilvl w:val="1"/>
          <w:numId w:val="1087"/>
        </w:numPr>
      </w:pPr>
      <w:r>
        <w:rPr>
          <w:b/>
          <w:bCs/>
        </w:rPr>
        <w:t xml:space="preserve">IPC</w:t>
      </w:r>
      <w:r>
        <w:t xml:space="preserve">: los precios de la cesta que compran los hogares,</w:t>
      </w:r>
      <w:r>
        <w:t xml:space="preserve"> </w:t>
      </w:r>
      <w:r>
        <w:rPr>
          <w:i/>
          <w:iCs/>
        </w:rPr>
        <w:t xml:space="preserve">importaciones incluidas</w:t>
      </w:r>
      <w:r>
        <w:t xml:space="preserve">; en la UE, el armonizado (IAPC) es la referencia del objetivo del BCE;</w:t>
      </w:r>
    </w:p>
    <w:p>
      <w:pPr>
        <w:numPr>
          <w:ilvl w:val="1"/>
          <w:numId w:val="1087"/>
        </w:numPr>
      </w:pPr>
      <w:r>
        <w:rPr>
          <w:b/>
          <w:bCs/>
        </w:rPr>
        <w:t xml:space="preserve">deflactor del PIB</w:t>
      </w:r>
      <w:r>
        <w:t xml:space="preserve">: el cociente entre el PIB nominal y el PIB en volumen; recoge los precios de lo que se produce dentro,</w:t>
      </w:r>
      <w:r>
        <w:t xml:space="preserve"> </w:t>
      </w:r>
      <w:r>
        <w:rPr>
          <w:i/>
          <w:iCs/>
        </w:rPr>
        <w:t xml:space="preserve">exportaciones, inversión y servicios públicos incluidos</w:t>
      </w:r>
      <w:r>
        <w:t xml:space="preserve">, y excluye las importaciones;</w:t>
      </w:r>
    </w:p>
    <w:p>
      <w:pPr>
        <w:numPr>
          <w:ilvl w:val="1"/>
          <w:numId w:val="1087"/>
        </w:numPr>
      </w:pPr>
      <w:r>
        <w:t xml:space="preserve">precios industriales, de exportación y de importación (los de importación anticipan la inflación importada), costes laborales (salario medio, CLU) y precios de activos (vivienda, bolsa, materias primas).</w:t>
      </w:r>
    </w:p>
    <w:p>
      <w:pPr>
        <w:pStyle w:val="Cajadeanotaciones"/>
        <w:keepLines/>
      </w:pPr>
      <w:r>
        <w:t xml:space="preserve">El IPC es un índice de tipo</w:t>
      </w:r>
      <w:r>
        <w:t xml:space="preserve"> </w:t>
      </w:r>
      <w:r>
        <w:rPr>
          <w:smallCaps/>
        </w:rPr>
        <w:t xml:space="preserve">Laspeyres</w:t>
      </w:r>
      <w:r>
        <w:t xml:space="preserve">: compara el coste de la cesta del periodo base,</w:t>
      </w:r>
      <w:r>
        <w:t xml:space="preserve"> </w:t>
      </w:r>
      <m:oMath>
        <m:sSup>
          <m:e>
            <m:acc>
              <m:accPr>
                <m:chr m:val="⃗"/>
              </m:accPr>
              <m:e>
                <m:r>
                  <m:t>x</m:t>
                </m:r>
              </m:e>
            </m:acc>
          </m:e>
          <m:sup>
            <m:r>
              <m:t>0</m:t>
            </m:r>
          </m:sup>
        </m:sSup>
      </m:oMath>
      <w:r>
        <w:t xml:space="preserve">, a los precios de hoy y a los del periodo base,</w:t>
      </w:r>
      <w:r>
        <w:t xml:space="preserve"> </w:t>
      </w:r>
      <m:oMath>
        <m:sSub>
          <m:e>
            <m:r>
              <m:t>I</m:t>
            </m:r>
          </m:e>
          <m:sub>
            <m:r>
              <m:t>L</m:t>
            </m:r>
          </m:sub>
        </m:sSub>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oMath>
      <w:r>
        <w:t xml:space="preserve">. Como no recoge la sustitución hacia los bienes que se abaratan,</w:t>
      </w:r>
      <w:r>
        <w:t xml:space="preserve"> </w:t>
      </w:r>
      <w:r>
        <w:rPr>
          <w:i/>
          <w:iCs/>
        </w:rPr>
        <w:t xml:space="preserve">sobrevalora</w:t>
      </w:r>
      <w:r>
        <w:t xml:space="preserve"> </w:t>
      </w:r>
      <w:r>
        <w:t xml:space="preserve">la inflación (sesgo de sustitución). El del INE es un</w:t>
      </w:r>
      <w:r>
        <w:t xml:space="preserve"> </w:t>
      </w:r>
      <w:r>
        <w:rPr>
          <w:smallCaps/>
        </w:rPr>
        <w:t xml:space="preserve">Laspeyres</w:t>
      </w:r>
      <w:r>
        <w:t xml:space="preserve"> </w:t>
      </w:r>
      <w:r>
        <w:rPr>
          <w:i/>
          <w:iCs/>
        </w:rPr>
        <w:t xml:space="preserve">encadenado</w:t>
      </w:r>
      <w:r>
        <w:t xml:space="preserve">: cada año se compara con los precios de diciembre del año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El deflactor es de tipo</w:t>
      </w:r>
      <w:r>
        <w:t xml:space="preserve"> </w:t>
      </w:r>
      <w:r>
        <w:rPr>
          <w:smallCaps/>
        </w:rPr>
        <w:t xml:space="preserve">Paasche</w:t>
      </w:r>
      <w:r>
        <w:t xml:space="preserve">, con la cesta de hoy,</w:t>
      </w:r>
      <w:r>
        <w:t xml:space="preserve"> </w:t>
      </w:r>
      <m:oMath>
        <m:sSub>
          <m:e>
            <m:r>
              <m:t>I</m:t>
            </m:r>
          </m:e>
          <m:sub>
            <m:r>
              <m:t>P</m:t>
            </m:r>
          </m:sub>
        </m:sSub>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oMath>
      <w:r>
        <w:t xml:space="preserve">, e</w:t>
      </w:r>
      <w:r>
        <w:t xml:space="preserve"> </w:t>
      </w:r>
      <w:r>
        <w:rPr>
          <w:i/>
          <w:iCs/>
        </w:rPr>
        <w:t xml:space="preserve">infravalora</w:t>
      </w:r>
      <w:r>
        <w:t xml:space="preserve"> </w:t>
      </w:r>
      <w:r>
        <w:t xml:space="preserve">la inflación; como el PIB en volumen se calcula encadenado, es un</w:t>
      </w:r>
      <w:r>
        <w:t xml:space="preserve"> </w:t>
      </w:r>
      <w:r>
        <w:rPr>
          <w:smallCaps/>
        </w:rPr>
        <w:t xml:space="preserve">Paasche</w:t>
      </w:r>
      <w:r>
        <w:t xml:space="preserve"> </w:t>
      </w:r>
      <w:r>
        <w:t xml:space="preserve">encadenado</w:t>
      </w:r>
      <w:r>
        <w:t xml:space="preserve"> </w:t>
      </w:r>
      <w:hyperlink r:id="rId143">
        <w:r>
          <w:rPr>
            <w:rStyle w:val="Referenciaatema"/>
          </w:rPr>
          <w:t xml:space="preserve">[ver tema 3.A.9]</w:t>
        </w:r>
      </w:hyperlink>
      <w:r>
        <w:t xml:space="preserve"> </w:t>
      </w:r>
      <w:hyperlink r:id="rId20">
        <w:r>
          <w:rPr>
            <w:rStyle w:val="Referenciaatema"/>
          </w:rPr>
          <w:t xml:space="preserve">[ver tema 3.A.30]</w:t>
        </w:r>
      </w:hyperlink>
      <w:r>
        <w:t xml:space="preserve"> </w:t>
      </w:r>
      <w:hyperlink r:id="rId46">
        <w:r>
          <w:rPr>
            <w:rStyle w:val="Referenciaatema"/>
          </w:rPr>
          <w:t xml:space="preserve">[ver tema 4.A.1]</w:t>
        </w:r>
      </w:hyperlink>
      <w:r>
        <w:t xml:space="preserve">.</w:t>
      </w:r>
    </w:p>
    <w:bookmarkEnd w:id="144"/>
    <w:bookmarkStart w:id="145" w:name="ipc_frente_a_deflactor_e_inflaci___23185"/>
    <w:p>
      <w:pPr>
        <w:pStyle w:val="Heading4"/>
      </w:pPr>
      <w:r>
        <w:t xml:space="preserve">IPC frente a deflactor e inflación importada</w:t>
      </w:r>
    </w:p>
    <w:p>
      <w:pPr>
        <w:keepNext/>
        <w:numPr>
          <w:ilvl w:val="0"/>
          <w:numId w:val="1088"/>
        </w:numPr>
      </w:pPr>
      <w:r>
        <w:t xml:space="preserve">Suelen dar resultados parecidos; cuando se separan, dicen algo:</w:t>
      </w:r>
    </w:p>
    <w:p>
      <w:pPr>
        <w:numPr>
          <w:ilvl w:val="1"/>
          <w:numId w:val="1089"/>
        </w:numPr>
      </w:pPr>
      <w:r>
        <w:t xml:space="preserve">IPC que crece</w:t>
      </w:r>
      <w:r>
        <w:t xml:space="preserve"> </w:t>
      </w:r>
      <w:r>
        <w:rPr>
          <w:i/>
          <w:i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89"/>
        </w:numPr>
      </w:pPr>
      <w:r>
        <w:t xml:space="preserve">IPC que crece</w:t>
      </w:r>
      <w:r>
        <w:t xml:space="preserve"> </w:t>
      </w:r>
      <w:r>
        <w:rPr>
          <w:i/>
          <w:i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88"/>
        </w:numPr>
      </w:pPr>
      <w:r>
        <w:t xml:space="preserve">El deflactor aísla el efecto externo, pero refleja peor el poder adquisitivo; por eso el salario real del trabajador se deflacta con el IPC y el coste real para la empresa, con el deflactor.</w:t>
      </w:r>
    </w:p>
    <w:p>
      <w:pPr>
        <w:numPr>
          <w:ilvl w:val="0"/>
          <w:numId w:val="1088"/>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End w:id="145"/>
    <w:bookmarkStart w:id="148" w:name="inflaci__n_subyacente_y_efectos_de_56893"/>
    <w:p>
      <w:pPr>
        <w:pStyle w:val="Heading4"/>
      </w:pPr>
      <w:r>
        <w:t xml:space="preserve">Inflación subyacente y efectos de segunda ronda</w:t>
      </w:r>
    </w:p>
    <w:p>
      <w:pPr>
        <w:numPr>
          <w:ilvl w:val="0"/>
          <w:numId w:val="1090"/>
        </w:numPr>
      </w:pPr>
      <w:r>
        <w:rPr>
          <w:i/>
          <w:iCs/>
        </w:rPr>
        <w:t xml:space="preserve">Qué mide</w:t>
      </w:r>
      <w:r>
        <w:t xml:space="preserve">: la</w:t>
      </w:r>
      <w:r>
        <w:t xml:space="preserve"> </w:t>
      </w:r>
      <w:r>
        <w:rPr>
          <w:b/>
          <w:bCs/>
        </w:rPr>
        <w:t xml:space="preserve">inflación subyacente</w:t>
      </w:r>
      <w:r>
        <w:t xml:space="preserve"> </w:t>
      </w:r>
      <w:r>
        <w:t xml:space="preserve">quita de la general los componentes más volátiles para ver la tendencia. El INE excluye los alimentos no elaborados y los productos energéticos; Eurostat y el BCE siguen el IAPC sin energía ni alimentos (incluidos alcohol y tabaco). Hay también medias recortadas y medidas que quitan cada mes los componentes más volátiles. El cuadro puede traer cualquiera: hay que decir cuál se usa.</w:t>
      </w:r>
      <w:r>
        <w:rPr>
          <w:rStyle w:val="FootnoteReference"/>
        </w:rPr>
        <w:footnoteReference w:id="146"/>
      </w:r>
    </w:p>
    <w:p>
      <w:pPr>
        <w:numPr>
          <w:ilvl w:val="0"/>
          <w:numId w:val="1090"/>
        </w:numPr>
      </w:pPr>
      <w:r>
        <w:rPr>
          <w:i/>
          <w:iCs/>
        </w:rPr>
        <w:t xml:space="preserve">Cómo se lee</w:t>
      </w:r>
      <w:r>
        <w:t xml:space="preserve">: sirve para ver si un choque de oferta (energía) se está extendiendo al resto de la cesta. Son los</w:t>
      </w:r>
      <w:r>
        <w:t xml:space="preserve"> </w:t>
      </w:r>
      <w:r>
        <w:rPr>
          <w:b/>
          <w:bCs/>
        </w:rPr>
        <w:t xml:space="preserve">efectos de segunda ronda</w:t>
      </w:r>
      <w:r>
        <w:t xml:space="preserve">: los salarios y los márgenes suben para recuperar lo perdido y alimentan una espiral de precios y salarios</w:t>
      </w:r>
      <w:r>
        <w:t xml:space="preserve"> </w:t>
      </w:r>
      <w:hyperlink r:id="rId147">
        <w:r>
          <w:rPr>
            <w:rStyle w:val="Referenciaatema"/>
          </w:rPr>
          <w:t xml:space="preserve">[ver tema 3.A.41]</w:t>
        </w:r>
      </w:hyperlink>
      <w:r>
        <w:t xml:space="preserve">.</w:t>
      </w:r>
    </w:p>
    <w:bookmarkEnd w:id="148"/>
    <w:bookmarkStart w:id="153" w:name="de_d__nde_viene_la_inflaci__n"/>
    <w:p>
      <w:pPr>
        <w:pStyle w:val="Heading4"/>
      </w:pPr>
      <w:r>
        <w:t xml:space="preserve">De dónde viene la inflación</w:t>
      </w:r>
    </w:p>
    <w:p>
      <w:pPr>
        <w:numPr>
          <w:ilvl w:val="0"/>
          <w:numId w:val="1091"/>
        </w:numPr>
      </w:pPr>
      <w:r>
        <w:rPr>
          <w:i/>
          <w:iCs/>
        </w:rPr>
        <w:t xml:space="preserve">De demanda</w:t>
      </w:r>
      <w:r>
        <w:t xml:space="preserve"> </w:t>
      </w:r>
      <w:r>
        <w:t xml:space="preserve">(</w:t>
      </w:r>
      <w:r>
        <w:rPr>
          <w:i/>
          <w:iCs/>
        </w:rPr>
        <w:t xml:space="preserve">demand-pull</w:t>
      </w:r>
      <w:r>
        <w:t xml:space="preserve">): la demanda interna crece más que el PIB, la brecha de producción es positiva, el crédito y los agregados monetarios crecen con fuerza, hay estímulo fiscal o las expectativas de inflación suben.</w:t>
      </w:r>
    </w:p>
    <w:p>
      <w:pPr>
        <w:numPr>
          <w:ilvl w:val="0"/>
          <w:numId w:val="1091"/>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señalan poca competencia.</w:t>
      </w:r>
    </w:p>
    <w:p>
      <w:pPr>
        <w:numPr>
          <w:ilvl w:val="0"/>
          <w:numId w:val="1091"/>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w:t>
      </w:r>
      <w:r>
        <w:t xml:space="preserve"> </w:t>
      </w: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r>
        <w:t xml:space="preserve"> </w:t>
      </w:r>
      <w:r>
        <w:t xml:space="preserve">(tasa mensual que entra menos la que sale). Se preguntó en 2023.</w:t>
      </w:r>
    </w:p>
    <w:p>
      <w:pPr>
        <w:numPr>
          <w:ilvl w:val="0"/>
          <w:numId w:val="1091"/>
        </w:numPr>
      </w:pPr>
      <w:r>
        <w:rPr>
          <w:i/>
          <w:iCs/>
        </w:rPr>
        <w:t xml:space="preserve">¿Transitoria o persistente?</w:t>
      </w:r>
      <w:r>
        <w:t xml:space="preserve"> </w:t>
      </w:r>
      <w:r>
        <w:t xml:space="preserve">Transitoria si se concentra en energía y alimentos con la subyacente contenida, salarios moderados, expectativas ancladas y materias primas que ya bajan. Persistente si la subyacente sube y se generaliza (servicios), los salarios y los márgenes se aceleran, la brecha es positiva, el paro está por debajo de la NAIRU y suben las expectativas.</w:t>
      </w:r>
    </w:p>
    <w:p>
      <w:pPr>
        <w:numPr>
          <w:ilvl w:val="0"/>
          <w:numId w:val="1091"/>
        </w:numPr>
      </w:pPr>
      <w:r>
        <w:rPr>
          <w:i/>
          <w:iCs/>
        </w:rPr>
        <w:t xml:space="preserve">Resistencia inicial y cambio de tendencia</w:t>
      </w:r>
      <w:r>
        <w:t xml:space="preserve"> </w:t>
      </w:r>
      <w:r>
        <w:t xml:space="preserve">(2025 y 2026):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Start w:id="152" w:name="fig_iapc_zona_euro"/>
    <w:p>
      <w:pPr>
        <w:pStyle w:val="ImageCaption"/>
      </w:pPr>
      <w:r>
        <w:t xml:space="preserve">Gráfico 6.–</w:t>
      </w:r>
      <w:r>
        <w:t xml:space="preserve"> </w:t>
      </w:r>
      <w:r>
        <w:t xml:space="preserve">Inflación de la zona del euro y contribuciones de sus componentes</w:t>
      </w:r>
    </w:p>
    <w:p>
      <w:pPr>
        <w:pStyle w:val="CaptionedFigure"/>
      </w:pPr>
      <w:r>
        <w:drawing>
          <wp:inline>
            <wp:extent cx="5073650" cy="2807553"/>
            <wp:effectExtent b="0" l="0" r="0" t="0"/>
            <wp:docPr descr="Gráfico 6.– Inflación de la zona del euro y contribuciones de sus componentes" title="" id="150" name="Picture"/>
            <a:graphic>
              <a:graphicData uri="http://schemas.openxmlformats.org/drawingml/2006/picture">
                <pic:pic>
                  <pic:nvPicPr>
                    <pic:cNvPr descr="C:\Users\vgutierrez\Documents\src\victorgutierrezmarcos.github.io-revision\oposicion\temario\fuentes\1D01\graficos/iapc-zona-euro.png" id="151" name="Picture"/>
                    <pic:cNvPicPr>
                      <a:picLocks noChangeArrowheads="1" noChangeAspect="1"/>
                    </pic:cNvPicPr>
                  </pic:nvPicPr>
                  <pic:blipFill>
                    <a:blip r:embed="rId149"/>
                    <a:stretch>
                      <a:fillRect/>
                    </a:stretch>
                  </pic:blipFill>
                  <pic:spPr bwMode="auto">
                    <a:xfrm>
                      <a:off x="0" y="0"/>
                      <a:ext cx="5073650" cy="2807553"/>
                    </a:xfrm>
                    <a:prstGeom prst="rect">
                      <a:avLst/>
                    </a:prstGeom>
                    <a:noFill/>
                    <a:ln w="9525">
                      <a:noFill/>
                      <a:headEnd/>
                      <a:tailEnd/>
                    </a:ln>
                  </pic:spPr>
                </pic:pic>
              </a:graphicData>
            </a:graphic>
          </wp:inline>
        </w:drawing>
      </w:r>
    </w:p>
    <w:bookmarkEnd w:id="152"/>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153"/>
    <w:bookmarkStart w:id="155" w:name="qu___pol__tica_requiere"/>
    <w:p>
      <w:pPr>
        <w:pStyle w:val="Heading4"/>
      </w:pPr>
      <w:r>
        <w:t xml:space="preserve">Qué política requiere</w:t>
      </w:r>
    </w:p>
    <w:p>
      <w:pPr>
        <w:keepNext/>
        <w:numPr>
          <w:ilvl w:val="0"/>
          <w:numId w:val="1092"/>
        </w:numPr>
      </w:pPr>
      <w:r>
        <w:t xml:space="preserve">Si la inflación es alta y persistente, lo natural es endurecer la política monetaria, pero depende del origen:</w:t>
      </w:r>
    </w:p>
    <w:p>
      <w:pPr>
        <w:numPr>
          <w:ilvl w:val="1"/>
          <w:numId w:val="1093"/>
        </w:numPr>
      </w:pPr>
      <w:r>
        <w:rPr>
          <w:i/>
          <w:iCs/>
        </w:rPr>
        <w:t xml:space="preserve">de demanda</w:t>
      </w:r>
      <w:r>
        <w:t xml:space="preserve">: subir tipos, y que la política fiscal no empuje en sentido contrario;</w:t>
      </w:r>
    </w:p>
    <w:p>
      <w:pPr>
        <w:numPr>
          <w:ilvl w:val="1"/>
          <w:numId w:val="1093"/>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93"/>
        </w:numPr>
      </w:pPr>
      <w:r>
        <w:t xml:space="preserve">en una unión monetaria el país no tiene política monetaria propia: le quedan la fiscal y las de oferta.</w:t>
      </w:r>
    </w:p>
    <w:p>
      <w:pPr>
        <w:numPr>
          <w:ilvl w:val="0"/>
          <w:numId w:val="1092"/>
        </w:numPr>
      </w:pPr>
      <w:r>
        <w:rPr>
          <w:i/>
          <w:iCs/>
        </w:rPr>
        <w:t xml:space="preserve">Con deflación</w:t>
      </w:r>
      <w:r>
        <w:t xml:space="preserve">: política monetaria expansiva; si los tipos están en su límite inferior, expectativas, compras de activos y política fiscal expansiva.</w:t>
      </w:r>
    </w:p>
    <w:p>
      <w:pPr>
        <w:numPr>
          <w:ilvl w:val="0"/>
          <w:numId w:val="1092"/>
        </w:numPr>
      </w:pPr>
      <w:r>
        <w:rPr>
          <w:i/>
          <w:iCs/>
        </w:rPr>
        <w:t xml:space="preserve">Siempre</w:t>
      </w:r>
      <w:r>
        <w:t xml:space="preserve">: políticas que aumenten la competencia y reduzcan los márgenes.</w:t>
      </w:r>
    </w:p>
    <w:p>
      <w:pPr>
        <w:numPr>
          <w:ilvl w:val="0"/>
          <w:numId w:val="1092"/>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54">
        <w:r>
          <w:rPr>
            <w:rStyle w:val="Referenciaatema"/>
          </w:rPr>
          <w:t xml:space="preserve">[ver tema 3.A.36]</w:t>
        </w:r>
      </w:hyperlink>
      <w:r>
        <w:t xml:space="preserve">.</w:t>
      </w:r>
    </w:p>
    <w:bookmarkEnd w:id="155"/>
    <w:bookmarkEnd w:id="156"/>
    <w:bookmarkStart w:id="163" w:name="sec_tipo_cambio"/>
    <w:p>
      <w:pPr>
        <w:pStyle w:val="Heading2"/>
      </w:pPr>
      <w:r>
        <w:t xml:space="preserve">IV.2.</w:t>
      </w:r>
      <w:r>
        <w:t xml:space="preserve"> </w:t>
      </w:r>
      <w:r>
        <w:t xml:space="preserve">Tipo de cambio</w:t>
      </w:r>
    </w:p>
    <w:p>
      <w:pPr>
        <w:numPr>
          <w:ilvl w:val="0"/>
          <w:numId w:val="1094"/>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keepNext/>
        <w:numPr>
          <w:ilvl w:val="0"/>
          <w:numId w:val="1094"/>
        </w:numPr>
      </w:pPr>
      <w:r>
        <w:rPr>
          <w:i/>
          <w:iCs/>
        </w:rPr>
        <w:t xml:space="preserve">Cómo se calcula</w:t>
      </w:r>
      <w:r>
        <w:t xml:space="preserve"> </w:t>
      </w:r>
      <w:hyperlink r:id="rId157">
        <w:r>
          <w:rPr>
            <w:rStyle w:val="Referenciaatema"/>
          </w:rPr>
          <w:t xml:space="preserve">[ver tema 3.B.13]</w:t>
        </w:r>
      </w:hyperlink>
      <w:r>
        <w:t xml:space="preserve">:</w:t>
      </w:r>
    </w:p>
    <w:p>
      <w:pPr>
        <w:numPr>
          <w:ilvl w:val="1"/>
          <w:numId w:val="1095"/>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95"/>
        </w:numPr>
      </w:pPr>
      <w:r>
        <w:rPr>
          <w:b/>
          <w:bCs/>
        </w:rPr>
        <w:t xml:space="preserve">efectivo</w:t>
      </w:r>
      <w:r>
        <w:t xml:space="preserve">: media geométrica de los bilaterales ponderada por el comercio con cada socio;</w:t>
      </w:r>
    </w:p>
    <w:p>
      <w:pPr>
        <w:numPr>
          <w:ilvl w:val="1"/>
          <w:numId w:val="1095"/>
        </w:numPr>
      </w:pPr>
      <w:r>
        <w:rPr>
          <w:b/>
          <w:bCs/>
        </w:rPr>
        <w:t xml:space="preserve">real</w:t>
      </w:r>
      <w:r>
        <w:t xml:space="preserve">:</w:t>
      </w:r>
      <w:r>
        <w:t xml:space="preserve"> </w:t>
      </w:r>
      <m:oMath>
        <m:r>
          <m:t>q</m:t>
        </m:r>
        <m:r>
          <m:rPr>
            <m:sty m:val="p"/>
          </m:rPr>
          <m:t>≡</m:t>
        </m:r>
        <m:r>
          <m:t>E</m:t>
        </m:r>
        <m:sSup>
          <m:e>
            <m:r>
              <m:t>P</m:t>
            </m:r>
          </m:e>
          <m:sup>
            <m:r>
              <m:rPr>
                <m:sty m:val="p"/>
              </m:rPr>
              <m:t>*</m:t>
            </m:r>
          </m:sup>
        </m:sSup>
        <m:r>
          <m:rPr>
            <m:sty m:val="p"/>
          </m:rPr>
          <m:t>/</m:t>
        </m:r>
        <m:r>
          <m:t>P</m:t>
        </m:r>
      </m:oMath>
      <w:r>
        <w:t xml:space="preserve">; si sube, la producción nacional se abarata frente a la extranjera y la economía gana competitividad-precio. El efectivo real es</w:t>
      </w:r>
      <w:r>
        <w:t xml:space="preserve"> </w:t>
      </w:r>
      <m:oMath>
        <m:sSup>
          <m:e>
            <m:r>
              <m:t>q</m:t>
            </m:r>
          </m:e>
          <m:sup>
            <m:r>
              <m:t>e</m:t>
            </m:r>
            <m:r>
              <m:t>f</m:t>
            </m:r>
          </m:sup>
        </m:sSup>
        <m:r>
          <m:rPr>
            <m:sty m:val="p"/>
          </m:rPr>
          <m:t>=</m:t>
        </m:r>
        <m:nary>
          <m:naryPr>
            <m:chr m:val="∏"/>
            <m:limLoc m:val="undOvr"/>
            <m:subHide m:val="off"/>
            <m:supHide m:val="on"/>
          </m:naryPr>
          <m:sub>
            <m:r>
              <m:t>i</m:t>
            </m:r>
          </m:sub>
          <m:sup>
            <m:r>
              <m:t>​</m:t>
            </m:r>
          </m:sup>
          <m:e>
            <m:sSup>
              <m:e>
                <m:d>
                  <m:dPr>
                    <m:begChr m:val="("/>
                    <m:sepChr m:val=""/>
                    <m:endChr m:val=")"/>
                    <m:grow/>
                  </m:dPr>
                  <m:e>
                    <m:sSub>
                      <m:e>
                        <m:r>
                          <m:t>E</m:t>
                        </m:r>
                      </m:e>
                      <m:sub>
                        <m:r>
                          <m:t>i</m:t>
                        </m:r>
                      </m:sub>
                    </m:sSub>
                    <m:sSubSup>
                      <m:e>
                        <m:r>
                          <m:t>P</m:t>
                        </m:r>
                      </m:e>
                      <m:sub>
                        <m:r>
                          <m:t>i</m:t>
                        </m:r>
                      </m:sub>
                      <m:sup>
                        <m:r>
                          <m:rPr>
                            <m:sty m:val="p"/>
                          </m:rPr>
                          <m:t>*</m:t>
                        </m:r>
                      </m:sup>
                    </m:sSubSup>
                    <m:r>
                      <m:rPr>
                        <m:sty m:val="p"/>
                      </m:rPr>
                      <m:t>/</m:t>
                    </m:r>
                    <m:r>
                      <m:t>P</m:t>
                    </m:r>
                  </m:e>
                </m:d>
              </m:e>
              <m:sup>
                <m:sSub>
                  <m:e>
                    <m:r>
                      <m:t>ω</m:t>
                    </m:r>
                  </m:e>
                  <m:sub>
                    <m:r>
                      <m:t>i</m:t>
                    </m:r>
                  </m:sub>
                </m:sSub>
              </m:sup>
            </m:sSup>
          </m:e>
        </m:nary>
      </m:oMath>
      <w:r>
        <w:t xml:space="preserve">; con los CLU en lugar de los precios se obtiene la competitividad en costes.</w:t>
      </w:r>
    </w:p>
    <w:p>
      <w:pPr>
        <w:numPr>
          <w:ilvl w:val="0"/>
          <w:numId w:val="1094"/>
        </w:numPr>
      </w:pPr>
      <w:r>
        <w:rPr>
          <w:i/>
          <w:iCs/>
        </w:rPr>
        <w:t xml:space="preserve">Cuidado con las unidades</w:t>
      </w:r>
      <w:r>
        <w:t xml:space="preserve">: el BCE y el Banco de España publican los índices al revés (una subida es una apreciación y una pérdida de competitividad)</w:t>
      </w:r>
      <w:r>
        <w:t xml:space="preserve"> </w:t>
      </w:r>
      <w:hyperlink r:id="rId116">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94"/>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94"/>
        </w:numPr>
      </w:pPr>
      <w:r>
        <w:rPr>
          <w:i/>
          <w:iCs/>
        </w:rPr>
        <w:t xml:space="preserve">Cómo se lee</w:t>
      </w:r>
      <w:r>
        <w:t xml:space="preserve">: la competitividad-precio mejora por depreciación nominal o por una inflación menor que la de los socios (devaluación interna).</w:t>
      </w:r>
    </w:p>
    <w:bookmarkStart w:id="158" w:name="traspaso_pass_through"/>
    <w:p>
      <w:pPr>
        <w:pStyle w:val="Heading4"/>
      </w:pPr>
      <w:r>
        <w:t xml:space="preserve">Traspaso (</w:t>
      </w:r>
      <w:r>
        <w:rPr>
          <w:i/>
          <w:iCs/>
        </w:rPr>
        <w:t xml:space="preserve">pass-through</w:t>
      </w:r>
      <w:r>
        <w:t xml:space="preserve">)</w:t>
      </w:r>
    </w:p>
    <w:p>
      <w:pPr>
        <w:numPr>
          <w:ilvl w:val="0"/>
          <w:numId w:val="1096"/>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 Se preguntó en 2026.</w:t>
      </w:r>
    </w:p>
    <w:p>
      <w:pPr>
        <w:numPr>
          <w:ilvl w:val="0"/>
          <w:numId w:val="1096"/>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96"/>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58"/>
    <w:bookmarkStart w:id="160"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97"/>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97"/>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w:t>
      </w:r>
    </w:p>
    <w:p>
      <w:pPr>
        <w:numPr>
          <w:ilvl w:val="0"/>
          <w:numId w:val="1097"/>
        </w:numPr>
      </w:pPr>
      <w:r>
        <w:rPr>
          <w:i/>
          <w:iCs/>
        </w:rPr>
        <w:t xml:space="preserve">Cómo se comprueba en el cuadro</w:t>
      </w:r>
      <w:r>
        <w:t xml:space="preserve"> </w:t>
      </w:r>
      <w:r>
        <w:t xml:space="preserve">(2022):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59">
        <w:r>
          <w:rPr>
            <w:rStyle w:val="Referenciaatema"/>
          </w:rPr>
          <w:t xml:space="preserve">[ver tema 3.B.12]</w:t>
        </w:r>
      </w:hyperlink>
      <w:r>
        <w:t xml:space="preserve">.</w:t>
      </w:r>
    </w:p>
    <w:bookmarkEnd w:id="160"/>
    <w:bookmarkStart w:id="162" w:name="r__gimen_cambiario_e_intervenci__n"/>
    <w:p>
      <w:pPr>
        <w:pStyle w:val="Heading4"/>
      </w:pPr>
      <w:r>
        <w:t xml:space="preserve">Régimen cambiario e intervención</w:t>
      </w:r>
    </w:p>
    <w:p>
      <w:pPr>
        <w:numPr>
          <w:ilvl w:val="0"/>
          <w:numId w:val="1098"/>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161">
        <w:r>
          <w:rPr>
            <w:rStyle w:val="Referenciaatema"/>
          </w:rPr>
          <w:t xml:space="preserve">[ver tema 3.B.15]</w:t>
        </w:r>
      </w:hyperlink>
      <w:r>
        <w:t xml:space="preserve">.</w:t>
      </w:r>
    </w:p>
    <w:p>
      <w:pPr>
        <w:numPr>
          <w:ilvl w:val="0"/>
          <w:numId w:val="1098"/>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98"/>
        </w:numPr>
      </w:pPr>
      <w:r>
        <w:rPr>
          <w:i/>
          <w:iCs/>
        </w:rPr>
        <w:t xml:space="preserve">Efecto de comprar divisas sobre la inflación</w:t>
      </w:r>
      <w:r>
        <w:t xml:space="preserve"> </w:t>
      </w:r>
      <w:r>
        <w:t xml:space="preserve">(2021):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V.2</w:t>
        </w:r>
      </w:hyperlink>
      <w:r>
        <w:t xml:space="preserve">).</w:t>
      </w:r>
    </w:p>
    <w:bookmarkEnd w:id="162"/>
    <w:bookmarkEnd w:id="163"/>
    <w:bookmarkStart w:id="169" w:name="sec_no_precio"/>
    <w:p>
      <w:pPr>
        <w:pStyle w:val="Heading2"/>
      </w:pPr>
      <w:r>
        <w:t xml:space="preserve">IV.3.</w:t>
      </w:r>
      <w:r>
        <w:t xml:space="preserve"> </w:t>
      </w:r>
      <w:r>
        <w:t xml:space="preserve">Competitividad no precio y política comercial</w:t>
      </w:r>
    </w:p>
    <w:p>
      <w:pPr>
        <w:numPr>
          <w:ilvl w:val="0"/>
          <w:numId w:val="1099"/>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99"/>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99"/>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99"/>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99"/>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164">
        <w:r>
          <w:rPr>
            <w:rStyle w:val="Referenciaatema"/>
          </w:rPr>
          <w:t xml:space="preserve">[ver tema 3.B.6]</w:t>
        </w:r>
      </w:hyperlink>
      <w:r>
        <w:t xml:space="preserve"> </w:t>
      </w:r>
      <w:hyperlink r:id="rId116">
        <w:r>
          <w:rPr>
            <w:rStyle w:val="Referenciaatema"/>
          </w:rPr>
          <w:t xml:space="preserve">[ver tema 4.A.22]</w:t>
        </w:r>
      </w:hyperlink>
      <w:r>
        <w:t xml:space="preserve">.</w:t>
      </w:r>
    </w:p>
    <w:bookmarkStart w:id="168" w:name="aranceles_y_fragmentaci__n_del_comercio"/>
    <w:p>
      <w:pPr>
        <w:pStyle w:val="Heading4"/>
      </w:pPr>
      <w:r>
        <w:t xml:space="preserve">Aranceles y fragmentación del comercio</w:t>
      </w:r>
    </w:p>
    <w:p>
      <w:pPr>
        <w:numPr>
          <w:ilvl w:val="0"/>
          <w:numId w:val="1100"/>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100"/>
        </w:numPr>
      </w:pPr>
      <w:r>
        <w:rPr>
          <w:i/>
          <w:iCs/>
        </w:rPr>
        <w:t xml:space="preserve">Efecto de los aranceles de un tercero</w:t>
      </w:r>
      <w:r>
        <w:t xml:space="preserve"> </w:t>
      </w:r>
      <w:r>
        <w:t xml:space="preserve">sobre el país (2026, por la política arancelaria de Estados Unidos):</w:t>
      </w:r>
    </w:p>
    <w:p>
      <w:pPr>
        <w:numPr>
          <w:ilvl w:val="1"/>
          <w:numId w:val="1101"/>
        </w:numPr>
      </w:pPr>
      <w:r>
        <w:rPr>
          <w:i/>
          <w:iCs/>
        </w:rPr>
        <w:t xml:space="preserve">directo</w:t>
      </w:r>
      <w:r>
        <w:t xml:space="preserve">: caen las exportaciones a ese destino, según su peso y la elasticidad de cada producto;</w:t>
      </w:r>
    </w:p>
    <w:p>
      <w:pPr>
        <w:numPr>
          <w:ilvl w:val="1"/>
          <w:numId w:val="1101"/>
        </w:numPr>
      </w:pPr>
      <w:r>
        <w:rPr>
          <w:i/>
          <w:iCs/>
        </w:rPr>
        <w:t xml:space="preserve">indirecto</w:t>
      </w:r>
      <w:r>
        <w:t xml:space="preserve">: por las cadenas de valor y la menor demanda mundial;</w:t>
      </w:r>
    </w:p>
    <w:p>
      <w:pPr>
        <w:numPr>
          <w:ilvl w:val="1"/>
          <w:numId w:val="1101"/>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101"/>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100"/>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100"/>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165">
        <w:r>
          <w:rPr>
            <w:rStyle w:val="Referenciaatema"/>
          </w:rPr>
          <w:t xml:space="preserve">[ver tema 3.B.7]</w:t>
        </w:r>
      </w:hyperlink>
      <w:r>
        <w:t xml:space="preserve"> </w:t>
      </w:r>
      <w:hyperlink r:id="rId166">
        <w:r>
          <w:rPr>
            <w:rStyle w:val="Referenciaatema"/>
          </w:rPr>
          <w:t xml:space="preserve">[ver tema 3.B.33]</w:t>
        </w:r>
      </w:hyperlink>
      <w:r>
        <w:t xml:space="preserve"> </w:t>
      </w:r>
      <w:hyperlink r:id="rId167">
        <w:r>
          <w:rPr>
            <w:rStyle w:val="Referenciaatema"/>
          </w:rPr>
          <w:t xml:space="preserve">[ver tema 3.B.41]</w:t>
        </w:r>
      </w:hyperlink>
      <w:r>
        <w:t xml:space="preserve">.</w:t>
      </w:r>
    </w:p>
    <w:p>
      <w:pPr>
        <w:numPr>
          <w:ilvl w:val="0"/>
          <w:numId w:val="1102"/>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168"/>
    <w:bookmarkEnd w:id="169"/>
    <w:bookmarkEnd w:id="170"/>
    <w:bookmarkStart w:id="187" w:name="sec_exterior"/>
    <w:p>
      <w:pPr>
        <w:pStyle w:val="Heading1"/>
      </w:pPr>
      <w:r>
        <w:t xml:space="preserve">V.</w:t>
      </w:r>
      <w:r>
        <w:t xml:space="preserve"> </w:t>
      </w:r>
      <w:r>
        <w:t xml:space="preserve">Sector exterior</w:t>
      </w:r>
    </w:p>
    <w:p>
      <w:pPr>
        <w:numPr>
          <w:ilvl w:val="0"/>
          <w:numId w:val="1103"/>
        </w:numPr>
      </w:pPr>
      <w:r>
        <w:t xml:space="preserve">La conclusión por adelantado: el sector exterior se analiza en 4 preguntas encadenadas: ¿hay capacidad o necesidad de financiación y por qué?, ¿cómo se financia?, ¿qué posición acumula el país frente al exterior? y ¿es sostenible? Ser deudor no es malo en sí: lo que importa es la sostenibilidad (enfoque intertemporal,</w:t>
      </w:r>
      <w:r>
        <w:t xml:space="preserve"> </w:t>
      </w:r>
      <w:hyperlink r:id="rId159">
        <w:r>
          <w:rPr>
            <w:rStyle w:val="Referenciaatema"/>
          </w:rPr>
          <w:t xml:space="preserve">[ver tema 3.B.12]</w:t>
        </w:r>
      </w:hyperlink>
      <w:r>
        <w:t xml:space="preserve">).</w:t>
      </w:r>
    </w:p>
    <w:p>
      <w:pPr>
        <w:numPr>
          <w:ilvl w:val="0"/>
          <w:numId w:val="1103"/>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bookmarkStart w:id="180" w:name="sec_cuenta_corriente"/>
    <w:p>
      <w:pPr>
        <w:pStyle w:val="Heading2"/>
      </w:pPr>
      <w:r>
        <w:t xml:space="preserve">V.1.</w:t>
      </w:r>
      <w:r>
        <w:t xml:space="preserve"> </w:t>
      </w:r>
      <w:r>
        <w:t xml:space="preserve">Capacidad o necesidad de financiación</w:t>
      </w:r>
    </w:p>
    <w:bookmarkStart w:id="174" w:name="la_balanza_de_pagos"/>
    <w:p>
      <w:pPr>
        <w:pStyle w:val="Heading4"/>
      </w:pPr>
      <w:r>
        <w:t xml:space="preserve">La balanza de pagos</w:t>
      </w:r>
    </w:p>
    <w:p>
      <w:pPr>
        <w:numPr>
          <w:ilvl w:val="0"/>
          <w:numId w:val="1104"/>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104"/>
        </w:numPr>
      </w:pPr>
      <w:r>
        <w:rPr>
          <w:i/>
          <w:iCs/>
        </w:rPr>
        <w:t xml:space="preserve">Cómo se escribe</w:t>
      </w:r>
      <w:r>
        <w:t xml:space="preserve"> </w:t>
      </w:r>
      <w:r>
        <w:t xml:space="preserve">(MBP6,</w:t>
      </w:r>
      <w:r>
        <w:t xml:space="preserve"> </w:t>
      </w:r>
      <w:hyperlink r:id="rId54">
        <w:r>
          <w:rPr>
            <w:rStyle w:val="Referenciaatema"/>
          </w:rPr>
          <w:t xml:space="preserve">[ver tema 3.B.11]</w:t>
        </w:r>
      </w:hyperlink>
      <w:r>
        <w:t xml:space="preserve">):</w:t>
      </w:r>
      <w:r>
        <w:rPr>
          <w:rStyle w:val="FootnoteReference"/>
        </w:rPr>
        <w:footnoteReference w:id="171"/>
      </w:r>
      <w:r>
        <w:t xml:space="preserve"> </w:t>
      </w:r>
      <w:bookmarkStart w:id="172" w:name="eq_identidad_bp"/>
      <w:bookmarkEnd w:id="172"/>
    </w:p>
    <w:p>
      <w:pPr>
        <w:pStyle w:val="BodyText"/>
        <w:keepNext/>
      </w:pPr>
      <m:oMathPara>
        <m:oMathParaPr>
          <m:jc m:val="center"/>
        </m:oMathParaPr>
        <m:oMath>
          <m:limLow>
            <m:e>
              <m:limLow>
                <m:e>
                  <m:r>
                    <m:rPr>
                      <m:sty m:val="p"/>
                    </m:rPr>
                    <m:t>C</m:t>
                  </m:r>
                  <m:r>
                    <m:rPr>
                      <m:sty m:val="p"/>
                    </m:rPr>
                    <m:t>C</m:t>
                  </m:r>
                  <m:r>
                    <m:rPr>
                      <m:sty m:val="p"/>
                    </m:rPr>
                    <m:t>+</m:t>
                  </m:r>
                  <m:r>
                    <m:rPr>
                      <m:sty m:val="p"/>
                    </m:rPr>
                    <m:t>C</m:t>
                  </m:r>
                  <m:r>
                    <m:rPr>
                      <m:sty m:val="p"/>
                    </m:rPr>
                    <m:t>K</m:t>
                  </m:r>
                </m:e>
                <m:lim>
                  <m:r>
                    <m:rPr>
                      <m:sty m:val="p"/>
                    </m:rPr>
                    <m:t>⏟</m:t>
                  </m:r>
                </m:lim>
              </m:limLow>
            </m:e>
            <m:lim>
              <m:r>
                <m:rPr>
                  <m:nor/>
                  <m:sty m:val="p"/>
                </m:rPr>
                <m:t>capacidad (+) o necesidad (</m:t>
              </m:r>
              <m:r>
                <m:rPr>
                  <m:sty m:val="p"/>
                </m:rPr>
                <m:t>−</m:t>
              </m:r>
              <m:r>
                <m:rPr>
                  <m:nor/>
                  <m:sty m:val="p"/>
                </m:rPr>
                <m:t>) de financiación</m:t>
              </m:r>
            </m:lim>
          </m:limLow>
          <m:r>
            <m:rPr>
              <m:sty m:val="p"/>
            </m:rPr>
            <m:t>+</m:t>
          </m:r>
          <m:r>
            <m:t> </m:t>
          </m:r>
          <m:r>
            <m:rPr>
              <m:sty m:val="p"/>
            </m:rPr>
            <m:t>E</m:t>
          </m:r>
          <m:r>
            <m:rPr>
              <m:sty m:val="p"/>
            </m:rPr>
            <m:t>O</m:t>
          </m:r>
          <m:r>
            <m:rPr>
              <m:sty m:val="p"/>
            </m:rPr>
            <m:t>=</m:t>
          </m:r>
          <m:r>
            <m:rPr>
              <m:sty m:val="p"/>
            </m:rPr>
            <m:t>C</m:t>
          </m:r>
          <m:r>
            <m:rPr>
              <m:sty m:val="p"/>
            </m:rPr>
            <m:t>F</m:t>
          </m:r>
          <m:r>
            <m:rPr>
              <m:sty m:val="p"/>
            </m:rPr>
            <m:t>=</m:t>
          </m:r>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r>
            <m:rPr>
              <m:sty m:val="p"/>
            </m:rPr>
            <m:t>,</m:t>
          </m:r>
        </m:oMath>
      </m:oMathPara>
    </w:p>
    <w:p>
      <w:pPr>
        <w:numPr>
          <w:ilvl w:val="0"/>
          <w:numId w:val="1000"/>
        </w:numPr>
      </w:pPr>
      <w:r>
        <w:t xml:space="preserve">con</w:t>
      </w:r>
      <w:r>
        <w:t xml:space="preserve"> </w:t>
      </w:r>
      <m:oMath>
        <m:r>
          <m:rPr>
            <m:sty m:val="p"/>
          </m:rPr>
          <m:t>C</m:t>
        </m:r>
        <m:r>
          <m:rPr>
            <m:sty m:val="p"/>
          </m:rPr>
          <m:t>C</m:t>
        </m:r>
        <m:r>
          <m:rPr>
            <m:sty m:val="p"/>
          </m:rPr>
          <m:t>=</m:t>
        </m:r>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oMath>
      <w:r>
        <w:t xml:space="preserve"> </w:t>
      </w:r>
      <w:r>
        <w:t xml:space="preserve">(bienes y servicios, rentas primarias y rentas secundarias),</w:t>
      </w:r>
      <w:r>
        <w:t xml:space="preserve"> </w:t>
      </w:r>
      <m:oMath>
        <m:r>
          <m:rPr>
            <m:sty m:val="p"/>
          </m:rPr>
          <m:t>C</m:t>
        </m:r>
        <m:r>
          <m:rPr>
            <m:sty m:val="p"/>
          </m:rPr>
          <m:t>K</m:t>
        </m:r>
      </m:oMath>
      <w:r>
        <w:t xml:space="preserve"> </w:t>
      </w:r>
      <w:r>
        <w:t xml:space="preserve">la cuenta de capital,</w:t>
      </w:r>
      <w:r>
        <w:t xml:space="preserve"> </w:t>
      </w:r>
      <m:oMath>
        <m:r>
          <m:rPr>
            <m:sty m:val="p"/>
          </m:rPr>
          <m:t>E</m:t>
        </m:r>
        <m:r>
          <m:rPr>
            <m:sty m:val="p"/>
          </m:rPr>
          <m:t>O</m:t>
        </m:r>
      </m:oMath>
      <w:r>
        <w:t xml:space="preserve"> </w:t>
      </w:r>
      <w:r>
        <w:t xml:space="preserve">errores y omisiones, y en la cuenta financiera la inversión directa, la de cartera, los derivados, la otra inversión y la variación de las reservas.</w:t>
      </w:r>
    </w:p>
    <w:p>
      <w:pPr>
        <w:keepNext/>
        <w:numPr>
          <w:ilvl w:val="0"/>
          <w:numId w:val="1104"/>
        </w:numPr>
      </w:pPr>
      <w:r>
        <w:rPr>
          <w:i/>
          <w:iCs/>
        </w:rPr>
        <w:t xml:space="preserve">Por subcuentas</w:t>
      </w:r>
      <w:r>
        <w:t xml:space="preserve">:</w:t>
      </w:r>
    </w:p>
    <w:p>
      <w:pPr>
        <w:numPr>
          <w:ilvl w:val="1"/>
          <w:numId w:val="1105"/>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105"/>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II.2</w:t>
        </w:r>
      </w:hyperlink>
      <w:r>
        <w:t xml:space="preserve">);</w:t>
      </w:r>
    </w:p>
    <w:p>
      <w:pPr>
        <w:numPr>
          <w:ilvl w:val="1"/>
          <w:numId w:val="1105"/>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105"/>
        </w:numPr>
      </w:pPr>
      <w:r>
        <w:rPr>
          <w:i/>
          <w:iCs/>
        </w:rPr>
        <w:t xml:space="preserve">cuenta de capital</w:t>
      </w:r>
      <w:r>
        <w:t xml:space="preserve">: transferencias de capital (fondos europeos para inversión) y compraventa de activos no producidos; pequeña, pero hay que sumarla.</w:t>
      </w:r>
      <w:r>
        <w:rPr>
          <w:rStyle w:val="FootnoteReference"/>
        </w:rPr>
        <w:footnoteReference w:id="173"/>
      </w:r>
    </w:p>
    <w:p>
      <w:pPr>
        <w:numPr>
          <w:ilvl w:val="0"/>
          <w:numId w:val="1104"/>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bookmarkEnd w:id="174"/>
    <w:bookmarkStart w:id="177" w:name="apertura_penetraci__n_de_importaci_32273"/>
    <w:p>
      <w:pPr>
        <w:pStyle w:val="Heading4"/>
      </w:pPr>
      <w:r>
        <w:t xml:space="preserve">Apertura, penetración de importaciones y relación real de intercambio</w:t>
      </w:r>
    </w:p>
    <w:p>
      <w:pPr>
        <w:numPr>
          <w:ilvl w:val="0"/>
          <w:numId w:val="1106"/>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175">
        <w:r>
          <w:rPr>
            <w:rStyle w:val="Referenciaatema"/>
          </w:rPr>
          <w:t xml:space="preserve">[ver tema 3.B.9]</w:t>
        </w:r>
      </w:hyperlink>
      <w:r>
        <w:t xml:space="preserve">.</w:t>
      </w:r>
    </w:p>
    <w:p>
      <w:pPr>
        <w:numPr>
          <w:ilvl w:val="0"/>
          <w:numId w:val="1106"/>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106"/>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si sube, con las mismas exportaciones se compran más importaciones (ganancia de renta), salvo que suba porque los precios de exportación se encarecen y se pierde competitividad. Para la competitividad es mejor el tipo de cambio real (apartado </w:t>
      </w:r>
      <w:hyperlink w:anchor="sec_tipo_cambio">
        <w:r>
          <w:rPr>
            <w:rStyle w:val="Hyperlink"/>
          </w:rPr>
          <w:t xml:space="preserve">IV.2</w:t>
        </w:r>
      </w:hyperlink>
      <w:r>
        <w:t xml:space="preserve">)</w:t>
      </w:r>
      <w:r>
        <w:t xml:space="preserve"> </w:t>
      </w:r>
      <w:hyperlink r:id="rId176">
        <w:r>
          <w:rPr>
            <w:rStyle w:val="Referenciaatema"/>
          </w:rPr>
          <w:t xml:space="preserve">[ver tema 3.B.5]</w:t>
        </w:r>
      </w:hyperlink>
      <w:r>
        <w:t xml:space="preserve">.</w:t>
      </w:r>
    </w:p>
    <w:bookmarkEnd w:id="177"/>
    <w:bookmarkStart w:id="179" w:name="ahorro_inversi__n_y_saldos_sectoriales"/>
    <w:p>
      <w:pPr>
        <w:pStyle w:val="Heading4"/>
      </w:pPr>
      <w:r>
        <w:t xml:space="preserve">Ahorro, inversión y saldos sectoriales</w:t>
      </w:r>
    </w:p>
    <w:p>
      <w:pPr>
        <w:numPr>
          <w:ilvl w:val="0"/>
          <w:numId w:val="1107"/>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 un déficit corriente es un exceso de inversión sobre el ahorro nacional.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keepNext/>
        <w:numPr>
          <w:ilvl w:val="0"/>
          <w:numId w:val="1107"/>
        </w:numPr>
      </w:pPr>
      <w:r>
        <w:rPr>
          <w:i/>
          <w:iCs/>
        </w:rPr>
        <w:t xml:space="preserve">Cómo se lee</w:t>
      </w:r>
      <w:r>
        <w:t xml:space="preserve">:</w:t>
      </w:r>
    </w:p>
    <w:p>
      <w:pPr>
        <w:numPr>
          <w:ilvl w:val="1"/>
          <w:numId w:val="1108"/>
        </w:numPr>
      </w:pPr>
      <w:r>
        <w:t xml:space="preserve">un déficit por</w:t>
      </w:r>
      <w:r>
        <w:t xml:space="preserve"> </w:t>
      </w:r>
      <w:r>
        <w:rPr>
          <w:i/>
          <w:iCs/>
        </w:rPr>
        <w:t xml:space="preserve">poco ahorro</w:t>
      </w:r>
      <w:r>
        <w:t xml:space="preserve"> </w:t>
      </w:r>
      <w:r>
        <w:t xml:space="preserve">(consumo excesivo, déficit público) es peor que uno por</w:t>
      </w:r>
      <w:r>
        <w:t xml:space="preserve"> </w:t>
      </w:r>
      <w:r>
        <w:rPr>
          <w:i/>
          <w:iCs/>
        </w:rPr>
        <w:t xml:space="preserve">mucha inversión</w:t>
      </w:r>
      <w:r>
        <w:t xml:space="preserve"> </w:t>
      </w:r>
      <w:r>
        <w:t xml:space="preserve">productiva, que eleva la capacidad de pago futura;</w:t>
      </w:r>
    </w:p>
    <w:p>
      <w:pPr>
        <w:numPr>
          <w:ilvl w:val="1"/>
          <w:numId w:val="1108"/>
        </w:numPr>
      </w:pPr>
      <w:r>
        <w:t xml:space="preserve">si viene del</w:t>
      </w:r>
      <w:r>
        <w:t xml:space="preserve"> </w:t>
      </w:r>
      <w:r>
        <w:rPr>
          <w:i/>
          <w:iCs/>
        </w:rPr>
        <w:t xml:space="preserve">sector privado</w:t>
      </w:r>
      <w:r>
        <w:t xml:space="preserve"> </w:t>
      </w:r>
      <w:r>
        <w:t xml:space="preserve">(hogares y empresas que invierten con crédito), el riesgo es una corrección brusca cuando se corte el crédito; si viene del</w:t>
      </w:r>
      <w:r>
        <w:t xml:space="preserve"> </w:t>
      </w:r>
      <w:r>
        <w:rPr>
          <w:i/>
          <w:iCs/>
        </w:rPr>
        <w:t xml:space="preserve">público</w:t>
      </w:r>
      <w:r>
        <w:t xml:space="preserve">, es un problema de sostenibilidad fiscal;</w:t>
      </w:r>
    </w:p>
    <w:p>
      <w:pPr>
        <w:numPr>
          <w:ilvl w:val="1"/>
          <w:numId w:val="1108"/>
        </w:numPr>
      </w:pPr>
      <w:r>
        <w:t xml:space="preserve">en las crisis el sector privado suele pasar a ahorrar y el público a endeudarse: los saldos se compensan (se preguntó en 2018);</w:t>
      </w:r>
    </w:p>
    <w:p>
      <w:pPr>
        <w:numPr>
          <w:ilvl w:val="1"/>
          <w:numId w:val="1108"/>
        </w:numPr>
      </w:pPr>
      <w:r>
        <w:t xml:space="preserve">un</w:t>
      </w:r>
      <w:r>
        <w:t xml:space="preserve"> </w:t>
      </w:r>
      <w:r>
        <w:rPr>
          <w:i/>
          <w:i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108"/>
        </w:numPr>
      </w:pPr>
      <w:r>
        <w:t xml:space="preserve">la</w:t>
      </w:r>
      <w:r>
        <w:t xml:space="preserve"> </w:t>
      </w:r>
      <w:r>
        <w:rPr>
          <w:i/>
          <w:iCs/>
        </w:rPr>
        <w:t xml:space="preserve">volatilidad</w:t>
      </w:r>
      <w:r>
        <w:t xml:space="preserve"> </w:t>
      </w:r>
      <w:r>
        <w:t xml:space="preserve">de la capacidad de financiación (2023) suele venir de la balanza energética, de los beneficios de las multinacionales o de los fondos europeos.</w:t>
      </w:r>
    </w:p>
    <w:p>
      <w:pPr>
        <w:numPr>
          <w:ilvl w:val="0"/>
          <w:numId w:val="1107"/>
        </w:numPr>
      </w:pPr>
      <w:r>
        <w:rPr>
          <w:b/>
          <w:bCs/>
        </w:rPr>
        <w:t xml:space="preserve">Déficits gemelos</w:t>
      </w:r>
      <w:r>
        <w:t xml:space="preserve">: si el saldo privado no cambia, más déficit público es más déficit exterior. La causalidad iría por 2 vías</w:t>
      </w:r>
      <w:r>
        <w:t xml:space="preserve"> </w:t>
      </w:r>
      <w:hyperlink r:id="rId178">
        <w:r>
          <w:rPr>
            <w:rStyle w:val="Referenciaatema"/>
          </w:rPr>
          <w:t xml:space="preserve">[ver tema 3.A.32]</w:t>
        </w:r>
      </w:hyperlink>
      <w:r>
        <w:t xml:space="preserve">:</w:t>
      </w:r>
      <w:r>
        <w:t xml:space="preserve"> </w:t>
      </w:r>
      <m:oMath>
        <m:r>
          <m:rPr>
            <m:sty m:val="p"/>
          </m:rPr>
          <m:t>↓</m:t>
        </m:r>
        <m:d>
          <m:dPr>
            <m:begChr m:val="("/>
            <m:sepChr m:val=""/>
            <m:endChr m:val=")"/>
            <m:grow/>
          </m:dPr>
          <m:e>
            <m:r>
              <m:t>T</m:t>
            </m:r>
            <m:r>
              <m:rPr>
                <m:sty m:val="p"/>
              </m:rPr>
              <m:t>−</m:t>
            </m:r>
            <m:r>
              <m:t>G</m:t>
            </m:r>
          </m:e>
        </m:d>
        <m:r>
          <m:rPr>
            <m:sty m:val="p"/>
          </m:rPr>
          <m:t>⇒</m:t>
        </m:r>
        <m:r>
          <m:rPr>
            <m:sty m:val="p"/>
          </m:rPr>
          <m:t>↑</m:t>
        </m:r>
        <m:r>
          <m:t>i</m:t>
        </m:r>
        <m:r>
          <m:rPr>
            <m:sty m:val="p"/>
          </m:rPr>
          <m:t>⇒</m:t>
        </m:r>
      </m:oMath>
      <w:r>
        <w:t xml:space="preserve"> </w:t>
      </w:r>
      <w:r>
        <w:t xml:space="preserve">entrada de capitales</w:t>
      </w:r>
      <w:r>
        <w:t xml:space="preserve"> </w:t>
      </w:r>
      <m:oMath>
        <m:r>
          <m:rPr>
            <m:sty m:val="p"/>
          </m:rPr>
          <m:t>⇒</m:t>
        </m:r>
        <m:r>
          <m:rPr>
            <m:sty m:val="p"/>
          </m:rPr>
          <m:t>↓</m:t>
        </m:r>
        <m:r>
          <m:t>E</m:t>
        </m:r>
      </m:oMath>
      <w:r>
        <w:t xml:space="preserve"> </w:t>
      </w:r>
      <w:r>
        <w:t xml:space="preserve">(apreciación)</w:t>
      </w:r>
      <w:r>
        <w:t xml:space="preserve"> </w:t>
      </w:r>
      <m:oMath>
        <m:r>
          <m:rPr>
            <m:sty m:val="p"/>
          </m:rPr>
          <m:t>⇒</m:t>
        </m:r>
        <m:r>
          <m:rPr>
            <m:sty m:val="p"/>
          </m:rPr>
          <m:t>↓</m:t>
        </m:r>
        <m:d>
          <m:dPr>
            <m:begChr m:val="("/>
            <m:sepChr m:val=""/>
            <m:endChr m:val=")"/>
            <m:grow/>
          </m:dPr>
          <m:e>
            <m:r>
              <m:t>X</m:t>
            </m:r>
            <m:r>
              <m:rPr>
                <m:sty m:val="p"/>
              </m:rPr>
              <m:t>−</m:t>
            </m:r>
            <m:r>
              <m:t>M</m:t>
            </m:r>
          </m:e>
        </m:d>
      </m:oMath>
      <w:r>
        <w:t xml:space="preserve">; y</w:t>
      </w:r>
      <w:r>
        <w:t xml:space="preserve"> </w:t>
      </w:r>
      <m:oMath>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oMath>
      <w:r>
        <w:t xml:space="preserve">. En los datos no siempre van juntos: si el sector privado ahorra más cuando el Estado gasta más, el déficit exterior puede corregirse.</w:t>
      </w:r>
    </w:p>
    <w:p>
      <w:pPr>
        <w:numPr>
          <w:ilvl w:val="0"/>
          <w:numId w:val="1107"/>
        </w:numPr>
      </w:pPr>
      <w:r>
        <w:t xml:space="preserve">Si el cuadro no da el ahorro nacional pero sí el de los hogares o el privado, se dice y se razona con él suponiendo que el nacional sigue la misma tónica.</w:t>
      </w:r>
    </w:p>
    <w:bookmarkEnd w:id="179"/>
    <w:bookmarkEnd w:id="180"/>
    <w:bookmarkStart w:id="182" w:name="sec_financiacion"/>
    <w:p>
      <w:pPr>
        <w:pStyle w:val="Heading2"/>
      </w:pPr>
      <w:r>
        <w:t xml:space="preserve">V.2.</w:t>
      </w:r>
      <w:r>
        <w:t xml:space="preserve"> </w:t>
      </w:r>
      <w:r>
        <w:t xml:space="preserve">Cómo se financia</w:t>
      </w:r>
    </w:p>
    <w:p>
      <w:pPr>
        <w:keepNext/>
        <w:numPr>
          <w:ilvl w:val="0"/>
          <w:numId w:val="1109"/>
        </w:numPr>
      </w:pPr>
      <w:r>
        <w:rPr>
          <w:i/>
          <w:iCs/>
        </w:rPr>
        <w:t xml:space="preserve">Qué se mira</w:t>
      </w:r>
      <w:r>
        <w:t xml:space="preserve">: la cuenta financiera por instrumentos, porque no es lo mismo financiarse con capital que con deuda:</w:t>
      </w:r>
    </w:p>
    <w:p>
      <w:pPr>
        <w:numPr>
          <w:ilvl w:val="1"/>
          <w:numId w:val="1110"/>
        </w:numPr>
      </w:pPr>
      <w:r>
        <w:rPr>
          <w:i/>
          <w:iCs/>
        </w:rPr>
        <w:t xml:space="preserve">inversión directa</w:t>
      </w:r>
      <w:r>
        <w:t xml:space="preserve">: estable, con transferencia de tecnología y efectos desbordamiento;</w:t>
      </w:r>
    </w:p>
    <w:p>
      <w:pPr>
        <w:numPr>
          <w:ilvl w:val="1"/>
          <w:numId w:val="1110"/>
        </w:numPr>
      </w:pPr>
      <w:r>
        <w:rPr>
          <w:i/>
          <w:iCs/>
        </w:rPr>
        <w:t xml:space="preserve">inversión de cartera</w:t>
      </w:r>
      <w:r>
        <w:t xml:space="preserve">: volátil y con efecto rebaño ante un cambio de expectativas;</w:t>
      </w:r>
    </w:p>
    <w:p>
      <w:pPr>
        <w:numPr>
          <w:ilvl w:val="1"/>
          <w:numId w:val="1110"/>
        </w:numPr>
      </w:pPr>
      <w:r>
        <w:rPr>
          <w:i/>
          <w:iCs/>
        </w:rPr>
        <w:t xml:space="preserve">derivados</w:t>
      </w:r>
      <w:r>
        <w:t xml:space="preserve">: aún más volátiles;</w:t>
      </w:r>
    </w:p>
    <w:p>
      <w:pPr>
        <w:numPr>
          <w:ilvl w:val="1"/>
          <w:numId w:val="1110"/>
        </w:numPr>
      </w:pPr>
      <w:r>
        <w:rPr>
          <w:i/>
          <w:iCs/>
        </w:rPr>
        <w:t xml:space="preserve">otra inversión</w:t>
      </w:r>
      <w:r>
        <w:t xml:space="preserve">: préstamos y depósitos (incluidos los del Eurosistema por TARGET y los de organismos como el FMI o la UE);</w:t>
      </w:r>
    </w:p>
    <w:p>
      <w:pPr>
        <w:numPr>
          <w:ilvl w:val="1"/>
          <w:numId w:val="1110"/>
        </w:numPr>
      </w:pPr>
      <w:r>
        <w:rPr>
          <w:i/>
          <w:iCs/>
        </w:rPr>
        <w:t xml:space="preserve">reservas</w:t>
      </w:r>
      <w:r>
        <w:t xml:space="preserve">: su variación es moderada con tipo de cambio flexible y grande si el banco central interviene (apartado </w:t>
      </w:r>
      <w:hyperlink w:anchor="sec_tipo_cambio">
        <w:r>
          <w:rPr>
            <w:rStyle w:val="Hyperlink"/>
          </w:rPr>
          <w:t xml:space="preserve">IV.2</w:t>
        </w:r>
      </w:hyperlink>
      <w:r>
        <w:t xml:space="preserve">).</w:t>
      </w:r>
    </w:p>
    <w:p>
      <w:pPr>
        <w:keepNext/>
        <w:numPr>
          <w:ilvl w:val="0"/>
          <w:numId w:val="1109"/>
        </w:numPr>
      </w:pPr>
      <w:r>
        <w:rPr>
          <w:i/>
          <w:iCs/>
        </w:rPr>
        <w:t xml:space="preserve">Adecuación de las reservas</w:t>
      </w:r>
      <w:r>
        <w:t xml:space="preserve">: los indicadores clásicos son de cobertura</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111"/>
        </w:numPr>
      </w:pPr>
      <w:r>
        <w:t xml:space="preserve">al menos 3 meses de importaciones (países con poco acceso a los mercados);</w:t>
      </w:r>
    </w:p>
    <w:p>
      <w:pPr>
        <w:numPr>
          <w:ilvl w:val="1"/>
          <w:numId w:val="1111"/>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w:t>
      </w:r>
    </w:p>
    <w:p>
      <w:pPr>
        <w:numPr>
          <w:ilvl w:val="1"/>
          <w:numId w:val="1111"/>
        </w:numPr>
      </w:pPr>
      <w:r>
        <w:t xml:space="preserve">al menos el 20 % del dinero en sentido amplio, M2 (riesgo de fuga de depósitos hacia divisas, sobre todo con tipo fijo o caja de conversión);</w:t>
      </w:r>
    </w:p>
    <w:p>
      <w:pPr>
        <w:numPr>
          <w:ilvl w:val="1"/>
          <w:numId w:val="1111"/>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 Se preguntó en 2021 y 2024.</w:t>
      </w:r>
    </w:p>
    <w:p>
      <w:pPr>
        <w:numPr>
          <w:ilvl w:val="0"/>
          <w:numId w:val="1109"/>
        </w:numPr>
      </w:pPr>
      <w:r>
        <w:rPr>
          <w:i/>
          <w:iCs/>
        </w:rPr>
        <w:t xml:space="preserve">Tema</w:t>
      </w:r>
      <w:r>
        <w:t xml:space="preserve">:</w:t>
      </w:r>
      <w:r>
        <w:t xml:space="preserve"> </w:t>
      </w:r>
      <w:hyperlink r:id="rId54">
        <w:r>
          <w:rPr>
            <w:rStyle w:val="Referenciaatema"/>
          </w:rPr>
          <w:t xml:space="preserve">[ver tema 3.B.11]</w:t>
        </w:r>
      </w:hyperlink>
      <w:r>
        <w:t xml:space="preserve"> </w:t>
      </w:r>
      <w:hyperlink r:id="rId181">
        <w:r>
          <w:rPr>
            <w:rStyle w:val="Referenciaatema"/>
          </w:rPr>
          <w:t xml:space="preserve">[ver tema 3.B.22]</w:t>
        </w:r>
      </w:hyperlink>
      <w:r>
        <w:t xml:space="preserve"> </w:t>
      </w:r>
      <w:hyperlink r:id="rId55">
        <w:r>
          <w:rPr>
            <w:rStyle w:val="Referenciaatema"/>
          </w:rPr>
          <w:t xml:space="preserve">[ver tema 4.A.21]</w:t>
        </w:r>
      </w:hyperlink>
      <w:r>
        <w:t xml:space="preserve">.</w:t>
      </w:r>
    </w:p>
    <w:bookmarkEnd w:id="182"/>
    <w:bookmarkStart w:id="184" w:name="sec_piin"/>
    <w:p>
      <w:pPr>
        <w:pStyle w:val="Heading2"/>
      </w:pPr>
      <w:r>
        <w:t xml:space="preserve">V.3.</w:t>
      </w:r>
      <w:r>
        <w:t xml:space="preserve"> </w:t>
      </w:r>
      <w:r>
        <w:t xml:space="preserve">Posición de inversión internacional y deuda externa</w:t>
      </w:r>
    </w:p>
    <w:p>
      <w:pPr>
        <w:numPr>
          <w:ilvl w:val="0"/>
          <w:numId w:val="1112"/>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BodyText"/>
        <w:keepNext/>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r>
            <m:rPr>
              <m:sty m:val="p"/>
            </m:rPr>
            <m:t>,</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54">
        <w:r>
          <w:rPr>
            <w:rStyle w:val="Referenciaatema"/>
          </w:rPr>
          <w:t xml:space="preserve">[ver tema 3.B.11]</w:t>
        </w:r>
      </w:hyperlink>
      <w:r>
        <w:t xml:space="preserve">.</w:t>
      </w:r>
    </w:p>
    <w:p>
      <w:pPr>
        <w:numPr>
          <w:ilvl w:val="0"/>
          <w:numId w:val="1112"/>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112"/>
        </w:numPr>
      </w:pPr>
      <w:r>
        <w:rPr>
          <w:i/>
          <w:iCs/>
        </w:rPr>
        <w:t xml:space="preserve">Cómo se lee</w:t>
      </w:r>
      <w:r>
        <w:t xml:space="preserve">: primero, si el país es acreedor o deudor; después, cómo evoluciona y por qué; y la composición de los pasivos, que importa tanto como el nivel:</w:t>
      </w:r>
      <w:r>
        <w:rPr>
          <w:rStyle w:val="FootnoteReference"/>
        </w:rPr>
        <w:footnoteReference w:id="183"/>
      </w:r>
    </w:p>
    <w:p>
      <w:pPr>
        <w:numPr>
          <w:ilvl w:val="1"/>
          <w:numId w:val="1113"/>
        </w:numPr>
      </w:pPr>
      <w:r>
        <w:rPr>
          <w:i/>
          <w:iCs/>
        </w:rPr>
        <w:t xml:space="preserve">instrumentos</w:t>
      </w:r>
      <w:r>
        <w:t xml:space="preserve">: mejor no exigibles (inversión directa antes que cartera y que derivados);</w:t>
      </w:r>
    </w:p>
    <w:p>
      <w:pPr>
        <w:numPr>
          <w:ilvl w:val="1"/>
          <w:numId w:val="1113"/>
        </w:numPr>
      </w:pPr>
      <w:r>
        <w:rPr>
          <w:i/>
          <w:iCs/>
        </w:rPr>
        <w:t xml:space="preserve">sectores</w:t>
      </w:r>
      <w:r>
        <w:t xml:space="preserve">: los pasivos del banco central no tienen riesgo de refinanciación;</w:t>
      </w:r>
    </w:p>
    <w:p>
      <w:pPr>
        <w:numPr>
          <w:ilvl w:val="1"/>
          <w:numId w:val="1113"/>
        </w:numPr>
      </w:pPr>
      <w:r>
        <w:rPr>
          <w:i/>
          <w:iCs/>
        </w:rPr>
        <w:t xml:space="preserve">plazos</w:t>
      </w:r>
      <w:r>
        <w:t xml:space="preserve">: mejor largos;</w:t>
      </w:r>
    </w:p>
    <w:p>
      <w:pPr>
        <w:numPr>
          <w:ilvl w:val="1"/>
          <w:numId w:val="1113"/>
        </w:numPr>
      </w:pPr>
      <w:r>
        <w:rPr>
          <w:i/>
          <w:iCs/>
        </w:rPr>
        <w:t xml:space="preserve">monedas</w:t>
      </w:r>
      <w:r>
        <w:t xml:space="preserve">: mejor en moneda nacional.</w:t>
      </w:r>
    </w:p>
    <w:p>
      <w:pPr>
        <w:numPr>
          <w:ilvl w:val="0"/>
          <w:numId w:val="1112"/>
        </w:numPr>
      </w:pPr>
      <w:r>
        <w:rPr>
          <w:i/>
          <w:iCs/>
        </w:rPr>
        <w:t xml:space="preserve">Efecto valoración</w:t>
      </w:r>
      <w:r>
        <w:t xml:space="preserve">: la PIIN cambia por las transacciones y por las</w:t>
      </w:r>
      <w:r>
        <w:t xml:space="preserve"> </w:t>
      </w:r>
      <w:r>
        <w:rPr>
          <w:i/>
          <w:iCs/>
        </w:rPr>
        <w:t xml:space="preserve">otras variaciones</w:t>
      </w:r>
      <w:r>
        <w:t xml:space="preserve"> </w:t>
      </w:r>
      <w:r>
        <w:t xml:space="preserve">(precios de los activos y tipo de cambio). Un empeoramiento de la PIIN por valoración no siempre es más vulnerabilidad: si suben los precios de las acciones y los bonos nacionales en manos de no residentes porque mejoran las perspectivas, los pasivos valen más (se preguntó en 2016 y 2018).</w:t>
      </w:r>
    </w:p>
    <w:bookmarkEnd w:id="184"/>
    <w:bookmarkStart w:id="186" w:name="sec_sostenibilidad_exterior"/>
    <w:p>
      <w:pPr>
        <w:pStyle w:val="Heading2"/>
      </w:pPr>
      <w:r>
        <w:t xml:space="preserve">V.4.</w:t>
      </w:r>
      <w:r>
        <w:t xml:space="preserve"> </w:t>
      </w:r>
      <w:r>
        <w:t xml:space="preserve">¿Es sostenible?</w:t>
      </w:r>
    </w:p>
    <w:p>
      <w:pPr>
        <w:numPr>
          <w:ilvl w:val="0"/>
          <w:numId w:val="1114"/>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59">
        <w:r>
          <w:rPr>
            <w:rStyle w:val="Referenciaatema"/>
          </w:rPr>
          <w:t xml:space="preserve">[ver tema 3.B.12]</w:t>
        </w:r>
      </w:hyperlink>
      <w:r>
        <w:t xml:space="preserve">,</w:t>
      </w:r>
      <w:r>
        <w:t xml:space="preserve"> </w:t>
      </w:r>
      <w:bookmarkStart w:id="185" w:name="eq_dinamica_piin"/>
      <w:bookmarkEnd w:id="185"/>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(2018). Los intereses ya están en la cuenta corriente: no hay que sumarlos aparte.</w:t>
      </w:r>
    </w:p>
    <w:p>
      <w:pPr>
        <w:keepNext/>
        <w:numPr>
          <w:ilvl w:val="0"/>
          <w:numId w:val="1114"/>
        </w:numPr>
      </w:pPr>
      <w:r>
        <w:rPr>
          <w:i/>
          <w:iCs/>
        </w:rPr>
        <w:t xml:space="preserve">De qué depende la sostenibilidad</w:t>
      </w:r>
      <w:r>
        <w:t xml:space="preserve">:</w:t>
      </w:r>
    </w:p>
    <w:p>
      <w:pPr>
        <w:numPr>
          <w:ilvl w:val="1"/>
          <w:numId w:val="1115"/>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115"/>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115"/>
        </w:numPr>
      </w:pPr>
      <w:r>
        <w:rPr>
          <w:i/>
          <w:iCs/>
        </w:rPr>
        <w:t xml:space="preserve">tipos de interés</w:t>
      </w:r>
      <w:r>
        <w:t xml:space="preserve"> </w:t>
      </w:r>
      <w:r>
        <w:t xml:space="preserve">(</w:t>
      </w:r>
      <m:oMath>
        <m:r>
          <m:rPr>
            <m:sty m:val="p"/>
          </m:rPr>
          <m:t>−</m:t>
        </m:r>
      </m:oMath>
      <w:r>
        <w:t xml:space="preserve">);</w:t>
      </w:r>
    </w:p>
    <w:p>
      <w:pPr>
        <w:numPr>
          <w:ilvl w:val="1"/>
          <w:numId w:val="1115"/>
        </w:numPr>
      </w:pPr>
      <w:r>
        <w:rPr>
          <w:i/>
          <w:iCs/>
        </w:rPr>
        <w:t xml:space="preserve">inflación</w:t>
      </w:r>
      <w:r>
        <w:t xml:space="preserve"> </w:t>
      </w:r>
      <w:r>
        <w:t xml:space="preserve">(ambigua): solo licúa la deuda emitida en moneda nacional;</w:t>
      </w:r>
    </w:p>
    <w:p>
      <w:pPr>
        <w:numPr>
          <w:ilvl w:val="1"/>
          <w:numId w:val="1115"/>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115"/>
        </w:numPr>
      </w:pPr>
      <w:r>
        <w:rPr>
          <w:i/>
          <w:iCs/>
        </w:rPr>
        <w:t xml:space="preserve">absorción interna</w:t>
      </w:r>
      <w:r>
        <w:t xml:space="preserve"> </w:t>
      </w:r>
      <w:r>
        <w:t xml:space="preserve">(</w:t>
      </w:r>
      <m:oMath>
        <m:r>
          <m:rPr>
            <m:sty m:val="p"/>
          </m:rPr>
          <m:t>−</m:t>
        </m:r>
      </m:oMath>
      <w:r>
        <w:t xml:space="preserve">): cuanto más se gasta dentro, menos queda para pagar;</w:t>
      </w:r>
    </w:p>
    <w:p>
      <w:pPr>
        <w:numPr>
          <w:ilvl w:val="1"/>
          <w:numId w:val="1115"/>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114"/>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p>
      <w:pPr>
        <w:numPr>
          <w:ilvl w:val="0"/>
          <w:numId w:val="1116"/>
        </w:numPr>
      </w:pPr>
      <w:r>
        <w:rPr>
          <w:i/>
          <w:iCs/>
        </w:rPr>
        <w:t xml:space="preserve">Recapitulación</w:t>
      </w:r>
      <w:r>
        <w:t xml:space="preserve">: capacidad o necesidad (subcuentas, ahorro e inversión, sectores), financiación (instrumentos y reservas) y posición (PIIN, composición y dinámica). Con el diagnóstico de todos los bloques, pasamos a las políticas.</w:t>
      </w:r>
    </w:p>
    <w:bookmarkEnd w:id="186"/>
    <w:bookmarkEnd w:id="187"/>
    <w:bookmarkStart w:id="214" w:name="sec_politicas"/>
    <w:p>
      <w:pPr>
        <w:pStyle w:val="Heading1"/>
      </w:pPr>
      <w:r>
        <w:t xml:space="preserve">VI.</w:t>
      </w:r>
      <w:r>
        <w:t xml:space="preserve"> </w:t>
      </w:r>
      <w:r>
        <w:t xml:space="preserve">Políticas</w:t>
      </w:r>
    </w:p>
    <w:p>
      <w:pPr>
        <w:numPr>
          <w:ilvl w:val="0"/>
          <w:numId w:val="1117"/>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194" w:name="sec_monetaria"/>
    <w:p>
      <w:pPr>
        <w:pStyle w:val="Heading2"/>
      </w:pPr>
      <w:r>
        <w:t xml:space="preserve">VI.1.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numPr>
          <w:ilvl w:val="0"/>
          <w:numId w:val="1118"/>
        </w:numPr>
      </w:pPr>
      <w:r>
        <w:rPr>
          <w:i/>
          <w:iCs/>
        </w:rPr>
        <w:t xml:space="preserve">Diseño</w:t>
      </w:r>
      <w:r>
        <w:t xml:space="preserve">: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 A largo plazo la política monetaria no altera el nivel de actividad: a corto plazo, sí</w:t>
      </w:r>
      <w:r>
        <w:t xml:space="preserve"> </w:t>
      </w:r>
      <w:hyperlink r:id="rId154">
        <w:r>
          <w:rPr>
            <w:rStyle w:val="Referenciaatema"/>
          </w:rPr>
          <w:t xml:space="preserve">[ver tema 3.A.36]</w:t>
        </w:r>
      </w:hyperlink>
      <w:r>
        <w:t xml:space="preserve">.</w:t>
      </w:r>
    </w:p>
    <w:p>
      <w:pPr>
        <w:numPr>
          <w:ilvl w:val="0"/>
          <w:numId w:val="1118"/>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p>
      <w:pPr>
        <w:numPr>
          <w:ilvl w:val="0"/>
          <w:numId w:val="1118"/>
        </w:numPr>
      </w:pPr>
      <w:r>
        <w:rPr>
          <w:i/>
          <w:iCs/>
        </w:rPr>
        <w:t xml:space="preserve">Tono</w:t>
      </w:r>
      <w:r>
        <w:t xml:space="preserve">: se juzga por el</w:t>
      </w:r>
      <w:r>
        <w:t xml:space="preserve"> </w:t>
      </w:r>
      <w:r>
        <w:rPr>
          <w:i/>
          <w:iCs/>
        </w:rPr>
        <w:t xml:space="preserve">nivel</w:t>
      </w:r>
      <w:r>
        <w:t xml:space="preserve"> </w:t>
      </w:r>
      <w:r>
        <w:t xml:space="preserve">del tipo real a corto,</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frente al tipo real natural</w:t>
      </w:r>
      <w:r>
        <w:t xml:space="preserve"> </w:t>
      </w:r>
      <m:oMath>
        <m:sSup>
          <m:e>
            <m:r>
              <m:t>r</m:t>
            </m:r>
          </m:e>
          <m:sup>
            <m:r>
              <m:t>n</m:t>
            </m:r>
          </m:sup>
        </m:sSup>
      </m:oMath>
      <w:r>
        <w:t xml:space="preserve">:</w:t>
      </w:r>
      <w:r>
        <w:t xml:space="preserve"> </w:t>
      </w:r>
      <w:r>
        <w:rPr>
          <w:i/>
          <w:i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 neutral si</w:t>
      </w:r>
      <w:r>
        <w:t xml:space="preserve"> </w:t>
      </w:r>
      <m:oMath>
        <m:sSub>
          <m:e>
            <m:r>
              <m:t>r</m:t>
            </m:r>
          </m:e>
          <m:sub>
            <m:r>
              <m:t>t</m:t>
            </m:r>
          </m:sub>
        </m:sSub>
        <m:r>
          <m:rPr>
            <m:sty m:val="p"/>
          </m:rPr>
          <m:t>≈</m:t>
        </m:r>
        <m:sSup>
          <m:e>
            <m:r>
              <m:t>r</m:t>
            </m:r>
          </m:e>
          <m:sup>
            <m:r>
              <m:t>n</m:t>
            </m:r>
          </m:sup>
        </m:sSup>
      </m:oMath>
      <w:r>
        <w:t xml:space="preserve">; contractiva si</w:t>
      </w:r>
      <w:r>
        <w:t xml:space="preserve"> </w:t>
      </w:r>
      <m:oMath>
        <m:sSub>
          <m:e>
            <m:r>
              <m:t>r</m:t>
            </m:r>
          </m:e>
          <m:sub>
            <m:r>
              <m:t>t</m:t>
            </m:r>
          </m:sub>
        </m:sSub>
        <m:r>
          <m:rPr>
            <m:sty m:val="p"/>
          </m:rPr>
          <m:t>&gt;</m:t>
        </m:r>
        <m:sSup>
          <m:e>
            <m:r>
              <m:t>r</m:t>
            </m:r>
          </m:e>
          <m:sup>
            <m:r>
              <m:t>n</m:t>
            </m:r>
          </m:sup>
        </m:sSup>
      </m:oMath>
      <w:r>
        <w:t xml:space="preserve">. Como</w:t>
      </w:r>
      <w:r>
        <w:t xml:space="preserve"> </w:t>
      </w:r>
      <m:oMath>
        <m:sSup>
          <m:e>
            <m:r>
              <m:t>r</m:t>
            </m:r>
          </m:e>
          <m:sup>
            <m:r>
              <m:t>n</m:t>
            </m:r>
          </m:sup>
        </m:sSup>
      </m:oMath>
      <w:r>
        <w:t xml:space="preserve"> </w:t>
      </w:r>
      <w:r>
        <w:t xml:space="preserve">no se observa, se completa con la regla de</w:t>
      </w:r>
      <w:r>
        <w:t xml:space="preserve"> </w:t>
      </w:r>
      <w:r>
        <w:rPr>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p>
      <w:pPr>
        <w:pStyle w:val="BodyText"/>
        <w:keepNext/>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r>
            <m:rPr>
              <m:sty m:val="p"/>
            </m:rPr>
            <m:t>,</m:t>
          </m:r>
        </m:oMath>
      </m:oMathPara>
    </w:p>
    <w:p>
      <w:pPr>
        <w:numPr>
          <w:ilvl w:val="0"/>
          <w:numId w:val="1000"/>
        </w:numPr>
      </w:pPr>
      <w:r>
        <w:t xml:space="preserve">y, si los tipos están en su límite inferior, con el</w:t>
      </w:r>
      <w:r>
        <w:t xml:space="preserve"> </w:t>
      </w:r>
      <w:r>
        <w:rPr>
          <w:i/>
          <w:iCs/>
        </w:rPr>
        <w:t xml:space="preserve">balance del banco central</w:t>
      </w:r>
      <w:r>
        <w:t xml:space="preserve">.</w:t>
      </w:r>
      <w:r>
        <w:rPr>
          <w:rStyle w:val="FootnoteReference"/>
        </w:rPr>
        <w:footnoteReference w:id="188"/>
      </w:r>
    </w:p>
    <w:p>
      <w:pPr>
        <w:keepNext/>
        <w:numPr>
          <w:ilvl w:val="0"/>
          <w:numId w:val="1118"/>
        </w:numPr>
      </w:pPr>
      <w:r>
        <w:rPr>
          <w:i/>
          <w:iCs/>
        </w:rPr>
        <w:t xml:space="preserve">Canales de transmisión</w:t>
      </w:r>
      <w:r>
        <w:t xml:space="preserve"> </w:t>
      </w:r>
      <w:r>
        <w:t xml:space="preserve">(2020, 2024)</w:t>
      </w:r>
      <w:r>
        <w:t xml:space="preserve"> </w:t>
      </w:r>
      <w:hyperlink r:id="rId189">
        <w:r>
          <w:rPr>
            <w:rStyle w:val="Referenciaatema"/>
          </w:rPr>
          <w:t xml:space="preserve">[ver tema 3.A.37]</w:t>
        </w:r>
      </w:hyperlink>
      <w:r>
        <w:t xml:space="preserve">:</w:t>
      </w:r>
    </w:p>
    <w:p>
      <w:pPr>
        <w:numPr>
          <w:ilvl w:val="1"/>
          <w:numId w:val="1119"/>
        </w:numPr>
      </w:pPr>
      <w:r>
        <w:rPr>
          <w:i/>
          <w:iCs/>
        </w:rPr>
        <w:t xml:space="preserve">tipo de interés</w:t>
      </w:r>
      <w:r>
        <w:t xml:space="preserve">: del tipo oficial a la curva de tipos y a los tipos de préstamos y depósitos, y de ahí al consumo y la inversión;</w:t>
      </w:r>
    </w:p>
    <w:p>
      <w:pPr>
        <w:numPr>
          <w:ilvl w:val="1"/>
          <w:numId w:val="1119"/>
        </w:numPr>
      </w:pPr>
      <w:r>
        <w:rPr>
          <w:i/>
          <w:iCs/>
        </w:rPr>
        <w:t xml:space="preserve">crédito</w:t>
      </w:r>
      <w:r>
        <w:t xml:space="preserve">: la oferta de crédito de los bancos y el valor de las garantías de los prestatarios;</w:t>
      </w:r>
    </w:p>
    <w:p>
      <w:pPr>
        <w:numPr>
          <w:ilvl w:val="1"/>
          <w:numId w:val="1119"/>
        </w:numPr>
      </w:pPr>
      <w:r>
        <w:rPr>
          <w:i/>
          <w:i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19"/>
        </w:numPr>
      </w:pPr>
      <w:r>
        <w:rPr>
          <w:i/>
          <w:iCs/>
        </w:rPr>
        <w:t xml:space="preserve">tipo de cambio</w:t>
      </w:r>
      <w:r>
        <w:t xml:space="preserve">: un tipo más alto aprecia la moneda y reduce la inflación importada;</w:t>
      </w:r>
    </w:p>
    <w:p>
      <w:pPr>
        <w:numPr>
          <w:ilvl w:val="1"/>
          <w:numId w:val="1119"/>
        </w:numPr>
      </w:pPr>
      <w:r>
        <w:rPr>
          <w:i/>
          <w:iCs/>
        </w:rPr>
        <w:t xml:space="preserve">expectativas</w:t>
      </w:r>
      <w:r>
        <w:t xml:space="preserve">: si la política es creíble, ancla las de inflación y modera salarios y precios.</w:t>
      </w:r>
    </w:p>
    <w:p>
      <w:pPr>
        <w:numPr>
          <w:ilvl w:val="0"/>
          <w:numId w:val="1118"/>
        </w:numPr>
      </w:pPr>
      <w:r>
        <w:rPr>
          <w:i/>
          <w:iCs/>
        </w:rPr>
        <w:t xml:space="preserve">Eficacia sobre variables nominales y reales</w:t>
      </w:r>
      <w:r>
        <w:t xml:space="preserve"> </w:t>
      </w:r>
      <w:r>
        <w:t xml:space="preserve">(2026): si tras las subidas baja la inflación (con 1 o 2 años de retraso), se frena el crédito y se aprecia la moneda, la transmisión funciona. Es menos eficaz con un sistema financiero poco desarrollado, mucha dolarización o dominancia fiscal.</w:t>
      </w:r>
    </w:p>
    <w:p>
      <w:pPr>
        <w:numPr>
          <w:ilvl w:val="0"/>
          <w:numId w:val="1118"/>
        </w:numPr>
      </w:pPr>
      <w:r>
        <w:rPr>
          <w:i/>
          <w:iCs/>
        </w:rPr>
        <w:t xml:space="preserve">Balance del banco central</w:t>
      </w:r>
      <w:r>
        <w:t xml:space="preserve"> </w:t>
      </w:r>
      <w:r>
        <w:t xml:space="preserve">(2021, 2026):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2026b</w:t>
        </w:r>
      </w:hyperlink>
      <w:r>
        <w:t xml:space="preserve">)</w:t>
      </w:r>
      <w:r>
        <w:t xml:space="preserve">.</w:t>
      </w:r>
    </w:p>
    <w:p>
      <w:pPr>
        <w:numPr>
          <w:ilvl w:val="0"/>
          <w:numId w:val="1118"/>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71">
        <w:r>
          <w:rPr>
            <w:rStyle w:val="Referenciaatema"/>
          </w:rPr>
          <w:t xml:space="preserve">[ver tema 3.A.39]</w:t>
        </w:r>
      </w:hyperlink>
      <w:r>
        <w:t xml:space="preserve">.</w:t>
      </w:r>
    </w:p>
    <w:p>
      <w:pPr>
        <w:numPr>
          <w:ilvl w:val="0"/>
          <w:numId w:val="1118"/>
        </w:numPr>
      </w:pPr>
      <w:r>
        <w:rPr>
          <w:i/>
          <w:iCs/>
        </w:rPr>
        <w:t xml:space="preserve">La «última milla» de la desinflación</w:t>
      </w:r>
      <w:r>
        <w:t xml:space="preserve"> </w:t>
      </w:r>
      <w:r>
        <w:t xml:space="preserve">(2024):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p>
      <w:pPr>
        <w:numPr>
          <w:ilvl w:val="0"/>
          <w:numId w:val="1118"/>
        </w:numPr>
      </w:pPr>
      <w:r>
        <w:rPr>
          <w:i/>
          <w:iCs/>
        </w:rPr>
        <w:t xml:space="preserve">Relación con el ciclo</w:t>
      </w:r>
      <w:r>
        <w:t xml:space="preserve">: contracíclica si sube los tipos con la brecha positiva y los baja con la negativa; procíclica si hace lo contrario.</w:t>
      </w:r>
    </w:p>
    <w:bookmarkStart w:id="193" w:name="fig_tipos_balance_bce"/>
    <w:p>
      <w:pPr>
        <w:pStyle w:val="ImageCaption"/>
      </w:pPr>
      <w:r>
        <w:t xml:space="preserve">Gráfico 7.–</w:t>
      </w:r>
      <w:r>
        <w:t xml:space="preserve"> </w:t>
      </w:r>
      <w:r>
        <w:t xml:space="preserve">Tipos de interés oficiales del BCE y balance del Eurosistema</w:t>
      </w:r>
    </w:p>
    <w:p>
      <w:pPr>
        <w:pStyle w:val="CaptionedFigure"/>
      </w:pPr>
      <w:r>
        <w:drawing>
          <wp:inline>
            <wp:extent cx="5372100" cy="2893562"/>
            <wp:effectExtent b="0" l="0" r="0" t="0"/>
            <wp:docPr descr="Gráfico 7.– Tipos de interés oficiales del BCE y balance del Eurosistema" title="" id="191" name="Picture"/>
            <a:graphic>
              <a:graphicData uri="http://schemas.openxmlformats.org/drawingml/2006/picture">
                <pic:pic>
                  <pic:nvPicPr>
                    <pic:cNvPr descr="C:\Users\vgutierrez\Documents\src\victorgutierrezmarcos.github.io-revision\oposicion\temario\fuentes\1D01\graficos/tipos-balance-bce.png" id="192" name="Picture"/>
                    <pic:cNvPicPr>
                      <a:picLocks noChangeArrowheads="1" noChangeAspect="1"/>
                    </pic:cNvPicPr>
                  </pic:nvPicPr>
                  <pic:blipFill>
                    <a:blip r:embed="rId190"/>
                    <a:stretch>
                      <a:fillRect/>
                    </a:stretch>
                  </pic:blipFill>
                  <pic:spPr bwMode="auto">
                    <a:xfrm>
                      <a:off x="0" y="0"/>
                      <a:ext cx="5372100" cy="2893562"/>
                    </a:xfrm>
                    <a:prstGeom prst="rect">
                      <a:avLst/>
                    </a:prstGeom>
                    <a:noFill/>
                    <a:ln w="9525">
                      <a:noFill/>
                      <a:headEnd/>
                      <a:tailEnd/>
                    </a:ln>
                  </pic:spPr>
                </pic:pic>
              </a:graphicData>
            </a:graphic>
          </wp:inline>
        </w:drawing>
      </w:r>
    </w:p>
    <w:bookmarkEnd w:id="193"/>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2026e</w:t>
        </w:r>
      </w:hyperlink>
      <w:r>
        <w:t xml:space="preserve">,</w:t>
      </w:r>
      <w:r>
        <w:t xml:space="preserve"> </w:t>
      </w:r>
      <w:hyperlink w:anchor="ref_BCE2026ILM">
        <w:r>
          <w:rPr>
            <w:rStyle w:val="Hyperlink"/>
          </w:rPr>
          <w:t xml:space="preserve">2026b</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bookmarkEnd w:id="194"/>
    <w:bookmarkStart w:id="205" w:name="sec_fiscal"/>
    <w:p>
      <w:pPr>
        <w:pStyle w:val="Heading2"/>
      </w:pPr>
      <w:r>
        <w:t xml:space="preserve">VI.2.</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bookmarkStart w:id="196" w:name="saldos_y_tono"/>
    <w:p>
      <w:pPr>
        <w:pStyle w:val="Heading4"/>
      </w:pPr>
      <w:r>
        <w:t xml:space="preserve">Saldos y tono</w:t>
      </w:r>
    </w:p>
    <w:p>
      <w:pPr>
        <w:numPr>
          <w:ilvl w:val="0"/>
          <w:numId w:val="1120"/>
        </w:numPr>
      </w:pPr>
      <w:r>
        <w:rPr>
          <w:i/>
          <w:iCs/>
        </w:rPr>
        <w:t xml:space="preserve">Saldos</w:t>
      </w:r>
      <w:r>
        <w:t xml:space="preserve">, en porcentaje del PIB y con la notación del temario</w:t>
      </w:r>
      <w:r>
        <w:t xml:space="preserve"> </w:t>
      </w:r>
      <w:hyperlink r:id="rId50">
        <w:r>
          <w:rPr>
            <w:rStyle w:val="Referenciaatema"/>
          </w:rPr>
          <w:t xml:space="preserve">[ver tema 4.B.4]</w:t>
        </w:r>
      </w:hyperlink>
      <w:r>
        <w:t xml:space="preserve">: el saldo total</w:t>
      </w:r>
      <w:r>
        <w:t xml:space="preserve"> </w:t>
      </w:r>
      <m:oMath>
        <m:r>
          <m:t>b</m:t>
        </m:r>
      </m:oMath>
      <w:r>
        <w:t xml:space="preserve"> </w:t>
      </w:r>
      <w:r>
        <w:t xml:space="preserve">(ingresos menos gastos); el primario</w:t>
      </w:r>
      <w:r>
        <w:t xml:space="preserve"> </w:t>
      </w:r>
      <m:oMath>
        <m:sSup>
          <m:e>
            <m:r>
              <m:t>b</m:t>
            </m:r>
          </m:e>
          <m:sup>
            <m:r>
              <m:t>p</m:t>
            </m:r>
          </m:sup>
        </m:sSup>
      </m:oMath>
      <w:r>
        <w:t xml:space="preserve"> </w:t>
      </w:r>
      <w:r>
        <w:t xml:space="preserve">(sin intereses); el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con</w:t>
      </w:r>
      <w:r>
        <w:t xml:space="preserve"> </w:t>
      </w:r>
      <m:oMath>
        <m:r>
          <m:t>ε</m:t>
        </m:r>
      </m:oMath>
      <w:r>
        <w:t xml:space="preserve"> </w:t>
      </w:r>
      <w:r>
        <w:t xml:space="preserve">la semielasticidad del saldo a la brecha (en torno a 0,5-0,6 en la UE); el estructural</w:t>
      </w:r>
      <w:r>
        <w:t xml:space="preserve"> </w:t>
      </w:r>
      <m:oMath>
        <m:sSup>
          <m:e>
            <m:r>
              <m:t>b</m:t>
            </m:r>
          </m:e>
          <m:sup>
            <m:r>
              <m:t>e</m:t>
            </m:r>
          </m:sup>
        </m:sSup>
      </m:oMath>
      <w:r>
        <w:t xml:space="preserve">, que además quita las medidas puntuales;</w:t>
      </w:r>
      <w:r>
        <w:rPr>
          <w:rStyle w:val="FootnoteReference"/>
        </w:rPr>
        <w:footnoteReference w:id="195"/>
      </w:r>
      <w:r>
        <w:t xml:space="preserve"> </w:t>
      </w:r>
      <w:r>
        <w:t xml:space="preserve">y el estructural primario</w:t>
      </w:r>
      <w:r>
        <w:t xml:space="preserve"> </w:t>
      </w:r>
      <m:oMath>
        <m:sSup>
          <m:e>
            <m:r>
              <m:t>b</m:t>
            </m:r>
          </m:e>
          <m:sup>
            <m:r>
              <m:t>p</m:t>
            </m:r>
            <m:r>
              <m:t>e</m:t>
            </m:r>
          </m:sup>
        </m:sSup>
      </m:oMath>
      <w:r>
        <w:t xml:space="preserve">.</w:t>
      </w:r>
    </w:p>
    <w:p>
      <w:pPr>
        <w:numPr>
          <w:ilvl w:val="0"/>
          <w:numId w:val="1120"/>
        </w:numPr>
      </w:pPr>
      <w:r>
        <w:rPr>
          <w:i/>
          <w:iCs/>
        </w:rPr>
        <w:t xml:space="preserve">Tono</w:t>
      </w:r>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Cuidado con el signo: si el saldo era negativo y se hace más negativo, ha</w:t>
      </w:r>
      <w:r>
        <w:t xml:space="preserve"> </w:t>
      </w:r>
      <w:r>
        <w:rPr>
          <w:i/>
          <w:iCs/>
        </w:rPr>
        <w:t xml:space="preserve">bajado</w:t>
      </w:r>
      <w:r>
        <w:t xml:space="preserve"> </w:t>
      </w:r>
      <w:r>
        <w:t xml:space="preserve">y el tono es expansivo.</w:t>
      </w:r>
    </w:p>
    <w:p>
      <w:pPr>
        <w:numPr>
          <w:ilvl w:val="0"/>
          <w:numId w:val="1120"/>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Desde 2024 la Comisión mide la orientación con el crecimiento del gasto primario neto frente al potencial.</w:t>
      </w:r>
    </w:p>
    <w:p>
      <w:pPr>
        <w:numPr>
          <w:ilvl w:val="0"/>
          <w:numId w:val="1120"/>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p>
      <w:pPr>
        <w:numPr>
          <w:ilvl w:val="0"/>
          <w:numId w:val="1120"/>
        </w:numPr>
      </w:pPr>
      <w:r>
        <w:rPr>
          <w:i/>
          <w:iCs/>
        </w:rPr>
        <w:t xml:space="preserve">Efectos no keynesianos</w:t>
      </w:r>
      <w:r>
        <w:t xml:space="preserve"> </w:t>
      </w:r>
      <w:r>
        <w:t xml:space="preserve">(2022): con dudas sobre la sostenibilidad, una consolidación creíble puede elevar la confianza y el consumo hoy (un multiplicador negativo).</w:t>
      </w:r>
    </w:p>
    <w:bookmarkEnd w:id="196"/>
    <w:bookmarkStart w:id="199" w:name="las_reglas_fiscales_de_la_ue_desde_2024"/>
    <w:p>
      <w:pPr>
        <w:pStyle w:val="Heading4"/>
      </w:pPr>
      <w:r>
        <w:t xml:space="preserve">Las reglas fiscales de la UE desde 2024</w:t>
      </w:r>
    </w:p>
    <w:p>
      <w:pPr>
        <w:numPr>
          <w:ilvl w:val="0"/>
          <w:numId w:val="1121"/>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21"/>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197">
        <w:r>
          <w:rPr>
            <w:rStyle w:val="Referenciaatema"/>
          </w:rPr>
          <w:t xml:space="preserve">[ver tema 3.B.45]</w:t>
        </w:r>
      </w:hyperlink>
      <w:r>
        <w:t xml:space="preserve">:</w:t>
      </w:r>
    </w:p>
    <w:p>
      <w:pPr>
        <w:numPr>
          <w:ilvl w:val="1"/>
          <w:numId w:val="1122"/>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22"/>
        </w:numPr>
      </w:pPr>
      <w:r>
        <w:t xml:space="preserve">un plan fiscal-estructural a 4 años, ampliable a 7 con reformas e inversiones, que debe dejar la deuda en una trayectoria descendente plausible;</w:t>
      </w:r>
    </w:p>
    <w:p>
      <w:pPr>
        <w:numPr>
          <w:ilvl w:val="1"/>
          <w:numId w:val="1122"/>
        </w:numPr>
      </w:pPr>
      <w:r>
        <w:t xml:space="preserve">salvaguardas: la deuda debe bajar al menos 1 punto al año de media si supera el 90 % del PIB (0,5 entre el 60 y el 90 %), y el déficit estructural converger a un margen del 1,5 % del PIB;</w:t>
      </w:r>
    </w:p>
    <w:p>
      <w:pPr>
        <w:numPr>
          <w:ilvl w:val="1"/>
          <w:numId w:val="1122"/>
        </w:numPr>
      </w:pPr>
      <w:r>
        <w:t xml:space="preserve">una cuenta de control de las desviaciones y cláusulas de escape; en 2025-2026 se activó la nacional para el gasto en defensa (hasta el 1,5 % del PIB) en 17 Estados.</w:t>
      </w:r>
    </w:p>
    <w:p>
      <w:pPr>
        <w:numPr>
          <w:ilvl w:val="0"/>
          <w:numId w:val="1121"/>
        </w:numPr>
      </w:pPr>
      <w:r>
        <w:rPr>
          <w:i/>
          <w:iCs/>
        </w:rPr>
        <w:t xml:space="preserve">En el examen</w:t>
      </w:r>
      <w:r>
        <w:t xml:space="preserve">: para un país con déficit y deuda altos, el marco pide una consolidación gradual y plurianual, con más margen si hace reformas e inversiones (se preguntó en 2023)</w:t>
      </w:r>
      <w:r>
        <w:t xml:space="preserve"> </w:t>
      </w:r>
      <w:hyperlink r:id="rId198">
        <w:r>
          <w:rPr>
            <w:rStyle w:val="Referenciaatema"/>
          </w:rPr>
          <w:t xml:space="preserve">[ver tema 4.B.21]</w:t>
        </w:r>
      </w:hyperlink>
      <w:r>
        <w:t xml:space="preserve">.</w:t>
      </w:r>
    </w:p>
    <w:bookmarkEnd w:id="199"/>
    <w:bookmarkStart w:id="204" w:name="din__mica_y_sostenibilidad_de_la_d_76756"/>
    <w:p>
      <w:pPr>
        <w:pStyle w:val="Heading4"/>
      </w:pPr>
      <w:r>
        <w:t xml:space="preserve">Dinámica y sostenibilidad de la deuda pública</w:t>
      </w:r>
    </w:p>
    <w:p>
      <w:pPr>
        <w:numPr>
          <w:ilvl w:val="0"/>
          <w:numId w:val="1123"/>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71">
        <w:r>
          <w:rPr>
            <w:rStyle w:val="Referenciaatema"/>
          </w:rPr>
          <w:t xml:space="preserve">[ver tema 3.A.39]</w:t>
        </w:r>
      </w:hyperlink>
      <w:r>
        <w:t xml:space="preserve">,</w:t>
      </w:r>
      <w:r>
        <w:t xml:space="preserve"> </w:t>
      </w:r>
      <w:bookmarkStart w:id="200" w:name="eq_dinamica_deuda"/>
      <w:bookmarkEnd w:id="200"/>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 </w:t>
      </w:r>
      <w:r>
        <w:t xml:space="preserve">y ADD el ajuste déficit-deuda (privatizaciones, ayudas financieras, depósitos del Tesoro, efecto del tipo de cambio en la deuda en divisas).</w:t>
      </w:r>
    </w:p>
    <w:p>
      <w:pPr>
        <w:numPr>
          <w:ilvl w:val="0"/>
          <w:numId w:val="1123"/>
        </w:numPr>
      </w:pPr>
      <w:r>
        <w:rPr>
          <w:i/>
          <w:iCs/>
        </w:rPr>
        <w:t xml:space="preserve">Saldo primario que estabiliza la deuda</w:t>
      </w:r>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p>
      <w:pPr>
        <w:keepNext/>
        <w:numPr>
          <w:ilvl w:val="0"/>
          <w:numId w:val="1123"/>
        </w:numPr>
      </w:pPr>
      <w:r>
        <w:rPr>
          <w:i/>
          <w:iCs/>
        </w:rPr>
        <w:t xml:space="preserve">Riesgos</w:t>
      </w:r>
      <w:r>
        <w:t xml:space="preserve"> </w:t>
      </w:r>
      <w:r>
        <w:t xml:space="preserve">(2026):</w:t>
      </w:r>
    </w:p>
    <w:p>
      <w:pPr>
        <w:numPr>
          <w:ilvl w:val="1"/>
          <w:numId w:val="1124"/>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124"/>
        </w:numPr>
      </w:pPr>
      <w:r>
        <w:rPr>
          <w:i/>
          <w:iCs/>
        </w:rPr>
        <w:t xml:space="preserve">financieros</w:t>
      </w:r>
      <w:r>
        <w:t xml:space="preserve">: deuda en divisas, mucho vencimiento a corto plazo, tenedores no residentes, concentración en la banca nacional (bucle bancario-soberano,</w:t>
      </w:r>
      <w:r>
        <w:t xml:space="preserve"> </w:t>
      </w:r>
      <w:hyperlink r:id="rId138">
        <w:r>
          <w:rPr>
            <w:rStyle w:val="Referenciaatema"/>
          </w:rPr>
          <w:t xml:space="preserve">[ver tema 3.B.44]</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2026d</w:t>
        </w:r>
      </w:hyperlink>
      <w:r>
        <w:t xml:space="preserve">)</w:t>
      </w:r>
      <w:r>
        <w:t xml:space="preserve">).</w:t>
      </w:r>
    </w:p>
    <w:p>
      <w:pPr>
        <w:numPr>
          <w:ilvl w:val="0"/>
          <w:numId w:val="1123"/>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 También importan la deuda a corto, la regional y la indexada.</w:t>
      </w:r>
    </w:p>
    <w:p>
      <w:pPr>
        <w:numPr>
          <w:ilvl w:val="0"/>
          <w:numId w:val="1123"/>
        </w:numPr>
      </w:pPr>
      <w:r>
        <w:rPr>
          <w:i/>
          <w:iCs/>
        </w:rPr>
        <w:t xml:space="preserve">La inflación y las cuentas públicas</w:t>
      </w:r>
      <w:r>
        <w:t xml:space="preserve">: a corto plazo la inflación mejora el déficit y la ratio de deuda (los ingresos y el PIB nominal suben antes que el gasto indexado y los intereses);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numPr>
          <w:ilvl w:val="0"/>
          <w:numId w:val="1123"/>
        </w:numPr>
      </w:pPr>
      <w:r>
        <w:rPr>
          <w:i/>
          <w:iCs/>
        </w:rPr>
        <w:t xml:space="preserve">Ingresos bajos y tamaño del sector público</w:t>
      </w:r>
      <w:r>
        <w:t xml:space="preserve"> </w:t>
      </w:r>
      <w:r>
        <w:t xml:space="preserve">(2022, 2025): subir ingresos sin dañar el crecimiento (ampliar bases, menos exenciones, lucha contra el fraude y la economía sumergida, impuestos menos distorsionadores) y comparar gasto e ingreso con países de renta parecida; la pregunta no es el tamaño, sino si los ingresos financian el gasto de forma sostenible y si el gasto es eficiente</w:t>
      </w:r>
      <w:r>
        <w:t xml:space="preserve"> </w:t>
      </w:r>
      <w:hyperlink r:id="rId201">
        <w:r>
          <w:rPr>
            <w:rStyle w:val="Referenciaatema"/>
          </w:rPr>
          <w:t xml:space="preserve">[ver tema 4.B.5]</w:t>
        </w:r>
      </w:hyperlink>
      <w:r>
        <w:t xml:space="preserve"> </w:t>
      </w:r>
      <w:hyperlink r:id="rId202">
        <w:r>
          <w:rPr>
            <w:rStyle w:val="Referenciaatema"/>
          </w:rPr>
          <w:t xml:space="preserve">[ver tema 4.B.7]</w:t>
        </w:r>
      </w:hyperlink>
      <w:r>
        <w:t xml:space="preserve">.</w:t>
      </w:r>
    </w:p>
    <w:p>
      <w:pPr>
        <w:numPr>
          <w:ilvl w:val="0"/>
          <w:numId w:val="1123"/>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203">
        <w:r>
          <w:rPr>
            <w:rStyle w:val="Referenciaatema"/>
          </w:rPr>
          <w:t xml:space="preserve">[ver tema 4.B.26]</w:t>
        </w:r>
      </w:hyperlink>
      <w:r>
        <w:t xml:space="preserve">.</w:t>
      </w:r>
    </w:p>
    <w:bookmarkEnd w:id="204"/>
    <w:bookmarkEnd w:id="205"/>
    <w:bookmarkStart w:id="211" w:name="sec_policy_mix"/>
    <w:p>
      <w:pPr>
        <w:pStyle w:val="Heading2"/>
      </w:pPr>
      <w:r>
        <w:t xml:space="preserve">VI.3.</w:t>
      </w:r>
      <w:r>
        <w:t xml:space="preserve"> </w:t>
      </w:r>
      <w:r>
        <w:t xml:space="preserve">Combinación de políticas (</w:t>
      </w:r>
      <w:r>
        <w:rPr>
          <w:i/>
          <w:iCs/>
        </w:rPr>
        <w:t xml:space="preserve">policy mix</w:t>
      </w:r>
      <w:r>
        <w:t xml:space="preserve">)</w:t>
      </w:r>
    </w:p>
    <w:p>
      <w:pPr>
        <w:numPr>
          <w:ilvl w:val="0"/>
          <w:numId w:val="1125"/>
        </w:numPr>
      </w:pPr>
      <w:r>
        <w:rPr>
          <w:i/>
          <w:iCs/>
        </w:rPr>
        <w:t xml:space="preserve">Qué es</w:t>
      </w:r>
      <w:r>
        <w:t xml:space="preserve">: la combinación de los tonos de la política monetaria y la fiscal (se preguntó en 2020 y 2021).</w:t>
      </w:r>
    </w:p>
    <w:p>
      <w:pPr>
        <w:keepNext/>
        <w:numPr>
          <w:ilvl w:val="0"/>
          <w:numId w:val="1125"/>
        </w:numPr>
      </w:pPr>
      <w:r>
        <w:rPr>
          <w:i/>
          <w:iCs/>
        </w:rPr>
        <w:t xml:space="preserve">Cómo se lee</w:t>
      </w:r>
      <w:r>
        <w:t xml:space="preserve">: el</w:t>
      </w:r>
      <w:r>
        <w:t xml:space="preserve"> </w:t>
      </w:r>
      <w:r>
        <w:rPr>
          <w:i/>
          <w:iCs/>
        </w:rPr>
        <w:t xml:space="preserve">policy mix</w:t>
      </w:r>
      <w:r>
        <w:t xml:space="preserve"> </w:t>
      </w:r>
      <w:r>
        <w:t xml:space="preserve">es</w:t>
      </w:r>
      <w:r>
        <w:t xml:space="preserve"> </w:t>
      </w:r>
      <w:r>
        <w:rPr>
          <w:i/>
          <w:iCs/>
        </w:rPr>
        <w:t xml:space="preserve">coherente</w:t>
      </w:r>
      <w:r>
        <w:t xml:space="preserve"> </w:t>
      </w:r>
      <w:r>
        <w:t xml:space="preserve">si cada política contribuye a los objetivos de la otra, no si las 2 tienen el mismo signo,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8</w:t>
        </w:r>
      </w:hyperlink>
      <w:r>
        <w:t xml:space="preserve">)</w:t>
      </w:r>
      <w:r>
        <w:t xml:space="preserve"> </w:t>
      </w:r>
      <w:hyperlink r:id="rId206">
        <w:r>
          <w:rPr>
            <w:rStyle w:val="Referenciaatema"/>
          </w:rPr>
          <w:t xml:space="preserve">[ver tema 3.A.40]</w:t>
        </w:r>
      </w:hyperlink>
      <w:r>
        <w:t xml:space="preserve">:</w:t>
      </w:r>
    </w:p>
    <w:p>
      <w:pPr>
        <w:numPr>
          <w:ilvl w:val="1"/>
          <w:numId w:val="1126"/>
        </w:numPr>
      </w:pPr>
      <w:r>
        <w:rPr>
          <w:i/>
          <w:iCs/>
        </w:rPr>
        <w:t xml:space="preserve">ambas expansivas</w:t>
      </w:r>
      <w:r>
        <w:t xml:space="preserve">: adecuado en una recesión con inflación baja (2020); riesgo de inflación si se mantienen en la recuperación;</w:t>
      </w:r>
    </w:p>
    <w:p>
      <w:pPr>
        <w:numPr>
          <w:ilvl w:val="1"/>
          <w:numId w:val="1126"/>
        </w:numPr>
      </w:pPr>
      <w:r>
        <w:rPr>
          <w:i/>
          <w:iCs/>
        </w:rPr>
        <w:t xml:space="preserve">ambas contractivas</w:t>
      </w:r>
      <w:r>
        <w:t xml:space="preserve">: adecuado con sobrecalentamiento e inflación; riesgo de recesión;</w:t>
      </w:r>
    </w:p>
    <w:p>
      <w:pPr>
        <w:numPr>
          <w:ilvl w:val="1"/>
          <w:numId w:val="1126"/>
        </w:numPr>
      </w:pPr>
      <w:r>
        <w:rPr>
          <w:i/>
          <w:iCs/>
        </w:rPr>
        <w:t xml:space="preserve">fiscal expansiva y monetaria contractiva</w:t>
      </w:r>
      <w:r>
        <w:t xml:space="preserve">: suben los tipos y se aprecia la moneda; poco coherente salvo que la expansión fiscal sea temporal y focalizada (ayudas por la energía en 2022-2023);</w:t>
      </w:r>
    </w:p>
    <w:p>
      <w:pPr>
        <w:numPr>
          <w:ilvl w:val="1"/>
          <w:numId w:val="1126"/>
        </w:numPr>
      </w:pPr>
      <w:r>
        <w:rPr>
          <w:i/>
          <w:iCs/>
        </w:rPr>
        <w:t xml:space="preserve">fiscal contractiva y monetaria expansiva</w:t>
      </w:r>
      <w:r>
        <w:t xml:space="preserve">: la combinación clásica para consolidar con deuda alta y brecha negativa sin hundir la demanda.</w:t>
      </w:r>
    </w:p>
    <w:p>
      <w:pPr>
        <w:numPr>
          <w:ilvl w:val="0"/>
          <w:numId w:val="1125"/>
        </w:numPr>
      </w:pPr>
      <w:r>
        <w:t xml:space="preserve">En una unión monetaria la política monetaria es común: el país solo controla la fiscal, que tiene que compensar si su ciclo va por delante o por detrás del de la zona.</w:t>
      </w:r>
    </w:p>
    <w:bookmarkStart w:id="210" w:name="fig_policy_mix"/>
    <w:p>
      <w:pPr>
        <w:pStyle w:val="ImageCaption"/>
      </w:pPr>
      <w:r>
        <w:t xml:space="preserve">Gráfico 8.–</w:t>
      </w:r>
      <w:r>
        <w:t xml:space="preserve"> </w:t>
      </w:r>
      <w:r>
        <w:t xml:space="preserve">Los 4 cuadrantes del</w:t>
      </w:r>
      <w:r>
        <w:t xml:space="preserve"> </w:t>
      </w:r>
      <w:r>
        <w:rPr>
          <w:i/>
          <w:iCs/>
        </w:rPr>
        <w:t xml:space="preserve">policy mix</w:t>
      </w:r>
    </w:p>
    <w:p>
      <w:pPr>
        <w:pStyle w:val="CaptionedFigure"/>
      </w:pPr>
      <w:r>
        <w:drawing>
          <wp:inline>
            <wp:extent cx="3581400" cy="2291299"/>
            <wp:effectExtent b="0" l="0" r="0" t="0"/>
            <wp:docPr descr="Gráfico 8.– Los 4 cuadrantes del policy mix" title="" id="208" name="Picture"/>
            <a:graphic>
              <a:graphicData uri="http://schemas.openxmlformats.org/drawingml/2006/picture">
                <pic:pic>
                  <pic:nvPicPr>
                    <pic:cNvPr descr="C:\Users\vgutierrez\Documents\src\victorgutierrezmarcos.github.io-revision\oposicion\temario\fuentes\1D01\graficos/policy-mix.png" id="209" name="Picture"/>
                    <pic:cNvPicPr>
                      <a:picLocks noChangeArrowheads="1" noChangeAspect="1"/>
                    </pic:cNvPicPr>
                  </pic:nvPicPr>
                  <pic:blipFill>
                    <a:blip r:embed="rId207"/>
                    <a:stretch>
                      <a:fillRect/>
                    </a:stretch>
                  </pic:blipFill>
                  <pic:spPr bwMode="auto">
                    <a:xfrm>
                      <a:off x="0" y="0"/>
                      <a:ext cx="3581400" cy="2291299"/>
                    </a:xfrm>
                    <a:prstGeom prst="rect">
                      <a:avLst/>
                    </a:prstGeom>
                    <a:noFill/>
                    <a:ln w="9525">
                      <a:noFill/>
                      <a:headEnd/>
                      <a:tailEnd/>
                    </a:ln>
                  </pic:spPr>
                </pic:pic>
              </a:graphicData>
            </a:graphic>
          </wp:inline>
        </w:drawing>
      </w:r>
    </w:p>
    <w:bookmarkEnd w:id="210"/>
    <w:p>
      <w:pPr>
        <w:pStyle w:val="Piedeimagen"/>
      </w:pPr>
      <w:r>
        <w:t xml:space="preserve">Fuente: Elaboración propia. Qué hay que ver: el tono de cada política se sitúa en un eje; la coherencia depende de la situación (inflación, brecha, deuda), no de que las 2 vayan en el mismo sentido.</w:t>
      </w:r>
    </w:p>
    <w:bookmarkEnd w:id="211"/>
    <w:bookmarkStart w:id="213" w:name="sec_politicas_oferta"/>
    <w:p>
      <w:pPr>
        <w:pStyle w:val="Heading2"/>
      </w:pPr>
      <w:r>
        <w:t xml:space="preserve">VI.4.</w:t>
      </w:r>
      <w:r>
        <w:t xml:space="preserve"> </w:t>
      </w:r>
      <w:r>
        <w:t xml:space="preserve">Políticas de oferta</w:t>
      </w:r>
    </w:p>
    <w:p>
      <w:pPr>
        <w:keepNext/>
        <w:numPr>
          <w:ilvl w:val="0"/>
          <w:numId w:val="1127"/>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 (2023, 2024, 2026)</w:t>
      </w:r>
      <w:r>
        <w:t xml:space="preserve"> </w:t>
      </w:r>
      <w:hyperlink r:id="rId52">
        <w:r>
          <w:rPr>
            <w:rStyle w:val="Referenciaatema"/>
          </w:rPr>
          <w:t xml:space="preserve">[ver tema 3.A.45]</w:t>
        </w:r>
      </w:hyperlink>
      <w:r>
        <w:t xml:space="preserve"> </w:t>
      </w:r>
      <w:hyperlink r:id="rId212">
        <w:r>
          <w:rPr>
            <w:rStyle w:val="Referenciaatema"/>
          </w:rPr>
          <w:t xml:space="preserve">[ver tema 3.A.44]</w:t>
        </w:r>
      </w:hyperlink>
      <w:r>
        <w:t xml:space="preserve">:</w:t>
      </w:r>
    </w:p>
    <w:p>
      <w:pPr>
        <w:numPr>
          <w:ilvl w:val="1"/>
          <w:numId w:val="1128"/>
        </w:numPr>
      </w:pPr>
      <w:r>
        <w:rPr>
          <w:i/>
          <w:iCs/>
        </w:rPr>
        <w:t xml:space="preserve">progreso técnico</w:t>
      </w:r>
      <w:r>
        <w:t xml:space="preserve">: I+D (ayudas, deducciones, colaboración entre universidad y empresa) y capital riesgo;</w:t>
      </w:r>
    </w:p>
    <w:p>
      <w:pPr>
        <w:numPr>
          <w:ilvl w:val="1"/>
          <w:numId w:val="1128"/>
        </w:numPr>
      </w:pPr>
      <w:r>
        <w:rPr>
          <w:i/>
          <w:iCs/>
        </w:rPr>
        <w:t xml:space="preserve">capital</w:t>
      </w:r>
      <w:r>
        <w:t xml:space="preserve">: incentivos fiscales a la inversión, estabilidad macroeconómica e infraestructuras que vertebren el mercado;</w:t>
      </w:r>
    </w:p>
    <w:p>
      <w:pPr>
        <w:numPr>
          <w:ilvl w:val="1"/>
          <w:numId w:val="1128"/>
        </w:numPr>
      </w:pPr>
      <w:r>
        <w:rPr>
          <w:i/>
          <w:iCs/>
        </w:rPr>
        <w:t xml:space="preserve">capital humano</w:t>
      </w:r>
      <w:r>
        <w:t xml:space="preserve">: menos abandono escolar, formación profesional dual, recualificación de los desplazados por la digitalización;</w:t>
      </w:r>
    </w:p>
    <w:p>
      <w:pPr>
        <w:numPr>
          <w:ilvl w:val="1"/>
          <w:numId w:val="1128"/>
        </w:numPr>
      </w:pPr>
      <w:r>
        <w:rPr>
          <w:i/>
          <w:iCs/>
        </w:rPr>
        <w:t xml:space="preserve">mercado de trabajo</w:t>
      </w:r>
      <w:r>
        <w:t xml:space="preserve">: según el tipo de paro (apartado </w:t>
      </w:r>
      <w:hyperlink w:anchor="sec_por_desequilibrio">
        <w:r>
          <w:rPr>
            <w:rStyle w:val="Hyperlink"/>
          </w:rPr>
          <w:t xml:space="preserve">VII.2</w:t>
        </w:r>
      </w:hyperlink>
      <w:r>
        <w:t xml:space="preserve">);</w:t>
      </w:r>
    </w:p>
    <w:p>
      <w:pPr>
        <w:numPr>
          <w:ilvl w:val="1"/>
          <w:numId w:val="1128"/>
        </w:numPr>
      </w:pPr>
      <w:r>
        <w:rPr>
          <w:i/>
          <w:iCs/>
        </w:rPr>
        <w:t xml:space="preserve">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28"/>
        </w:numPr>
      </w:pPr>
      <w:r>
        <w:rPr>
          <w:i/>
          <w:iCs/>
        </w:rPr>
        <w:t xml:space="preserve">instituciones</w:t>
      </w:r>
      <w:r>
        <w:t xml:space="preserve">: seguridad jurídica, calidad regulatoria, eficacia de la justicia y de la Administración (en 2022 el tribunal dio un gráfico de calidad institucional).</w:t>
      </w:r>
    </w:p>
    <w:p>
      <w:pPr>
        <w:numPr>
          <w:ilvl w:val="0"/>
          <w:numId w:val="1129"/>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y la oferta, por el cuello de botella del crecimiento potencial. Con todo ello, solo queda la última pregunta: qué hacer.</w:t>
      </w:r>
    </w:p>
    <w:bookmarkEnd w:id="213"/>
    <w:bookmarkEnd w:id="214"/>
    <w:bookmarkStart w:id="219" w:name="sec_recomendaciones"/>
    <w:p>
      <w:pPr>
        <w:pStyle w:val="Heading1"/>
      </w:pPr>
      <w:r>
        <w:t xml:space="preserve">VII.</w:t>
      </w:r>
      <w:r>
        <w:t xml:space="preserve"> </w:t>
      </w:r>
      <w:r>
        <w:t xml:space="preserve">Recomendaciones de política económica</w:t>
      </w:r>
    </w:p>
    <w:bookmarkStart w:id="215" w:name="sec_plantear"/>
    <w:p>
      <w:pPr>
        <w:pStyle w:val="Heading2"/>
      </w:pPr>
      <w:r>
        <w:t xml:space="preserve">VII.1.</w:t>
      </w:r>
      <w:r>
        <w:t xml:space="preserve"> </w:t>
      </w:r>
      <w:r>
        <w:t xml:space="preserve">Cómo se plantea la pregunta</w:t>
      </w:r>
    </w:p>
    <w:p>
      <w:pPr>
        <w:numPr>
          <w:ilvl w:val="0"/>
          <w:numId w:val="1130"/>
        </w:numPr>
      </w:pPr>
      <w:r>
        <w:t xml:space="preserve">La pregunta de desequilibrios y recomendaciones cayó en 12 de los 14 dictámenes y suele ser la última; desde 2023 a veces va dentro de cada pregunta («proponga medidas…»)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30"/>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30"/>
        </w:numPr>
      </w:pPr>
      <w:r>
        <w:t xml:space="preserve">Nunca tajante ni demasiado preciso: «parece necesaria una consolidación fiscal, pero sin que resulte excesiva para no lastrar la recuperación».</w:t>
      </w:r>
    </w:p>
    <w:p>
      <w:pPr>
        <w:pStyle w:val="Notaalopositor"/>
        <w:keepLines/>
      </w:pPr>
      <w:r>
        <w:rPr>
          <w:b/>
          <w:bCs/>
        </w:rPr>
        <w:t xml:space="preserve">Nota al opositor. </w:t>
      </w:r>
      <w:r>
        <w:t xml:space="preserve">Esta pregunta se escribe al final, con la matriz de fortalezas y debilidades que se ha ido anotando durante el examen (apartado </w:t>
      </w:r>
      <w:hyperlink w:anchor="sec_matriz">
        <w:r>
          <w:rPr>
            <w:rStyle w:val="Hyperlink"/>
          </w:rPr>
          <w:t xml:space="preserve">I.7</w:t>
        </w:r>
      </w:hyperlink>
      <w:r>
        <w:t xml:space="preserve">). Hay recomendaciones que valen para casi todos los países (estabilidad macroeconómica, reformas que eleven la productividad), pero las que puntúan son las que responden a los datos del cuadro.</w:t>
      </w:r>
    </w:p>
    <w:bookmarkEnd w:id="215"/>
    <w:bookmarkStart w:id="217" w:name="sec_por_desequilibrio"/>
    <w:p>
      <w:pPr>
        <w:pStyle w:val="Heading2"/>
      </w:pPr>
      <w:r>
        <w:t xml:space="preserve">VII.2.</w:t>
      </w:r>
      <w:r>
        <w:t xml:space="preserve"> </w:t>
      </w:r>
      <w:r>
        <w:t xml:space="preserve">Recomendaciones por desequilibrio</w:t>
      </w:r>
    </w:p>
    <w:p>
      <w:pPr>
        <w:numPr>
          <w:ilvl w:val="0"/>
          <w:numId w:val="1131"/>
        </w:numPr>
      </w:pPr>
      <w:r>
        <w:t xml:space="preserve">La tabla </w:t>
      </w:r>
      <w:hyperlink w:anchor="tab_recomendaciones">
        <w:r>
          <w:rPr>
            <w:rStyle w:val="Hyperlink"/>
          </w:rPr>
          <w:t xml:space="preserve">5</w:t>
        </w:r>
      </w:hyperlink>
      <w:r>
        <w:t xml:space="preserve"> </w:t>
      </w:r>
      <w:r>
        <w:t xml:space="preserve">da la recomendación tipo para cada desequilibrio; 3 de ellos piden más detalle.</w:t>
      </w:r>
    </w:p>
    <w:p>
      <w:pPr>
        <w:keepNext/>
        <w:numPr>
          <w:ilvl w:val="0"/>
          <w:numId w:val="1132"/>
        </w:numPr>
      </w:pPr>
      <w:r>
        <w:rPr>
          <w:i/>
          <w:iCs/>
        </w:rPr>
        <w:t xml:space="preserve">Mercado de trabajo deficiente</w:t>
      </w:r>
      <w:r>
        <w:t xml:space="preserve">: primero, diagnosticar qué tipo de paro hay (apartado </w:t>
      </w:r>
      <w:hyperlink w:anchor="sec_trabajo">
        <w:r>
          <w:rPr>
            <w:rStyle w:val="Hyperlink"/>
          </w:rPr>
          <w:t xml:space="preserve">III.1</w:t>
        </w:r>
      </w:hyperlink>
      <w:r>
        <w:t xml:space="preserve">)</w:t>
      </w:r>
      <w:r>
        <w:t xml:space="preserve"> </w:t>
      </w:r>
      <w:hyperlink r:id="rId49">
        <w:r>
          <w:rPr>
            <w:rStyle w:val="Referenciaatema"/>
          </w:rPr>
          <w:t xml:space="preserve">[ver tema 3.A.28]</w:t>
        </w:r>
      </w:hyperlink>
      <w:r>
        <w:t xml:space="preserve"> </w:t>
      </w:r>
      <w:hyperlink r:id="rId110">
        <w:r>
          <w:rPr>
            <w:rStyle w:val="Referenciaatema"/>
          </w:rPr>
          <w:t xml:space="preserve">[ver tema 4.A.16]</w:t>
        </w:r>
      </w:hyperlink>
      <w:r>
        <w:t xml:space="preserve">:</w:t>
      </w:r>
    </w:p>
    <w:p>
      <w:pPr>
        <w:numPr>
          <w:ilvl w:val="1"/>
          <w:numId w:val="1133"/>
        </w:numPr>
      </w:pPr>
      <w:r>
        <w:rPr>
          <w:i/>
          <w:iCs/>
        </w:rPr>
        <w:t xml:space="preserve">políticas de oferta</w:t>
      </w:r>
      <w:r>
        <w:t xml:space="preserve">, contra el paro clásico y estructural: salarios que reflejen la productividad (negociación más cercana a la empresa, indexación a la productividad y no a la inflación pasada, parte del salario ligada a resultados), menos cuña fiscal sobre los salarios bajos, menos dualidad entre contratos fijos y temporales;</w:t>
      </w:r>
    </w:p>
    <w:p>
      <w:pPr>
        <w:numPr>
          <w:ilvl w:val="1"/>
          <w:numId w:val="1133"/>
        </w:numPr>
      </w:pPr>
      <w:r>
        <w:rPr>
          <w:i/>
          <w:iCs/>
        </w:rPr>
        <w:t xml:space="preserve">políticas activas de empleo</w:t>
      </w:r>
      <w:r>
        <w:t xml:space="preserve">, contra el desajuste y el paro de larga duración: orientación e intermediación (servicios de empleo eficaces, colaboración con agencias privadas), formación ligada a la demanda de las empresas e incentivos a contratar a quien tiene más dificultades;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w:t>
      </w:r>
    </w:p>
    <w:p>
      <w:pPr>
        <w:numPr>
          <w:ilvl w:val="1"/>
          <w:numId w:val="1133"/>
        </w:numPr>
      </w:pPr>
      <w:r>
        <w:rPr>
          <w:i/>
          <w:iCs/>
        </w:rPr>
        <w:t xml:space="preserve">políticas pasivas</w:t>
      </w:r>
      <w:r>
        <w:t xml:space="preserve"> </w:t>
      </w:r>
      <w:r>
        <w:t xml:space="preserve">(prestaciones): protegen la renta y sostienen el consumo en las recesiones, pero con cuantía decreciente y ligadas a la búsqueda activa para no desincentivarla;</w:t>
      </w:r>
    </w:p>
    <w:p>
      <w:pPr>
        <w:numPr>
          <w:ilvl w:val="1"/>
          <w:numId w:val="1133"/>
        </w:numPr>
      </w:pPr>
      <w:r>
        <w:rPr>
          <w:i/>
          <w:iCs/>
        </w:rPr>
        <w:t xml:space="preserve">paro keynesiano</w:t>
      </w:r>
      <w:r>
        <w:t xml:space="preserve">: políticas de demanda temporales (menos impuestos sobre la renta, más transferencias);</w:t>
      </w:r>
    </w:p>
    <w:p>
      <w:pPr>
        <w:numPr>
          <w:ilvl w:val="1"/>
          <w:numId w:val="1133"/>
        </w:numPr>
      </w:pPr>
      <w:r>
        <w:rPr>
          <w:i/>
          <w:iCs/>
        </w:rPr>
        <w:t xml:space="preserve">paro friccional</w:t>
      </w:r>
      <w:r>
        <w:t xml:space="preserve">: mejor emparejamiento y movilidad geográfica (alquiler, planes de estudio adaptados).</w:t>
      </w:r>
    </w:p>
    <w:p>
      <w:pPr>
        <w:numPr>
          <w:ilvl w:val="0"/>
          <w:numId w:val="1132"/>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w:t>
        </w:r>
      </w:hyperlink>
      <w:r>
        <w:t xml:space="preserve">)</w:t>
      </w:r>
      <w:r>
        <w:t xml:space="preserve">. El FMI, por ejemplo, recomendaba a España en 2026 un ajuste de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2026b</w:t>
        </w:r>
      </w:hyperlink>
      <w:r>
        <w:t xml:space="preserve">)</w:t>
      </w:r>
      <w:r>
        <w:t xml:space="preserve">.</w:t>
      </w:r>
    </w:p>
    <w:p>
      <w:pPr>
        <w:numPr>
          <w:ilvl w:val="0"/>
          <w:numId w:val="1132"/>
        </w:numPr>
      </w:pPr>
      <w:r>
        <w:rPr>
          <w:i/>
          <w:iCs/>
        </w:rPr>
        <w:t xml:space="preserve">Riesgos de suministro</w:t>
      </w:r>
      <w:r>
        <w:t xml:space="preserve">: ante la fragmentación de las cadenas globales de valor, una</w:t>
      </w:r>
      <w:r>
        <w:t xml:space="preserve"> </w:t>
      </w:r>
      <w:r>
        <w:rPr>
          <w:i/>
          <w:iCs/>
        </w:rPr>
        <w:t xml:space="preserve">autonomía estratégica abierta</w:t>
      </w:r>
      <w:r>
        <w:t xml:space="preserve">: seguir con la apertura y el multilateralismo, pero diversificar los suministros críticos (energía, metales, componentes), construir reservas estratégicas y elegir socios más próximos.</w:t>
      </w:r>
    </w:p>
    <w:bookmarkStart w:id="216" w:name="tab_recomendaciones"/>
    <w:p>
      <w:pPr>
        <w:pStyle w:val="TableCaption"/>
      </w:pPr>
      <w:r>
        <w:t xml:space="preserve">Tabla 5.–</w:t>
      </w:r>
      <w:r>
        <w:t xml:space="preserve"> </w:t>
      </w:r>
      <w:r>
        <w:t xml:space="preserve">Desequilibrios típicos, indicios y recomendaciones</w:t>
      </w:r>
    </w:p>
    <w:tbl>
      <w:tblPr>
        <w:tblStyle w:val="Table"/>
        <w:tblW w:type="auto" w:w="0"/>
        <w:tblLook w:firstRow="1" w:lastRow="0" w:firstColumn="0" w:lastColumn="0" w:noHBand="0" w:noVBand="0" w:val="0020"/>
        <w:tblCaption w:val="Tabla 5.–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reforma del sistema financiero y del mercado de trabajo; plantear el</w:t>
            </w:r>
            <w:r>
              <w:t xml:space="preserve"> </w:t>
            </w:r>
            <w:r>
              <w:rPr>
                <w:i/>
                <w:iCs/>
              </w:rPr>
              <w:t xml:space="preserve">policy mix</w:t>
            </w:r>
            <w:r>
              <w:t xml:space="preserve"> </w:t>
            </w:r>
            <w:r>
              <w:t xml:space="preserve">a largo plazo</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w:t>
            </w:r>
          </w:p>
        </w:tc>
        <w:tc>
          <w:tcPr/>
          <w:p>
            <w:pPr>
              <w:pStyle w:val="Compact"/>
              <w:jc w:val="left"/>
            </w:pPr>
            <w:r>
              <w:t xml:space="preserve">Política monetaria contractiva con un banco central independiente; política fiscal que no empuje (ayudas temporales, focalizadas y que mantengan el incentivo a ahorrar energía); competencia; diversificación energética; dejar apreciar la moneda si hay entradas de capital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techo de gasto; corresponsabilidad fiscal;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w:t>
            </w:r>
          </w:p>
        </w:tc>
        <w:tc>
          <w:tcPr/>
          <w:p>
            <w:pPr>
              <w:pStyle w:val="Compact"/>
              <w:jc w:val="left"/>
            </w:pPr>
            <w:r>
              <w:t xml:space="preserve">Saneamiento y recapitalización; medidas macroprudenciales; supervisión; resolución ordenada de entidades inviables; más profundidad del mercado de capitales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bl>
    <w:bookmarkEnd w:id="216"/>
    <w:p>
      <w:pPr>
        <w:pStyle w:val="BodyT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bookmarkEnd w:id="217"/>
    <w:bookmarkStart w:id="218" w:name="sec_programa_fmi"/>
    <w:p>
      <w:pPr>
        <w:pStyle w:val="Heading2"/>
      </w:pPr>
      <w:r>
        <w:t xml:space="preserve">VII.3.</w:t>
      </w:r>
      <w:r>
        <w:t xml:space="preserve"> </w:t>
      </w: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181">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(2021 y 2022):</w:t>
      </w:r>
    </w:p>
    <w:p>
      <w:pPr>
        <w:pStyle w:val="Cajadeanotaciones"/>
        <w:keepNext/>
        <w:keepLines/>
        <w:numPr>
          <w:ilvl w:val="0"/>
          <w:numId w:val="1134"/>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134"/>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 El marco de análisis del FMI (la programación financiera) se resume en el anexo </w:t>
      </w:r>
      <w:hyperlink w:anchor="anexo_fmi">
        <w:r>
          <w:rPr>
            <w:rStyle w:val="Hyperlink"/>
          </w:rPr>
          <w:t xml:space="preserve">F</w:t>
        </w:r>
      </w:hyperlink>
      <w:r>
        <w:t xml:space="preserve">.</w:t>
      </w:r>
    </w:p>
    <w:bookmarkEnd w:id="218"/>
    <w:bookmarkEnd w:id="219"/>
    <w:bookmarkStart w:id="220" w:name="sec_cierre"/>
    <w:p>
      <w:pPr>
        <w:pStyle w:val="Heading1"/>
      </w:pPr>
      <w:r>
        <w:t xml:space="preserve">Conclusión</w:t>
      </w:r>
    </w:p>
    <w:p>
      <w:pPr>
        <w:numPr>
          <w:ilvl w:val="0"/>
          <w:numId w:val="1135"/>
        </w:numPr>
      </w:pPr>
      <w:r>
        <w:rPr>
          <w:i/>
          <w:iCs/>
        </w:rPr>
        <w:t xml:space="preserve">Cómo se cierra el dictamen</w:t>
      </w:r>
      <w:r>
        <w:t xml:space="preserve">: con una valoración final, en 1 o 2 frases adecuadas y concisas, que resuma la coyuntura del país y responda a la frase de diagnóstico del principio: dónde está la economía, qué la sostiene, qué la amenaza y qué haría falta. Por ejemplo: «En conclusión, la economía afronta en los próximos años estos retos, y su crecimiento dependerá de cómo los aborde; los fondos europeos son, además, una oportunidad para fundamentar una senda de crecimiento sostenible e inclusivo».</w:t>
      </w:r>
    </w:p>
    <w:p>
      <w:pPr>
        <w:keepNext/>
        <w:numPr>
          <w:ilvl w:val="0"/>
          <w:numId w:val="1135"/>
        </w:numPr>
      </w:pPr>
      <w:r>
        <w:rPr>
          <w:i/>
          <w:iCs/>
        </w:rPr>
        <w:t xml:space="preserve">Lo que hay que llevarse de esta guía</w:t>
      </w:r>
      <w:r>
        <w:t xml:space="preserve">:</w:t>
      </w:r>
    </w:p>
    <w:p>
      <w:pPr>
        <w:numPr>
          <w:ilvl w:val="1"/>
          <w:numId w:val="1136"/>
        </w:numPr>
      </w:pPr>
      <w:r>
        <w:t xml:space="preserve">el método: leer 10-12 minutos, repartir el tiempo con la regla, empezar cada respuesta con la conclusión y anotar fortalezas y debilidades;</w:t>
      </w:r>
    </w:p>
    <w:p>
      <w:pPr>
        <w:numPr>
          <w:ilvl w:val="1"/>
          <w:numId w:val="1136"/>
        </w:numPr>
      </w:pPr>
      <w:r>
        <w:t xml:space="preserve">el esquema de cada bloque: fases y motor del crecimiento; empleo, CLU y crédito; inflación y tipo de cambio; capacidad de financiación, financiación y PIIN; tono y sostenibilidad de las políticas;</w:t>
      </w:r>
    </w:p>
    <w:p>
      <w:pPr>
        <w:numPr>
          <w:ilvl w:val="1"/>
          <w:numId w:val="1136"/>
        </w:numPr>
      </w:pPr>
      <w:r>
        <w:t xml:space="preserve">los umbrales, sabiendo cuáles son oficiales y cuáles orientativos, y las recomendaciones por desequilibrio.</w:t>
      </w:r>
    </w:p>
    <w:p>
      <w:pPr>
        <w:numPr>
          <w:ilvl w:val="0"/>
          <w:numId w:val="1135"/>
        </w:numPr>
      </w:pPr>
      <w:r>
        <w:rPr>
          <w:i/>
          <w:iCs/>
        </w:rPr>
        <w:t xml:space="preserve">Idea final</w:t>
      </w:r>
      <w:r>
        <w:t xml:space="preserve">: «lo bueno, si breve, dos veces bueno». Un buen dictamen no dice todo lo que se sabe: dice, con pocos datos bien elegidos y con prudencia, qué le pasa a esa economía y qué haría falta, en el tiempo que da el tribunal.</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0"/>
    <w:bookmarkStart w:id="231" w:name="anexo_indicadores"/>
    <w:p>
      <w:pPr>
        <w:pStyle w:val="Heading1"/>
      </w:pPr>
      <w:r>
        <w:t xml:space="preserve">A. Indicadores y umbrales de referencia</w:t>
      </w:r>
    </w:p>
    <w:p>
      <w:pPr>
        <w:keepNext/>
        <w:numPr>
          <w:ilvl w:val="0"/>
          <w:numId w:val="1137"/>
        </w:numPr>
      </w:pPr>
      <w:r>
        <w:t xml:space="preserve">Cada indicador con su cálculo, su referencia y el tema donde se estudia. Las referencias se separan siempre en 2 columnas:</w:t>
      </w:r>
    </w:p>
    <w:p>
      <w:pPr>
        <w:numPr>
          <w:ilvl w:val="1"/>
          <w:numId w:val="1138"/>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38"/>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37"/>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221" w:name="tab_indicadores_ciclo"/>
    <w:p>
      <w:pPr>
        <w:pStyle w:val="TableCaption"/>
      </w:pPr>
      <w:r>
        <w:t xml:space="preserve">Tabla 6.–</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6.–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50">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54">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58">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49">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110">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52">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116">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49">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47">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221"/>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II</w:t>
        </w:r>
      </w:hyperlink>
      <w:r>
        <w:rPr>
          <w:i/>
          <w:iCs/>
        </w:rPr>
        <w:t xml:space="preserve"> </w:t>
      </w:r>
      <w:r>
        <w:rPr>
          <w:i/>
          <w:iCs/>
        </w:rPr>
        <w:t xml:space="preserve">y </w:t>
      </w:r>
      <w:hyperlink w:anchor="sec_factores">
        <w:r>
          <w:rPr>
            <w:rStyle w:val="Hyperlink"/>
            <w:i/>
            <w:iCs/>
          </w:rPr>
          <w:t xml:space="preserve">III</w:t>
        </w:r>
      </w:hyperlink>
      <w:r>
        <w:rPr>
          <w:i/>
          <w:iCs/>
        </w:rPr>
        <w:t xml:space="preserve">.</w:t>
      </w:r>
    </w:p>
    <w:bookmarkStart w:id="224" w:name="tab_indicadores_exterior"/>
    <w:p>
      <w:pPr>
        <w:pStyle w:val="TableCaption"/>
      </w:pPr>
      <w:r>
        <w:t xml:space="preserve">Tabla 7.–</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7.–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57">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116">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175">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54">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59">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222">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181">
              <w:r>
                <w:rPr>
                  <w:rStyle w:val="Referenciaatema"/>
                </w:rPr>
                <w:t xml:space="preserve">[ver tema 3.B.22]</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223">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50">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71">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71">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203">
              <w:r>
                <w:rPr>
                  <w:rStyle w:val="Referenciaatema"/>
                </w:rPr>
                <w:t xml:space="preserve">[ver tema 4.B.26]</w:t>
              </w:r>
            </w:hyperlink>
          </w:p>
        </w:tc>
      </w:tr>
    </w:tbl>
    <w:bookmarkEnd w:id="224"/>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2026d</w:t>
        </w:r>
      </w:hyperlink>
      <w:r>
        <w:rPr>
          <w:i/>
          <w:iCs/>
        </w:rPr>
        <w:t xml:space="preserve">)</w:t>
      </w:r>
      <w:r>
        <w:rPr>
          <w:i/>
          <w:iCs/>
        </w:rPr>
        <w:t xml:space="preserve">.</w:t>
      </w:r>
    </w:p>
    <w:bookmarkStart w:id="226" w:name="tab_indicadores_financiero"/>
    <w:p>
      <w:pPr>
        <w:pStyle w:val="TableCaption"/>
      </w:pPr>
      <w:r>
        <w:t xml:space="preserve">Tabla 8.–</w:t>
      </w:r>
      <w:r>
        <w:t xml:space="preserve"> </w:t>
      </w:r>
      <w:r>
        <w:t xml:space="preserve">Indicadores del sistema financiero</w:t>
      </w:r>
    </w:p>
    <w:tbl>
      <w:tblPr>
        <w:tblStyle w:val="Table"/>
        <w:tblW w:type="auto" w:w="0"/>
        <w:tblLook w:firstRow="1" w:lastRow="0" w:firstColumn="0" w:lastColumn="0" w:noHBand="0" w:noVBand="0" w:val="0020"/>
        <w:tblCaption w:val="Tabla 8.–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31">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31">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véase el apartado </w:t>
            </w:r>
            <w:hyperlink w:anchor="sec_capitales">
              <w:r>
                <w:rPr>
                  <w:rStyle w:val="Hyperlink"/>
                </w:rPr>
                <w:t xml:space="preserve">III.2</w:t>
              </w:r>
            </w:hyperlink>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31">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32">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w:r>
              <w:t xml:space="preserve">Coste del capital: 8-12 %;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134">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32">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32">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225">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225">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Sobrecarga: gasto en vivienda</w:t>
            </w:r>
            <w:r>
              <w:t xml:space="preserve"> </w:t>
            </w:r>
            <m:oMath>
              <m:r>
                <m:rPr>
                  <m:sty m:val="p"/>
                </m:rPr>
                <m:t>&gt;</m:t>
              </m:r>
              <m:r>
                <m:t>40</m:t>
              </m:r>
              <m:r>
                <m:t> </m:t>
              </m:r>
              <m:r>
                <m:rPr>
                  <m:sty m:val="p"/>
                </m:rPr>
                <m:t>%</m:t>
              </m:r>
            </m:oMath>
            <w:r>
              <w:t xml:space="preserve"> </w:t>
            </w:r>
            <w:r>
              <w:t xml:space="preserve">de la renta</w:t>
            </w:r>
          </w:p>
        </w:tc>
        <w:tc>
          <w:tcPr/>
          <w:p>
            <w:pPr>
              <w:pStyle w:val="Compact"/>
              <w:jc w:val="left"/>
            </w:pPr>
            <w:hyperlink r:id="rId79">
              <w:r>
                <w:rPr>
                  <w:rStyle w:val="Referenciaatema"/>
                </w:rPr>
                <w:t xml:space="preserve">[ver tema 4.A.11]</w:t>
              </w:r>
            </w:hyperlink>
          </w:p>
        </w:tc>
      </w:tr>
    </w:tbl>
    <w:bookmarkEnd w:id="226"/>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227" w:name="tab_basilea"/>
    <w:p>
      <w:pPr>
        <w:pStyle w:val="TableCaption"/>
      </w:pPr>
      <w:r>
        <w:t xml:space="preserve">Tabla 9.–</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9.–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227"/>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228" w:name="tab_ratios_banca"/>
    <w:p>
      <w:pPr>
        <w:pStyle w:val="TableCaption"/>
      </w:pPr>
      <w:r>
        <w:t xml:space="preserve">Tabla 10.–</w:t>
      </w:r>
      <w:r>
        <w:t xml:space="preserve"> </w:t>
      </w:r>
      <w:r>
        <w:t xml:space="preserve">Ratios de la banca que opera en España y de la europea (segundo trimestre de 2026, %)</w:t>
      </w:r>
    </w:p>
    <w:tbl>
      <w:tblPr>
        <w:tblStyle w:val="Table"/>
        <w:tblW w:type="auto" w:w="0"/>
        <w:tblLook w:firstRow="1" w:lastRow="0" w:firstColumn="0" w:lastColumn="0" w:noHBand="0" w:noVBand="0" w:val="0020"/>
        <w:tblCaption w:val="Tabla 10.– Ratios de la banca que opera en España y de la europea (segundo trimestre de 2026, %)"/>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w:t>
            </w:r>
          </w:p>
        </w:tc>
        <w:tc>
          <w:tcPr>
            <w:shd w:val="clear" w:color="auto" w:fill="DDEBF7"/>
            <w:vAlign w:val="center"/>
          </w:tcPr>
          <w:p>
            <w:pPr>
              <w:pStyle w:val="Celdatceeazulpalido"/>
              <w:keepNext/>
              <w:jc w:val="center"/>
            </w:pPr>
            <w:r>
              <w:rPr>
                <w:b/>
                <w:bCs/>
              </w:rPr>
              <w:t xml:space="preserve">Entidades significativas del MUS</w:t>
            </w:r>
          </w:p>
        </w:tc>
        <w:tc>
          <w:tcPr>
            <w:shd w:val="clear" w:color="auto" w:fill="DDEBF7"/>
            <w:vAlign w:val="center"/>
          </w:tcPr>
          <w:p>
            <w:pPr>
              <w:pStyle w:val="Celdatceeazulpalido"/>
              <w:keepNext/>
              <w:jc w:val="center"/>
            </w:pPr>
            <w:r>
              <w:rPr>
                <w:b/>
                <w:bCs/>
              </w:rPr>
              <w:t xml:space="preserve">UE (ABE)</w:t>
            </w:r>
          </w:p>
        </w:tc>
      </w:tr>
      <w:tr>
        <w:trPr>
          <w:cantSplit/>
        </w:trPr>
        <w:tc>
          <w:tcPr>
            <w:vAlign w:val="center"/>
          </w:tcPr>
          <w:p>
            <w:pPr>
              <w:pStyle w:val="Compact"/>
              <w:jc w:val="left"/>
            </w:pPr>
            <w:r>
              <w:t xml:space="preserve">ROE</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228"/>
    <w:p>
      <w:pPr>
        <w:pStyle w:val="BodyText"/>
      </w:pPr>
      <w:r>
        <w:rPr>
          <w:i/>
          <w:iCs/>
        </w:rPr>
        <w:t xml:space="preserve">Fuente:</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2026c</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la banca española es más rentable que la europea, pero tiene menos capital de máxima calidad; hay que mirar las 2 cosas a la vez. La ratio de dudosos del Banco de España no es comparable con la de series antiguas.</w:t>
      </w:r>
    </w:p>
    <w:bookmarkStart w:id="229" w:name="tab_calificaciones"/>
    <w:p>
      <w:pPr>
        <w:pStyle w:val="TableCaption"/>
      </w:pPr>
      <w:r>
        <w:t xml:space="preserve">Tabla 11.–</w:t>
      </w:r>
      <w:r>
        <w:t xml:space="preserve"> </w:t>
      </w:r>
      <w:r>
        <w:t xml:space="preserve">Escala armonizada de calificaciones crediticias del Eurosistema (largo plazo)</w:t>
      </w:r>
    </w:p>
    <w:tbl>
      <w:tblPr>
        <w:tblStyle w:val="Table"/>
        <w:tblW w:type="auto" w:w="0"/>
        <w:tblLook w:firstRow="1" w:lastRow="0" w:firstColumn="0" w:lastColumn="0" w:noHBand="0" w:noVBand="0" w:val="0020"/>
        <w:tblCaption w:val="Tabla 11.– Escala armonizada de calificaciones crediticias del Eurosistema (largo plazo)"/>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center"/>
            </w:pPr>
            <w:r>
              <w:t xml:space="preserve"> </w:t>
            </w:r>
            <w:r>
              <w:rPr>
                <w:b/>
                <w:bCs/>
              </w:rPr>
              <w:t xml:space="preserve">Nivel</w:t>
            </w:r>
          </w:p>
        </w:tc>
        <w:tc>
          <w:tcPr>
            <w:shd w:val="clear" w:color="auto" w:fill="DDEBF7"/>
            <w:vAlign w:val="center"/>
          </w:tcPr>
          <w:p>
            <w:pPr>
              <w:pStyle w:val="Celdatceeazulpalido"/>
              <w:keepNext/>
              <w:jc w:val="center"/>
            </w:pPr>
            <w:r>
              <w:rPr>
                <w:b/>
                <w:bCs/>
              </w:rPr>
              <w:t xml:space="preserve">DBRS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Scope</w:t>
            </w:r>
          </w:p>
        </w:tc>
      </w:tr>
      <w:tr>
        <w:trPr>
          <w:cantSplit/>
        </w:trPr>
        <w:tc>
          <w:tcPr>
            <w:vAlign w:val="center"/>
          </w:tcPr>
          <w:p>
            <w:pPr>
              <w:pStyle w:val="Compact"/>
              <w:jc w:val="center"/>
            </w:pPr>
            <w:r>
              <w:t xml:space="preserve">1</w:t>
            </w:r>
          </w:p>
        </w:tc>
        <w:tc>
          <w:tcPr>
            <w:vAlign w:val="center"/>
          </w:tcPr>
          <w:p>
            <w:pPr>
              <w:pStyle w:val="Compact"/>
              <w:jc w:val="center"/>
            </w:pPr>
            <w:r>
              <w:t xml:space="preserve">AAA a AAL</w:t>
            </w:r>
          </w:p>
        </w:tc>
        <w:tc>
          <w:tcPr>
            <w:vAlign w:val="center"/>
          </w:tcPr>
          <w:p>
            <w:pPr>
              <w:pStyle w:val="Compact"/>
              <w:jc w:val="center"/>
            </w:pPr>
            <w:r>
              <w:t xml:space="preserve">AAA a AA</w:t>
            </w:r>
            <m:oMath>
              <m:r>
                <m:rPr>
                  <m:sty m:val="p"/>
                </m:rPr>
                <m:t>−</m:t>
              </m:r>
            </m:oMath>
          </w:p>
        </w:tc>
        <w:tc>
          <w:tcPr>
            <w:vAlign w:val="center"/>
          </w:tcPr>
          <w:p>
            <w:pPr>
              <w:pStyle w:val="Compact"/>
              <w:jc w:val="center"/>
            </w:pPr>
            <w:r>
              <w:t xml:space="preserve">Aaa a Aa3</w:t>
            </w:r>
          </w:p>
        </w:tc>
        <w:tc>
          <w:tcPr>
            <w:vAlign w:val="center"/>
          </w:tcPr>
          <w:p>
            <w:pPr>
              <w:pStyle w:val="Compact"/>
              <w:jc w:val="center"/>
            </w:pPr>
            <w:r>
              <w:t xml:space="preserve">AAA a AA</w:t>
            </w:r>
            <m:oMath>
              <m:r>
                <m:rPr>
                  <m:sty m:val="p"/>
                </m:rPr>
                <m:t>−</m:t>
              </m:r>
            </m:oMath>
          </w:p>
        </w:tc>
        <w:tc>
          <w:tcPr>
            <w:vAlign w:val="center"/>
          </w:tcPr>
          <w:p>
            <w:pPr>
              <w:pStyle w:val="Compact"/>
              <w:jc w:val="center"/>
            </w:pPr>
            <w:r>
              <w:t xml:space="preserve">AAA a AA</w:t>
            </w:r>
            <m:oMath>
              <m:r>
                <m:rPr>
                  <m:sty m:val="p"/>
                </m:rPr>
                <m:t>−</m:t>
              </m:r>
            </m:oMath>
          </w:p>
        </w:tc>
      </w:tr>
      <w:tr>
        <w:trPr>
          <w:cantSplit/>
        </w:trPr>
        <w:tc>
          <w:tcPr>
            <w:vAlign w:val="center"/>
          </w:tcPr>
          <w:p>
            <w:pPr>
              <w:pStyle w:val="Compact"/>
              <w:jc w:val="center"/>
            </w:pPr>
            <w:r>
              <w:t xml:space="preserve">2</w:t>
            </w:r>
          </w:p>
        </w:tc>
        <w:tc>
          <w:tcPr>
            <w:vAlign w:val="center"/>
          </w:tcPr>
          <w:p>
            <w:pPr>
              <w:pStyle w:val="Compact"/>
              <w:jc w:val="center"/>
            </w:pPr>
            <w:r>
              <w:t xml:space="preserve">AH, A, AL</w:t>
            </w:r>
          </w:p>
        </w:tc>
        <w:tc>
          <w:tcPr>
            <w:vAlign w:val="center"/>
          </w:tcPr>
          <w:p>
            <w:pPr>
              <w:pStyle w:val="Compact"/>
              <w:jc w:val="center"/>
            </w:pPr>
            <w:r>
              <w:t xml:space="preserve">A+, A, A</w:t>
            </w:r>
            <m:oMath>
              <m:r>
                <m:rPr>
                  <m:sty m:val="p"/>
                </m:rPr>
                <m:t>−</m:t>
              </m:r>
            </m:oMath>
          </w:p>
        </w:tc>
        <w:tc>
          <w:tcPr>
            <w:vAlign w:val="center"/>
          </w:tcPr>
          <w:p>
            <w:pPr>
              <w:pStyle w:val="Compact"/>
              <w:jc w:val="center"/>
            </w:pPr>
            <w:r>
              <w:t xml:space="preserve">A1, A2, A3</w:t>
            </w:r>
          </w:p>
        </w:tc>
        <w:tc>
          <w:tcPr>
            <w:vAlign w:val="center"/>
          </w:tcPr>
          <w:p>
            <w:pPr>
              <w:pStyle w:val="Compact"/>
              <w:jc w:val="center"/>
            </w:pPr>
            <w:r>
              <w:t xml:space="preserve">A+, A, A</w:t>
            </w:r>
            <m:oMath>
              <m:r>
                <m:rPr>
                  <m:sty m:val="p"/>
                </m:rPr>
                <m:t>−</m:t>
              </m:r>
            </m:oMath>
          </w:p>
        </w:tc>
        <w:tc>
          <w:tcPr>
            <w:vAlign w:val="center"/>
          </w:tcPr>
          <w:p>
            <w:pPr>
              <w:pStyle w:val="Compact"/>
              <w:jc w:val="center"/>
            </w:pPr>
            <w:r>
              <w:t xml:space="preserve">A+, A, A</w:t>
            </w:r>
            <m:oMath>
              <m:r>
                <m:rPr>
                  <m:sty m:val="p"/>
                </m:rPr>
                <m:t>−</m:t>
              </m:r>
            </m:oMath>
          </w:p>
        </w:tc>
      </w:tr>
      <w:tr>
        <w:trPr>
          <w:cantSplit/>
        </w:trPr>
        <w:tc>
          <w:tcPr>
            <w:shd w:val="clear" w:color="auto" w:fill="E2EFD9"/>
            <w:vAlign w:val="center"/>
          </w:tcPr>
          <w:p>
            <w:pPr>
              <w:pStyle w:val="Celdatceesalvia"/>
              <w:jc w:val="center"/>
            </w:pPr>
            <w:r>
              <w:t xml:space="preserve"> </w:t>
            </w:r>
            <w:r>
              <w:t xml:space="preserve">3</w:t>
            </w:r>
          </w:p>
        </w:tc>
        <w:tc>
          <w:tcPr>
            <w:shd w:val="clear" w:color="auto" w:fill="E2EFD9"/>
            <w:vAlign w:val="center"/>
          </w:tcPr>
          <w:p>
            <w:pPr>
              <w:pStyle w:val="Celdatceesalvia"/>
              <w:jc w:val="center"/>
            </w:pPr>
            <w:r>
              <w:t xml:space="preserve">BBBH, BBB, BBBL</w:t>
            </w:r>
          </w:p>
        </w:tc>
        <w:tc>
          <w:tcPr>
            <w:shd w:val="clear" w:color="auto" w:fill="E2EFD9"/>
            <w:vAlign w:val="center"/>
          </w:tcPr>
          <w:p>
            <w:pPr>
              <w:pStyle w:val="Celdatceesalvia"/>
              <w:jc w:val="center"/>
            </w:pPr>
            <w:r>
              <w:t xml:space="preserve">BBB+, BBB, BBB</w:t>
            </w:r>
            <m:oMath>
              <m:r>
                <m:rPr>
                  <m:sty m:val="p"/>
                </m:rPr>
                <m:t>−</m:t>
              </m:r>
            </m:oMath>
          </w:p>
        </w:tc>
        <w:tc>
          <w:tcPr>
            <w:shd w:val="clear" w:color="auto" w:fill="E2EFD9"/>
            <w:vAlign w:val="center"/>
          </w:tcPr>
          <w:p>
            <w:pPr>
              <w:pStyle w:val="Celdatceesalvia"/>
              <w:jc w:val="center"/>
            </w:pPr>
            <w:r>
              <w:t xml:space="preserve">Baa1, Baa2, Baa3</w:t>
            </w:r>
          </w:p>
        </w:tc>
        <w:tc>
          <w:tcPr>
            <w:shd w:val="clear" w:color="auto" w:fill="E2EFD9"/>
            <w:vAlign w:val="center"/>
          </w:tcPr>
          <w:p>
            <w:pPr>
              <w:pStyle w:val="Celdatceesalvia"/>
              <w:jc w:val="center"/>
            </w:pPr>
            <w:r>
              <w:t xml:space="preserve">BBB+, BBB, BBB</w:t>
            </w:r>
            <m:oMath>
              <m:r>
                <m:rPr>
                  <m:sty m:val="p"/>
                </m:rPr>
                <m:t>−</m:t>
              </m:r>
            </m:oMath>
          </w:p>
        </w:tc>
        <w:tc>
          <w:tcPr>
            <w:shd w:val="clear" w:color="auto" w:fill="E2EFD9"/>
            <w:vAlign w:val="center"/>
          </w:tcPr>
          <w:p>
            <w:pPr>
              <w:pStyle w:val="Celdatceesalvia"/>
              <w:jc w:val="center"/>
            </w:pPr>
            <w:r>
              <w:t xml:space="preserve">BBB+, BBB, BBB</w:t>
            </w:r>
            <m:oMath>
              <m:r>
                <m:rPr>
                  <m:sty m:val="p"/>
                </m:rPr>
                <m:t>−</m:t>
              </m:r>
            </m:oMath>
          </w:p>
        </w:tc>
      </w:tr>
      <w:tr>
        <w:trPr>
          <w:cantSplit/>
        </w:trPr>
        <w:tc>
          <w:tcPr>
            <w:vAlign w:val="center"/>
          </w:tcPr>
          <w:p>
            <w:pPr>
              <w:pStyle w:val="Compact"/>
              <w:jc w:val="center"/>
            </w:pPr>
            <w:r>
              <w:t xml:space="preserve">4</w:t>
            </w:r>
          </w:p>
        </w:tc>
        <w:tc>
          <w:tcPr>
            <w:vAlign w:val="center"/>
          </w:tcPr>
          <w:p>
            <w:pPr>
              <w:pStyle w:val="Compact"/>
              <w:jc w:val="center"/>
            </w:pPr>
            <w:r>
              <w:t xml:space="preserve">BBH</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t xml:space="preserve">BB+</w:t>
            </w:r>
          </w:p>
        </w:tc>
      </w:tr>
      <w:tr>
        <w:trPr>
          <w:cantSplit/>
        </w:trPr>
        <w:tc>
          <w:tcPr>
            <w:vAlign w:val="center"/>
          </w:tcPr>
          <w:p>
            <w:pPr>
              <w:pStyle w:val="Compact"/>
              <w:jc w:val="center"/>
            </w:pPr>
            <w:r>
              <w:t xml:space="preserve">5</w:t>
            </w:r>
          </w:p>
        </w:tc>
        <w:tc>
          <w:tcPr>
            <w:vAlign w:val="center"/>
          </w:tcPr>
          <w:p>
            <w:pPr>
              <w:pStyle w:val="Compact"/>
              <w:jc w:val="center"/>
            </w:pPr>
            <w:r>
              <w:t xml:space="preserve">BB</w:t>
            </w: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t xml:space="preserve">BB</w:t>
            </w:r>
          </w:p>
        </w:tc>
      </w:tr>
    </w:tbl>
    <w:bookmarkEnd w:id="229"/>
    <w:p>
      <w:pPr>
        <w:pStyle w:val="BodyText"/>
      </w:pPr>
      <w:r>
        <w:rPr>
          <w:i/>
          <w:iCs/>
        </w:rPr>
        <w:t xml:space="preserve">Fuente:</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2026d</w:t>
        </w:r>
      </w:hyperlink>
      <w:r>
        <w:rPr>
          <w:i/>
          <w:iCs/>
        </w:rPr>
        <w:t xml:space="preserve">)</w:t>
      </w:r>
      <w:r>
        <w:rPr>
          <w:i/>
          <w:iCs/>
        </w:rPr>
        <w:t xml:space="preserve">. Qué hay que ver: el grado de inversión llega hasta el nivel 3 (BBB</w:t>
      </w:r>
      <m:oMath>
        <m:r>
          <m:rPr>
            <m:sty m:val="p"/>
          </m:rPr>
          <m:t>−</m:t>
        </m:r>
      </m:oMath>
      <w:r>
        <w:rPr>
          <w:i/>
          <w:iCs/>
        </w:rPr>
        <w:t xml:space="preserve">/Baa3); por debajo, la deuda deja de ser admisible como garantía en el Eurosistema.</w:t>
      </w:r>
    </w:p>
    <w:bookmarkStart w:id="230" w:name="tab_avanzada_emergente"/>
    <w:p>
      <w:pPr>
        <w:pStyle w:val="TableCaption"/>
      </w:pPr>
      <w:r>
        <w:t xml:space="preserve">Tabla 12.–</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12.–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bl>
    <w:bookmarkEnd w:id="230"/>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231"/>
    <w:bookmarkStart w:id="247" w:name="anexo_preguntas"/>
    <w:p>
      <w:pPr>
        <w:pStyle w:val="Heading1"/>
      </w:pPr>
      <w:r>
        <w:t xml:space="preserve">B. Qué se ha preguntado (2011-2026)</w:t>
      </w:r>
    </w:p>
    <w:p>
      <w:pPr>
        <w:numPr>
          <w:ilvl w:val="0"/>
          <w:numId w:val="1139"/>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139"/>
        </w:numPr>
      </w:pPr>
      <w:r>
        <w:t xml:space="preserve">Desde 2023 hay menos preguntas (5 o 6), más largas, sin cálculos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p>
    <w:p>
      <w:pPr>
        <w:numPr>
          <w:ilvl w:val="0"/>
          <w:numId w:val="1139"/>
        </w:numPr>
      </w:pPr>
      <w:r>
        <w:t xml:space="preserve">A continuación, las preguntas literales de cada examen (sin los cuadros ni los gráficos).</w:t>
      </w:r>
    </w:p>
    <w:bookmarkStart w:id="232" w:name="tab_bloques_anio"/>
    <w:p>
      <w:pPr>
        <w:pStyle w:val="TableCaption"/>
      </w:pPr>
      <w:r>
        <w:t xml:space="preserve">Tabla 13.–</w:t>
      </w:r>
      <w:r>
        <w:t xml:space="preserve"> </w:t>
      </w:r>
      <w:r>
        <w:t xml:space="preserve">Bloques preguntados en cada dictamen</w:t>
      </w:r>
    </w:p>
    <w:tbl>
      <w:tblPr>
        <w:tblStyle w:val="Table"/>
        <w:tblW w:type="auto" w:w="0"/>
        <w:tblLook w:firstRow="1" w:lastRow="0" w:firstColumn="0" w:lastColumn="0" w:noHBand="0" w:noVBand="0" w:val="0020"/>
        <w:tblCaption w:val="Tabla 13.–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232"/>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bookmarkStart w:id="233" w:name="section"/>
    <w:p>
      <w:pPr>
        <w:pStyle w:val="Heading4"/>
      </w:pPr>
      <w:r>
        <w:t xml:space="preserve">2026</w:t>
      </w:r>
    </w:p>
    <w:p>
      <w:pPr>
        <w:pStyle w:val="FirstParagraph"/>
        <w:keepNext/>
      </w:pPr>
      <w:r>
        <w:rPr>
          <w:i/>
          <w:iCs/>
        </w:rPr>
        <w:t xml:space="preserve">Examen del 7 de marzo de 2026.</w:t>
      </w:r>
      <w:r>
        <w:t xml:space="preserve"> </w:t>
      </w:r>
      <w:r>
        <w:t xml:space="preserve">El tribunal valorará fundamentalmente las capacidades analítica y de síntesis del aspirante, así como su claridad expositiva»; sin calculadora; abreviaturas solo las del enunciado o las convencionales. «En los cuadros y gráficos a continuación de este enunciado se facilita información económica sobre un determinado país referida a los años naturales 2014 a 2025. Atendiendo a esa información, elabore un escrito respondiendo a las siguientes cuestiones:</w:t>
      </w:r>
    </w:p>
    <w:p>
      <w:pPr>
        <w:numPr>
          <w:ilvl w:val="0"/>
          <w:numId w:val="1140"/>
        </w:numPr>
      </w:pPr>
      <w:r>
        <w:t xml:space="preserve">Describa brevemente el perfil cíclico de la economía desde la óptica de la demanda a lo largo del periodo 2014-2024. ¿Cuáles podrían ser los determinantes del comportamiento de la inversión? ¿A qué podrían deberse las diferencias entre el producto interior bruto (PIB) y la renta nacional bruta (RNB)?</w:t>
      </w:r>
    </w:p>
    <w:p>
      <w:pPr>
        <w:numPr>
          <w:ilvl w:val="0"/>
          <w:numId w:val="1140"/>
        </w:numPr>
      </w:pPr>
      <w:r>
        <w:t xml:space="preserve">Analice la evolución del sector exterior a lo largo de todo el horizonte temporal, identificando sus fortalezas y debilidades. A tenor de los datos disponibles sobre precios internos, ¿puede afirmarse que el tipo de cambio presenta un alto grado de traspaso (pass-through)? ¿Cree que la política arancelaria de la actual administración de Estados Unidos ha tenido algún impacto sobre el país objeto de análisis?</w:t>
      </w:r>
    </w:p>
    <w:p>
      <w:pPr>
        <w:numPr>
          <w:ilvl w:val="0"/>
          <w:numId w:val="1140"/>
        </w:numPr>
      </w:pPr>
      <w:r>
        <w:t xml:space="preserve">Caracterice el mercado laboral del país. ¿Qué restricciones pueden estar imponiendo las dinámicas demográficas sobre este mercado? Teniendo en cuenta estas restricciones, proponga medidas de política económica orientadas a sostener el crecimiento por el lado de la oferta.</w:t>
      </w:r>
    </w:p>
    <w:p>
      <w:pPr>
        <w:numPr>
          <w:ilvl w:val="0"/>
          <w:numId w:val="1140"/>
        </w:numPr>
      </w:pPr>
      <w:r>
        <w:t xml:space="preserve">Describa la situación de las cuentas públicas y los principales rasgos de la política fiscal. ¿Considera que existen riesgos macroeconómicos y financieros apreciables para la sostenibilidad de la deuda pública? En caso positivo, indique posibles estrategias para mitigar tales riesgos.</w:t>
      </w:r>
    </w:p>
    <w:p>
      <w:pPr>
        <w:numPr>
          <w:ilvl w:val="0"/>
          <w:numId w:val="1140"/>
        </w:numPr>
      </w:pPr>
      <w:r>
        <w:t xml:space="preserve">Analice la capacidad aparente de la política monetaria para influir sobre las variables nominales y reales. ¿Qué factores podrían estar detrás tanto de la resistencia al alza inicial de la inflación como de su posterior cambio de tendencia? Valore el comportamiento de la autoridad monetaria en el nuevo contexto inflacionario.</w:t>
      </w:r>
    </w:p>
    <w:bookmarkEnd w:id="233"/>
    <w:bookmarkStart w:id="234" w:name="section_1"/>
    <w:p>
      <w:pPr>
        <w:pStyle w:val="Heading4"/>
      </w:pPr>
      <w:r>
        <w:t xml:space="preserve">2025</w:t>
      </w:r>
    </w:p>
    <w:p>
      <w:pPr>
        <w:pStyle w:val="FirstParagraph"/>
        <w:keepNext/>
      </w:pPr>
      <w:r>
        <w:rPr>
          <w:i/>
          <w:iCs/>
        </w:rPr>
        <w:t xml:space="preserve">Examen del 8 de marzo de 2025.</w:t>
      </w:r>
      <w:r>
        <w:t xml:space="preserve"> </w:t>
      </w:r>
      <w:r>
        <w:t xml:space="preserve">El Tribunal valorará la capacidad de síntesis y la capacidad de repartir adecuadamente el tiempo proporcionado entre las distintas preguntas»; 1 hora y 45 minutos. «En los cuadros y gráficos adjuntos se facilita información macroeconómica sobre una determinada economía para el período 2017-2026. Atendiendo a dicha información, responda a cada una de las siguientes preguntas:</w:t>
      </w:r>
    </w:p>
    <w:p>
      <w:pPr>
        <w:numPr>
          <w:ilvl w:val="0"/>
          <w:numId w:val="1141"/>
        </w:numPr>
      </w:pPr>
      <w:r>
        <w:t xml:space="preserve">Analice la importancia del sector petrolero en esta economía, tanto a efectos de su contribución a la variación del PIB y de los precios como su relevancia para el sector exterior y las cuentas públicas.</w:t>
      </w:r>
    </w:p>
    <w:p>
      <w:pPr>
        <w:numPr>
          <w:ilvl w:val="0"/>
          <w:numId w:val="1141"/>
        </w:numPr>
      </w:pPr>
      <w:r>
        <w:t xml:space="preserve">A la luz de los datos facilitados, ¿cuáles son, en su opinión, los factores fundamentales detrás del repunte de la inflación?</w:t>
      </w:r>
    </w:p>
    <w:p>
      <w:pPr>
        <w:numPr>
          <w:ilvl w:val="0"/>
          <w:numId w:val="1141"/>
        </w:numPr>
      </w:pPr>
      <w:r>
        <w:t xml:space="preserve">Analice la evolución de los principales rubros del sector exterior, fortalezas y debilidades.</w:t>
      </w:r>
    </w:p>
    <w:p>
      <w:pPr>
        <w:numPr>
          <w:ilvl w:val="0"/>
          <w:numId w:val="1141"/>
        </w:numPr>
      </w:pPr>
      <w:r>
        <w:t xml:space="preserve">Analice los principales elementos de las cuentas públicas, tanto en términos de su evolución como del tamaño del Sector Público. ¿Cuáles son las claves de la gestión del déficit y de la deuda pública del país para garantizar su sostenibilidad a largo plazo?</w:t>
      </w:r>
    </w:p>
    <w:p>
      <w:pPr>
        <w:numPr>
          <w:ilvl w:val="0"/>
          <w:numId w:val="1141"/>
        </w:numPr>
      </w:pPr>
      <w:r>
        <w:t xml:space="preserve">Analice cómo ha evolucionado la orientación de la política monetaria desde 2020 e indique cuáles son los objetivos e instrumentos principales del Banco Central del país. ¿Cuál cree que debería ser la orientación de la política monetaria en los próximos años?</w:t>
      </w:r>
    </w:p>
    <w:bookmarkEnd w:id="234"/>
    <w:bookmarkStart w:id="235" w:name="section_2"/>
    <w:p>
      <w:pPr>
        <w:pStyle w:val="Heading4"/>
      </w:pPr>
      <w:r>
        <w:t xml:space="preserve">2024</w:t>
      </w:r>
    </w:p>
    <w:p>
      <w:pPr>
        <w:pStyle w:val="FirstParagraph"/>
        <w:keepNext/>
      </w:pPr>
      <w:r>
        <w:rPr>
          <w:i/>
          <w:iCs/>
        </w:rPr>
        <w:t xml:space="preserve">Examen del 5 de junio de 2024.</w:t>
      </w:r>
      <w:r>
        <w:t xml:space="preserve"> </w:t>
      </w:r>
      <w:r>
        <w:t xml:space="preserve">En el cuadro y gráfico adjuntos se facilita información macroeconómica del país (A) referida al período 2019 – 2026. Dicha economía cuenta con una moneda propia que fluctúa libremente. Conteste a las siguientes preguntas apoyándose únicamente en la información que le ha sido suministrada.</w:t>
      </w:r>
    </w:p>
    <w:p>
      <w:pPr>
        <w:numPr>
          <w:ilvl w:val="0"/>
          <w:numId w:val="1142"/>
        </w:numPr>
      </w:pPr>
      <w:r>
        <w:t xml:space="preserve">Analice brevemente el perfil cíclico de esta economía. Comente brevemente el comportamiento de los principales componentes del lado de la demanda, así como de la oferta. En función de los indicadores de alta frecuencia de los que dispone, ¿cuál es la situación coyuntural reciente de esta economía?</w:t>
      </w:r>
    </w:p>
    <w:p>
      <w:pPr>
        <w:numPr>
          <w:ilvl w:val="0"/>
          <w:numId w:val="1142"/>
        </w:numPr>
      </w:pPr>
      <w:r>
        <w:t xml:space="preserve">Describa brevemente la evolución y las características del mercado laboral de esta economía. Explique sus principales implicaciones tanto a corto como a largo plazo.</w:t>
      </w:r>
    </w:p>
    <w:p>
      <w:pPr>
        <w:numPr>
          <w:ilvl w:val="0"/>
          <w:numId w:val="1142"/>
        </w:numPr>
      </w:pPr>
      <w:r>
        <w:t xml:space="preserve">Analice la Balanza de Pagos de la presente economía. ¿Qué factores pueden explicar la evolución reciente de la Posición de Inversión Internacional Neta? ¿Qué opinión le merece la evolución de las reservas en esta economía?</w:t>
      </w:r>
    </w:p>
    <w:p>
      <w:pPr>
        <w:numPr>
          <w:ilvl w:val="0"/>
          <w:numId w:val="1142"/>
        </w:numPr>
      </w:pPr>
      <w:r>
        <w:t xml:space="preserve">Describa brevemente cuáles han podido ser los posibles canales de transmisión y efectos sobre los principales agregados macroeconómicos de la política monetaria adoptada durante el periodo 2019-2023. ¿A qué retos se enfrenta la autoridad monetaria para alcanzar la «última milla» del proceso de disminución de la inflación?</w:t>
      </w:r>
    </w:p>
    <w:p>
      <w:pPr>
        <w:numPr>
          <w:ilvl w:val="0"/>
          <w:numId w:val="1142"/>
        </w:numPr>
      </w:pPr>
      <w:r>
        <w:t xml:space="preserve">Evalúe el tono de la política fiscal. ¿Qué recomendación daría a medio y largo plazo en relación con la sostenibilidad y la eficiencia del sistema de finanzas públicas de la economía en cuestión?</w:t>
      </w:r>
    </w:p>
    <w:p>
      <w:pPr>
        <w:numPr>
          <w:ilvl w:val="0"/>
          <w:numId w:val="1142"/>
        </w:numPr>
      </w:pPr>
      <w:r>
        <w:t xml:space="preserve">Detalle los principales impedimentos de esta economía para lograr un crecimiento sostenido. ¿Qué reformas estructurales considera que son clave para mejorar el desempeño económico a largo plazo?</w:t>
      </w:r>
    </w:p>
    <w:bookmarkEnd w:id="235"/>
    <w:bookmarkStart w:id="236" w:name="section_3"/>
    <w:p>
      <w:pPr>
        <w:pStyle w:val="Heading4"/>
      </w:pPr>
      <w:r>
        <w:t xml:space="preserve">2023</w:t>
      </w:r>
    </w:p>
    <w:p>
      <w:pPr>
        <w:pStyle w:val="FirstParagraph"/>
        <w:keepNext/>
      </w:pPr>
      <w:r>
        <w:rPr>
          <w:i/>
          <w:iCs/>
        </w:rPr>
        <w:t xml:space="preserve">Examen del 14 de junio de 2023.</w:t>
      </w:r>
      <w:r>
        <w:t xml:space="preserve"> </w:t>
      </w:r>
      <w:r>
        <w:t xml:space="preserve">PM para designar política monetaria deberá leerse literalmente»). «En el cuadro y gráfico adjuntos se facilita información macroeconómica referida al periodo 2012-2024 sobre un determinado Estado Miembro de la Eurozona. Atendiendo a dicha información, responda a las siguientes preguntas:</w:t>
      </w:r>
    </w:p>
    <w:p>
      <w:pPr>
        <w:numPr>
          <w:ilvl w:val="0"/>
          <w:numId w:val="1143"/>
        </w:numPr>
      </w:pPr>
      <w:r>
        <w:t xml:space="preserve">¿Cuáles podrían ser las explicaciones del desfase entre el Producto Interior Bruto y la Renta Nacional Bruta en el año 2015? Analice el perfil cíclico del consumo privado entre 2019 y 2022 así como sus determinantes. Analice, asimismo, el comportamiento de la inversión privada entre 2019 y 2021, así como sus determinantes.</w:t>
      </w:r>
    </w:p>
    <w:p>
      <w:pPr>
        <w:numPr>
          <w:ilvl w:val="0"/>
          <w:numId w:val="1143"/>
        </w:numPr>
      </w:pPr>
      <w:r>
        <w:t xml:space="preserve">Analice el comportamiento de la inflación desde 2021 y sus principales determinantes. Viendo las previsiones de 2023, ¿podrían estar afectadas éstas por el efecto base? ¿Cree que el brote inflacionista de 2021 es temporal? A la luz de los datos y de su respuesta evalúe la efectividad de la política monetaria a partir de 2022. Valore brevemente la situación del sistema financiero.</w:t>
      </w:r>
    </w:p>
    <w:p>
      <w:pPr>
        <w:numPr>
          <w:ilvl w:val="0"/>
          <w:numId w:val="1143"/>
        </w:numPr>
      </w:pPr>
      <w:r>
        <w:t xml:space="preserve">¿A qué puede deberse la volatilidad en la Capacidad/Necesidad de Financiación de esta economía entre 2018 y 2022?</w:t>
      </w:r>
    </w:p>
    <w:p>
      <w:pPr>
        <w:numPr>
          <w:ilvl w:val="0"/>
          <w:numId w:val="1143"/>
        </w:numPr>
      </w:pPr>
      <w:r>
        <w:t xml:space="preserve">Defina la tasa de actividad. ¿A qué podría deberse el aumento de la tasa de actividad entre 2020 y 2022? Analice la evolución de la Curva de</w:t>
      </w:r>
      <w:r>
        <w:t xml:space="preserve"> </w:t>
      </w:r>
      <w:r>
        <w:rPr>
          <w:smallCaps/>
        </w:rPr>
        <w:t xml:space="preserve">Beveridge</w:t>
      </w:r>
      <w:r>
        <w:t xml:space="preserve"> </w:t>
      </w:r>
      <w:r>
        <w:t xml:space="preserve">a lo largo de la serie.</w:t>
      </w:r>
    </w:p>
    <w:p>
      <w:pPr>
        <w:numPr>
          <w:ilvl w:val="0"/>
          <w:numId w:val="1143"/>
        </w:numPr>
      </w:pPr>
      <w:r>
        <w:t xml:space="preserve">Valore el tono y la orientación de la política fiscal a lo largo de la serie, así como la evolución de la deuda pública. ¿Cómo considera que la entrada en vigor de las nuevas reglas fiscales en 2024 afectará a la política fiscal del país?</w:t>
      </w:r>
    </w:p>
    <w:p>
      <w:pPr>
        <w:numPr>
          <w:ilvl w:val="0"/>
          <w:numId w:val="1143"/>
        </w:numPr>
      </w:pPr>
      <w:r>
        <w:t xml:space="preserve">Dada la situación del país ¿qué políticas recomendaría para estimular el crecimiento en el medio y largo plazo?</w:t>
      </w:r>
    </w:p>
    <w:bookmarkEnd w:id="236"/>
    <w:bookmarkStart w:id="237" w:name="section_4"/>
    <w:p>
      <w:pPr>
        <w:pStyle w:val="Heading4"/>
      </w:pPr>
      <w:r>
        <w:t xml:space="preserve">2022</w:t>
      </w:r>
    </w:p>
    <w:p>
      <w:pPr>
        <w:pStyle w:val="FirstParagraph"/>
        <w:keepNext/>
      </w:pPr>
      <w:r>
        <w:rPr>
          <w:i/>
          <w:iCs/>
        </w:rPr>
        <w:t xml:space="preserve">Examen del 9 de julio de 2022.</w:t>
      </w:r>
      <w:r>
        <w:t xml:space="preserve"> </w:t>
      </w:r>
      <w:r>
        <w:t xml:space="preserve">En el cuadro y gráficos adjuntos se facilita información macroeconómica, referida al periodo 2015-2021, sobre un determinado país. Atendiendo a dicha información, responda a las siguientes preguntas:</w:t>
      </w:r>
    </w:p>
    <w:p>
      <w:pPr>
        <w:numPr>
          <w:ilvl w:val="0"/>
          <w:numId w:val="1144"/>
        </w:numPr>
      </w:pPr>
      <w:r>
        <w:t xml:space="preserve">Analice el perfil cíclico de esta economía a lo largo del periodo 2015-2021, así como la composición del crecimiento desde la óptica de la demanda. (1,5 puntos)</w:t>
      </w:r>
    </w:p>
    <w:p>
      <w:pPr>
        <w:numPr>
          <w:ilvl w:val="0"/>
          <w:numId w:val="1144"/>
        </w:numPr>
      </w:pPr>
      <w:r>
        <w:t xml:space="preserve">Realice un análisis en detalle del sector exterior. Entre otros, explique las causas del déficit permanente en la balanza de pagos de esta economía. ¿Se cumple la condición de</w:t>
      </w:r>
      <w:r>
        <w:t xml:space="preserve"> </w:t>
      </w:r>
      <w:r>
        <w:rPr>
          <w:smallCaps/>
        </w:rPr>
        <w:t xml:space="preserve">Marshall</w:t>
      </w:r>
      <w:r>
        <w:t xml:space="preserve">-</w:t>
      </w:r>
      <w:r>
        <w:rPr>
          <w:smallCaps/>
        </w:rPr>
        <w:t xml:space="preserve">Lerner</w:t>
      </w:r>
      <w:r>
        <w:t xml:space="preserve">? Analice posibles alternativas de política económica en este ámbito. (2,5 puntos)</w:t>
      </w:r>
    </w:p>
    <w:p>
      <w:pPr>
        <w:numPr>
          <w:ilvl w:val="0"/>
          <w:numId w:val="1144"/>
        </w:numPr>
      </w:pPr>
      <w:r>
        <w:t xml:space="preserve">Evalúe el comportamiento del sector público y analice los principales rasgos de la política fiscal. ¿Aprecia usted efectos no keynesianos de la política fiscal? Comente posibles alternativas de política económica en relación con la baja participación de los ingresos públicos en el PIB del país. (1 punto)</w:t>
      </w:r>
    </w:p>
    <w:p>
      <w:pPr>
        <w:numPr>
          <w:ilvl w:val="0"/>
          <w:numId w:val="1144"/>
        </w:numPr>
      </w:pPr>
      <w:r>
        <w:t xml:space="preserve">¿Qué tipo de política monetaria cree que están aplicando las autoridades? ¿Deberían continuar con esta política en 2022? (1 punto)</w:t>
      </w:r>
    </w:p>
    <w:p>
      <w:pPr>
        <w:numPr>
          <w:ilvl w:val="0"/>
          <w:numId w:val="1144"/>
        </w:numPr>
      </w:pPr>
      <w:r>
        <w:t xml:space="preserve">Realice una valoración de la estabilidad financiera de la economía objeto de análisis, identificando las principales vulnerabilidades y fortalezas del sector bancario. (1 punto)</w:t>
      </w:r>
    </w:p>
    <w:p>
      <w:pPr>
        <w:numPr>
          <w:ilvl w:val="0"/>
          <w:numId w:val="1144"/>
        </w:numPr>
      </w:pPr>
      <w:r>
        <w:t xml:space="preserve">Este país ha recibido financiación del Fondo Monetario Internacional (FMI) en el marco de un programa de ayuda condicionado. ¿Qué impacto ha tenido el programa a la luz de la evolución del saldo público y del sector exterior? (1,5 puntos)</w:t>
      </w:r>
    </w:p>
    <w:p>
      <w:pPr>
        <w:numPr>
          <w:ilvl w:val="0"/>
          <w:numId w:val="1144"/>
        </w:numPr>
      </w:pPr>
      <w:r>
        <w:t xml:space="preserve">Señale cuáles son las principales vulnerabilidades y riesgos de esta economía y comente qué políticas deberían aplicarse en los próximos años para abordarlos. (1,5 puntos)</w:t>
      </w:r>
    </w:p>
    <w:bookmarkEnd w:id="237"/>
    <w:bookmarkStart w:id="238" w:name="section_5"/>
    <w:p>
      <w:pPr>
        <w:pStyle w:val="Heading4"/>
      </w:pPr>
      <w:r>
        <w:t xml:space="preserve">2021</w:t>
      </w:r>
    </w:p>
    <w:p>
      <w:pPr>
        <w:pStyle w:val="FirstParagraph"/>
        <w:keepNext/>
      </w:pPr>
      <w:r>
        <w:rPr>
          <w:i/>
          <w:iCs/>
        </w:rPr>
        <w:t xml:space="preserve">Examen del 10 de julio de 2021.</w:t>
      </w:r>
      <w:r>
        <w:t xml:space="preserve"> </w:t>
      </w:r>
      <w:r>
        <w:t xml:space="preserve">Los datos, cuadros y gráficos aportados contienen información de un país integrante del G-20. Actualmente el régimen cambiario de esta economía es el de flotación, guardándose la posibilidad de intervenir en los mercados cambiarios (este régimen también se conoce frecuentemente como «flotación sucia»). Sin embargo, en el pasado, esta economía ha mantenido un régimen más cercano al tipo de cambio fijo. Conteste a las siguientes preguntas apoyándose únicamente en la información que le ha sido suministrada.</w:t>
      </w:r>
    </w:p>
    <w:p>
      <w:pPr>
        <w:numPr>
          <w:ilvl w:val="0"/>
          <w:numId w:val="1145"/>
        </w:numPr>
      </w:pPr>
      <w:r>
        <w:t xml:space="preserve">Analice el perfil cíclico de esta economía a lo largo del período. Comente, BREVEMENTE, el comportamiento de los principales componentes del lado de la demanda. Observe, si es posible, y comente la evolución del PIB potencial. (1,5 puntos)</w:t>
      </w:r>
    </w:p>
    <w:p>
      <w:pPr>
        <w:numPr>
          <w:ilvl w:val="0"/>
          <w:numId w:val="1145"/>
        </w:numPr>
      </w:pPr>
      <w:r>
        <w:t xml:space="preserve">Con los datos aportados, calcule la variación de los costes laborales unitarios reales para 2017, 2018 y 2019. Para este periodo, compare los costes laborales unitarios con la posición cíclica de la economía. ¿Qué factores podrían explicar su evolución? Indique si consideraría oportuno o no utilizar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a efectos de modelizar la economía de este país. (1 punto)</w:t>
      </w:r>
    </w:p>
    <w:p>
      <w:pPr>
        <w:numPr>
          <w:ilvl w:val="0"/>
          <w:numId w:val="1145"/>
        </w:numPr>
      </w:pPr>
      <w:r>
        <w:t xml:space="preserve">Este país sufrió una grave crisis económica en 2018 desencadenada en el sector exterior. Comente con detalle los desequilibrios que se fueron acumulando en el sector exterior y cómo estos pudieron contribuir a que se originara la crisis. (2 puntos)</w:t>
      </w:r>
    </w:p>
    <w:p>
      <w:pPr>
        <w:numPr>
          <w:ilvl w:val="0"/>
          <w:numId w:val="1145"/>
        </w:numPr>
      </w:pPr>
      <w:r>
        <w:t xml:space="preserve">Evalué brevemente el tono de la política monetaria. ¿Considera usted que hay dominancia fiscal? Observando los datos aportados sobre su balance, comente los posibles objetivos que persigue el banco central. El banco central de este país ha anunciado su intención de incrementar sus reservas en moneda extranjera. Explique las posibles consecuencias de esta medida sobre la inflación. (2 puntos)</w:t>
      </w:r>
    </w:p>
    <w:p>
      <w:pPr>
        <w:numPr>
          <w:ilvl w:val="0"/>
          <w:numId w:val="1145"/>
        </w:numPr>
      </w:pPr>
      <w:r>
        <w:t xml:space="preserve">Atendiendo a la política fiscal, ¿considera que el policy mix de esta economía es el adecuado? ¿Cuáles han sido las consecuencias de la política de endeudamiento del sector público? De acuerdo con la posición cíclica de la economía, ¿el saldo primario estructural de 2011 debería ser mayor, menor o igual al 1,6% del PIB? Razone brevemente la respuesta. (2 puntos)</w:t>
      </w:r>
    </w:p>
    <w:p>
      <w:pPr>
        <w:numPr>
          <w:ilvl w:val="0"/>
          <w:numId w:val="1145"/>
        </w:numPr>
      </w:pPr>
      <w:r>
        <w:t xml:space="preserve">Enumere cuáles son, en su opinión, los desequilibrios económicos más importantes a los que se enfrenta este país. Formule recomendaciones de política económica para corregirlos. ¿Qué implicaciones tendría el acceso a un programa de financiación del Fondo Monetario Internacional para la corrección de estos equilibrios? (1,5 puntos)</w:t>
      </w:r>
    </w:p>
    <w:bookmarkEnd w:id="238"/>
    <w:bookmarkStart w:id="239" w:name="section_6"/>
    <w:p>
      <w:pPr>
        <w:pStyle w:val="Heading4"/>
      </w:pPr>
      <w:r>
        <w:t xml:space="preserve">2020</w:t>
      </w:r>
    </w:p>
    <w:p>
      <w:pPr>
        <w:pStyle w:val="FirstParagraph"/>
        <w:keepNext/>
      </w:pPr>
      <w:r>
        <w:rPr>
          <w:i/>
          <w:iCs/>
        </w:rPr>
        <w:t xml:space="preserve">Examen del 18 de enero de 2020.</w:t>
      </w:r>
      <w:r>
        <w:t xml:space="preserve"> </w:t>
      </w:r>
      <w:r>
        <w:t xml:space="preserve">Los cuadros y gráficos contienen datos de una economía desarrollada, con una alta apertura al exterior y un peso elevado de su sector agroalimentario. El objetivo prioritario de la política monetaria es mantener la tasa de inflación medida mediante un índice de precios al consumo en una banda de fluctuación en torno al 2% interanual. El régimen cambiario al que se han comprometido las autoridades es el de flotación libre y ha sido respetado salvo durante la última gran crisis de 2008 y 2009 cuando intervinieron de manera puntual. Entre sus principales mercados de exportación se encuentran la Unión Europea, los Estados Unidos y China, entre otros.</w:t>
      </w:r>
    </w:p>
    <w:p>
      <w:pPr>
        <w:numPr>
          <w:ilvl w:val="0"/>
          <w:numId w:val="1146"/>
        </w:numPr>
      </w:pPr>
      <w:r>
        <w:t xml:space="preserve">Analice el perfil cíclico de esta economía a lo largo del período relacionando la evolución de las principales macromagnitudes con sus determinantes más significativos. ¿Cuál ha sido la contribución al crecimiento de la demanda interna en los ejercicios 2017 y 2018?</w:t>
      </w:r>
    </w:p>
    <w:p>
      <w:pPr>
        <w:numPr>
          <w:ilvl w:val="0"/>
          <w:numId w:val="1146"/>
        </w:numPr>
      </w:pPr>
      <w:r>
        <w:t xml:space="preserve">Realice un análisis detallado del sector exterior de esta economía identificando sus principales fortalezas y debilidades. Entre otros, evalúe cómo ha evolucionado su competitividad precio así como su patrón de financiación externa. Compare y analice posibles alternativas de política económica en este ámbito. Apoyándose en su conocimiento de la actual coyuntura económica mundial, ¿cuáles son, en su opinión, los riesgos a los que se enfrenta su sector exterior?</w:t>
      </w:r>
    </w:p>
    <w:p>
      <w:pPr>
        <w:numPr>
          <w:ilvl w:val="0"/>
          <w:numId w:val="1146"/>
        </w:numPr>
      </w:pPr>
      <w:r>
        <w:t xml:space="preserve">¿Cómo valoraría usted la política monetaria aplicada? ¿Cuáles son, en su opinión, sus principales canales de transmisión? Dada la evolución mostrada por el tipo de cambio de la moneda nacional, ¿consideraría usted conveniente que las autoridades abandonasen, siquiera puntualmente, la flotación libre a fin de mejorar el saldo exterior?</w:t>
      </w:r>
    </w:p>
    <w:p>
      <w:pPr>
        <w:numPr>
          <w:ilvl w:val="0"/>
          <w:numId w:val="1146"/>
        </w:numPr>
      </w:pPr>
      <w:r>
        <w:t xml:space="preserve">Realice un análisis detallado del mercado de trabajo de esta economía, evaluando sus principales vulnerabilidades y fortalezas. Compare y analice posibles alternativas de política económica en este ámbito. En 2017 el Gobierno decidió endurecer los requisitos para la concesión de visados a los trabajadores extranjeros. Describa brevemente los posibles mecanismos de transmisión al producto nacional de este shock exógeno.</w:t>
      </w:r>
    </w:p>
    <w:p>
      <w:pPr>
        <w:numPr>
          <w:ilvl w:val="0"/>
          <w:numId w:val="1146"/>
        </w:numPr>
      </w:pPr>
      <w:r>
        <w:t xml:space="preserve">Realice una valoración de la estabilidad financiera de la economía objeto de análisis desde el punto de vista macroprudencial, evaluando los posibles riesgos, tanto internos como externos, a los que se enfrenta. Teniendo en cuenta que su sistema financiero está muy «bancarizado», incluya una valoración de la solvencia y rentabilidad de su sistema bancario. ¿En qué medida los bajos tipos de interés pueden ser considerados un riesgo a la estabilidad financiera? Compare posibles alternativas de política económica a este respecto.</w:t>
      </w:r>
    </w:p>
    <w:p>
      <w:pPr>
        <w:numPr>
          <w:ilvl w:val="0"/>
          <w:numId w:val="1146"/>
        </w:numPr>
      </w:pPr>
      <w:r>
        <w:t xml:space="preserve">Realice una valoración de la participación del sector público analizando tanto el tono de la política fiscal como los riesgos a los que ha de hacer frente. Compare posibles alternativas de política económica en este ámbito indicando sus potenciales interrelaciones con la política monetaria En 2017 se celebraron sus últimas elecciones generales y se produjo un cambio de Gobierno. El nuevo Gobierno estableció como objetivos de política económica reducir el fuerte déficit de infraestructuras del país y solventar la escasez de vivienda para lo que puso en marcha una política fiscal expansiva de inversión en infraestructuras y de construcción de vivienda social. ¿Qué valoración le merece esta medida?</w:t>
      </w:r>
    </w:p>
    <w:p>
      <w:pPr>
        <w:numPr>
          <w:ilvl w:val="0"/>
          <w:numId w:val="1146"/>
        </w:numPr>
      </w:pPr>
      <w:r>
        <w:t xml:space="preserve">Para concluir, tras el análisis que usted acaba de realizar, ¿cuáles son en su opinión los principales desequilibrios macroeconómicos que debía abordar la política económica del nuevo Gobierno que se constituyó en 2017?</w:t>
      </w:r>
    </w:p>
    <w:bookmarkEnd w:id="239"/>
    <w:bookmarkStart w:id="240" w:name="section_7"/>
    <w:p>
      <w:pPr>
        <w:pStyle w:val="Heading4"/>
      </w:pPr>
      <w:r>
        <w:t xml:space="preserve">2019</w:t>
      </w:r>
    </w:p>
    <w:p>
      <w:pPr>
        <w:pStyle w:val="FirstParagraph"/>
        <w:keepNext/>
      </w:pPr>
      <w:r>
        <w:rPr>
          <w:i/>
          <w:iCs/>
        </w:rPr>
        <w:t xml:space="preserve">Examen del 2 de febrero de 2019.</w:t>
      </w:r>
      <w:r>
        <w:t xml:space="preserve"> </w:t>
      </w:r>
      <w:r>
        <w:t xml:space="preserve">En los siguientes cuadros y gráficos se muestran las principales variables macroeconómicas de un país de la Unión Europea.</w:t>
      </w:r>
    </w:p>
    <w:p>
      <w:pPr>
        <w:numPr>
          <w:ilvl w:val="0"/>
          <w:numId w:val="1147"/>
        </w:numPr>
      </w:pPr>
      <w:r>
        <w:t xml:space="preserve">Comente brevemente el perfil cíclico de esta economía desde la óptica de la demanda a la largo del período 2012-2017 ¿Cuáles han sido los principales motores de la recuperación económica?</w:t>
      </w:r>
    </w:p>
    <w:p>
      <w:pPr>
        <w:numPr>
          <w:ilvl w:val="0"/>
          <w:numId w:val="1147"/>
        </w:numPr>
      </w:pPr>
      <w:r>
        <w:t xml:space="preserve">¿Cuáles son los principales determinantes de la evolución de las exportaciones de bienes y servicios? ¿Cómo han influido dichos determinantes en las exportaciones entre 2015 y 2017?</w:t>
      </w:r>
    </w:p>
    <w:p>
      <w:pPr>
        <w:numPr>
          <w:ilvl w:val="0"/>
          <w:numId w:val="1147"/>
        </w:numPr>
      </w:pPr>
      <w:r>
        <w:t xml:space="preserve">¿Cuáles eran los principales desequilibrios de esta economía antes del inicio de la crisis financiera internacional? ¿Se han corregido algunos de ellos después de una década? ¿Han aparecido otros nuevos?</w:t>
      </w:r>
    </w:p>
    <w:p>
      <w:pPr>
        <w:numPr>
          <w:ilvl w:val="0"/>
          <w:numId w:val="1147"/>
        </w:numPr>
      </w:pPr>
      <w:r>
        <w:t xml:space="preserve">A la luz de la evolución de los indicadores de clima económico en 2018, ¿cómo cree que será el desempeño de esta economía en 2018 y 2019?</w:t>
      </w:r>
    </w:p>
    <w:p>
      <w:pPr>
        <w:numPr>
          <w:ilvl w:val="0"/>
          <w:numId w:val="1147"/>
        </w:numPr>
      </w:pPr>
      <w:r>
        <w:t xml:space="preserve">Analice la evolución de la productividad aparente del factor trabajo durante el período 2012-2017. Calcule la variación de los costes laborales unitarios en 2016 y 2017.</w:t>
      </w:r>
    </w:p>
    <w:p>
      <w:pPr>
        <w:numPr>
          <w:ilvl w:val="0"/>
          <w:numId w:val="1147"/>
        </w:numPr>
      </w:pPr>
      <w:r>
        <w:t xml:space="preserve">Comente las principales transformaciones del mercado de trabajo y la situación del mismo en 2017.</w:t>
      </w:r>
    </w:p>
    <w:p>
      <w:pPr>
        <w:numPr>
          <w:ilvl w:val="0"/>
          <w:numId w:val="1147"/>
        </w:numPr>
      </w:pPr>
      <w:r>
        <w:t xml:space="preserve">El gobierno ha aprobado una subida del salario mínimo interprofesional del 4,1% a partir del 1 de enero de 2019. Valore los efectos que esta medida podría tener en las principales variables macroeconómicas, incluyendo el saldo público.</w:t>
      </w:r>
    </w:p>
    <w:p>
      <w:pPr>
        <w:numPr>
          <w:ilvl w:val="0"/>
          <w:numId w:val="1147"/>
        </w:numPr>
      </w:pPr>
      <w:r>
        <w:t xml:space="preserve">Calcule la tasa de inversión nacional en 2017. ¿Cuál puede ser el motivo de que, a pesar de la política monetaria expansiva aplicada por el banco central en los últimos años, la tasa de inversión de esta economía sea relativamente baja respecto a la media de la Unión Europea?</w:t>
      </w:r>
    </w:p>
    <w:p>
      <w:pPr>
        <w:numPr>
          <w:ilvl w:val="0"/>
          <w:numId w:val="1147"/>
        </w:numPr>
      </w:pPr>
      <w:r>
        <w:t xml:space="preserve">Analice la política fiscal entre los años 2012 y 2017. ¿Cuál ha sido el «esfuerzo estructural» en los últimos tres años?</w:t>
      </w:r>
    </w:p>
    <w:p>
      <w:pPr>
        <w:numPr>
          <w:ilvl w:val="0"/>
          <w:numId w:val="1147"/>
        </w:numPr>
      </w:pPr>
      <w:r>
        <w:t xml:space="preserve">En un reciente Informe de Perspectivas Económicas Mundiales del Fondo Monetario Internacional, se considera que un agravamiento de las tensiones comerciales a nivel global o una subida abrupta de los tipos de interés, en un entorno de normalización de las políticas monetarias de Estados Unidos, constituyen uno de los riesgos que podrían lastrar el crecimiento económico. ¿Esta economía es vulnerable a alguno de estos riegos? ¿Por qué?</w:t>
      </w:r>
    </w:p>
    <w:bookmarkEnd w:id="240"/>
    <w:bookmarkStart w:id="241" w:name="section_8"/>
    <w:p>
      <w:pPr>
        <w:pStyle w:val="Heading4"/>
      </w:pPr>
      <w:r>
        <w:t xml:space="preserve">2018</w:t>
      </w:r>
    </w:p>
    <w:p>
      <w:pPr>
        <w:pStyle w:val="FirstParagraph"/>
        <w:keepNext/>
      </w:pPr>
      <w:r>
        <w:rPr>
          <w:i/>
          <w:iCs/>
        </w:rPr>
        <w:t xml:space="preserve">Examen del 20 de enero de 2018.</w:t>
      </w:r>
      <w:r>
        <w:t xml:space="preserve"> </w:t>
      </w:r>
      <w:r>
        <w:t xml:space="preserve">Dictamen económico. En los cuadros y gráficos adjuntos, se facilita información macroeconómica, referida al periodo 2004-2016 (con proyecciones para 2017-2018), sobre un determinado país. Atendiendo a dicha información, responda a las siguientes preguntas:</w:t>
      </w:r>
    </w:p>
    <w:p>
      <w:pPr>
        <w:numPr>
          <w:ilvl w:val="0"/>
          <w:numId w:val="1148"/>
        </w:numPr>
      </w:pPr>
      <w:r>
        <w:t xml:space="preserve">Evalúe el perfil cíclico de la economía de este país entre 2004 y 2016 valorando la aportación de los diferentes componentes al crecimiento. ¿Cómo ha cambiado la composición de los saldos sectoriales antes y después de 2009? (2 puntos)</w:t>
      </w:r>
    </w:p>
    <w:p>
      <w:pPr>
        <w:numPr>
          <w:ilvl w:val="0"/>
          <w:numId w:val="1148"/>
        </w:numPr>
      </w:pPr>
      <w:r>
        <w:t xml:space="preserve">Calcule, de forma aproximada, las variaciones de la productividad aparente del factor trabajo y de los costes laborales unitarios (CLU) para 2009 y 2010. Analice la serie completa de CLU y la de productividad en relación con la evolución del PIB real. A partir de los datos del mercado de trabajo, ¿detecta alguna posible vulnerabilidad para el crecimiento a medio/largo plazo? (1,5 puntos)</w:t>
      </w:r>
    </w:p>
    <w:p>
      <w:pPr>
        <w:numPr>
          <w:ilvl w:val="0"/>
          <w:numId w:val="1148"/>
        </w:numPr>
      </w:pPr>
      <w:r>
        <w:t xml:space="preserve">¿Cómo ha evolucionado el sector exterior antes y después de 2009? ¿Qué factores explican la evolución de dicho saldo? Indique si se ha producido una ganancia o pérdida de competitividad después de 2012 y explique qué efecto ha tenido en este sentido la relación de precios con el resto del mundo. (1,5 puntos)</w:t>
      </w:r>
    </w:p>
    <w:p>
      <w:pPr>
        <w:numPr>
          <w:ilvl w:val="0"/>
          <w:numId w:val="1148"/>
        </w:numPr>
      </w:pPr>
      <w:r>
        <w:t xml:space="preserve">A partir de la información de balanza de pagos, ¿cómo se ha financiado el déficit por cuenta corriente desde 2009? ¿Por qué mejora la posición de inversión internacional neta (PIIN) entre 2013 y 2015 si el saldo por cuenta financiera es negativo en esos años? (1 punto)</w:t>
      </w:r>
    </w:p>
    <w:p>
      <w:pPr>
        <w:numPr>
          <w:ilvl w:val="0"/>
          <w:numId w:val="1148"/>
        </w:numPr>
      </w:pPr>
      <w:r>
        <w:t xml:space="preserve">Comente cómo ha evolucionado el saldo público y cuál ha sido el tono de la política fiscal. Calcule el esfuerzo fiscal en el periodo 2015-2016. (1,5 puntos)</w:t>
      </w:r>
    </w:p>
    <w:p>
      <w:pPr>
        <w:numPr>
          <w:ilvl w:val="0"/>
          <w:numId w:val="1148"/>
        </w:numPr>
      </w:pPr>
      <w:r>
        <w:t xml:space="preserve">Analice cuál ha sido la orientación de la política monetaria. (1 punto)</w:t>
      </w:r>
    </w:p>
    <w:p>
      <w:pPr>
        <w:numPr>
          <w:ilvl w:val="0"/>
          <w:numId w:val="1148"/>
        </w:numPr>
      </w:pPr>
      <w:r>
        <w:t xml:space="preserve">A partir de las proyecciones del crecimiento real y potencial, calcule la brecha del producto (output gap) para los años 2017 y 2018. Realice un análisis de la situación económica en 2016 y del crecimiento estimado en 2017 y 2018. Indique cuáles son las principales vulnerabilidades y riesgos de esta economía y qué políticas deberían aplicarse en los próximos años. (1,5 puntos)</w:t>
      </w:r>
    </w:p>
    <w:bookmarkEnd w:id="241"/>
    <w:bookmarkStart w:id="242" w:name="noviembre"/>
    <w:p>
      <w:pPr>
        <w:pStyle w:val="Heading4"/>
      </w:pPr>
      <w:r>
        <w:t xml:space="preserve">2016 (noviembre)</w:t>
      </w:r>
    </w:p>
    <w:p>
      <w:pPr>
        <w:pStyle w:val="FirstParagraph"/>
        <w:keepNext/>
      </w:pPr>
      <w:r>
        <w:rPr>
          <w:i/>
          <w:iCs/>
        </w:rPr>
        <w:t xml:space="preserve">Examen del 26 de noviembre de 2016.</w:t>
      </w:r>
      <w:r>
        <w:t xml:space="preserve"> </w:t>
      </w:r>
      <w:r>
        <w:t xml:space="preserve">Análisis de coyuntura. En el cuadro y gráficos adjuntos se facilita información macroeconómica, referida al periodo 2007-2016, sobre un determinado país. Atendiendo a dicha información, responda a las siguientes preguntas:</w:t>
      </w:r>
    </w:p>
    <w:p>
      <w:pPr>
        <w:numPr>
          <w:ilvl w:val="0"/>
          <w:numId w:val="1149"/>
        </w:numPr>
      </w:pPr>
      <w:r>
        <w:t xml:space="preserve">Evalúe el perfil cíclico de la economía de este país desde el inicio de la crisis financiera internacional hasta 2015.</w:t>
      </w:r>
    </w:p>
    <w:p>
      <w:pPr>
        <w:numPr>
          <w:ilvl w:val="0"/>
          <w:numId w:val="1149"/>
        </w:numPr>
      </w:pPr>
      <w:r>
        <w:t xml:space="preserve">¿Cómo ha podido afectar la evolución del precio del petróleo a esta economía desde 2008?</w:t>
      </w:r>
    </w:p>
    <w:p>
      <w:pPr>
        <w:numPr>
          <w:ilvl w:val="0"/>
          <w:numId w:val="1149"/>
        </w:numPr>
      </w:pPr>
      <w:r>
        <w:t xml:space="preserve">Calcule la variación del coste laboral unitario de 2012 respecto al año anterior. Con la información disponible, analice la evolución de los costes laborales unitarios y su relación con la evolución de los salarios, suponiendo que la tasa de asalarización es constante e igual a 1 (2012-2015). ¿Qué puede deducirse en relación con la competitividad de esta economía?</w:t>
      </w:r>
    </w:p>
    <w:p>
      <w:pPr>
        <w:numPr>
          <w:ilvl w:val="0"/>
          <w:numId w:val="1149"/>
        </w:numPr>
      </w:pPr>
      <w:r>
        <w:t xml:space="preserve">¿Cuáles son los principales desequilibrios de esta economía?</w:t>
      </w:r>
    </w:p>
    <w:p>
      <w:pPr>
        <w:numPr>
          <w:ilvl w:val="0"/>
          <w:numId w:val="1149"/>
        </w:numPr>
      </w:pPr>
      <w:r>
        <w:t xml:space="preserve">Comente la evolución de los principales determinantes de la demanda de exportaciones de bienes y servicios y su contribución al crecimiento de las exportaciones. Enumere otros posibles determinantes de la demanda de exportaciones. ¿Cree que la balanza de servicios es superavitaria?</w:t>
      </w:r>
    </w:p>
    <w:p>
      <w:pPr>
        <w:numPr>
          <w:ilvl w:val="0"/>
          <w:numId w:val="1149"/>
        </w:numPr>
      </w:pPr>
      <w:r>
        <w:t xml:space="preserve">Esta economía ha sufrido un shock en 2016, con efectos sobre el tipo de cambio y los índices de gestores de compras de los sectores de manufacturas y servicios (PMI, siglas en inglés). A la vista de estos gráficos, ¿cuál podría ser el impacto (positivo/negativo) de dicho shock en el crecimiento y en los principales componentes del PIB desde la óptica de la demanda, así como en el empleo y la inflación?</w:t>
      </w:r>
    </w:p>
    <w:p>
      <w:pPr>
        <w:numPr>
          <w:ilvl w:val="0"/>
          <w:numId w:val="1149"/>
        </w:numPr>
      </w:pPr>
      <w:r>
        <w:t xml:space="preserve">Analice el tono de la política económica (política fiscal y política monetaria) en el período 2008-2015.</w:t>
      </w:r>
    </w:p>
    <w:p>
      <w:pPr>
        <w:numPr>
          <w:ilvl w:val="0"/>
          <w:numId w:val="1149"/>
        </w:numPr>
      </w:pPr>
      <w:r>
        <w:t xml:space="preserve">¿Cuál podría ser el dilema de política monetaria del Banco Central en 2016?</w:t>
      </w:r>
    </w:p>
    <w:bookmarkEnd w:id="242"/>
    <w:bookmarkStart w:id="243" w:name="enero"/>
    <w:p>
      <w:pPr>
        <w:pStyle w:val="Heading4"/>
      </w:pPr>
      <w:r>
        <w:t xml:space="preserve">2016 (enero)</w:t>
      </w:r>
    </w:p>
    <w:p>
      <w:pPr>
        <w:pStyle w:val="FirstParagraph"/>
        <w:keepNext/>
      </w:pPr>
      <w:r>
        <w:rPr>
          <w:i/>
          <w:iCs/>
        </w:rPr>
        <w:t xml:space="preserve">Examen del 16 de enero de 2016.</w:t>
      </w:r>
      <w:r>
        <w:t xml:space="preserve"> </w:t>
      </w:r>
      <w:r>
        <w:t xml:space="preserve">Análisis de coyuntura. En el cuadro adjunto se facilita información macroeconómica, referida al periodo 2010-2016, sobre un determinado país importador neto de petróleo. En base a dicha información, responda a las siguientes cuestiones en el orden establecido:</w:t>
      </w:r>
    </w:p>
    <w:p>
      <w:pPr>
        <w:numPr>
          <w:ilvl w:val="0"/>
          <w:numId w:val="1150"/>
        </w:numPr>
      </w:pPr>
      <w:r>
        <w:t xml:space="preserve">Evalúe el perfil cíclico de la economía real en el período 2010-2015 y la composición del crecimiento desde la óptica de la demanda.</w:t>
      </w:r>
    </w:p>
    <w:p>
      <w:pPr>
        <w:numPr>
          <w:ilvl w:val="0"/>
          <w:numId w:val="1150"/>
        </w:numPr>
      </w:pPr>
      <w:r>
        <w:t xml:space="preserve">¿Qué razones podrían explicar el repunte de los precios de la vivienda a partir de 2013?</w:t>
      </w:r>
    </w:p>
    <w:p>
      <w:pPr>
        <w:numPr>
          <w:ilvl w:val="0"/>
          <w:numId w:val="1150"/>
        </w:numPr>
      </w:pPr>
      <w:r>
        <w:t xml:space="preserve">Calcule las tasas de variación anuales de la productividad aparente del trabajo y de los costes laborales unitarios nominales de la economía en el período 2013-2015. Analice su evolución.</w:t>
      </w:r>
    </w:p>
    <w:p>
      <w:pPr>
        <w:numPr>
          <w:ilvl w:val="0"/>
          <w:numId w:val="1150"/>
        </w:numPr>
      </w:pPr>
      <w:r>
        <w:t xml:space="preserve">¿Qué shocks habrían afectado al saldo de la cuenta corriente en 2014 y 2015? Explique su respuesta.</w:t>
      </w:r>
    </w:p>
    <w:p>
      <w:pPr>
        <w:numPr>
          <w:ilvl w:val="0"/>
          <w:numId w:val="1150"/>
        </w:numPr>
      </w:pPr>
      <w:r>
        <w:t xml:space="preserve">Defina el efecto valoración de la Posición Neta de Inversión Internacional (PNII) y calcule su valor en 2015 y 2016. ¿A qué atribuye el empeoramiento de la PNII en estos años?</w:t>
      </w:r>
    </w:p>
    <w:p>
      <w:pPr>
        <w:numPr>
          <w:ilvl w:val="0"/>
          <w:numId w:val="1150"/>
        </w:numPr>
      </w:pPr>
      <w:r>
        <w:t xml:space="preserve">Calcule el esfuerzo estructural fiscal en el período 2015-2016 bajo el supuesto de que no se han adoptado medidas one-off. Analice el tono de la política fiscal en dichos años.</w:t>
      </w:r>
    </w:p>
    <w:p>
      <w:pPr>
        <w:numPr>
          <w:ilvl w:val="0"/>
          <w:numId w:val="1150"/>
        </w:numPr>
      </w:pPr>
      <w:r>
        <w:t xml:space="preserve">¿Qué tipo de política monetaria cree que están aplicando las autoridades? ¿Deberían continuar con esta política en 2016? Explique la respuesta.</w:t>
      </w:r>
    </w:p>
    <w:p>
      <w:pPr>
        <w:numPr>
          <w:ilvl w:val="0"/>
          <w:numId w:val="1150"/>
        </w:numPr>
      </w:pPr>
      <w:r>
        <w:t xml:space="preserve">Señale los principales riesgos que presenta actualmente esta economía.</w:t>
      </w:r>
    </w:p>
    <w:bookmarkEnd w:id="243"/>
    <w:bookmarkStart w:id="244" w:name="section_9"/>
    <w:p>
      <w:pPr>
        <w:pStyle w:val="Heading4"/>
      </w:pPr>
      <w:r>
        <w:t xml:space="preserve">2014</w:t>
      </w:r>
    </w:p>
    <w:p>
      <w:pPr>
        <w:pStyle w:val="FirstParagraph"/>
        <w:keepNext/>
      </w:pPr>
      <w:r>
        <w:rPr>
          <w:i/>
          <w:iCs/>
        </w:rPr>
        <w:t xml:space="preserve">Examen del 27 de septiembre de 2014.</w:t>
      </w:r>
      <w:r>
        <w:t xml:space="preserve"> </w:t>
      </w:r>
      <w:r>
        <w:t xml:space="preserve">Primer Ejercicio. Segunda Parte: Análisis de la coyuntura. Duración máxima: 2 horas. En el cuadro adjunto se proporciona información, para el periodo 2000-2013, de los principales agregados macroeconómicos de la economía de un determinado país. En base a dicha información, responda a las siguientes cuestiones:</w:t>
      </w:r>
    </w:p>
    <w:p>
      <w:pPr>
        <w:numPr>
          <w:ilvl w:val="0"/>
          <w:numId w:val="1151"/>
        </w:numPr>
      </w:pPr>
      <w:r>
        <w:t xml:space="preserve">Analice la evolución cíclica de dicha economía en el periodo especificado en el cuadro macroeconómico, así como la composición del crecimiento desde la óptica de la oferta y de la demanda.</w:t>
      </w:r>
    </w:p>
    <w:p>
      <w:pPr>
        <w:numPr>
          <w:ilvl w:val="0"/>
          <w:numId w:val="1151"/>
        </w:numPr>
      </w:pPr>
      <w:r>
        <w:t xml:space="preserve">Comente los posibles desequilibrios macroeconómicos que presenta esta economía.</w:t>
      </w:r>
    </w:p>
    <w:p>
      <w:pPr>
        <w:numPr>
          <w:ilvl w:val="0"/>
          <w:numId w:val="1151"/>
        </w:numPr>
      </w:pPr>
      <w:r>
        <w:t xml:space="preserve">Evalúe el comportamiento del mercado de trabajo, señalando las posibles causas de su evolución.</w:t>
      </w:r>
    </w:p>
    <w:p>
      <w:pPr>
        <w:numPr>
          <w:ilvl w:val="0"/>
          <w:numId w:val="1151"/>
        </w:numPr>
      </w:pPr>
      <w:r>
        <w:t xml:space="preserve">Analice la evolución del sector exterior y sus principales determinantes.</w:t>
      </w:r>
    </w:p>
    <w:p>
      <w:pPr>
        <w:numPr>
          <w:ilvl w:val="0"/>
          <w:numId w:val="1151"/>
        </w:numPr>
      </w:pPr>
      <w:r>
        <w:t xml:space="preserve">Evalúe el comportamiento del Sector Público y analice los principales rasgos de la política fiscal.</w:t>
      </w:r>
    </w:p>
    <w:p>
      <w:pPr>
        <w:numPr>
          <w:ilvl w:val="0"/>
          <w:numId w:val="1151"/>
        </w:numPr>
      </w:pPr>
      <w:r>
        <w:t xml:space="preserve">Exponga sus recomendaciones de política económica orientadas al crecimiento económico sostenido a medio y largo plazo.</w:t>
      </w:r>
    </w:p>
    <w:bookmarkEnd w:id="244"/>
    <w:bookmarkStart w:id="245" w:name="section_10"/>
    <w:p>
      <w:pPr>
        <w:pStyle w:val="Heading4"/>
      </w:pPr>
      <w:r>
        <w:t xml:space="preserve">2013</w:t>
      </w:r>
    </w:p>
    <w:p>
      <w:pPr>
        <w:pStyle w:val="FirstParagraph"/>
        <w:keepNext/>
      </w:pPr>
      <w:r>
        <w:rPr>
          <w:i/>
          <w:iCs/>
        </w:rPr>
        <w:t xml:space="preserve">Examen del 30 de noviembre de 2013.</w:t>
      </w:r>
      <w:r>
        <w:t xml:space="preserve"> </w:t>
      </w:r>
      <w:r>
        <w:t xml:space="preserve">Primer Ejercicio. 2ª parte. Duración máxima: 2 horas. Se permite el uso de calculadora. Se permiten referencias a datos que conozca el opositor, aunque no estén en las tablas adjuntas y siempre y cuando el grueso del análisis se centre en los datos que se proporcionan.</w:t>
      </w:r>
    </w:p>
    <w:p>
      <w:pPr>
        <w:numPr>
          <w:ilvl w:val="0"/>
          <w:numId w:val="1152"/>
        </w:numPr>
      </w:pPr>
      <w:r>
        <w:rPr>
          <w:i/>
          <w:iCs/>
        </w:rPr>
        <w:t xml:space="preserve">Cuestión 1</w:t>
      </w:r>
      <w:r>
        <w:t xml:space="preserve">: En el cuadro 1 que se adjunta, se facilita información, referente al periodo 2011-2013, de la contabilidad trimestral de España para ese periodo, en tasas de variación intertrimestral, de acuerdo con los datos ofrecidos por el INE. Sobre la base de esta información, responda a las siguientes cuestiones:</w:t>
      </w:r>
    </w:p>
    <w:p>
      <w:pPr>
        <w:numPr>
          <w:ilvl w:val="0"/>
          <w:numId w:val="1000"/>
        </w:numPr>
      </w:pPr>
      <w:r>
        <w:t xml:space="preserve">I. Determine las tasas medias intertrimestrales para el PIB para los periodos anuales de 2011 y 2012. Calcule las tasas equivalentes anuales para los mismos periodos.</w:t>
      </w:r>
    </w:p>
    <w:p>
      <w:pPr>
        <w:numPr>
          <w:ilvl w:val="0"/>
          <w:numId w:val="1000"/>
        </w:numPr>
      </w:pPr>
      <w:r>
        <w:t xml:space="preserve">II. Comente la evolución cíclica de la economía española durante el periodo cubierto en el cuadro adjunto de los componentes de la demanda.</w:t>
      </w:r>
    </w:p>
    <w:p>
      <w:pPr>
        <w:numPr>
          <w:ilvl w:val="0"/>
          <w:numId w:val="1000"/>
        </w:numPr>
      </w:pPr>
      <w:r>
        <w:t xml:space="preserve">III. Lo mismo para los componentes de la oferta.</w:t>
      </w:r>
    </w:p>
    <w:p>
      <w:pPr>
        <w:numPr>
          <w:ilvl w:val="0"/>
          <w:numId w:val="1000"/>
        </w:numPr>
      </w:pPr>
      <w:r>
        <w:t xml:space="preserve">IV. Realice un análisis específico de la evolución del sector exterior.</w:t>
      </w:r>
    </w:p>
    <w:p>
      <w:pPr>
        <w:numPr>
          <w:ilvl w:val="0"/>
          <w:numId w:val="1152"/>
        </w:numPr>
      </w:pPr>
      <w:r>
        <w:rPr>
          <w:i/>
          <w:iCs/>
        </w:rPr>
        <w:t xml:space="preserve">Cuestión 2</w:t>
      </w:r>
      <w:r>
        <w:t xml:space="preserve">: Sobre la base de los datos que se proporcionan en el cuadro 2 relativos a deuda y saldo presupuestario de las Administraciones Públicas españolas, analice la evolución del saldo presupuestario y la sostenibilidad de la deuda pública.</w:t>
      </w:r>
    </w:p>
    <w:p>
      <w:pPr>
        <w:numPr>
          <w:ilvl w:val="0"/>
          <w:numId w:val="1152"/>
        </w:numPr>
      </w:pPr>
      <w:r>
        <w:rPr>
          <w:i/>
          <w:iCs/>
        </w:rPr>
        <w:t xml:space="preserve">Cuestión 3</w:t>
      </w:r>
      <w:r>
        <w:t xml:space="preserve">: De acuerdo con su diagnóstico sobre esta economía exponga sus principales recomendaciones de política económica orientadas al crecimiento a medio y largo plazo.</w:t>
      </w:r>
    </w:p>
    <w:bookmarkEnd w:id="245"/>
    <w:bookmarkStart w:id="246" w:name="section_11"/>
    <w:p>
      <w:pPr>
        <w:pStyle w:val="Heading4"/>
      </w:pPr>
      <w:r>
        <w:t xml:space="preserve">2011</w:t>
      </w:r>
    </w:p>
    <w:p>
      <w:pPr>
        <w:pStyle w:val="FirstParagraph"/>
        <w:keepNext/>
      </w:pPr>
      <w:r>
        <w:rPr>
          <w:i/>
          <w:iCs/>
        </w:rPr>
        <w:t xml:space="preserve">Examen del 22 de octubre de 2011.</w:t>
      </w:r>
      <w:r>
        <w:t xml:space="preserve"> </w:t>
      </w:r>
      <w:r>
        <w:t xml:space="preserve">Primer ejercicio. 2ª parte. En los cuadros adjuntos se muestra la evolución de los principales agregados macroeconómicos para España y Alemania, así como las perspectivas de la Comisión Europea para 2011 y 2012. Responda, por favor, a las siguientes cuestiones en un tiempo máximo de 2 horas:</w:t>
      </w:r>
    </w:p>
    <w:p>
      <w:pPr>
        <w:numPr>
          <w:ilvl w:val="0"/>
          <w:numId w:val="1153"/>
        </w:numPr>
      </w:pPr>
      <w:r>
        <w:t xml:space="preserve">a) Compare el perfil cíclico de la economía española con el de la alemana y las perspectivas para 2011 y 2012, así como la composición del crecimiento del PIB desde la óptica de la demanda. b) Calcule la contribución de la demanda externa neta al crecimiento del PIB en España en 2009.</w:t>
      </w:r>
    </w:p>
    <w:p>
      <w:pPr>
        <w:numPr>
          <w:ilvl w:val="0"/>
          <w:numId w:val="1153"/>
        </w:numPr>
      </w:pPr>
      <w:r>
        <w:t xml:space="preserve">Analice y compare la evolución en ambas economías del empleo en el período 2007-2009.</w:t>
      </w:r>
    </w:p>
    <w:p>
      <w:pPr>
        <w:numPr>
          <w:ilvl w:val="0"/>
          <w:numId w:val="1153"/>
        </w:numPr>
      </w:pPr>
      <w:r>
        <w:t xml:space="preserve">a) Calcule los crecimientos en media anual de la productividad real por ocupado y del coste laboral unitario nominal (CLU) en España y Alemania en 2010. b) Comente la evolución de la competitividad en ambos países utilizando el tipo de cambio efectivo real.</w:t>
      </w:r>
    </w:p>
    <w:p>
      <w:pPr>
        <w:numPr>
          <w:ilvl w:val="0"/>
          <w:numId w:val="1153"/>
        </w:numPr>
      </w:pPr>
      <w:r>
        <w:t xml:space="preserve">Compare la evolución de los tipos de interés reales en España y Alemania y su posible impacto en el crecimiento.</w:t>
      </w:r>
    </w:p>
    <w:p>
      <w:pPr>
        <w:numPr>
          <w:ilvl w:val="0"/>
          <w:numId w:val="1153"/>
        </w:numPr>
      </w:pPr>
      <w:r>
        <w:t xml:space="preserve">a) Según la Comisión Europea, la elasticidad de las exportaciones españolas de bienes y servicios respecto al comercio mundial es de 1,1. ¿Cuál sería el crecimiento de las exportaciones españolas en 2011 si el comercio mundial aumentara un 7,3% y la competitividad se mantuviera estable? b) Calcule el saldo exterior por cuenta corriente, la capacidad o necesidad de financiación y la tasa de inversión de España en 2010. ¿Qué efectos ha tenido la crisis financiera internacional en el déficit exterior de la economía española?</w:t>
      </w:r>
    </w:p>
    <w:p>
      <w:pPr>
        <w:numPr>
          <w:ilvl w:val="0"/>
          <w:numId w:val="1153"/>
        </w:numPr>
      </w:pPr>
      <w:r>
        <w:t xml:space="preserve">a) Explique cuál fue la orientación de la política fiscal en España y Alemania en el período 2007-2009 y si fue adecuada o no a la situación cíclica dichos países. b) Si el artículo 135 de la Constitución Española fijara un límite para el déficit público estructural (déficit primario cíclicamente ajustado) del 0,4% del PIB a partir de 2020 y se cumplieran las previsiones de la Comisión Europea hasta 2012, ¿a qué ritmo debería reducirse el déficit estructural cada año?</w:t>
      </w:r>
    </w:p>
    <w:bookmarkEnd w:id="246"/>
    <w:bookmarkEnd w:id="247"/>
    <w:bookmarkStart w:id="248" w:name="anexo_expresiones"/>
    <w:p>
      <w:pPr>
        <w:pStyle w:val="Heading1"/>
      </w:pPr>
      <w:r>
        <w:t xml:space="preserve">C. Expresiones útiles para redactar</w:t>
      </w:r>
    </w:p>
    <w:p>
      <w:pPr>
        <w:numPr>
          <w:ilvl w:val="0"/>
          <w:numId w:val="1154"/>
        </w:numPr>
      </w:pPr>
      <w:r>
        <w:t xml:space="preserve">Plantillas para no quedarse en blanco; los puntos suspensivos se rellenan con los datos del cuadro. Ninguna sustituye al análisis.</w:t>
      </w:r>
    </w:p>
    <w:p>
      <w:pPr>
        <w:keepNext/>
        <w:numPr>
          <w:ilvl w:val="0"/>
          <w:numId w:val="1154"/>
        </w:numPr>
      </w:pPr>
      <w:r>
        <w:rPr>
          <w:i/>
          <w:iCs/>
        </w:rPr>
        <w:t xml:space="preserve">Diagnóstico</w:t>
      </w:r>
      <w:r>
        <w:t xml:space="preserve">:</w:t>
      </w:r>
    </w:p>
    <w:p>
      <w:pPr>
        <w:numPr>
          <w:ilvl w:val="1"/>
          <w:numId w:val="1155"/>
        </w:numPr>
      </w:pPr>
      <w:r>
        <w:t xml:space="preserve">«La economía muestra un crecimiento sólido pero desequilibrado, apoyado en la demanda interna y con una necesidad de financiación exterior creciente».</w:t>
      </w:r>
    </w:p>
    <w:p>
      <w:pPr>
        <w:numPr>
          <w:ilvl w:val="1"/>
          <w:numId w:val="1155"/>
        </w:numPr>
      </w:pPr>
      <w:r>
        <w:t xml:space="preserve">«Parece tratarse de una economía avanzada en recuperación, con la brecha de producción aún negativa, la inflación contenida y un margen fiscal reducido».</w:t>
      </w:r>
    </w:p>
    <w:p>
      <w:pPr>
        <w:keepNext/>
        <w:numPr>
          <w:ilvl w:val="0"/>
          <w:numId w:val="1154"/>
        </w:numPr>
      </w:pPr>
      <w:r>
        <w:rPr>
          <w:i/>
          <w:iCs/>
        </w:rPr>
        <w:t xml:space="preserve">Ciclo</w:t>
      </w:r>
      <w:r>
        <w:t xml:space="preserve">:</w:t>
      </w:r>
    </w:p>
    <w:p>
      <w:pPr>
        <w:numPr>
          <w:ilvl w:val="1"/>
          <w:numId w:val="1156"/>
        </w:numPr>
      </w:pPr>
      <w:r>
        <w:t xml:space="preserve">«El cuadro recoge más de un ciclo: …».</w:t>
      </w:r>
    </w:p>
    <w:p>
      <w:pPr>
        <w:numPr>
          <w:ilvl w:val="1"/>
          <w:numId w:val="1156"/>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156"/>
        </w:numPr>
      </w:pPr>
      <w:r>
        <w:t xml:space="preserve">«la recuperación tiene forma de uve: …».</w:t>
      </w:r>
    </w:p>
    <w:p>
      <w:pPr>
        <w:keepNext/>
        <w:numPr>
          <w:ilvl w:val="0"/>
          <w:numId w:val="1154"/>
        </w:numPr>
      </w:pPr>
      <w:r>
        <w:rPr>
          <w:i/>
          <w:iCs/>
        </w:rPr>
        <w:t xml:space="preserve">Contribuciones</w:t>
      </w:r>
      <w:r>
        <w:t xml:space="preserve">:</w:t>
      </w:r>
    </w:p>
    <w:p>
      <w:pPr>
        <w:numPr>
          <w:ilvl w:val="1"/>
          <w:numId w:val="1157"/>
        </w:numPr>
      </w:pPr>
      <w:r>
        <w:t xml:space="preserve">«De los … puntos que crece el PIB, … los aporta la demanda interna y … la externa».</w:t>
      </w:r>
    </w:p>
    <w:p>
      <w:pPr>
        <w:numPr>
          <w:ilvl w:val="1"/>
          <w:numId w:val="1157"/>
        </w:numPr>
      </w:pPr>
      <w:r>
        <w:t xml:space="preserve">«La demanda externa amortigua la caída del PIB, más por el desplome de las importaciones que por el empuje de las exportaciones».</w:t>
      </w:r>
    </w:p>
    <w:p>
      <w:pPr>
        <w:numPr>
          <w:ilvl w:val="1"/>
          <w:numId w:val="1157"/>
        </w:numPr>
      </w:pPr>
      <w:r>
        <w:t xml:space="preserve">«La demanda interna es procíclica y la externa, contracíclica».</w:t>
      </w:r>
    </w:p>
    <w:p>
      <w:pPr>
        <w:keepNext/>
        <w:numPr>
          <w:ilvl w:val="0"/>
          <w:numId w:val="1154"/>
        </w:numPr>
      </w:pPr>
      <w:r>
        <w:rPr>
          <w:i/>
          <w:iCs/>
        </w:rPr>
        <w:t xml:space="preserve">Prudencia</w:t>
      </w:r>
      <w:r>
        <w:t xml:space="preserve">:</w:t>
      </w:r>
    </w:p>
    <w:p>
      <w:pPr>
        <w:numPr>
          <w:ilvl w:val="1"/>
          <w:numId w:val="1158"/>
        </w:numPr>
      </w:pPr>
      <w:r>
        <w:t xml:space="preserve">«Con la información disponible, …»; «esta evolución sería coherente con …, aunque no puede descartarse …»; «a falta de datos sobre …, cabe suponer que …, lo que habría que confirmar».</w:t>
      </w:r>
    </w:p>
    <w:p>
      <w:pPr>
        <w:numPr>
          <w:ilvl w:val="1"/>
          <w:numId w:val="1158"/>
        </w:numPr>
      </w:pPr>
      <w:r>
        <w:t xml:space="preserve">«Aunque los agentes deciden con el tipo real, la fuerte subida del tipo nominal al final de la serie indica un endurecimiento de la política monetaria».</w:t>
      </w:r>
    </w:p>
    <w:p>
      <w:pPr>
        <w:numPr>
          <w:ilvl w:val="0"/>
          <w:numId w:val="1154"/>
        </w:numPr>
      </w:pPr>
      <w:r>
        <w:rPr>
          <w:i/>
          <w:iCs/>
        </w:rPr>
        <w:t xml:space="preserve">Interpretación</w:t>
      </w:r>
      <w:r>
        <w:t xml:space="preserve">: «más que …, lo que llama la atención es …»; «este dato es especialmente relevante porque …».</w:t>
      </w:r>
    </w:p>
    <w:p>
      <w:pPr>
        <w:keepNext/>
        <w:numPr>
          <w:ilvl w:val="0"/>
          <w:numId w:val="1154"/>
        </w:numPr>
      </w:pPr>
      <w:r>
        <w:rPr>
          <w:i/>
          <w:iCs/>
        </w:rPr>
        <w:t xml:space="preserve">Sector exterior</w:t>
      </w:r>
      <w:r>
        <w:t xml:space="preserve">:</w:t>
      </w:r>
    </w:p>
    <w:p>
      <w:pPr>
        <w:numPr>
          <w:ilvl w:val="1"/>
          <w:numId w:val="1159"/>
        </w:numPr>
      </w:pPr>
      <w:r>
        <w:t xml:space="preserve">«Los desequilibrios externos suelen ser síntoma de desequilibrios internos».</w:t>
      </w:r>
    </w:p>
    <w:p>
      <w:pPr>
        <w:numPr>
          <w:ilvl w:val="1"/>
          <w:numId w:val="1159"/>
        </w:numPr>
      </w:pPr>
      <w:r>
        <w:t xml:space="preserve">«El déficit exterior refleja un exceso de inversión sobre el ahorro, cuyo origen parece estar en el sector …».</w:t>
      </w:r>
    </w:p>
    <w:p>
      <w:pPr>
        <w:numPr>
          <w:ilvl w:val="1"/>
          <w:numId w:val="1159"/>
        </w:numPr>
      </w:pPr>
      <w:r>
        <w:t xml:space="preserve">«La mejora de la posición de inversión internacional, pese a la necesidad de financiación, se debería a efectos valoración y al crecimiento del PIB nominal».</w:t>
      </w:r>
    </w:p>
    <w:p>
      <w:pPr>
        <w:keepNext/>
        <w:numPr>
          <w:ilvl w:val="0"/>
          <w:numId w:val="1154"/>
        </w:numPr>
      </w:pPr>
      <w:r>
        <w:rPr>
          <w:i/>
          <w:iCs/>
        </w:rPr>
        <w:t xml:space="preserve">Políticas</w:t>
      </w:r>
      <w:r>
        <w:t xml:space="preserve">:</w:t>
      </w:r>
    </w:p>
    <w:p>
      <w:pPr>
        <w:numPr>
          <w:ilvl w:val="1"/>
          <w:numId w:val="1160"/>
        </w:numPr>
      </w:pPr>
      <w:r>
        <w:t xml:space="preserve">«El tono de la política fiscal, medido por la variación del saldo estructural primario, habría sido expansivo en …».</w:t>
      </w:r>
    </w:p>
    <w:p>
      <w:pPr>
        <w:numPr>
          <w:ilvl w:val="1"/>
          <w:numId w:val="1160"/>
        </w:numPr>
      </w:pPr>
      <w:r>
        <w:t xml:space="preserve">«Aunque el tipo nominal sube, el tipo real sigue siendo negativo: la política monetaria seguiría siendo acomodaticia».</w:t>
      </w:r>
    </w:p>
    <w:p>
      <w:pPr>
        <w:numPr>
          <w:ilvl w:val="0"/>
          <w:numId w:val="1154"/>
        </w:numPr>
      </w:pPr>
      <w:r>
        <w:rPr>
          <w:i/>
          <w:iCs/>
        </w:rPr>
        <w:t xml:space="preserve">Recomendaciones</w:t>
      </w:r>
      <w:r>
        <w:t xml:space="preserve">: «parece necesaria una consolidación fiscal, pero gradual, para no lastrar la recuperación»; «a corto plazo …; a medio y largo plazo …».</w:t>
      </w:r>
    </w:p>
    <w:p>
      <w:pPr>
        <w:numPr>
          <w:ilvl w:val="0"/>
          <w:numId w:val="1154"/>
        </w:numPr>
      </w:pPr>
      <w:r>
        <w:rPr>
          <w:i/>
          <w:iCs/>
        </w:rPr>
        <w:t xml:space="preserve">Cierre</w:t>
      </w:r>
      <w:r>
        <w:t xml:space="preserve">: «en conclusión, la economía afronta … retos; cómo los aborde determinará su crecimiento en los próximos años».</w:t>
      </w:r>
    </w:p>
    <w:p>
      <w:pPr>
        <w:pStyle w:val="Cajadeanotaciones"/>
        <w:keepNext/>
        <w:keepLines/>
      </w:pPr>
      <w:r>
        <w:rPr>
          <w:i/>
          <w:iCs/>
        </w:rPr>
        <w:t xml:space="preserve">Ejemplo de respuesta: un sistema bancario que entra en una crisis bien capitalizado.</w:t>
      </w:r>
    </w:p>
    <w:p>
      <w:pPr>
        <w:pStyle w:val="Cajadeanotaciones"/>
        <w:keepNext/>
        <w:keepLines/>
      </w:pPr>
      <w:r>
        <w:t xml:space="preserve">«El sistema financiero parece llegar a la crisis en una posición sólida. En los años previos mejora su</w:t>
      </w:r>
      <w:r>
        <w:t xml:space="preserve"> </w:t>
      </w:r>
      <w:r>
        <w:rPr>
          <w:i/>
          <w:iCs/>
        </w:rPr>
        <w:t xml:space="preserve">solvencia</w:t>
      </w:r>
      <w:r>
        <w:t xml:space="preserve">: la ratio de capital de nivel 1 sube hasta niveles holgadamente superiores a los mínimos de Basilea III, y la morosidad baja hasta niveles cercanos al 3 %, aunque con margen de mejora.</w:t>
      </w:r>
    </w:p>
    <w:p>
      <w:pPr>
        <w:pStyle w:val="Cajadeanotaciones"/>
        <w:keepNext/>
        <w:keepLines/>
      </w:pPr>
      <w:r>
        <w:t xml:space="preserve">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w:t>
      </w:r>
    </w:p>
    <w:p>
      <w:pPr>
        <w:pStyle w:val="Cajadeanotaciones"/>
        <w:keepNext/>
        <w:keepLines/>
      </w:pPr>
      <w:r>
        <w:t xml:space="preserve">La</w:t>
      </w:r>
      <w:r>
        <w:t xml:space="preserve"> </w:t>
      </w:r>
      <w:r>
        <w:rPr>
          <w:i/>
          <w:iCs/>
        </w:rPr>
        <w:t xml:space="preserve">liquidez</w:t>
      </w:r>
      <w:r>
        <w:t xml:space="preserve"> </w:t>
      </w:r>
      <w:r>
        <w:t xml:space="preserve">no parece un problema: la política monetaria aporta financiación abundante y barata a los bancos (operaciones a plazo largo en condiciones favorables, compras de activos) y los depósitos crecen.</w:t>
      </w:r>
    </w:p>
    <w:p>
      <w:pPr>
        <w:pStyle w:val="Cajadeanotaciones"/>
        <w:keepNext/>
        <w:keepLines/>
      </w:pPr>
      <w:r>
        <w:t xml:space="preserve">La</w:t>
      </w:r>
      <w:r>
        <w:t xml:space="preserve"> </w:t>
      </w:r>
      <w:r>
        <w:rPr>
          <w:i/>
          <w:iCs/>
        </w:rPr>
        <w:t xml:space="preserve">rentabilidad</w:t>
      </w:r>
      <w:r>
        <w:t xml:space="preserve"> </w:t>
      </w:r>
      <w:r>
        <w:t xml:space="preserve">es el punto débil. Los depósitos aumentan por el ahorro forzoso (no se puede gastar) y precautorio (incertidumbre),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p>
      <w:pPr>
        <w:pStyle w:val="Cajadeanotaciones"/>
        <w:keepNext/>
        <w:keepLines/>
      </w:pPr>
      <w:r>
        <w:rPr>
          <w:i/>
          <w:iCs/>
        </w:rPr>
        <w:t xml:space="preserve">Ejemplo de respuesta: estabilidad financiera con tipos de interés muy bajos durante años.</w:t>
      </w:r>
    </w:p>
    <w:p>
      <w:pPr>
        <w:pStyle w:val="Cajadeanotaciones"/>
        <w:keepNext/>
        <w:keepLines/>
      </w:pP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keepNext/>
        <w:keepLines/>
        <w:numPr>
          <w:ilvl w:val="0"/>
          <w:numId w:val="1161"/>
        </w:numPr>
      </w:pPr>
      <w:r>
        <w:t xml:space="preserve">si la brecha crédito-PIB es negativa, el crédito está por debajo de su tendencia: no procede activar el colchón anticíclico y, si estuviera activado, convendría liberarlo;</w:t>
      </w:r>
    </w:p>
    <w:p>
      <w:pPr>
        <w:pStyle w:val="Cajadeanotaciones"/>
        <w:keepNext/>
        <w:keepLines/>
        <w:numPr>
          <w:ilvl w:val="0"/>
          <w:numId w:val="1161"/>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keepNext/>
        <w:keepLines/>
        <w:numPr>
          <w:ilvl w:val="0"/>
          <w:numId w:val="1161"/>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keepLines/>
      </w:pPr>
      <w:r>
        <w:rPr>
          <w:i/>
          <w:i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248"/>
    <w:bookmarkStart w:id="280" w:name="anexo_series"/>
    <w:p>
      <w:pPr>
        <w:pStyle w:val="Heading1"/>
      </w:pPr>
      <w:r>
        <w:t xml:space="preserve">D. Lectura de series y hechos estilizados del ciclo</w:t>
      </w:r>
    </w:p>
    <w:bookmarkStart w:id="258" w:name="conceptos"/>
    <w:p>
      <w:pPr>
        <w:pStyle w:val="Heading4"/>
      </w:pPr>
      <w:r>
        <w:t xml:space="preserve">Conceptos</w:t>
      </w:r>
    </w:p>
    <w:p>
      <w:pPr>
        <w:numPr>
          <w:ilvl w:val="0"/>
          <w:numId w:val="1162"/>
        </w:numPr>
      </w:pPr>
      <w:r>
        <w:rPr>
          <w:i/>
          <w:iCs/>
        </w:rPr>
        <w:t xml:space="preserve">Tendencia</w:t>
      </w:r>
      <w:r>
        <w:t xml:space="preserve">: el movimiento persistente a largo plazo de una serie (lineal, si crece a una tasa constante en logaritmos; determinista o estocástica, si la mueven choques aleatorios).</w:t>
      </w:r>
    </w:p>
    <w:p>
      <w:pPr>
        <w:numPr>
          <w:ilvl w:val="0"/>
          <w:numId w:val="1162"/>
        </w:numPr>
      </w:pPr>
      <w:r>
        <w:rPr>
          <w:i/>
          <w:iCs/>
        </w:rPr>
        <w:t xml:space="preserve">Ciclo</w:t>
      </w:r>
      <w:r>
        <w:t xml:space="preserve">: las oscilaciones alrededor de la tendencia, irregulares y recurrentes, con 2 puntos de giro (pico y valle) y 2 fases (contracción y expansión). Una serie puede alejarse de su tendencia por un</w:t>
      </w:r>
      <w:r>
        <w:t xml:space="preserve"> </w:t>
      </w:r>
      <w:r>
        <w:rPr>
          <w:i/>
          <w:iCs/>
        </w:rPr>
        <w:t xml:space="preserve">cambio estructural</w:t>
      </w:r>
      <w:r>
        <w:t xml:space="preserve"> </w:t>
      </w:r>
      <w:r>
        <w:t xml:space="preserve">y no por el ciclo (gráfico </w:t>
      </w:r>
      <w:hyperlink w:anchor="fig_ciclo_tendencia">
        <w:r>
          <w:rPr>
            <w:rStyle w:val="Hyperlink"/>
          </w:rPr>
          <w:t xml:space="preserve">9</w:t>
        </w:r>
      </w:hyperlink>
      <w:r>
        <w:t xml:space="preserve">)</w:t>
      </w:r>
      <w:r>
        <w:t xml:space="preserve"> </w:t>
      </w:r>
      <w:hyperlink r:id="rId21">
        <w:r>
          <w:rPr>
            <w:rStyle w:val="Referenciaatema"/>
          </w:rPr>
          <w:t xml:space="preserve">[ver tema 3.A.42]</w:t>
        </w:r>
      </w:hyperlink>
      <w:r>
        <w:t xml:space="preserve">.</w:t>
      </w:r>
    </w:p>
    <w:p>
      <w:pPr>
        <w:numPr>
          <w:ilvl w:val="0"/>
          <w:numId w:val="1162"/>
        </w:numPr>
      </w:pPr>
      <w:r>
        <w:rPr>
          <w:i/>
          <w:iCs/>
        </w:rPr>
        <w:t xml:space="preserve">Estacionariedad</w:t>
      </w:r>
      <w:r>
        <w:t xml:space="preserve">: una serie estacionaria vuelve a su media tras un choque; una no estacionaria, no</w:t>
      </w:r>
      <w:r>
        <w:t xml:space="preserve"> </w:t>
      </w:r>
      <w:hyperlink r:id="rId31">
        <w:r>
          <w:rPr>
            <w:rStyle w:val="Referenciaatema"/>
          </w:rPr>
          <w:t xml:space="preserve">[ver tema 5.B.5]</w:t>
        </w:r>
      </w:hyperlink>
      <w:r>
        <w:t xml:space="preserve">.</w:t>
      </w:r>
    </w:p>
    <w:p>
      <w:pPr>
        <w:keepNext/>
        <w:numPr>
          <w:ilvl w:val="0"/>
          <w:numId w:val="1162"/>
        </w:numPr>
      </w:pPr>
      <w:r>
        <w:rPr>
          <w:i/>
          <w:iCs/>
        </w:rPr>
        <w:t xml:space="preserve">Comovimiento con el PIB</w:t>
      </w:r>
      <w:r>
        <w:t xml:space="preserve">, en 5 rasgos:</w:t>
      </w:r>
    </w:p>
    <w:p>
      <w:pPr>
        <w:numPr>
          <w:ilvl w:val="1"/>
          <w:numId w:val="1163"/>
        </w:numPr>
      </w:pPr>
      <w:r>
        <w:rPr>
          <w:i/>
          <w:iCs/>
        </w:rPr>
        <w:t xml:space="preserve">dirección</w:t>
      </w:r>
      <w:r>
        <w:t xml:space="preserve">: procíclica (se mueve con el PIB), contracíclica (al revés) o acíclica (correlación cercana a 0);</w:t>
      </w:r>
    </w:p>
    <w:p>
      <w:pPr>
        <w:numPr>
          <w:ilvl w:val="1"/>
          <w:numId w:val="1163"/>
        </w:numPr>
      </w:pPr>
      <w:r>
        <w:rPr>
          <w:i/>
          <w:iCs/>
        </w:rPr>
        <w:t xml:space="preserve">volatilidad</w:t>
      </w:r>
      <w:r>
        <w:t xml:space="preserve">: si oscila más o menos que el PIB;</w:t>
      </w:r>
    </w:p>
    <w:p>
      <w:pPr>
        <w:numPr>
          <w:ilvl w:val="1"/>
          <w:numId w:val="1163"/>
        </w:numPr>
      </w:pPr>
      <w:r>
        <w:rPr>
          <w:i/>
          <w:iCs/>
        </w:rPr>
        <w:t xml:space="preserve">adelanto o retraso</w:t>
      </w:r>
      <w:r>
        <w:t xml:space="preserve">: si gira antes o después que el PIB;</w:t>
      </w:r>
    </w:p>
    <w:p>
      <w:pPr>
        <w:numPr>
          <w:ilvl w:val="1"/>
          <w:numId w:val="1163"/>
        </w:numPr>
      </w:pPr>
      <w:r>
        <w:rPr>
          <w:i/>
          <w:iCs/>
        </w:rPr>
        <w:t xml:space="preserve">persistencia</w:t>
      </w:r>
      <w:r>
        <w:t xml:space="preserve">: cuánto dura una desviación;</w:t>
      </w:r>
    </w:p>
    <w:p>
      <w:pPr>
        <w:numPr>
          <w:ilvl w:val="1"/>
          <w:numId w:val="1163"/>
        </w:numPr>
      </w:pPr>
      <w:r>
        <w:rPr>
          <w:i/>
          <w:iCs/>
        </w:rPr>
        <w:t xml:space="preserve">conformidad</w:t>
      </w:r>
      <w:r>
        <w:t xml:space="preserve">: si estas relaciones se mantienen en toda la muestra (depende de la serie que dé el tribunal).</w:t>
      </w:r>
    </w:p>
    <w:bookmarkStart w:id="252" w:name="fig_ciclo_tendencia"/>
    <w:p>
      <w:pPr>
        <w:pStyle w:val="ImageCaption"/>
      </w:pPr>
      <w:r>
        <w:t xml:space="preserve">Gráfico 9.–</w:t>
      </w:r>
      <w:r>
        <w:t xml:space="preserve"> </w:t>
      </w:r>
      <w:r>
        <w:t xml:space="preserve">El ciclo económico: tendencia, fases y brecha de producción</w:t>
      </w:r>
    </w:p>
    <w:p>
      <w:pPr>
        <w:pStyle w:val="CaptionedFigure"/>
      </w:pPr>
      <w:r>
        <w:drawing>
          <wp:inline>
            <wp:extent cx="3786044" cy="1981709"/>
            <wp:effectExtent b="0" l="0" r="0" t="0"/>
            <wp:docPr descr="Gráfico 9.– El ciclo económico: tendencia, fases y brecha de producción" title="" id="250" name="Picture"/>
            <a:graphic>
              <a:graphicData uri="http://schemas.openxmlformats.org/drawingml/2006/picture">
                <pic:pic>
                  <pic:nvPicPr>
                    <pic:cNvPr descr="C:\Users\vgutierrez\Documents\src\victorgutierrezmarcos.github.io-revision\oposicion\temario\fuentes\1D01\graficos/ciclo-tendencia.png" id="251" name="Picture"/>
                    <pic:cNvPicPr>
                      <a:picLocks noChangeArrowheads="1" noChangeAspect="1"/>
                    </pic:cNvPicPr>
                  </pic:nvPicPr>
                  <pic:blipFill>
                    <a:blip r:embed="rId249"/>
                    <a:stretch>
                      <a:fillRect/>
                    </a:stretch>
                  </pic:blipFill>
                  <pic:spPr bwMode="auto">
                    <a:xfrm>
                      <a:off x="0" y="0"/>
                      <a:ext cx="3786044" cy="1981709"/>
                    </a:xfrm>
                    <a:prstGeom prst="rect">
                      <a:avLst/>
                    </a:prstGeom>
                    <a:noFill/>
                    <a:ln w="9525">
                      <a:noFill/>
                      <a:headEnd/>
                      <a:tailEnd/>
                    </a:ln>
                  </pic:spPr>
                </pic:pic>
              </a:graphicData>
            </a:graphic>
          </wp:inline>
        </w:drawing>
      </w:r>
    </w:p>
    <w:bookmarkEnd w:id="252"/>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Start w:id="256" w:name="fig_comovimientos"/>
    <w:p>
      <w:pPr>
        <w:pStyle w:val="ImageCaption"/>
      </w:pPr>
      <w:r>
        <w:t xml:space="preserve">Gráfico 10.–</w:t>
      </w:r>
      <w:r>
        <w:t xml:space="preserve"> </w:t>
      </w:r>
      <w:r>
        <w:t xml:space="preserve">Comovimientos con el PIB: procíclica, contracíclica y adelantada</w:t>
      </w:r>
    </w:p>
    <w:p>
      <w:pPr>
        <w:pStyle w:val="CaptionedFigure"/>
      </w:pPr>
      <w:r>
        <w:drawing>
          <wp:inline>
            <wp:extent cx="4865586" cy="1865498"/>
            <wp:effectExtent b="0" l="0" r="0" t="0"/>
            <wp:docPr descr="Gráfico 10.– Comovimientos con el PIB: procíclica, contracíclica y adelantada" title="" id="254" name="Picture"/>
            <a:graphic>
              <a:graphicData uri="http://schemas.openxmlformats.org/drawingml/2006/picture">
                <pic:pic>
                  <pic:nvPicPr>
                    <pic:cNvPr descr="C:\Users\vgutierrez\Documents\src\victorgutierrezmarcos.github.io-revision\oposicion\temario\fuentes\1D01\graficos/comovimientos.png" id="255" name="Picture"/>
                    <pic:cNvPicPr>
                      <a:picLocks noChangeArrowheads="1" noChangeAspect="1"/>
                    </pic:cNvPicPr>
                  </pic:nvPicPr>
                  <pic:blipFill>
                    <a:blip r:embed="rId253"/>
                    <a:stretch>
                      <a:fillRect/>
                    </a:stretch>
                  </pic:blipFill>
                  <pic:spPr bwMode="auto">
                    <a:xfrm>
                      <a:off x="0" y="0"/>
                      <a:ext cx="4865586" cy="1865498"/>
                    </a:xfrm>
                    <a:prstGeom prst="rect">
                      <a:avLst/>
                    </a:prstGeom>
                    <a:noFill/>
                    <a:ln w="9525">
                      <a:noFill/>
                      <a:headEnd/>
                      <a:tailEnd/>
                    </a:ln>
                  </pic:spPr>
                </pic:pic>
              </a:graphicData>
            </a:graphic>
          </wp:inline>
        </w:drawing>
      </w:r>
    </w:p>
    <w:bookmarkEnd w:id="256"/>
    <w:p>
      <w:pPr>
        <w:pStyle w:val="Piedeimagen"/>
      </w:pPr>
      <w:r>
        <w:t xml:space="preserve">Fuente: Elaboración propia. Qué hay que ver: si la otra variable se mueve en el mismo sentido que el PIB o en el contrario, si oscila más o menos y si gira antes o después. Los indicadores adelantados sirven para anticipar el ciclo</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bookmarkStart w:id="257" w:name="tab_hechos_ciclo"/>
    <w:p>
      <w:pPr>
        <w:pStyle w:val="TableCaption"/>
      </w:pPr>
      <w:r>
        <w:t xml:space="preserve">Tabla 14.–</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4.–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257"/>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bookmarkEnd w:id="258"/>
    <w:bookmarkStart w:id="279" w:name="gr__ficos_de_lectura"/>
    <w:p>
      <w:pPr>
        <w:pStyle w:val="Heading4"/>
      </w:pPr>
      <w:r>
        <w:t xml:space="preserve">Gráficos de lectura</w:t>
      </w:r>
    </w:p>
    <w:p>
      <w:pPr>
        <w:numPr>
          <w:ilvl w:val="0"/>
          <w:numId w:val="1164"/>
        </w:numPr>
      </w:pPr>
      <w:r>
        <w:t xml:space="preserve">Ejemplos de lectura con datos recientes, para practicar el «qué hay que ver».</w:t>
      </w:r>
    </w:p>
    <w:bookmarkStart w:id="262" w:name="fig_pib_por_pet"/>
    <w:p>
      <w:pPr>
        <w:pStyle w:val="ImageCaption"/>
      </w:pPr>
      <w:r>
        <w:t xml:space="preserve">Gráfico 11.–</w:t>
      </w:r>
      <w:r>
        <w:t xml:space="preserve"> </w:t>
      </w:r>
      <w:r>
        <w:t xml:space="preserve">España: PIB por persona en edad de trabajar, por hora y horas por persona (variación acumulada desde el cuarto trimestre de 2019)</w:t>
      </w:r>
    </w:p>
    <w:p>
      <w:pPr>
        <w:pStyle w:val="CaptionedFigure"/>
      </w:pPr>
      <w:r>
        <w:drawing>
          <wp:inline>
            <wp:extent cx="4775200" cy="2443917"/>
            <wp:effectExtent b="0" l="0" r="0" t="0"/>
            <wp:docPr descr="Gráfico 11.– España: PIB por persona en edad de trabajar, por hora y horas por persona (variación acumulada desde el cuarto trimestre de 2019)" title="" id="260" name="Picture"/>
            <a:graphic>
              <a:graphicData uri="http://schemas.openxmlformats.org/drawingml/2006/picture">
                <pic:pic>
                  <pic:nvPicPr>
                    <pic:cNvPr descr="C:\Users\vgutierrez\Documents\src\victorgutierrezmarcos.github.io-revision\oposicion\temario\fuentes\1D01\graficos/pib-por-pet-espana.png" id="261" name="Picture"/>
                    <pic:cNvPicPr>
                      <a:picLocks noChangeArrowheads="1" noChangeAspect="1"/>
                    </pic:cNvPicPr>
                  </pic:nvPicPr>
                  <pic:blipFill>
                    <a:blip r:embed="rId259"/>
                    <a:stretch>
                      <a:fillRect/>
                    </a:stretch>
                  </pic:blipFill>
                  <pic:spPr bwMode="auto">
                    <a:xfrm>
                      <a:off x="0" y="0"/>
                      <a:ext cx="4775200" cy="2443917"/>
                    </a:xfrm>
                    <a:prstGeom prst="rect">
                      <a:avLst/>
                    </a:prstGeom>
                    <a:noFill/>
                    <a:ln w="9525">
                      <a:noFill/>
                      <a:headEnd/>
                      <a:tailEnd/>
                    </a:ln>
                  </pic:spPr>
                </pic:pic>
              </a:graphicData>
            </a:graphic>
          </wp:inline>
        </w:drawing>
      </w:r>
    </w:p>
    <w:bookmarkEnd w:id="262"/>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Start w:id="266" w:name="fig_empleo_horas"/>
    <w:p>
      <w:pPr>
        <w:pStyle w:val="ImageCaption"/>
      </w:pPr>
      <w:r>
        <w:t xml:space="preserve">Gráfico 12.–</w:t>
      </w:r>
      <w:r>
        <w:t xml:space="preserve"> </w:t>
      </w:r>
      <w:r>
        <w:t xml:space="preserve">Zona del euro: empleo, horas trabajadas, tasa de actividad y tasa de paro</w:t>
      </w:r>
    </w:p>
    <w:p>
      <w:pPr>
        <w:pStyle w:val="CaptionedFigure"/>
      </w:pPr>
      <w:r>
        <w:drawing>
          <wp:inline>
            <wp:extent cx="5073650" cy="2320925"/>
            <wp:effectExtent b="0" l="0" r="0" t="0"/>
            <wp:docPr descr="Gráfico 12.– Zona del euro: empleo, horas trabajadas, tasa de actividad y tasa de paro" title="" id="264" name="Picture"/>
            <a:graphic>
              <a:graphicData uri="http://schemas.openxmlformats.org/drawingml/2006/picture">
                <pic:pic>
                  <pic:nvPicPr>
                    <pic:cNvPr descr="C:\Users\vgutierrez\Documents\src\victorgutierrezmarcos.github.io-revision\oposicion\temario\fuentes\1D01\graficos/empleo-horas-actividad-zona-euro.png" id="265" name="Picture"/>
                    <pic:cNvPicPr>
                      <a:picLocks noChangeArrowheads="1" noChangeAspect="1"/>
                    </pic:cNvPicPr>
                  </pic:nvPicPr>
                  <pic:blipFill>
                    <a:blip r:embed="rId263"/>
                    <a:stretch>
                      <a:fillRect/>
                    </a:stretch>
                  </pic:blipFill>
                  <pic:spPr bwMode="auto">
                    <a:xfrm>
                      <a:off x="0" y="0"/>
                      <a:ext cx="5073650" cy="2320925"/>
                    </a:xfrm>
                    <a:prstGeom prst="rect">
                      <a:avLst/>
                    </a:prstGeom>
                    <a:noFill/>
                    <a:ln w="9525">
                      <a:noFill/>
                      <a:headEnd/>
                      <a:tailEnd/>
                    </a:ln>
                  </pic:spPr>
                </pic:pic>
              </a:graphicData>
            </a:graphic>
          </wp:inline>
        </w:drawing>
      </w:r>
    </w:p>
    <w:bookmarkEnd w:id="266"/>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el empleo supera en un 6 % el nivel de 2019 y las horas solo en un 5 % (baja la jornada media); el paro, del 6,4 % a mediados de 2026, está cerca de su mínimo.</w:t>
      </w:r>
    </w:p>
    <w:bookmarkStart w:id="270" w:name="fig_brent"/>
    <w:p>
      <w:pPr>
        <w:pStyle w:val="ImageCaption"/>
      </w:pPr>
      <w:r>
        <w:t xml:space="preserve">Gráfico 13.–</w:t>
      </w:r>
      <w:r>
        <w:t xml:space="preserve"> </w:t>
      </w:r>
      <w:r>
        <w:t xml:space="preserve">Precio del petróleo Brent en dólares y en euros</w:t>
      </w:r>
    </w:p>
    <w:p>
      <w:pPr>
        <w:pStyle w:val="CaptionedFigure"/>
      </w:pPr>
      <w:r>
        <w:drawing>
          <wp:inline>
            <wp:extent cx="4775200" cy="2396727"/>
            <wp:effectExtent b="0" l="0" r="0" t="0"/>
            <wp:docPr descr="Gráfico 13.– Precio del petróleo Brent en dólares y en euros" title="" id="268" name="Picture"/>
            <a:graphic>
              <a:graphicData uri="http://schemas.openxmlformats.org/drawingml/2006/picture">
                <pic:pic>
                  <pic:nvPicPr>
                    <pic:cNvPr descr="C:\Users\vgutierrez\Documents\src\victorgutierrezmarcos.github.io-revision\oposicion\temario\fuentes\1D01\graficos/brent.png" id="269" name="Picture"/>
                    <pic:cNvPicPr>
                      <a:picLocks noChangeArrowheads="1" noChangeAspect="1"/>
                    </pic:cNvPicPr>
                  </pic:nvPicPr>
                  <pic:blipFill>
                    <a:blip r:embed="rId267"/>
                    <a:stretch>
                      <a:fillRect/>
                    </a:stretch>
                  </pic:blipFill>
                  <pic:spPr bwMode="auto">
                    <a:xfrm>
                      <a:off x="0" y="0"/>
                      <a:ext cx="4775200" cy="2396727"/>
                    </a:xfrm>
                    <a:prstGeom prst="rect">
                      <a:avLst/>
                    </a:prstGeom>
                    <a:noFill/>
                    <a:ln w="9525">
                      <a:noFill/>
                      <a:headEnd/>
                      <a:tailEnd/>
                    </a:ln>
                  </pic:spPr>
                </pic:pic>
              </a:graphicData>
            </a:graphic>
          </wp:inline>
        </w:drawing>
      </w:r>
    </w:p>
    <w:bookmarkEnd w:id="270"/>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2026a</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Start w:id="274" w:name="fig_impulso_fiscal"/>
    <w:p>
      <w:pPr>
        <w:pStyle w:val="ImageCaption"/>
      </w:pPr>
      <w:r>
        <w:t xml:space="preserve">Gráfico 14.–</w:t>
      </w:r>
      <w:r>
        <w:t xml:space="preserve"> </w:t>
      </w:r>
      <w:r>
        <w:t xml:space="preserve">Impulso fiscal en algunas economías avanzadas</w:t>
      </w:r>
    </w:p>
    <w:p>
      <w:pPr>
        <w:pStyle w:val="CaptionedFigure"/>
      </w:pPr>
      <w:r>
        <w:drawing>
          <wp:inline>
            <wp:extent cx="4775200" cy="2378162"/>
            <wp:effectExtent b="0" l="0" r="0" t="0"/>
            <wp:docPr descr="Gráfico 14.– Impulso fiscal en algunas economías avanzadas" title="" id="272" name="Picture"/>
            <a:graphic>
              <a:graphicData uri="http://schemas.openxmlformats.org/drawingml/2006/picture">
                <pic:pic>
                  <pic:nvPicPr>
                    <pic:cNvPr descr="C:\Users\vgutierrez\Documents\src\victorgutierrezmarcos.github.io-revision\oposicion\temario\fuentes\1D01\graficos/impulso-fiscal.png" id="273" name="Picture"/>
                    <pic:cNvPicPr>
                      <a:picLocks noChangeArrowheads="1" noChangeAspect="1"/>
                    </pic:cNvPicPr>
                  </pic:nvPicPr>
                  <pic:blipFill>
                    <a:blip r:embed="rId271"/>
                    <a:stretch>
                      <a:fillRect/>
                    </a:stretch>
                  </pic:blipFill>
                  <pic:spPr bwMode="auto">
                    <a:xfrm>
                      <a:off x="0" y="0"/>
                      <a:ext cx="4775200" cy="2378162"/>
                    </a:xfrm>
                    <a:prstGeom prst="rect">
                      <a:avLst/>
                    </a:prstGeom>
                    <a:noFill/>
                    <a:ln w="9525">
                      <a:noFill/>
                      <a:headEnd/>
                      <a:tailEnd/>
                    </a:ln>
                  </pic:spPr>
                </pic:pic>
              </a:graphicData>
            </a:graphic>
          </wp:inline>
        </w:drawing>
      </w:r>
    </w:p>
    <w:bookmarkEnd w:id="274"/>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Start w:id="278" w:name="fig_inflacion_cuentas"/>
    <w:p>
      <w:pPr>
        <w:pStyle w:val="ImageCaption"/>
      </w:pPr>
      <w:r>
        <w:t xml:space="preserve">Gráfico 15.–</w:t>
      </w:r>
      <w:r>
        <w:t xml:space="preserve"> </w:t>
      </w:r>
      <w:r>
        <w:t xml:space="preserve">Efectos inmediatos de la inflación en las cuentas públicas</w:t>
      </w:r>
    </w:p>
    <w:p>
      <w:pPr>
        <w:pStyle w:val="CaptionedFigure"/>
      </w:pPr>
      <w:r>
        <w:drawing>
          <wp:inline>
            <wp:extent cx="4476750" cy="2098641"/>
            <wp:effectExtent b="0" l="0" r="0" t="0"/>
            <wp:docPr descr="Gráfico 15.– Efectos inmediatos de la inflación en las cuentas públicas" title="" id="276" name="Picture"/>
            <a:graphic>
              <a:graphicData uri="http://schemas.openxmlformats.org/drawingml/2006/picture">
                <pic:pic>
                  <pic:nvPicPr>
                    <pic:cNvPr descr="C:\Users\vgutierrez\Documents\src\victorgutierrezmarcos.github.io-revision\oposicion\temario\fuentes\1D01\graficos/inflacion-cuentas-publicas.png" id="277" name="Picture"/>
                    <pic:cNvPicPr>
                      <a:picLocks noChangeArrowheads="1" noChangeAspect="1"/>
                    </pic:cNvPicPr>
                  </pic:nvPicPr>
                  <pic:blipFill>
                    <a:blip r:embed="rId275"/>
                    <a:stretch>
                      <a:fillRect/>
                    </a:stretch>
                  </pic:blipFill>
                  <pic:spPr bwMode="auto">
                    <a:xfrm>
                      <a:off x="0" y="0"/>
                      <a:ext cx="4476750" cy="2098641"/>
                    </a:xfrm>
                    <a:prstGeom prst="rect">
                      <a:avLst/>
                    </a:prstGeom>
                    <a:noFill/>
                    <a:ln w="9525">
                      <a:noFill/>
                      <a:headEnd/>
                      <a:tailEnd/>
                    </a:ln>
                  </pic:spPr>
                </pic:pic>
              </a:graphicData>
            </a:graphic>
          </wp:inline>
        </w:drawing>
      </w:r>
    </w:p>
    <w:bookmarkEnd w:id="278"/>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End w:id="279"/>
    <w:bookmarkEnd w:id="280"/>
    <w:bookmarkStart w:id="281" w:name="anexo_calculos"/>
    <w:p>
      <w:pPr>
        <w:pStyle w:val="Heading1"/>
      </w:pPr>
      <w:r>
        <w:t xml:space="preserve">E. Cálculos tipo</w:t>
      </w:r>
    </w:p>
    <w:p>
      <w:pPr>
        <w:numPr>
          <w:ilvl w:val="0"/>
          <w:numId w:val="1165"/>
        </w:numPr>
      </w:pPr>
      <w:r>
        <w:t xml:space="preserve">Desde 2022 no se piden cálculos, pero el análisis los usa. Siempre: escribir la fórmula, los datos y el resultado con su unidad.</w:t>
      </w:r>
    </w:p>
    <w:p>
      <w:pPr>
        <w:numPr>
          <w:ilvl w:val="0"/>
          <w:numId w:val="1165"/>
        </w:numPr>
      </w:pPr>
      <w:r>
        <w:rPr>
          <w:i/>
          <w:iCs/>
        </w:rPr>
        <w:t xml:space="preserve">Contribución al crecimiento</w:t>
      </w:r>
      <w:r>
        <w:t xml:space="preserve"> </w:t>
      </w:r>
      <w:r>
        <w:t xml:space="preserve">de un componente</w:t>
      </w:r>
      <w:r>
        <w:t xml:space="preserve"> </w:t>
      </w:r>
      <m:oMath>
        <m:r>
          <m:t>X</m:t>
        </m:r>
      </m:oMath>
      <w:r>
        <w:t xml:space="preserve">:</w:t>
      </w:r>
      <w:r>
        <w:t xml:space="preserve"> </w:t>
      </w:r>
      <m:oMath>
        <m:f>
          <m:fPr>
            <m:type m:val="bar"/>
          </m:fPr>
          <m:num>
            <m:sSub>
              <m:e>
                <m:r>
                  <m:t>X</m:t>
                </m:r>
              </m:e>
              <m:sub>
                <m:r>
                  <m:t>t</m:t>
                </m:r>
                <m:r>
                  <m:rPr>
                    <m:sty m:val="p"/>
                  </m:rPr>
                  <m:t>−</m:t>
                </m:r>
                <m:r>
                  <m:t>1</m:t>
                </m:r>
              </m:sub>
            </m:sSub>
          </m:num>
          <m:den>
            <m:sSub>
              <m:e>
                <m:r>
                  <m:t>Y</m:t>
                </m:r>
              </m:e>
              <m:sub>
                <m:r>
                  <m:t>t</m:t>
                </m:r>
                <m:r>
                  <m:rPr>
                    <m:sty m:val="p"/>
                  </m:rPr>
                  <m:t>−</m:t>
                </m:r>
                <m:r>
                  <m:t>1</m:t>
                </m:r>
              </m:sub>
            </m:sSub>
          </m:den>
        </m:f>
        <m:r>
          <m:t> </m:t>
        </m:r>
        <m:sSub>
          <m:e>
            <m:r>
              <m:t>γ</m:t>
            </m:r>
          </m:e>
          <m:sub>
            <m:r>
              <m:t>X</m:t>
            </m:r>
            <m:r>
              <m:rPr>
                <m:sty m:val="p"/>
              </m:rPr>
              <m:t>,</m:t>
            </m:r>
            <m:r>
              <m:t>t</m:t>
            </m:r>
          </m:sub>
        </m:sSub>
      </m:oMath>
      <w:r>
        <w:t xml:space="preserve">, en puntos porcentuales (las importaciones, con signo menos). Ejemplo: si el consumo pesa el 55 % del PIB y crece un 2 %, contribuye 1,1 puntos.</w:t>
      </w:r>
    </w:p>
    <w:p>
      <w:pPr>
        <w:numPr>
          <w:ilvl w:val="0"/>
          <w:numId w:val="1165"/>
        </w:numPr>
      </w:pPr>
      <w:r>
        <w:rPr>
          <w:i/>
          <w:iCs/>
        </w:rPr>
        <w:t xml:space="preserve">Tasa media anual a partir de datos trimestrales</w:t>
      </w:r>
      <w:r>
        <w:t xml:space="preserve">: la media de los 4 niveles del año frente a la del año anterior (no la suma de las tasas intertrimestrales).</w:t>
      </w:r>
      <w:r>
        <w:t xml:space="preserve"> </w:t>
      </w:r>
      <w:r>
        <w:rPr>
          <w:i/>
          <w:iCs/>
        </w:rPr>
        <w:t xml:space="preserve">Tasa anualizada</w:t>
      </w:r>
      <w:r>
        <w:t xml:space="preserve"> </w:t>
      </w:r>
      <w:r>
        <w:t xml:space="preserve">de una tasa trimestral</w:t>
      </w:r>
      <w:r>
        <w:t xml:space="preserve"> </w:t>
      </w:r>
      <m:oMath>
        <m:r>
          <m:t>g</m:t>
        </m:r>
      </m:oMath>
      <w:r>
        <w:t xml:space="preserve">:</w:t>
      </w:r>
      <w:r>
        <w:t xml:space="preserve"> </w:t>
      </w:r>
      <m:oMath>
        <m:sSup>
          <m:e>
            <m:d>
              <m:dPr>
                <m:begChr m:val="("/>
                <m:sepChr m:val=""/>
                <m:endChr m:val=")"/>
                <m:grow/>
              </m:dPr>
              <m:e>
                <m:r>
                  <m:t>1</m:t>
                </m:r>
                <m:r>
                  <m:rPr>
                    <m:sty m:val="p"/>
                  </m:rPr>
                  <m:t>+</m:t>
                </m:r>
                <m:r>
                  <m:t>g</m:t>
                </m:r>
              </m:e>
            </m:d>
          </m:e>
          <m:sup>
            <m:r>
              <m:t>4</m:t>
            </m:r>
          </m:sup>
        </m:sSup>
        <m:r>
          <m:rPr>
            <m:sty m:val="p"/>
          </m:rPr>
          <m:t>−</m:t>
        </m:r>
        <m:r>
          <m:t>1</m:t>
        </m:r>
        <m:r>
          <m:rPr>
            <m:sty m:val="p"/>
          </m:rPr>
          <m:t>≈</m:t>
        </m:r>
        <m:r>
          <m:t>4</m:t>
        </m:r>
        <m:r>
          <m:t>g</m:t>
        </m:r>
      </m:oMath>
      <w:r>
        <w:t xml:space="preserve">; con</w:t>
      </w:r>
      <w:r>
        <w:t xml:space="preserve"> </w:t>
      </w:r>
      <m:oMath>
        <m:r>
          <m:t>g</m:t>
        </m:r>
        <m:r>
          <m:rPr>
            <m:sty m:val="p"/>
          </m:rPr>
          <m:t>=</m:t>
        </m:r>
        <m:r>
          <m:t>0</m:t>
        </m:r>
        <m:r>
          <m:rPr>
            <m:sty m:val="p"/>
          </m:rPr>
          <m:t>,</m:t>
        </m:r>
        <m:r>
          <m:t>5</m:t>
        </m:r>
        <m:r>
          <m:t> </m:t>
        </m:r>
        <m:r>
          <m:rPr>
            <m:sty m:val="p"/>
          </m:rPr>
          <m:t>%</m:t>
        </m:r>
      </m:oMath>
      <w:r>
        <w:t xml:space="preserve">, en torno al 2 % (se preguntó en 2013).</w:t>
      </w:r>
    </w:p>
    <w:p>
      <w:pPr>
        <w:numPr>
          <w:ilvl w:val="0"/>
          <w:numId w:val="1165"/>
        </w:numPr>
      </w:pPr>
      <w:r>
        <w:rPr>
          <w:i/>
          <w:iCs/>
        </w:rPr>
        <w:t xml:space="preserve">Productividad, CLU y margen</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w:t>
      </w:r>
      <w:r>
        <w:t xml:space="preserve"> </w:t>
      </w: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oMath>
      <w:r>
        <w:t xml:space="preserve">; CLU real:</w:t>
      </w:r>
      <w:r>
        <w:t xml:space="preserve"> </w:t>
      </w:r>
      <m:oMath>
        <m:sSub>
          <m:e>
            <m:r>
              <m:t>γ</m:t>
            </m:r>
          </m:e>
          <m:sub>
            <m:r>
              <m:rPr>
                <m:sty m:val="p"/>
              </m:rPr>
              <m:t>C</m:t>
            </m:r>
            <m:r>
              <m:rPr>
                <m:sty m:val="p"/>
              </m:rPr>
              <m:t>L</m:t>
            </m:r>
            <m:r>
              <m:rPr>
                <m:sty m:val="p"/>
              </m:rPr>
              <m:t>U</m:t>
            </m:r>
          </m:sub>
        </m:sSub>
        <m:r>
          <m:rPr>
            <m:sty m:val="p"/>
          </m:rPr>
          <m:t>−</m:t>
        </m:r>
        <m:sSub>
          <m:e>
            <m:r>
              <m:t>γ</m:t>
            </m:r>
          </m:e>
          <m:sub>
            <m:r>
              <m:t>P</m:t>
            </m:r>
          </m:sub>
        </m:sSub>
      </m:oMath>
      <w:r>
        <w:t xml:space="preserve">;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w:t>
      </w:r>
      <w:r>
        <w:t xml:space="preserve"> </w:t>
      </w:r>
      <m:oMath>
        <m:r>
          <m:t>P</m:t>
        </m:r>
      </m:oMath>
      <w:r>
        <w:t xml:space="preserve"> </w:t>
      </w:r>
      <w:r>
        <w:t xml:space="preserve">el deflactor del PIB. Ejemplo: PIB</w:t>
      </w:r>
      <w:r>
        <w:t xml:space="preserve"> </w:t>
      </w:r>
      <m:oMath>
        <m:r>
          <m:rPr>
            <m:sty m:val="p"/>
          </m:rPr>
          <m:t>+</m:t>
        </m:r>
        <m:r>
          <m:t>2</m:t>
        </m:r>
        <m:r>
          <m:t> </m:t>
        </m:r>
        <m:r>
          <m:rPr>
            <m:sty m:val="p"/>
          </m:rPr>
          <m:t>%</m:t>
        </m:r>
      </m:oMath>
      <w:r>
        <w:t xml:space="preserve">, empleo</w:t>
      </w:r>
      <w:r>
        <w:t xml:space="preserve"> </w:t>
      </w:r>
      <m:oMath>
        <m:r>
          <m:rPr>
            <m:sty m:val="p"/>
          </m:rPr>
          <m:t>+</m:t>
        </m:r>
        <m:r>
          <m:t>1</m:t>
        </m:r>
        <m:r>
          <m:rPr>
            <m:sty m:val="p"/>
          </m:rPr>
          <m:t>,</m:t>
        </m:r>
        <m:r>
          <m:t>5</m:t>
        </m:r>
        <m:r>
          <m:t> </m:t>
        </m:r>
        <m:r>
          <m:rPr>
            <m:sty m:val="p"/>
          </m:rPr>
          <m:t>%</m:t>
        </m:r>
      </m:oMath>
      <w:r>
        <w:t xml:space="preserve">, remuneración por asalariado</w:t>
      </w:r>
      <w:r>
        <w:t xml:space="preserve"> </w:t>
      </w:r>
      <m:oMath>
        <m:r>
          <m:rPr>
            <m:sty m:val="p"/>
          </m:rPr>
          <m:t>+</m:t>
        </m:r>
        <m:r>
          <m:t>3</m:t>
        </m:r>
        <m:r>
          <m:t> </m:t>
        </m:r>
        <m:r>
          <m:rPr>
            <m:sty m:val="p"/>
          </m:rPr>
          <m:t>%</m:t>
        </m:r>
      </m:oMath>
      <w:r>
        <w:t xml:space="preserve"> </w:t>
      </w:r>
      <w:r>
        <w:t xml:space="preserve">y deflactor</w:t>
      </w:r>
      <w:r>
        <w:t xml:space="preserve"> </w:t>
      </w:r>
      <m:oMath>
        <m:r>
          <m:rPr>
            <m:sty m:val="p"/>
          </m:rPr>
          <m:t>+</m:t>
        </m:r>
        <m:r>
          <m:t>2</m:t>
        </m:r>
        <m:r>
          <m:t> </m:t>
        </m:r>
        <m:r>
          <m:rPr>
            <m:sty m:val="p"/>
          </m:rPr>
          <m:t>%</m:t>
        </m:r>
      </m:oMath>
      <w:r>
        <w:t xml:space="preserve"> </w:t>
      </w:r>
      <w:r>
        <w:t xml:space="preserve">dan</w:t>
      </w:r>
      <w:r>
        <w:t xml:space="preserve"> </w:t>
      </w:r>
      <m:oMath>
        <m:sSub>
          <m:e>
            <m:r>
              <m:t>γ</m:t>
            </m:r>
          </m:e>
          <m:sub>
            <m:r>
              <m:rPr>
                <m:sty m:val="p"/>
              </m:rPr>
              <m:t>P</m:t>
            </m:r>
            <m:r>
              <m:rPr>
                <m:sty m:val="p"/>
              </m:rPr>
              <m:t>A</m:t>
            </m:r>
            <m:r>
              <m:rPr>
                <m:sty m:val="p"/>
              </m:rPr>
              <m:t>T</m:t>
            </m:r>
          </m:sub>
        </m:sSub>
        <m:r>
          <m:rPr>
            <m:sty m:val="p"/>
          </m:rPr>
          <m:t>=</m:t>
        </m:r>
        <m:r>
          <m:t>0</m:t>
        </m:r>
        <m:r>
          <m:rPr>
            <m:sty m:val="p"/>
          </m:rPr>
          <m:t>,</m:t>
        </m:r>
        <m:r>
          <m:t>5</m:t>
        </m:r>
      </m:oMath>
      <w:r>
        <w:t xml:space="preserve">,</w:t>
      </w:r>
      <w:r>
        <w:t xml:space="preserve"> </w:t>
      </w:r>
      <m:oMath>
        <m:sSub>
          <m:e>
            <m:r>
              <m:t>γ</m:t>
            </m:r>
          </m:e>
          <m:sub>
            <m:r>
              <m:rPr>
                <m:sty m:val="p"/>
              </m:rPr>
              <m:t>C</m:t>
            </m:r>
            <m:r>
              <m:rPr>
                <m:sty m:val="p"/>
              </m:rPr>
              <m:t>L</m:t>
            </m:r>
            <m:r>
              <m:rPr>
                <m:sty m:val="p"/>
              </m:rPr>
              <m:t>U</m:t>
            </m:r>
          </m:sub>
        </m:sSub>
        <m:r>
          <m:rPr>
            <m:sty m:val="p"/>
          </m:rPr>
          <m:t>=</m:t>
        </m:r>
        <m:r>
          <m:t>2</m:t>
        </m:r>
        <m:r>
          <m:rPr>
            <m:sty m:val="p"/>
          </m:rPr>
          <m:t>,</m:t>
        </m:r>
        <m:r>
          <m:t>5</m:t>
        </m:r>
      </m:oMath>
      <w:r>
        <w:t xml:space="preserve">, CLU reales</w:t>
      </w:r>
      <w:r>
        <w:t xml:space="preserve"> </w:t>
      </w:r>
      <m:oMath>
        <m:r>
          <m:rPr>
            <m:sty m:val="p"/>
          </m:rPr>
          <m:t>+</m:t>
        </m:r>
        <m:r>
          <m:t>0</m:t>
        </m:r>
        <m:r>
          <m:rPr>
            <m:sty m:val="p"/>
          </m:rPr>
          <m:t>,</m:t>
        </m:r>
        <m:r>
          <m:t>5</m:t>
        </m:r>
      </m:oMath>
      <w:r>
        <w:t xml:space="preserve"> </w:t>
      </w:r>
      <w:r>
        <w:t xml:space="preserve">y margen</w:t>
      </w:r>
      <w:r>
        <w:t xml:space="preserve"> </w:t>
      </w:r>
      <m:oMath>
        <m:r>
          <m:rPr>
            <m:sty m:val="p"/>
          </m:rPr>
          <m:t>−</m:t>
        </m:r>
        <m:r>
          <m:t>0</m:t>
        </m:r>
        <m:r>
          <m:rPr>
            <m:sty m:val="p"/>
          </m:rPr>
          <m:t>,</m:t>
        </m:r>
        <m:r>
          <m:t>5</m:t>
        </m:r>
      </m:oMath>
      <w:r>
        <w:t xml:space="preserve">. Si se da la remuneración total y la tasa de asalarización es 1 (2016),</w:t>
      </w:r>
      <w:r>
        <w:t xml:space="preserve"> </w:t>
      </w:r>
      <m:oMath>
        <m:r>
          <m:t>W</m:t>
        </m:r>
      </m:oMath>
      <w:r>
        <w:t xml:space="preserve"> </w:t>
      </w:r>
      <w:r>
        <w:t xml:space="preserve">es el salario medio.</w:t>
      </w:r>
    </w:p>
    <w:p>
      <w:pPr>
        <w:numPr>
          <w:ilvl w:val="0"/>
          <w:numId w:val="1165"/>
        </w:numPr>
      </w:pPr>
      <w:r>
        <w:rPr>
          <w:i/>
          <w:iCs/>
        </w:rPr>
        <w:t xml:space="preserve">Salario real</w:t>
      </w:r>
      <w:r>
        <w:t xml:space="preserve">:</w:t>
      </w:r>
      <w:r>
        <w:t xml:space="preserve"> </w:t>
      </w:r>
      <m:oMath>
        <m:sSub>
          <m:e>
            <m:r>
              <m:t>γ</m:t>
            </m:r>
          </m:e>
          <m:sub>
            <m:r>
              <m:t>W</m:t>
            </m:r>
          </m:sub>
        </m:sSub>
        <m:r>
          <m:rPr>
            <m:sty m:val="p"/>
          </m:rPr>
          <m:t>−</m:t>
        </m:r>
        <m:r>
          <m:t>π</m:t>
        </m:r>
      </m:oMath>
      <w:r>
        <w:t xml:space="preserve">, con el IPC si interesa el poder adquisitivo del trabajador y con el deflactor si interesa el coste para la empresa.</w:t>
      </w:r>
    </w:p>
    <w:p>
      <w:pPr>
        <w:numPr>
          <w:ilvl w:val="0"/>
          <w:numId w:val="1165"/>
        </w:numPr>
      </w:pPr>
      <w:r>
        <w:rPr>
          <w:i/>
          <w:iCs/>
        </w:rPr>
        <w:t xml:space="preserve">Deflactor</w:t>
      </w:r>
      <w:r>
        <w:t xml:space="preserve">:</w:t>
      </w:r>
      <w:r>
        <w:t xml:space="preserve"> </w:t>
      </w:r>
      <m:oMath>
        <m:sSub>
          <m:e>
            <m:r>
              <m:t>γ</m:t>
            </m:r>
          </m:e>
          <m:sub>
            <m:r>
              <m:t>P</m:t>
            </m:r>
          </m:sub>
        </m:sSub>
        <m:r>
          <m:rPr>
            <m:sty m:val="p"/>
          </m:rPr>
          <m:t>≈</m:t>
        </m:r>
        <m:sSup>
          <m:e>
            <m:r>
              <m:t>γ</m:t>
            </m:r>
          </m:e>
          <m:sup>
            <m:r>
              <m:t>N</m:t>
            </m:r>
          </m:sup>
        </m:sSup>
        <m:r>
          <m:rPr>
            <m:sty m:val="p"/>
          </m:rPr>
          <m:t>−</m:t>
        </m:r>
        <m:sSub>
          <m:e>
            <m:r>
              <m:t>γ</m:t>
            </m:r>
          </m:e>
          <m:sub>
            <m:r>
              <m:t>Y</m:t>
            </m:r>
          </m:sub>
        </m:sSub>
      </m:oMath>
      <w:r>
        <w:t xml:space="preserve"> </w:t>
      </w:r>
      <w:r>
        <w:t xml:space="preserve">(crecimiento nominal menos real).</w:t>
      </w:r>
    </w:p>
    <w:p>
      <w:pPr>
        <w:numPr>
          <w:ilvl w:val="0"/>
          <w:numId w:val="1165"/>
        </w:numPr>
      </w:pPr>
      <w:r>
        <w:rPr>
          <w:i/>
          <w:iCs/>
        </w:rPr>
        <w:t xml:space="preserve">Tipo de interés real</w:t>
      </w:r>
      <w:r>
        <w:t xml:space="preserve">:</w:t>
      </w:r>
      <w:r>
        <w:t xml:space="preserve"> </w:t>
      </w:r>
      <m:oMath>
        <m:r>
          <m:t>r</m:t>
        </m:r>
        <m:r>
          <m:rPr>
            <m:sty m:val="p"/>
          </m:rPr>
          <m:t>≈</m:t>
        </m:r>
        <m:r>
          <m:t>i</m:t>
        </m:r>
        <m:r>
          <m:rPr>
            <m:sty m:val="p"/>
          </m:rPr>
          <m:t>−</m:t>
        </m:r>
        <m:sSup>
          <m:e>
            <m:r>
              <m:t>π</m:t>
            </m:r>
          </m:e>
          <m:sup>
            <m:r>
              <m:t>e</m:t>
            </m:r>
          </m:sup>
        </m:sSup>
      </m:oMath>
      <w:r>
        <w:t xml:space="preserve">; a falta de expectativas, con la inflación del periodo (diciéndolo); a largo plazo, mejor con el deflactor.</w:t>
      </w:r>
    </w:p>
    <w:p>
      <w:pPr>
        <w:numPr>
          <w:ilvl w:val="0"/>
          <w:numId w:val="1165"/>
        </w:numPr>
      </w:pPr>
      <w:r>
        <w:rPr>
          <w:i/>
          <w:iCs/>
        </w:rPr>
        <w:t xml:space="preserve">PIB potencial y brecha</w:t>
      </w:r>
      <w:r>
        <w:t xml:space="preserve">:</w:t>
      </w:r>
      <w:r>
        <w:t xml:space="preserve"> </w:t>
      </w:r>
      <m:oMath>
        <m:sSub>
          <m:e>
            <m:r>
              <m:t>γ</m:t>
            </m:r>
          </m:e>
          <m:sub>
            <m:sSup>
              <m:e>
                <m:r>
                  <m:t>Y</m:t>
                </m:r>
              </m:e>
              <m:sup>
                <m:r>
                  <m:t>p</m:t>
                </m:r>
              </m:sup>
            </m:sSup>
          </m:sub>
        </m:sSub>
        <m:r>
          <m:rPr>
            <m:sty m:val="p"/>
          </m:rPr>
          <m:t>≈</m:t>
        </m:r>
        <m:sSub>
          <m:e>
            <m:r>
              <m:t>γ</m:t>
            </m:r>
          </m:e>
          <m:sub>
            <m:r>
              <m:t>Y</m:t>
            </m:r>
          </m:sub>
        </m:sSub>
        <m:r>
          <m:rPr>
            <m:sty m:val="p"/>
          </m:rPr>
          <m:t>−</m:t>
        </m:r>
        <m:r>
          <m:t>Δ</m:t>
        </m:r>
        <m:r>
          <m:rPr>
            <m:sty m:val="p"/>
          </m:rPr>
          <m:t>O</m:t>
        </m:r>
        <m:r>
          <m:rPr>
            <m:sty m:val="p"/>
          </m:rPr>
          <m:t>G</m:t>
        </m:r>
      </m:oMath>
      <w:r>
        <w:t xml:space="preserve">; brecha prevista:</w:t>
      </w:r>
      <w:r>
        <w:t xml:space="preserve"> </w:t>
      </w:r>
      <m:oMath>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w:t>
      </w:r>
      <w:r>
        <w:t xml:space="preserve">(2018 y 2021).</w:t>
      </w:r>
    </w:p>
    <w:p>
      <w:pPr>
        <w:numPr>
          <w:ilvl w:val="0"/>
          <w:numId w:val="1165"/>
        </w:numPr>
      </w:pPr>
      <w:r>
        <w:rPr>
          <w:i/>
          <w:iCs/>
        </w:rPr>
        <w:t xml:space="preserve">Esfuerzo fiscal</w:t>
      </w:r>
      <w:r>
        <w:t xml:space="preserve">:</w:t>
      </w:r>
      <w:r>
        <w:t xml:space="preserve"> </w:t>
      </w:r>
      <m:oMath>
        <m:r>
          <m:t>Δ</m:t>
        </m:r>
        <m:sSup>
          <m:e>
            <m:r>
              <m:t>b</m:t>
            </m:r>
          </m:e>
          <m:sup>
            <m:r>
              <m:t>p</m:t>
            </m:r>
            <m:r>
              <m:t>e</m:t>
            </m:r>
          </m:sup>
        </m:sSup>
      </m:oMath>
      <w:r>
        <w:t xml:space="preserve">, con</w:t>
      </w:r>
      <w:r>
        <w:t xml:space="preserve"> </w:t>
      </w: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oMath>
      <w:r>
        <w:t xml:space="preserve"> </w:t>
      </w:r>
      <w:r>
        <w:t xml:space="preserve">medidas puntuales</w:t>
      </w:r>
      <w:r>
        <w:t xml:space="preserve"> </w:t>
      </w:r>
      <m:oMath>
        <m:r>
          <m:rPr>
            <m:sty m:val="p"/>
          </m:rPr>
          <m:t>+</m:t>
        </m:r>
      </m:oMath>
      <w:r>
        <w:t xml:space="preserve"> </w:t>
      </w:r>
      <w:r>
        <w:t xml:space="preserve">intereses (2011, 2016, 2018, 2019).</w:t>
      </w:r>
    </w:p>
    <w:p>
      <w:pPr>
        <w:numPr>
          <w:ilvl w:val="0"/>
          <w:numId w:val="1165"/>
        </w:numPr>
      </w:pPr>
      <w:r>
        <w:rPr>
          <w:i/>
          <w:iCs/>
        </w:rPr>
        <w:t xml:space="preserve">Saldo primario estabilizador</w:t>
      </w:r>
      <w:r>
        <w:t xml:space="preserve">:</w:t>
      </w:r>
      <w:r>
        <w:t xml:space="preserve"> </w:t>
      </w: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con</w:t>
      </w:r>
      <w:r>
        <w:t xml:space="preserve"> </w:t>
      </w:r>
      <m:oMath>
        <m:r>
          <m:t>d</m:t>
        </m:r>
        <m:r>
          <m:rPr>
            <m:sty m:val="p"/>
          </m:rPr>
          <m:t>=</m:t>
        </m:r>
        <m:r>
          <m:t>100</m:t>
        </m:r>
        <m:r>
          <m:t> </m:t>
        </m:r>
        <m:r>
          <m:rPr>
            <m:sty m:val="p"/>
          </m:rPr>
          <m:t>%</m:t>
        </m:r>
      </m:oMath>
      <w:r>
        <w:t xml:space="preserve">,</w:t>
      </w:r>
      <w:r>
        <w:t xml:space="preserve"> </w:t>
      </w:r>
      <m:oMath>
        <m:r>
          <m:t>i</m:t>
        </m:r>
        <m:r>
          <m:rPr>
            <m:sty m:val="p"/>
          </m:rPr>
          <m:t>=</m:t>
        </m:r>
        <m:r>
          <m:t>3</m:t>
        </m:r>
        <m:r>
          <m:t> </m:t>
        </m:r>
        <m:r>
          <m:rPr>
            <m:sty m:val="p"/>
          </m:rPr>
          <m:t>%</m:t>
        </m:r>
      </m:oMath>
      <w:r>
        <w:t xml:space="preserve"> </w:t>
      </w:r>
      <w:r>
        <w:t xml:space="preserve">y</w:t>
      </w:r>
      <w:r>
        <w:t xml:space="preserve"> </w:t>
      </w:r>
      <m:oMath>
        <m:sSup>
          <m:e>
            <m:r>
              <m:t>γ</m:t>
            </m:r>
          </m:e>
          <m:sup>
            <m:r>
              <m:t>N</m:t>
            </m:r>
          </m:sup>
        </m:sSup>
        <m:r>
          <m:rPr>
            <m:sty m:val="p"/>
          </m:rPr>
          <m:t>=</m:t>
        </m:r>
        <m:r>
          <m:t>4</m:t>
        </m:r>
        <m:r>
          <m:t> </m:t>
        </m:r>
        <m:r>
          <m:rPr>
            <m:sty m:val="p"/>
          </m:rPr>
          <m:t>%</m:t>
        </m:r>
      </m:oMath>
      <w:r>
        <w:t xml:space="preserve">, un déficit primario de casi 1 punto (</w:t>
      </w:r>
      <m:oMath>
        <m:r>
          <m:rPr>
            <m:sty m:val="p"/>
          </m:rPr>
          <m:t>−</m:t>
        </m:r>
        <m:r>
          <m:t>0</m:t>
        </m:r>
        <m:r>
          <m:rPr>
            <m:sty m:val="p"/>
          </m:rPr>
          <m:t>,</m:t>
        </m:r>
        <m:r>
          <m:t>96</m:t>
        </m:r>
      </m:oMath>
      <w:r>
        <w:t xml:space="preserve">).</w:t>
      </w:r>
    </w:p>
    <w:p>
      <w:pPr>
        <w:numPr>
          <w:ilvl w:val="0"/>
          <w:numId w:val="1165"/>
        </w:numPr>
      </w:pPr>
      <w:r>
        <w:rPr>
          <w:i/>
          <w:iCs/>
        </w:rPr>
        <w:t xml:space="preserve">Efecto valoración de la PIIN</w:t>
      </w:r>
      <w:r>
        <w:t xml:space="preserve">:</w:t>
      </w:r>
      <w:r>
        <w:t xml:space="preserve"> </w:t>
      </w:r>
      <m:oMath>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w:r>
        <w:t xml:space="preserve"> </w:t>
      </w:r>
      <w:r>
        <w:t xml:space="preserve">(2016).</w:t>
      </w:r>
    </w:p>
    <w:p>
      <w:pPr>
        <w:numPr>
          <w:ilvl w:val="0"/>
          <w:numId w:val="1165"/>
        </w:numPr>
      </w:pPr>
      <w:r>
        <w:rPr>
          <w:i/>
          <w:iCs/>
        </w:rPr>
        <w:t xml:space="preserve">Tasas de inversión y de ahorro nacional</w:t>
      </w:r>
      <w:r>
        <w:t xml:space="preserve">:</w:t>
      </w:r>
      <w:r>
        <w:t xml:space="preserve"> </w:t>
      </w:r>
      <m:oMath>
        <m:r>
          <m:t>I</m:t>
        </m:r>
        <m:r>
          <m:rPr>
            <m:sty m:val="p"/>
          </m:rPr>
          <m:t>/</m:t>
        </m:r>
        <m:r>
          <m:rPr>
            <m:sty m:val="p"/>
          </m:rPr>
          <m:t>P</m:t>
        </m:r>
        <m:r>
          <m:rPr>
            <m:sty m:val="p"/>
          </m:rPr>
          <m:t>I</m:t>
        </m:r>
        <m:r>
          <m:rPr>
            <m:sty m:val="p"/>
          </m:rPr>
          <m:t>B</m:t>
        </m:r>
      </m:oMath>
      <w:r>
        <w:t xml:space="preserve"> </w:t>
      </w:r>
      <w:r>
        <w:t xml:space="preserve">y</w:t>
      </w:r>
      <w:r>
        <w:t xml:space="preserve"> </w:t>
      </w:r>
      <m:oMath>
        <m:r>
          <m:t>S</m:t>
        </m:r>
        <m:r>
          <m:rPr>
            <m:sty m:val="p"/>
          </m:rPr>
          <m:t>/</m:t>
        </m:r>
        <m:r>
          <m:rPr>
            <m:sty m:val="p"/>
          </m:rPr>
          <m:t>P</m:t>
        </m:r>
        <m:r>
          <m:rPr>
            <m:sty m:val="p"/>
          </m:rPr>
          <m:t>I</m:t>
        </m:r>
        <m:r>
          <m:rPr>
            <m:sty m:val="p"/>
          </m:rPr>
          <m:t>B</m:t>
        </m:r>
        <m:r>
          <m:rPr>
            <m:sty m:val="p"/>
          </m:rPr>
          <m:t>=</m:t>
        </m:r>
        <m:r>
          <m:t>I</m:t>
        </m:r>
        <m:r>
          <m:rPr>
            <m:sty m:val="p"/>
          </m:rPr>
          <m:t>/</m:t>
        </m:r>
        <m:r>
          <m:rPr>
            <m:sty m:val="p"/>
          </m:rPr>
          <m:t>P</m:t>
        </m:r>
        <m:r>
          <m:rPr>
            <m:sty m:val="p"/>
          </m:rPr>
          <m:t>I</m:t>
        </m:r>
        <m:r>
          <m:rPr>
            <m:sty m:val="p"/>
          </m:rPr>
          <m:t>B</m:t>
        </m:r>
        <m:r>
          <m:rPr>
            <m:sty m:val="p"/>
          </m:rPr>
          <m:t>+</m:t>
        </m:r>
        <m:r>
          <m:rPr>
            <m:sty m:val="p"/>
          </m:rPr>
          <m:t>C</m:t>
        </m:r>
        <m:r>
          <m:rPr>
            <m:sty m:val="p"/>
          </m:rPr>
          <m:t>C</m:t>
        </m:r>
        <m:r>
          <m:rPr>
            <m:sty m:val="p"/>
          </m:rPr>
          <m:t>/</m:t>
        </m:r>
        <m:r>
          <m:rPr>
            <m:sty m:val="p"/>
          </m:rPr>
          <m:t>P</m:t>
        </m:r>
        <m:r>
          <m:rPr>
            <m:sty m:val="p"/>
          </m:rPr>
          <m:t>I</m:t>
        </m:r>
        <m:r>
          <m:rPr>
            <m:sty m:val="p"/>
          </m:rPr>
          <m:t>B</m:t>
        </m:r>
      </m:oMath>
      <w:r>
        <w:t xml:space="preserve"> </w:t>
      </w:r>
      <w:r>
        <w:t xml:space="preserve">(2011, 2019).</w:t>
      </w:r>
    </w:p>
    <w:p>
      <w:pPr>
        <w:numPr>
          <w:ilvl w:val="0"/>
          <w:numId w:val="1165"/>
        </w:numPr>
      </w:pPr>
      <w:r>
        <w:rPr>
          <w:i/>
          <w:iCs/>
        </w:rPr>
        <w:t xml:space="preserve">Exportaciones con su elasticidad-renta</w:t>
      </w:r>
      <w:r>
        <w:t xml:space="preserve">:</w:t>
      </w:r>
      <w:r>
        <w:t xml:space="preserve"> </w:t>
      </w: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w:r>
        <w:t xml:space="preserve"> </w:t>
      </w:r>
      <w:r>
        <w:t xml:space="preserve">con competitividad constante; en 2011,</w:t>
      </w:r>
      <w:r>
        <w:t xml:space="preserve"> </w:t>
      </w:r>
      <m:oMath>
        <m:r>
          <m:t>1</m:t>
        </m:r>
        <m:r>
          <m:rPr>
            <m:sty m:val="p"/>
          </m:rPr>
          <m:t>,</m:t>
        </m:r>
        <m:r>
          <m:t>1</m:t>
        </m:r>
        <m:r>
          <m:rPr>
            <m:sty m:val="p"/>
          </m:rPr>
          <m:t>×</m:t>
        </m:r>
        <m:r>
          <m:t>7</m:t>
        </m:r>
        <m:r>
          <m:rPr>
            <m:sty m:val="p"/>
          </m:rPr>
          <m:t>,</m:t>
        </m:r>
        <m:r>
          <m:t>3</m:t>
        </m:r>
        <m:r>
          <m:t> </m:t>
        </m:r>
        <m:r>
          <m:rPr>
            <m:sty m:val="p"/>
          </m:rPr>
          <m:t>%</m:t>
        </m:r>
        <m:r>
          <m:rPr>
            <m:sty m:val="p"/>
          </m:rPr>
          <m:t>≈</m:t>
        </m:r>
        <m:r>
          <m:t>8</m:t>
        </m:r>
        <m:r>
          <m:t> </m:t>
        </m:r>
        <m:r>
          <m:rPr>
            <m:sty m:val="p"/>
          </m:rPr>
          <m:t>%</m:t>
        </m:r>
      </m:oMath>
      <w:r>
        <w:t xml:space="preserve">.</w:t>
      </w:r>
    </w:p>
    <w:p>
      <w:pPr>
        <w:numPr>
          <w:ilvl w:val="0"/>
          <w:numId w:val="1165"/>
        </w:numPr>
      </w:pPr>
      <w:r>
        <w:rPr>
          <w:i/>
          <w:iCs/>
        </w:rPr>
        <w:t xml:space="preserve">Pendiente de la curva de tipos</w:t>
      </w:r>
      <w:r>
        <w:t xml:space="preserve">: tipo a largo menos tipo a corto (un diferencial, no una fórmula).</w:t>
      </w:r>
    </w:p>
    <w:p>
      <w:pPr>
        <w:numPr>
          <w:ilvl w:val="0"/>
          <w:numId w:val="1165"/>
        </w:numPr>
      </w:pPr>
      <w:r>
        <w:rPr>
          <w:i/>
          <w:iCs/>
        </w:rPr>
        <w:t xml:space="preserve">Índices</w:t>
      </w:r>
      <w:r>
        <w:t xml:space="preserve">: índice simple</w:t>
      </w:r>
      <w:r>
        <w:t xml:space="preserve"> </w:t>
      </w:r>
      <m:oMath>
        <m:r>
          <m:rPr>
            <m:sty m:val="p"/>
          </m:rPr>
          <m:t>=</m:t>
        </m:r>
      </m:oMath>
      <w:r>
        <w:t xml:space="preserve"> </w:t>
      </w:r>
      <w:r>
        <w:t xml:space="preserve">valor/valor del año base</w:t>
      </w:r>
      <w:r>
        <w:t xml:space="preserve"> </w:t>
      </w:r>
      <m:oMath>
        <m:r>
          <m:rPr>
            <m:sty m:val="p"/>
          </m:rPr>
          <m:t>×</m:t>
        </m:r>
        <m:r>
          <m:t>100</m:t>
        </m:r>
      </m:oMath>
      <w:r>
        <w:t xml:space="preserve">; cambio de base con una regla de 3; en los índices encadenados la base es móvil. Si el dato viene en porcentaje, no es el índice sino su tasa de variación</w:t>
      </w:r>
      <w:r>
        <w:t xml:space="preserve"> </w:t>
      </w:r>
      <w:hyperlink r:id="rId46">
        <w:r>
          <w:rPr>
            <w:rStyle w:val="Referenciaatema"/>
          </w:rPr>
          <w:t xml:space="preserve">[ver tema 4.A.1]</w:t>
        </w:r>
      </w:hyperlink>
      <w:r>
        <w:t xml:space="preserve">.</w:t>
      </w:r>
    </w:p>
    <w:bookmarkEnd w:id="281"/>
    <w:bookmarkStart w:id="282" w:name="anexo_fmi"/>
    <w:p>
      <w:pPr>
        <w:pStyle w:val="Heading1"/>
      </w:pPr>
      <w:r>
        <w:t xml:space="preserve">F. La programación financiera del FMI</w:t>
      </w:r>
    </w:p>
    <w:p>
      <w:pPr>
        <w:numPr>
          <w:ilvl w:val="0"/>
          <w:numId w:val="1166"/>
        </w:numPr>
      </w:pPr>
      <w:r>
        <w:rPr>
          <w:i/>
          <w:iCs/>
        </w:rPr>
        <w:t xml:space="preserve">Qué es</w:t>
      </w:r>
      <w:r>
        <w:t xml:space="preserve">: un</w:t>
      </w:r>
      <w:r>
        <w:t xml:space="preserve"> </w:t>
      </w:r>
      <w:r>
        <w:rPr>
          <w:i/>
          <w:iCs/>
        </w:rPr>
        <w:t xml:space="preserve">marco</w:t>
      </w:r>
      <w:r>
        <w:t xml:space="preserve"> </w:t>
      </w:r>
      <w:r>
        <w:t xml:space="preserve">(no un modelo)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w:t>
        </w:r>
      </w:hyperlink>
      <w:r>
        <w:t xml:space="preserve">)</w:t>
      </w:r>
      <w:r>
        <w:t xml:space="preserve">.</w:t>
      </w:r>
    </w:p>
    <w:p>
      <w:pPr>
        <w:numPr>
          <w:ilvl w:val="0"/>
          <w:numId w:val="1166"/>
        </w:numPr>
      </w:pPr>
      <w:r>
        <w:rPr>
          <w:i/>
          <w:iCs/>
        </w:rPr>
        <w:t xml:space="preserve">De qué depende la estabilidad</w:t>
      </w:r>
      <w:r>
        <w:t xml:space="preserve">: de factores externos (crisis de los socios, catástrofes), de factores propios difíciles de cambiar (desarrollo, demografía) y de las políticas.</w:t>
      </w:r>
    </w:p>
    <w:p>
      <w:pPr>
        <w:keepNext/>
        <w:numPr>
          <w:ilvl w:val="0"/>
          <w:numId w:val="1166"/>
        </w:numPr>
      </w:pPr>
      <w:r>
        <w:rPr>
          <w:i/>
          <w:iCs/>
        </w:rPr>
        <w:t xml:space="preserve">Los 2 objetivos</w:t>
      </w:r>
      <w:r>
        <w:t xml:space="preserve">:</w:t>
      </w:r>
    </w:p>
    <w:p>
      <w:pPr>
        <w:numPr>
          <w:ilvl w:val="1"/>
          <w:numId w:val="1167"/>
        </w:numPr>
      </w:pPr>
      <w:r>
        <w:rPr>
          <w:i/>
          <w:iCs/>
        </w:rPr>
        <w:t xml:space="preserve">equilibrio interno</w:t>
      </w:r>
      <w:r>
        <w:t xml:space="preserve">: producción en su potencial con una inflación baja y estable;</w:t>
      </w:r>
    </w:p>
    <w:p>
      <w:pPr>
        <w:numPr>
          <w:ilvl w:val="1"/>
          <w:numId w:val="1167"/>
        </w:numPr>
      </w:pPr>
      <w:r>
        <w:rPr>
          <w:i/>
          <w:iCs/>
        </w:rPr>
        <w:t xml:space="preserve">equilibrio externo</w:t>
      </w:r>
      <w:r>
        <w:t xml:space="preserve">: una cuenta corriente que se pueda financiar de forma sostenible, con reservas suficientes.</w:t>
      </w:r>
    </w:p>
    <w:p>
      <w:pPr>
        <w:numPr>
          <w:ilvl w:val="0"/>
          <w:numId w:val="1166"/>
        </w:numPr>
      </w:pPr>
      <w:r>
        <w:rPr>
          <w:i/>
          <w:iCs/>
        </w:rPr>
        <w:t xml:space="preserve">Qué los rompe</w:t>
      </w:r>
      <w:r>
        <w:t xml:space="preserve">: demanda excesiva o insuficiente; incertidumbre (sistema financiero frágil, finanzas públicas débiles); una combinación de inflación y tipo de cambio que hace caro producir dentro; burbujas en los precios de los activos. Si se agravan, desembocan en una crisis.</w:t>
      </w:r>
    </w:p>
    <w:p>
      <w:pPr>
        <w:numPr>
          <w:ilvl w:val="0"/>
          <w:numId w:val="1166"/>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181">
        <w:r>
          <w:rPr>
            <w:rStyle w:val="Referenciaatema"/>
          </w:rPr>
          <w:t xml:space="preserve">[ver tema 3.B.22]</w:t>
        </w:r>
      </w:hyperlink>
      <w:r>
        <w:t xml:space="preserve">.</w:t>
      </w:r>
    </w:p>
    <w:bookmarkEnd w:id="282"/>
    <w:bookmarkStart w:id="283" w:name="anexo_espana"/>
    <w:p>
      <w:pPr>
        <w:pStyle w:val="Heading1"/>
      </w:pPr>
      <w:r>
        <w:t xml:space="preserve">G. Un caso: la economía española</w:t>
      </w:r>
    </w:p>
    <w:p>
      <w:pPr>
        <w:numPr>
          <w:ilvl w:val="0"/>
          <w:numId w:val="1168"/>
        </w:numPr>
      </w:pPr>
      <w:r>
        <w:rPr>
          <w:i/>
          <w:iCs/>
        </w:rPr>
        <w:t xml:space="preserve">Para qué</w:t>
      </w:r>
      <w:r>
        <w:t xml:space="preserve">: aplicar el método a un país conocido, con datos recientes, como ejercicio. La situación y las políticas de España se estudian en</w:t>
      </w:r>
      <w:r>
        <w:t xml:space="preserve"> </w:t>
      </w:r>
      <w:hyperlink r:id="rId61">
        <w:r>
          <w:rPr>
            <w:rStyle w:val="Referenciaatema"/>
          </w:rPr>
          <w:t xml:space="preserve">[ver tema 4.A.29]</w:t>
        </w:r>
      </w:hyperlink>
      <w:r>
        <w:t xml:space="preserve">.</w:t>
      </w:r>
    </w:p>
    <w:p>
      <w:pPr>
        <w:numPr>
          <w:ilvl w:val="0"/>
          <w:numId w:val="1168"/>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2026b</w:t>
        </w:r>
      </w:hyperlink>
      <w:r>
        <w:t xml:space="preserve">)</w:t>
      </w:r>
      <w:r>
        <w:t xml:space="preserve">.</w:t>
      </w:r>
    </w:p>
    <w:p>
      <w:pPr>
        <w:keepNext/>
        <w:numPr>
          <w:ilvl w:val="0"/>
          <w:numId w:val="1168"/>
        </w:numPr>
      </w:pPr>
      <w:r>
        <w:rPr>
          <w:i/>
          <w:iCs/>
        </w:rPr>
        <w:t xml:space="preserve">Fortalezas</w:t>
      </w:r>
      <w:r>
        <w:t xml:space="preserve">:</w:t>
      </w:r>
    </w:p>
    <w:p>
      <w:pPr>
        <w:numPr>
          <w:ilvl w:val="1"/>
          <w:numId w:val="1169"/>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2026b</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169"/>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w:t>
        </w:r>
      </w:hyperlink>
      <w:r>
        <w:t xml:space="preserve">)</w:t>
      </w:r>
      <w:r>
        <w:t xml:space="preserve">;</w:t>
      </w:r>
    </w:p>
    <w:p>
      <w:pPr>
        <w:numPr>
          <w:ilvl w:val="1"/>
          <w:numId w:val="1169"/>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169"/>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168"/>
        </w:numPr>
      </w:pPr>
      <w:r>
        <w:rPr>
          <w:i/>
          <w:iCs/>
        </w:rPr>
        <w:t xml:space="preserve">Debilidades</w:t>
      </w:r>
      <w:r>
        <w:t xml:space="preserve">:</w:t>
      </w:r>
    </w:p>
    <w:p>
      <w:pPr>
        <w:numPr>
          <w:ilvl w:val="1"/>
          <w:numId w:val="1170"/>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170"/>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11</w:t>
        </w:r>
      </w:hyperlink>
      <w:r>
        <w:t xml:space="preserve">);</w:t>
      </w:r>
    </w:p>
    <w:p>
      <w:pPr>
        <w:numPr>
          <w:ilvl w:val="1"/>
          <w:numId w:val="1170"/>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2026b</w:t>
        </w:r>
      </w:hyperlink>
      <w:r>
        <w:t xml:space="preserve">;</w:t>
      </w:r>
      <w:r>
        <w:t xml:space="preserve"> </w:t>
      </w:r>
      <w:hyperlink w:anchor="ref_CE2024Envejecimiento">
        <w:r>
          <w:rPr>
            <w:rStyle w:val="Hyperlink"/>
            <w:smallCaps/>
          </w:rPr>
          <w:t xml:space="preserve">Comisión Europea</w:t>
        </w:r>
        <w:r>
          <w:rPr>
            <w:rStyle w:val="Hyperlink"/>
          </w:rPr>
          <w:t xml:space="preserve">, 2024</w:t>
        </w:r>
      </w:hyperlink>
      <w:r>
        <w:t xml:space="preserve">)</w:t>
      </w:r>
      <w:r>
        <w:t xml:space="preserve">;</w:t>
      </w:r>
    </w:p>
    <w:p>
      <w:pPr>
        <w:numPr>
          <w:ilvl w:val="1"/>
          <w:numId w:val="1170"/>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68"/>
        </w:numPr>
      </w:pPr>
      <w:r>
        <w:rPr>
          <w:i/>
          <w:iCs/>
        </w:rPr>
        <w:t xml:space="preserve">Recomendaciones</w:t>
      </w:r>
      <w:r>
        <w:t xml:space="preserve"> </w:t>
      </w:r>
      <w:r>
        <w:t xml:space="preserve">(tabla </w:t>
      </w:r>
      <w:hyperlink w:anchor="tab_recomendaciones">
        <w:r>
          <w:rPr>
            <w:rStyle w:val="Hyperlink"/>
          </w:rPr>
          <w:t xml:space="preserve">5</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2026b</w:t>
        </w:r>
      </w:hyperlink>
      <w:r>
        <w:t xml:space="preserve">)</w:t>
      </w:r>
      <w:r>
        <w:t xml:space="preserve">; políticas activas de empleo y de vivienda que mejoren el emparejamiento; y reformas que eleven la productividad (capital humano, tamaño empresarial, inversión en I+D).</w:t>
      </w:r>
    </w:p>
    <w:bookmarkEnd w:id="283"/>
    <w:bookmarkStart w:id="306" w:name="anexo_temas"/>
    <w:p>
      <w:pPr>
        <w:pStyle w:val="Heading1"/>
      </w:pPr>
      <w:r>
        <w:t xml:space="preserve">H. Dónde se estudia cada bloque</w:t>
      </w:r>
    </w:p>
    <w:p>
      <w:pPr>
        <w:numPr>
          <w:ilvl w:val="0"/>
          <w:numId w:val="1171"/>
        </w:numPr>
      </w:pPr>
      <w:r>
        <w:t xml:space="preserve">La guía remite en cada indicador al tema donde se estudia a fondo: primero el del tercer ejercicio (la teoría) y después el del cuarto (la aplicación a España o al sector público).</w:t>
      </w:r>
    </w:p>
    <w:bookmarkStart w:id="305" w:name="tab_donde_se_estudia"/>
    <w:p>
      <w:pPr>
        <w:pStyle w:val="TableCaption"/>
      </w:pPr>
      <w:r>
        <w:t xml:space="preserve">Tabla 15.–</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15.–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284">
              <w:r>
                <w:rPr>
                  <w:rStyle w:val="Referenciaatema"/>
                </w:rPr>
                <w:t xml:space="preserve">3.A.31</w:t>
              </w:r>
            </w:hyperlink>
            <w:r>
              <w:t xml:space="preserve">,</w:t>
            </w:r>
            <w:r>
              <w:t xml:space="preserve"> </w:t>
            </w:r>
            <w:hyperlink r:id="rId67">
              <w:r>
                <w:rPr>
                  <w:rStyle w:val="Referenciaatema"/>
                </w:rPr>
                <w:t xml:space="preserve">3.A.33</w:t>
              </w:r>
            </w:hyperlink>
            <w:r>
              <w:t xml:space="preserve">,</w:t>
            </w:r>
            <w:r>
              <w:t xml:space="preserve"> </w:t>
            </w:r>
            <w:hyperlink r:id="rId82">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92">
              <w:r>
                <w:rPr>
                  <w:rStyle w:val="Referenciaatema"/>
                </w:rPr>
                <w:t xml:space="preserve">3.A.43</w:t>
              </w:r>
            </w:hyperlink>
            <w:r>
              <w:t xml:space="preserve">,</w:t>
            </w:r>
            <w:r>
              <w:t xml:space="preserve"> </w:t>
            </w:r>
            <w:hyperlink r:id="rId212">
              <w:r>
                <w:rPr>
                  <w:rStyle w:val="Referenciaatema"/>
                </w:rPr>
                <w:t xml:space="preserve">3.A.44</w:t>
              </w:r>
            </w:hyperlink>
            <w:r>
              <w:t xml:space="preserve">,</w:t>
            </w:r>
            <w:r>
              <w:t xml:space="preserve"> </w:t>
            </w:r>
            <w:hyperlink r:id="rId52">
              <w:r>
                <w:rPr>
                  <w:rStyle w:val="Referenciaatema"/>
                </w:rPr>
                <w:t xml:space="preserve">3.A.45</w:t>
              </w:r>
            </w:hyperlink>
            <w:r>
              <w:t xml:space="preserve">,</w:t>
            </w:r>
            <w:r>
              <w:t xml:space="preserve"> </w:t>
            </w:r>
            <w:hyperlink r:id="rId99">
              <w:r>
                <w:rPr>
                  <w:rStyle w:val="Referenciaatema"/>
                </w:rPr>
                <w:t xml:space="preserve">3.B.28</w:t>
              </w:r>
            </w:hyperlink>
            <w:r>
              <w:t xml:space="preserve">,</w:t>
            </w:r>
            <w:r>
              <w:t xml:space="preserve"> </w:t>
            </w:r>
            <w:hyperlink r:id="rId100">
              <w:r>
                <w:rPr>
                  <w:rStyle w:val="Referenciaatema"/>
                </w:rPr>
                <w:t xml:space="preserve">3.B.32</w:t>
              </w:r>
            </w:hyperlink>
          </w:p>
        </w:tc>
        <w:tc>
          <w:tcPr/>
          <w:p>
            <w:pPr>
              <w:pStyle w:val="Compact"/>
              <w:jc w:val="left"/>
            </w:pPr>
            <w:hyperlink r:id="rId46">
              <w:r>
                <w:rPr>
                  <w:rStyle w:val="Referenciaatema"/>
                </w:rPr>
                <w:t xml:space="preserve">4.A.1</w:t>
              </w:r>
            </w:hyperlink>
            <w:r>
              <w:t xml:space="preserve">,</w:t>
            </w:r>
            <w:r>
              <w:t xml:space="preserve"> </w:t>
            </w:r>
            <w:hyperlink r:id="rId94">
              <w:r>
                <w:rPr>
                  <w:rStyle w:val="Referenciaatema"/>
                </w:rPr>
                <w:t xml:space="preserve">4.A.4</w:t>
              </w:r>
            </w:hyperlink>
            <w:r>
              <w:t xml:space="preserve">,</w:t>
            </w:r>
            <w:r>
              <w:t xml:space="preserve"> </w:t>
            </w:r>
            <w:hyperlink r:id="rId95">
              <w:r>
                <w:rPr>
                  <w:rStyle w:val="Referenciaatema"/>
                </w:rPr>
                <w:t xml:space="preserve">4.A.5</w:t>
              </w:r>
            </w:hyperlink>
            <w:r>
              <w:t xml:space="preserve">,</w:t>
            </w:r>
            <w:r>
              <w:t xml:space="preserve"> </w:t>
            </w:r>
            <w:hyperlink r:id="rId96">
              <w:r>
                <w:rPr>
                  <w:rStyle w:val="Referenciaatema"/>
                </w:rPr>
                <w:t xml:space="preserve">4.A.9</w:t>
              </w:r>
            </w:hyperlink>
            <w:r>
              <w:t xml:space="preserve">,</w:t>
            </w:r>
            <w:r>
              <w:t xml:space="preserve"> </w:t>
            </w:r>
            <w:hyperlink r:id="rId79">
              <w:r>
                <w:rPr>
                  <w:rStyle w:val="Referenciaatema"/>
                </w:rPr>
                <w:t xml:space="preserve">4.A.11</w:t>
              </w:r>
            </w:hyperlink>
            <w:r>
              <w:t xml:space="preserve">,</w:t>
            </w:r>
            <w:r>
              <w:t xml:space="preserve"> </w:t>
            </w:r>
            <w:hyperlink r:id="rId97">
              <w:r>
                <w:rPr>
                  <w:rStyle w:val="Referenciaatema"/>
                </w:rPr>
                <w:t xml:space="preserve">4.A.13</w:t>
              </w:r>
            </w:hyperlink>
            <w:r>
              <w:t xml:space="preserve">,</w:t>
            </w:r>
            <w:r>
              <w:t xml:space="preserve"> </w:t>
            </w:r>
            <w:hyperlink r:id="rId61">
              <w:r>
                <w:rPr>
                  <w:rStyle w:val="Referenciaatema"/>
                </w:rPr>
                <w:t xml:space="preserve">4.A.29</w:t>
              </w:r>
            </w:hyperlink>
            <w:r>
              <w:t xml:space="preserve">,</w:t>
            </w:r>
            <w:r>
              <w:t xml:space="preserve"> </w:t>
            </w:r>
            <w:hyperlink r:id="rId50">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285">
              <w:r>
                <w:rPr>
                  <w:rStyle w:val="Referenciaatema"/>
                </w:rPr>
                <w:t xml:space="preserve">3.A.13</w:t>
              </w:r>
            </w:hyperlink>
            <w:r>
              <w:t xml:space="preserve">,</w:t>
            </w:r>
            <w:r>
              <w:t xml:space="preserve"> </w:t>
            </w:r>
            <w:hyperlink r:id="rId128">
              <w:r>
                <w:rPr>
                  <w:rStyle w:val="Referenciaatema"/>
                </w:rPr>
                <w:t xml:space="preserve">3.A.17</w:t>
              </w:r>
            </w:hyperlink>
            <w:r>
              <w:t xml:space="preserve">,</w:t>
            </w:r>
            <w:r>
              <w:t xml:space="preserve"> </w:t>
            </w:r>
            <w:hyperlink r:id="rId109">
              <w:r>
                <w:rPr>
                  <w:rStyle w:val="Referenciaatema"/>
                </w:rPr>
                <w:t xml:space="preserve">3.A.25</w:t>
              </w:r>
            </w:hyperlink>
            <w:r>
              <w:t xml:space="preserve">,</w:t>
            </w:r>
            <w:r>
              <w:t xml:space="preserve"> </w:t>
            </w:r>
            <w:hyperlink r:id="rId121">
              <w:r>
                <w:rPr>
                  <w:rStyle w:val="Referenciaatema"/>
                </w:rPr>
                <w:t xml:space="preserve">3.A.26</w:t>
              </w:r>
            </w:hyperlink>
            <w:r>
              <w:t xml:space="preserve">,</w:t>
            </w:r>
            <w:r>
              <w:t xml:space="preserve"> </w:t>
            </w:r>
            <w:hyperlink r:id="rId115">
              <w:r>
                <w:rPr>
                  <w:rStyle w:val="Referenciaatema"/>
                </w:rPr>
                <w:t xml:space="preserve">3.A.27</w:t>
              </w:r>
            </w:hyperlink>
            <w:r>
              <w:t xml:space="preserve">,</w:t>
            </w:r>
            <w:r>
              <w:t xml:space="preserve"> </w:t>
            </w:r>
            <w:hyperlink r:id="rId49">
              <w:r>
                <w:rPr>
                  <w:rStyle w:val="Referenciaatema"/>
                </w:rPr>
                <w:t xml:space="preserve">3.A.28</w:t>
              </w:r>
            </w:hyperlink>
            <w:r>
              <w:t xml:space="preserve">,</w:t>
            </w:r>
            <w:r>
              <w:t xml:space="preserve"> </w:t>
            </w:r>
            <w:hyperlink r:id="rId286">
              <w:r>
                <w:rPr>
                  <w:rStyle w:val="Referenciaatema"/>
                </w:rPr>
                <w:t xml:space="preserve">3.B.18</w:t>
              </w:r>
            </w:hyperlink>
            <w:r>
              <w:t xml:space="preserve">,</w:t>
            </w:r>
            <w:r>
              <w:t xml:space="preserve"> </w:t>
            </w:r>
            <w:hyperlink r:id="rId287">
              <w:r>
                <w:rPr>
                  <w:rStyle w:val="Referenciaatema"/>
                </w:rPr>
                <w:t xml:space="preserve">3.B.23</w:t>
              </w:r>
            </w:hyperlink>
            <w:r>
              <w:t xml:space="preserve">,</w:t>
            </w:r>
            <w:r>
              <w:t xml:space="preserve"> </w:t>
            </w:r>
            <w:hyperlink r:id="rId58">
              <w:r>
                <w:rPr>
                  <w:rStyle w:val="Referenciaatema"/>
                </w:rPr>
                <w:t xml:space="preserve">3.B.24</w:t>
              </w:r>
            </w:hyperlink>
            <w:r>
              <w:t xml:space="preserve">,</w:t>
            </w:r>
            <w:r>
              <w:t xml:space="preserve"> </w:t>
            </w:r>
            <w:hyperlink r:id="rId288">
              <w:r>
                <w:rPr>
                  <w:rStyle w:val="Referenciaatema"/>
                </w:rPr>
                <w:t xml:space="preserve">3.B.26</w:t>
              </w:r>
            </w:hyperlink>
            <w:r>
              <w:t xml:space="preserve">,</w:t>
            </w:r>
            <w:r>
              <w:t xml:space="preserve"> </w:t>
            </w:r>
            <w:hyperlink r:id="rId131">
              <w:r>
                <w:rPr>
                  <w:rStyle w:val="Referenciaatema"/>
                </w:rPr>
                <w:t xml:space="preserve">3.B.27</w:t>
              </w:r>
            </w:hyperlink>
            <w:r>
              <w:t xml:space="preserve">,</w:t>
            </w:r>
            <w:r>
              <w:t xml:space="preserve"> </w:t>
            </w:r>
            <w:hyperlink r:id="rId138">
              <w:r>
                <w:rPr>
                  <w:rStyle w:val="Referenciaatema"/>
                </w:rPr>
                <w:t xml:space="preserve">3.B.44</w:t>
              </w:r>
            </w:hyperlink>
          </w:p>
        </w:tc>
        <w:tc>
          <w:tcPr/>
          <w:p>
            <w:pPr>
              <w:pStyle w:val="Compact"/>
              <w:jc w:val="left"/>
            </w:pPr>
            <w:hyperlink r:id="rId127">
              <w:r>
                <w:rPr>
                  <w:rStyle w:val="Referenciaatema"/>
                </w:rPr>
                <w:t xml:space="preserve">4.A.2</w:t>
              </w:r>
            </w:hyperlink>
            <w:r>
              <w:t xml:space="preserve">,</w:t>
            </w:r>
            <w:r>
              <w:t xml:space="preserve"> </w:t>
            </w:r>
            <w:hyperlink r:id="rId79">
              <w:r>
                <w:rPr>
                  <w:rStyle w:val="Referenciaatema"/>
                </w:rPr>
                <w:t xml:space="preserve">4.A.11</w:t>
              </w:r>
            </w:hyperlink>
            <w:r>
              <w:t xml:space="preserve">,</w:t>
            </w:r>
            <w:r>
              <w:t xml:space="preserve"> </w:t>
            </w:r>
            <w:hyperlink r:id="rId110">
              <w:r>
                <w:rPr>
                  <w:rStyle w:val="Referenciaatema"/>
                </w:rPr>
                <w:t xml:space="preserve">4.A.16</w:t>
              </w:r>
            </w:hyperlink>
            <w:r>
              <w:t xml:space="preserve">,</w:t>
            </w:r>
            <w:r>
              <w:t xml:space="preserve"> </w:t>
            </w:r>
            <w:hyperlink r:id="rId225">
              <w:r>
                <w:rPr>
                  <w:rStyle w:val="Referenciaatema"/>
                </w:rPr>
                <w:t xml:space="preserve">4.A.18</w:t>
              </w:r>
            </w:hyperlink>
            <w:r>
              <w:t xml:space="preserve">,</w:t>
            </w:r>
            <w:r>
              <w:t xml:space="preserve"> </w:t>
            </w:r>
            <w:hyperlink r:id="rId132">
              <w:r>
                <w:rPr>
                  <w:rStyle w:val="Referenciaatema"/>
                </w:rPr>
                <w:t xml:space="preserve">4.A.19</w:t>
              </w:r>
            </w:hyperlink>
            <w:r>
              <w:t xml:space="preserve">,</w:t>
            </w:r>
            <w:r>
              <w:t xml:space="preserve"> </w:t>
            </w:r>
            <w:hyperlink r:id="rId289">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43">
              <w:r>
                <w:rPr>
                  <w:rStyle w:val="Referenciaatema"/>
                </w:rPr>
                <w:t xml:space="preserve">3.A.9</w:t>
              </w:r>
            </w:hyperlink>
            <w:r>
              <w:t xml:space="preserve">,</w:t>
            </w:r>
            <w:r>
              <w:t xml:space="preserve"> </w:t>
            </w:r>
            <w:hyperlink r:id="rId147">
              <w:r>
                <w:rPr>
                  <w:rStyle w:val="Referenciaatema"/>
                </w:rPr>
                <w:t xml:space="preserve">3.A.41</w:t>
              </w:r>
            </w:hyperlink>
            <w:r>
              <w:t xml:space="preserve">,</w:t>
            </w:r>
            <w:r>
              <w:t xml:space="preserve"> </w:t>
            </w:r>
            <w:hyperlink r:id="rId176">
              <w:r>
                <w:rPr>
                  <w:rStyle w:val="Referenciaatema"/>
                </w:rPr>
                <w:t xml:space="preserve">3.B.5</w:t>
              </w:r>
            </w:hyperlink>
            <w:r>
              <w:t xml:space="preserve">,</w:t>
            </w:r>
            <w:r>
              <w:t xml:space="preserve"> </w:t>
            </w:r>
            <w:hyperlink r:id="rId164">
              <w:r>
                <w:rPr>
                  <w:rStyle w:val="Referenciaatema"/>
                </w:rPr>
                <w:t xml:space="preserve">3.B.6</w:t>
              </w:r>
            </w:hyperlink>
            <w:r>
              <w:t xml:space="preserve">,</w:t>
            </w:r>
            <w:r>
              <w:t xml:space="preserve"> </w:t>
            </w:r>
            <w:hyperlink r:id="rId165">
              <w:r>
                <w:rPr>
                  <w:rStyle w:val="Referenciaatema"/>
                </w:rPr>
                <w:t xml:space="preserve">3.B.7</w:t>
              </w:r>
            </w:hyperlink>
            <w:r>
              <w:t xml:space="preserve">,</w:t>
            </w:r>
            <w:r>
              <w:t xml:space="preserve"> </w:t>
            </w:r>
            <w:hyperlink r:id="rId159">
              <w:r>
                <w:rPr>
                  <w:rStyle w:val="Referenciaatema"/>
                </w:rPr>
                <w:t xml:space="preserve">3.B.12</w:t>
              </w:r>
            </w:hyperlink>
            <w:r>
              <w:t xml:space="preserve">,</w:t>
            </w:r>
            <w:r>
              <w:t xml:space="preserve"> </w:t>
            </w:r>
            <w:hyperlink r:id="rId157">
              <w:r>
                <w:rPr>
                  <w:rStyle w:val="Referenciaatema"/>
                </w:rPr>
                <w:t xml:space="preserve">3.B.13</w:t>
              </w:r>
            </w:hyperlink>
            <w:r>
              <w:t xml:space="preserve">,</w:t>
            </w:r>
            <w:r>
              <w:t xml:space="preserve"> </w:t>
            </w:r>
            <w:hyperlink r:id="rId290">
              <w:r>
                <w:rPr>
                  <w:rStyle w:val="Referenciaatema"/>
                </w:rPr>
                <w:t xml:space="preserve">3.B.14</w:t>
              </w:r>
            </w:hyperlink>
            <w:r>
              <w:t xml:space="preserve">,</w:t>
            </w:r>
            <w:r>
              <w:t xml:space="preserve"> </w:t>
            </w:r>
            <w:hyperlink r:id="rId161">
              <w:r>
                <w:rPr>
                  <w:rStyle w:val="Referenciaatema"/>
                </w:rPr>
                <w:t xml:space="preserve">3.B.15</w:t>
              </w:r>
            </w:hyperlink>
            <w:r>
              <w:t xml:space="preserve">,</w:t>
            </w:r>
            <w:r>
              <w:t xml:space="preserve"> </w:t>
            </w:r>
            <w:hyperlink r:id="rId166">
              <w:r>
                <w:rPr>
                  <w:rStyle w:val="Referenciaatema"/>
                </w:rPr>
                <w:t xml:space="preserve">3.B.33</w:t>
              </w:r>
            </w:hyperlink>
            <w:r>
              <w:t xml:space="preserve">,</w:t>
            </w:r>
            <w:r>
              <w:t xml:space="preserve"> </w:t>
            </w:r>
            <w:hyperlink r:id="rId167">
              <w:r>
                <w:rPr>
                  <w:rStyle w:val="Referenciaatema"/>
                </w:rPr>
                <w:t xml:space="preserve">3.B.41</w:t>
              </w:r>
            </w:hyperlink>
          </w:p>
        </w:tc>
        <w:tc>
          <w:tcPr/>
          <w:p>
            <w:pPr>
              <w:pStyle w:val="Compact"/>
              <w:jc w:val="left"/>
            </w:pPr>
            <w:hyperlink r:id="rId46">
              <w:r>
                <w:rPr>
                  <w:rStyle w:val="Referenciaatema"/>
                </w:rPr>
                <w:t xml:space="preserve">4.A.1</w:t>
              </w:r>
            </w:hyperlink>
            <w:r>
              <w:t xml:space="preserve">,</w:t>
            </w:r>
            <w:r>
              <w:t xml:space="preserve"> </w:t>
            </w:r>
            <w:hyperlink r:id="rId116">
              <w:r>
                <w:rPr>
                  <w:rStyle w:val="Referenciaatema"/>
                </w:rPr>
                <w:t xml:space="preserve">4.A.22</w:t>
              </w:r>
            </w:hyperlink>
            <w:r>
              <w:t xml:space="preserve">,</w:t>
            </w:r>
            <w:r>
              <w:t xml:space="preserve"> </w:t>
            </w:r>
            <w:hyperlink r:id="rId291">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54">
              <w:r>
                <w:rPr>
                  <w:rStyle w:val="Referenciaatema"/>
                </w:rPr>
                <w:t xml:space="preserve">3.B.11</w:t>
              </w:r>
            </w:hyperlink>
            <w:r>
              <w:t xml:space="preserve">,</w:t>
            </w:r>
            <w:r>
              <w:t xml:space="preserve"> </w:t>
            </w:r>
            <w:hyperlink r:id="rId159">
              <w:r>
                <w:rPr>
                  <w:rStyle w:val="Referenciaatema"/>
                </w:rPr>
                <w:t xml:space="preserve">3.B.12</w:t>
              </w:r>
            </w:hyperlink>
            <w:r>
              <w:t xml:space="preserve">,</w:t>
            </w:r>
            <w:r>
              <w:t xml:space="preserve"> </w:t>
            </w:r>
            <w:hyperlink r:id="rId161">
              <w:r>
                <w:rPr>
                  <w:rStyle w:val="Referenciaatema"/>
                </w:rPr>
                <w:t xml:space="preserve">3.B.15</w:t>
              </w:r>
            </w:hyperlink>
            <w:r>
              <w:t xml:space="preserve">,</w:t>
            </w:r>
            <w:r>
              <w:t xml:space="preserve"> </w:t>
            </w:r>
            <w:hyperlink r:id="rId292">
              <w:r>
                <w:rPr>
                  <w:rStyle w:val="Referenciaatema"/>
                </w:rPr>
                <w:t xml:space="preserve">3.B.17</w:t>
              </w:r>
            </w:hyperlink>
            <w:r>
              <w:t xml:space="preserve">,</w:t>
            </w:r>
            <w:r>
              <w:t xml:space="preserve"> </w:t>
            </w:r>
            <w:hyperlink r:id="rId286">
              <w:r>
                <w:rPr>
                  <w:rStyle w:val="Referenciaatema"/>
                </w:rPr>
                <w:t xml:space="preserve">3.B.18</w:t>
              </w:r>
            </w:hyperlink>
            <w:r>
              <w:t xml:space="preserve">,</w:t>
            </w:r>
            <w:r>
              <w:t xml:space="preserve"> </w:t>
            </w:r>
            <w:hyperlink r:id="rId181">
              <w:r>
                <w:rPr>
                  <w:rStyle w:val="Referenciaatema"/>
                </w:rPr>
                <w:t xml:space="preserve">3.B.22</w:t>
              </w:r>
            </w:hyperlink>
            <w:r>
              <w:t xml:space="preserve">,</w:t>
            </w:r>
            <w:r>
              <w:t xml:space="preserve"> </w:t>
            </w:r>
            <w:hyperlink r:id="rId222">
              <w:r>
                <w:rPr>
                  <w:rStyle w:val="Referenciaatema"/>
                </w:rPr>
                <w:t xml:space="preserve">3.B.29</w:t>
              </w:r>
            </w:hyperlink>
            <w:r>
              <w:t xml:space="preserve">,</w:t>
            </w:r>
            <w:r>
              <w:t xml:space="preserve"> </w:t>
            </w:r>
            <w:hyperlink r:id="rId197">
              <w:r>
                <w:rPr>
                  <w:rStyle w:val="Referenciaatema"/>
                </w:rPr>
                <w:t xml:space="preserve">3.B.45</w:t>
              </w:r>
            </w:hyperlink>
          </w:p>
        </w:tc>
        <w:tc>
          <w:tcPr/>
          <w:p>
            <w:pPr>
              <w:pStyle w:val="Compact"/>
              <w:jc w:val="left"/>
            </w:pPr>
            <w:hyperlink r:id="rId55">
              <w:r>
                <w:rPr>
                  <w:rStyle w:val="Referenciaatema"/>
                </w:rPr>
                <w:t xml:space="preserve">4.A.21</w:t>
              </w:r>
            </w:hyperlink>
            <w:r>
              <w:t xml:space="preserve">,</w:t>
            </w:r>
            <w:r>
              <w:t xml:space="preserve"> </w:t>
            </w:r>
            <w:hyperlink r:id="rId116">
              <w:r>
                <w:rPr>
                  <w:rStyle w:val="Referenciaatema"/>
                </w:rPr>
                <w:t xml:space="preserve">4.A.22</w:t>
              </w:r>
            </w:hyperlink>
            <w:r>
              <w:t xml:space="preserve">,</w:t>
            </w:r>
            <w:r>
              <w:t xml:space="preserve"> </w:t>
            </w:r>
            <w:hyperlink r:id="rId293">
              <w:r>
                <w:rPr>
                  <w:rStyle w:val="Referenciaatema"/>
                </w:rPr>
                <w:t xml:space="preserve">4.A.23</w:t>
              </w:r>
            </w:hyperlink>
            <w:r>
              <w:t xml:space="preserve">,</w:t>
            </w:r>
            <w:r>
              <w:t xml:space="preserve"> </w:t>
            </w:r>
            <w:hyperlink r:id="rId61">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178">
              <w:r>
                <w:rPr>
                  <w:rStyle w:val="Referenciaatema"/>
                </w:rPr>
                <w:t xml:space="preserve">3.A.32</w:t>
              </w:r>
            </w:hyperlink>
            <w:r>
              <w:t xml:space="preserve">,</w:t>
            </w:r>
            <w:r>
              <w:t xml:space="preserve"> </w:t>
            </w:r>
            <w:hyperlink r:id="rId294">
              <w:r>
                <w:rPr>
                  <w:rStyle w:val="Referenciaatema"/>
                </w:rPr>
                <w:t xml:space="preserve">3.A.35</w:t>
              </w:r>
            </w:hyperlink>
            <w:r>
              <w:t xml:space="preserve">,</w:t>
            </w:r>
            <w:r>
              <w:t xml:space="preserve"> </w:t>
            </w:r>
            <w:hyperlink r:id="rId154">
              <w:r>
                <w:rPr>
                  <w:rStyle w:val="Referenciaatema"/>
                </w:rPr>
                <w:t xml:space="preserve">3.A.36</w:t>
              </w:r>
            </w:hyperlink>
            <w:r>
              <w:t xml:space="preserve">,</w:t>
            </w:r>
            <w:r>
              <w:t xml:space="preserve"> </w:t>
            </w:r>
            <w:hyperlink r:id="rId189">
              <w:r>
                <w:rPr>
                  <w:rStyle w:val="Referenciaatema"/>
                </w:rPr>
                <w:t xml:space="preserve">3.A.37</w:t>
              </w:r>
            </w:hyperlink>
            <w:r>
              <w:t xml:space="preserve">,</w:t>
            </w:r>
            <w:r>
              <w:t xml:space="preserve"> </w:t>
            </w:r>
            <w:hyperlink r:id="rId295">
              <w:r>
                <w:rPr>
                  <w:rStyle w:val="Referenciaatema"/>
                </w:rPr>
                <w:t xml:space="preserve">3.A.38</w:t>
              </w:r>
            </w:hyperlink>
            <w:r>
              <w:t xml:space="preserve">,</w:t>
            </w:r>
            <w:r>
              <w:t xml:space="preserve"> </w:t>
            </w:r>
            <w:hyperlink r:id="rId71">
              <w:r>
                <w:rPr>
                  <w:rStyle w:val="Referenciaatema"/>
                </w:rPr>
                <w:t xml:space="preserve">3.A.39</w:t>
              </w:r>
            </w:hyperlink>
            <w:r>
              <w:t xml:space="preserve">,</w:t>
            </w:r>
            <w:r>
              <w:t xml:space="preserve"> </w:t>
            </w:r>
            <w:hyperlink r:id="rId206">
              <w:r>
                <w:rPr>
                  <w:rStyle w:val="Referenciaatema"/>
                </w:rPr>
                <w:t xml:space="preserve">3.A.40</w:t>
              </w:r>
            </w:hyperlink>
            <w:r>
              <w:t xml:space="preserve">,</w:t>
            </w:r>
            <w:r>
              <w:t xml:space="preserve"> </w:t>
            </w:r>
            <w:hyperlink r:id="rId147">
              <w:r>
                <w:rPr>
                  <w:rStyle w:val="Referenciaatema"/>
                </w:rPr>
                <w:t xml:space="preserve">3.A.41</w:t>
              </w:r>
            </w:hyperlink>
            <w:r>
              <w:t xml:space="preserve">,</w:t>
            </w:r>
            <w:r>
              <w:t xml:space="preserve"> </w:t>
            </w:r>
            <w:hyperlink r:id="rId296">
              <w:r>
                <w:rPr>
                  <w:rStyle w:val="Referenciaatema"/>
                </w:rPr>
                <w:t xml:space="preserve">3.B.19</w:t>
              </w:r>
            </w:hyperlink>
            <w:r>
              <w:t xml:space="preserve">,</w:t>
            </w:r>
            <w:r>
              <w:t xml:space="preserve"> </w:t>
            </w:r>
            <w:hyperlink r:id="rId297">
              <w:r>
                <w:rPr>
                  <w:rStyle w:val="Referenciaatema"/>
                </w:rPr>
                <w:t xml:space="preserve">3.B.43</w:t>
              </w:r>
            </w:hyperlink>
            <w:r>
              <w:t xml:space="preserve">,</w:t>
            </w:r>
            <w:r>
              <w:t xml:space="preserve"> </w:t>
            </w:r>
            <w:hyperlink r:id="rId197">
              <w:r>
                <w:rPr>
                  <w:rStyle w:val="Referenciaatema"/>
                </w:rPr>
                <w:t xml:space="preserve">3.B.45</w:t>
              </w:r>
            </w:hyperlink>
          </w:p>
        </w:tc>
        <w:tc>
          <w:tcPr/>
          <w:p>
            <w:pPr>
              <w:pStyle w:val="Compact"/>
              <w:jc w:val="left"/>
            </w:pPr>
            <w:hyperlink r:id="rId298">
              <w:r>
                <w:rPr>
                  <w:rStyle w:val="Referenciaatema"/>
                </w:rPr>
                <w:t xml:space="preserve">4.A.15</w:t>
              </w:r>
            </w:hyperlink>
            <w:r>
              <w:t xml:space="preserve">,</w:t>
            </w:r>
            <w:r>
              <w:t xml:space="preserve"> </w:t>
            </w:r>
            <w:hyperlink r:id="rId110">
              <w:r>
                <w:rPr>
                  <w:rStyle w:val="Referenciaatema"/>
                </w:rPr>
                <w:t xml:space="preserve">4.A.16</w:t>
              </w:r>
            </w:hyperlink>
            <w:r>
              <w:t xml:space="preserve">,</w:t>
            </w:r>
            <w:r>
              <w:t xml:space="preserve"> </w:t>
            </w:r>
            <w:hyperlink r:id="rId223">
              <w:r>
                <w:rPr>
                  <w:rStyle w:val="Referenciaatema"/>
                </w:rPr>
                <w:t xml:space="preserve">4.B.1</w:t>
              </w:r>
            </w:hyperlink>
            <w:r>
              <w:t xml:space="preserve">,</w:t>
            </w:r>
            <w:r>
              <w:t xml:space="preserve"> </w:t>
            </w:r>
            <w:hyperlink r:id="rId50">
              <w:r>
                <w:rPr>
                  <w:rStyle w:val="Referenciaatema"/>
                </w:rPr>
                <w:t xml:space="preserve">4.B.4</w:t>
              </w:r>
            </w:hyperlink>
            <w:r>
              <w:t xml:space="preserve">,</w:t>
            </w:r>
            <w:r>
              <w:t xml:space="preserve"> </w:t>
            </w:r>
            <w:hyperlink r:id="rId201">
              <w:r>
                <w:rPr>
                  <w:rStyle w:val="Referenciaatema"/>
                </w:rPr>
                <w:t xml:space="preserve">4.B.5</w:t>
              </w:r>
            </w:hyperlink>
            <w:r>
              <w:t xml:space="preserve">,</w:t>
            </w:r>
            <w:r>
              <w:t xml:space="preserve"> </w:t>
            </w:r>
            <w:hyperlink r:id="rId202">
              <w:r>
                <w:rPr>
                  <w:rStyle w:val="Referenciaatema"/>
                </w:rPr>
                <w:t xml:space="preserve">4.B.7</w:t>
              </w:r>
            </w:hyperlink>
            <w:r>
              <w:t xml:space="preserve">,</w:t>
            </w:r>
            <w:r>
              <w:t xml:space="preserve"> </w:t>
            </w:r>
            <w:hyperlink r:id="rId198">
              <w:r>
                <w:rPr>
                  <w:rStyle w:val="Referenciaatema"/>
                </w:rPr>
                <w:t xml:space="preserve">4.B.21</w:t>
              </w:r>
            </w:hyperlink>
            <w:r>
              <w:t xml:space="preserve">,</w:t>
            </w:r>
            <w:r>
              <w:t xml:space="preserve"> </w:t>
            </w:r>
            <w:hyperlink r:id="rId299">
              <w:r>
                <w:rPr>
                  <w:rStyle w:val="Referenciaatema"/>
                </w:rPr>
                <w:t xml:space="preserve">4.B.23</w:t>
              </w:r>
            </w:hyperlink>
            <w:r>
              <w:t xml:space="preserve">,</w:t>
            </w:r>
            <w:r>
              <w:t xml:space="preserve"> </w:t>
            </w:r>
            <w:hyperlink r:id="rId203">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300">
              <w:r>
                <w:rPr>
                  <w:rStyle w:val="Referenciaatema"/>
                </w:rPr>
                <w:t xml:space="preserve">3.A.15</w:t>
              </w:r>
            </w:hyperlink>
            <w:r>
              <w:t xml:space="preserve">,</w:t>
            </w:r>
            <w:r>
              <w:t xml:space="preserve"> </w:t>
            </w:r>
            <w:hyperlink r:id="rId301">
              <w:r>
                <w:rPr>
                  <w:rStyle w:val="Referenciaatema"/>
                </w:rPr>
                <w:t xml:space="preserve">3.A.20</w:t>
              </w:r>
            </w:hyperlink>
            <w:r>
              <w:t xml:space="preserve">,</w:t>
            </w:r>
            <w:r>
              <w:t xml:space="preserve"> </w:t>
            </w:r>
            <w:hyperlink r:id="rId302">
              <w:r>
                <w:rPr>
                  <w:rStyle w:val="Referenciaatema"/>
                </w:rPr>
                <w:t xml:space="preserve">3.A.23</w:t>
              </w:r>
            </w:hyperlink>
            <w:r>
              <w:t xml:space="preserve">,</w:t>
            </w:r>
            <w:r>
              <w:t xml:space="preserve"> </w:t>
            </w:r>
            <w:hyperlink r:id="rId181">
              <w:r>
                <w:rPr>
                  <w:rStyle w:val="Referenciaatema"/>
                </w:rPr>
                <w:t xml:space="preserve">3.B.22</w:t>
              </w:r>
            </w:hyperlink>
          </w:p>
        </w:tc>
        <w:tc>
          <w:tcPr/>
          <w:p>
            <w:pPr>
              <w:pStyle w:val="Compact"/>
              <w:jc w:val="left"/>
            </w:pPr>
            <w:hyperlink r:id="rId303">
              <w:r>
                <w:rPr>
                  <w:rStyle w:val="Referenciaatema"/>
                </w:rPr>
                <w:t xml:space="preserve">4.A.7</w:t>
              </w:r>
            </w:hyperlink>
            <w:r>
              <w:t xml:space="preserve">,</w:t>
            </w:r>
            <w:r>
              <w:t xml:space="preserve"> </w:t>
            </w:r>
            <w:hyperlink r:id="rId298">
              <w:r>
                <w:rPr>
                  <w:rStyle w:val="Referenciaatema"/>
                </w:rPr>
                <w:t xml:space="preserve">4.A.15</w:t>
              </w:r>
            </w:hyperlink>
            <w:r>
              <w:t xml:space="preserve">,</w:t>
            </w:r>
            <w:r>
              <w:t xml:space="preserve"> </w:t>
            </w:r>
            <w:hyperlink r:id="rId110">
              <w:r>
                <w:rPr>
                  <w:rStyle w:val="Referenciaatema"/>
                </w:rPr>
                <w:t xml:space="preserve">4.A.16</w:t>
              </w:r>
            </w:hyperlink>
            <w:r>
              <w:t xml:space="preserve">,</w:t>
            </w:r>
            <w:r>
              <w:t xml:space="preserve"> </w:t>
            </w:r>
            <w:hyperlink r:id="rId304">
              <w:r>
                <w:rPr>
                  <w:rStyle w:val="Referenciaatema"/>
                </w:rPr>
                <w:t xml:space="preserve">4.A.24</w:t>
              </w:r>
            </w:hyperlink>
            <w:r>
              <w:t xml:space="preserve">,</w:t>
            </w:r>
            <w:r>
              <w:t xml:space="preserve"> </w:t>
            </w:r>
            <w:hyperlink r:id="rId291">
              <w:r>
                <w:rPr>
                  <w:rStyle w:val="Referenciaatema"/>
                </w:rPr>
                <w:t xml:space="preserve">4.A.25</w:t>
              </w:r>
            </w:hyperlink>
          </w:p>
        </w:tc>
      </w:tr>
      <w:tr>
        <w:trPr>
          <w:cantSplit/>
        </w:trPr>
        <w:tc>
          <w:tcPr/>
          <w:p>
            <w:pPr>
              <w:pStyle w:val="Compact"/>
              <w:jc w:val="left"/>
            </w:pPr>
            <w:r>
              <w:t xml:space="preserve">Lectura de series</w:t>
            </w:r>
          </w:p>
        </w:tc>
        <w:tc>
          <w:tcPr/>
          <w:p>
            <w:pPr>
              <w:pStyle w:val="Compact"/>
              <w:jc w:val="left"/>
            </w:pPr>
            <w:hyperlink r:id="rId21">
              <w:r>
                <w:rPr>
                  <w:rStyle w:val="Referenciaatema"/>
                </w:rPr>
                <w:t xml:space="preserve">3.A.42</w:t>
              </w:r>
            </w:hyperlink>
            <w:r>
              <w:t xml:space="preserve">,</w:t>
            </w:r>
            <w:r>
              <w:t xml:space="preserve"> </w:t>
            </w:r>
            <w:hyperlink r:id="rId31">
              <w:r>
                <w:rPr>
                  <w:rStyle w:val="Referenciaatema"/>
                </w:rPr>
                <w:t xml:space="preserve">5.B.5</w:t>
              </w:r>
            </w:hyperlink>
          </w:p>
        </w:tc>
        <w:tc>
          <w:tcPr/>
          <w:p>
            <w:pPr>
              <w:pStyle w:val="Compact"/>
              <w:jc w:val="left"/>
            </w:pPr>
            <w:hyperlink r:id="rId46">
              <w:r>
                <w:rPr>
                  <w:rStyle w:val="Referenciaatema"/>
                </w:rPr>
                <w:t xml:space="preserve">4.A.1</w:t>
              </w:r>
            </w:hyperlink>
          </w:p>
        </w:tc>
      </w:tr>
    </w:tbl>
    <w:bookmarkEnd w:id="305"/>
    <w:p>
      <w:pPr>
        <w:pStyle w:val="BodyText"/>
      </w:pPr>
      <w:r>
        <w:rPr>
          <w:i/>
          <w:iCs/>
        </w:rPr>
        <w:t xml:space="preserve">Fuente: Elaboración propia a partir de los títulos del temario vigente.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06"/>
    <w:bookmarkStart w:id="531" w:name="bibliografia"/>
    <w:p>
      <w:pPr>
        <w:pStyle w:val="Heading1"/>
      </w:pPr>
      <w:r>
        <w:t xml:space="preserve">Bibliografía</w:t>
      </w:r>
    </w:p>
    <w:bookmarkStart w:id="530" w:name="refs"/>
    <w:bookmarkStart w:id="308"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307">
        <w:r>
          <w:rPr>
            <w:rStyle w:val="Hyperlink"/>
          </w:rPr>
          <w:t xml:space="preserve">https://doi.org/10.1257/jep.33.4.187</w:t>
        </w:r>
      </w:hyperlink>
      <w:r>
        <w:t xml:space="preserve">.</w:t>
      </w:r>
    </w:p>
    <w:bookmarkEnd w:id="308"/>
    <w:bookmarkStart w:id="310"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309">
        <w:r>
          <w:rPr>
            <w:rStyle w:val="Hyperlink"/>
          </w:rPr>
          <w:t xml:space="preserve">https://youtu.be/gJoQz2CiHBI</w:t>
        </w:r>
      </w:hyperlink>
      <w:r>
        <w:t xml:space="preserve">.</w:t>
      </w:r>
    </w:p>
    <w:bookmarkEnd w:id="310"/>
    <w:bookmarkStart w:id="312"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311">
        <w:r>
          <w:rPr>
            <w:rStyle w:val="Hyperlink"/>
          </w:rPr>
          <w:t xml:space="preserve">https://atcee.es/la-oposicion-tcee/examenes-anteriores/</w:t>
        </w:r>
      </w:hyperlink>
      <w:r>
        <w:t xml:space="preserve">.</w:t>
      </w:r>
    </w:p>
    <w:bookmarkEnd w:id="312"/>
    <w:bookmarkStart w:id="314"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313">
        <w:r>
          <w:rPr>
            <w:rStyle w:val="Hyperlink"/>
          </w:rPr>
          <w:t xml:space="preserve">https://www.eba.europa.eu/regulation-and-policy/credit-risk/guidelines-legislative-and-non-legislative-moratoria-loan-repayments-applied-light-covid-19-crisis</w:t>
        </w:r>
      </w:hyperlink>
      <w:r>
        <w:t xml:space="preserve">.</w:t>
      </w:r>
    </w:p>
    <w:bookmarkEnd w:id="314"/>
    <w:bookmarkStart w:id="316"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315">
        <w:r>
          <w:rPr>
            <w:rStyle w:val="Hyperlink"/>
          </w:rPr>
          <w:t xml:space="preserve">https://doi.org/10.1111/jmcb.12420</w:t>
        </w:r>
      </w:hyperlink>
      <w:r>
        <w:t xml:space="preserve">.</w:t>
      </w:r>
    </w:p>
    <w:bookmarkEnd w:id="316"/>
    <w:bookmarkStart w:id="318"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317">
        <w:r>
          <w:rPr>
            <w:rStyle w:val="Hyperlink"/>
          </w:rPr>
          <w:t xml:space="preserve">https://www.ecb.europa.eu/pub/financial-stability/fsr/html/ecb.fsr202011~b7be9ae1f1.en.html</w:t>
        </w:r>
      </w:hyperlink>
      <w:r>
        <w:t xml:space="preserve">.</w:t>
      </w:r>
    </w:p>
    <w:bookmarkEnd w:id="318"/>
    <w:bookmarkStart w:id="320"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319">
        <w:r>
          <w:rPr>
            <w:rStyle w:val="Hyperlink"/>
          </w:rPr>
          <w:t xml:space="preserve">https://eur-lex.europa.eu/legal-content/ES/TXT/?uri=CELEX:32020HB0019</w:t>
        </w:r>
      </w:hyperlink>
      <w:r>
        <w:t xml:space="preserve">.</w:t>
      </w:r>
    </w:p>
    <w:bookmarkEnd w:id="320"/>
    <w:bookmarkStart w:id="322"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321">
        <w:r>
          <w:rPr>
            <w:rStyle w:val="Hyperlink"/>
          </w:rPr>
          <w:t xml:space="preserve">https://www.ecb.europa.eu/press/pr/date/2024/html/ecb.pr240313~807e240020.en.html</w:t>
        </w:r>
      </w:hyperlink>
      <w:r>
        <w:t xml:space="preserve">.</w:t>
      </w:r>
    </w:p>
    <w:bookmarkEnd w:id="322"/>
    <w:bookmarkStart w:id="324"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323">
        <w:r>
          <w:rPr>
            <w:rStyle w:val="Hyperlink"/>
          </w:rPr>
          <w:t xml:space="preserve">https://www.bankingsupervision.europa.eu/activities/srep/2025/html/ssm.srep202511_aggregatedresults2025.en.html</w:t>
        </w:r>
      </w:hyperlink>
      <w:r>
        <w:t xml:space="preserve">.</w:t>
      </w:r>
    </w:p>
    <w:bookmarkEnd w:id="324"/>
    <w:bookmarkStart w:id="326"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325">
        <w:r>
          <w:rPr>
            <w:rStyle w:val="Hyperlink"/>
          </w:rPr>
          <w:t xml:space="preserve">https://www.ecb.europa.eu/mopo/strategy/strategy-review/ecb.strategyreview202506_strategy_statement.es.html</w:t>
        </w:r>
      </w:hyperlink>
      <w:r>
        <w:t xml:space="preserve">.</w:t>
      </w:r>
    </w:p>
    <w:bookmarkEnd w:id="326"/>
    <w:bookmarkStart w:id="328" w:name="ref_BCE2026EXR"/>
    <w:p>
      <w:pPr>
        <w:pStyle w:val="Bibliography"/>
      </w:pPr>
      <w:r>
        <w:t xml:space="preserve">Banco Central Europeo (2026a).</w:t>
      </w:r>
      <w:r>
        <w:t xml:space="preserve"> </w:t>
      </w:r>
      <w:r>
        <w:t xml:space="preserve">«ECB Data Portal. Exchange rates (EXR): tipo de cambio de referencia dólar estadounidense/euro, media mensual»</w:t>
      </w:r>
      <w:r>
        <w:t xml:space="preserve">. 2026.</w:t>
      </w:r>
      <w:r>
        <w:t xml:space="preserve"> </w:t>
      </w:r>
      <w:hyperlink r:id="rId327">
        <w:r>
          <w:rPr>
            <w:rStyle w:val="Hyperlink"/>
          </w:rPr>
          <w:t xml:space="preserve">https://data.ecb.europa.eu/data/datasets/EXR</w:t>
        </w:r>
      </w:hyperlink>
      <w:r>
        <w:t xml:space="preserve">.</w:t>
      </w:r>
    </w:p>
    <w:bookmarkEnd w:id="328"/>
    <w:bookmarkStart w:id="330" w:name="ref_BCE2026ILM"/>
    <w:p>
      <w:pPr>
        <w:pStyle w:val="Bibliography"/>
      </w:pPr>
      <w:r>
        <w:t xml:space="preserve">Banco Central Europeo (2026b).</w:t>
      </w:r>
      <w:r>
        <w:t xml:space="preserve"> </w:t>
      </w:r>
      <w:r>
        <w:t xml:space="preserve">«ECB Data Portal. Internal liquidity management (ILM): estado financiero semanal consolidado del Eurosistema»</w:t>
      </w:r>
      <w:r>
        <w:t xml:space="preserve">. 2026.</w:t>
      </w:r>
      <w:r>
        <w:t xml:space="preserve"> </w:t>
      </w:r>
      <w:hyperlink r:id="rId329">
        <w:r>
          <w:rPr>
            <w:rStyle w:val="Hyperlink"/>
          </w:rPr>
          <w:t xml:space="preserve">https://data.ecb.europa.eu/data/datasets/ILM</w:t>
        </w:r>
      </w:hyperlink>
      <w:r>
        <w:t xml:space="preserve">.</w:t>
      </w:r>
    </w:p>
    <w:bookmarkEnd w:id="330"/>
    <w:bookmarkStart w:id="332" w:name="ref_BCE2026SupervisionSI"/>
    <w:p>
      <w:pPr>
        <w:pStyle w:val="Bibliography"/>
      </w:pPr>
      <w:r>
        <w:t xml:space="preserve">Banco Central Europeo (2026c).</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331">
        <w:r>
          <w:rPr>
            <w:rStyle w:val="Hyperlink"/>
          </w:rPr>
          <w:t xml:space="preserve">https://www.bankingsupervision.europa.eu/press/pr/date/2026/html/ssm.pr260915~7917ca1416.es.html</w:t>
        </w:r>
      </w:hyperlink>
      <w:r>
        <w:t xml:space="preserve">.</w:t>
      </w:r>
    </w:p>
    <w:bookmarkEnd w:id="332"/>
    <w:bookmarkStart w:id="334" w:name="ref_BCE2026ECAF"/>
    <w:p>
      <w:pPr>
        <w:pStyle w:val="Bibliography"/>
      </w:pPr>
      <w:r>
        <w:t xml:space="preserve">Banco Central Europeo (2026d).</w:t>
      </w:r>
      <w:r>
        <w:t xml:space="preserve"> </w:t>
      </w:r>
      <w:r>
        <w:t xml:space="preserve">«Eurosystem credit assessment framework (ECAF). Harmonised rating scale and accepted ECAIs»</w:t>
      </w:r>
      <w:r>
        <w:t xml:space="preserve">. 2026.</w:t>
      </w:r>
      <w:r>
        <w:t xml:space="preserve"> </w:t>
      </w:r>
      <w:hyperlink r:id="rId333">
        <w:r>
          <w:rPr>
            <w:rStyle w:val="Hyperlink"/>
          </w:rPr>
          <w:t xml:space="preserve">https://www.ecb.europa.eu/paym/coll/risk/ecaf/html/index.en.html</w:t>
        </w:r>
      </w:hyperlink>
      <w:r>
        <w:t xml:space="preserve">.</w:t>
      </w:r>
    </w:p>
    <w:bookmarkEnd w:id="334"/>
    <w:bookmarkStart w:id="336" w:name="ref_BCE2026TiposOficiales"/>
    <w:p>
      <w:pPr>
        <w:pStyle w:val="Bibliography"/>
      </w:pPr>
      <w:r>
        <w:t xml:space="preserve">Banco Central Europeo (2026e).</w:t>
      </w:r>
      <w:r>
        <w:t xml:space="preserve"> </w:t>
      </w:r>
      <w:r>
        <w:t xml:space="preserve">«Key ECB interest rates»</w:t>
      </w:r>
      <w:r>
        <w:t xml:space="preserve">. 2026.</w:t>
      </w:r>
      <w:r>
        <w:t xml:space="preserve"> </w:t>
      </w:r>
      <w:hyperlink r:id="rId335">
        <w:r>
          <w:rPr>
            <w:rStyle w:val="Hyperlink"/>
          </w:rPr>
          <w:t xml:space="preserve">https://www.ecb.europa.eu/stats/policy_and_exchange_rates/key_ecb_interest_rates/html/index.en.html</w:t>
        </w:r>
      </w:hyperlink>
      <w:r>
        <w:t xml:space="preserve">.</w:t>
      </w:r>
    </w:p>
    <w:bookmarkEnd w:id="336"/>
    <w:bookmarkStart w:id="338"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337">
        <w:r>
          <w:rPr>
            <w:rStyle w:val="Hyperlink"/>
          </w:rPr>
          <w:t xml:space="preserve">https://www.bde.es/webbe/es/estadisticas/compartido/docs/notaNGEU.pdf</w:t>
        </w:r>
      </w:hyperlink>
      <w:r>
        <w:t xml:space="preserve">.</w:t>
      </w:r>
    </w:p>
    <w:bookmarkEnd w:id="338"/>
    <w:bookmarkStart w:id="340"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339">
        <w:r>
          <w:rPr>
            <w:rStyle w:val="Hyperlink"/>
          </w:rPr>
          <w:t xml:space="preserve">https://www.bde.es/f/webbe/INF/MenuVertical/EstabilidadFinanciera/Colchon_capital/Resolucion_CCA_2025T4.pdf</w:t>
        </w:r>
      </w:hyperlink>
      <w:r>
        <w:t xml:space="preserve">.</w:t>
      </w:r>
    </w:p>
    <w:bookmarkEnd w:id="340"/>
    <w:bookmarkStart w:id="342"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341">
        <w:r>
          <w:rPr>
            <w:rStyle w:val="Hyperlink"/>
          </w:rPr>
          <w:t xml:space="preserve">https://www.bde.es/f/webbe/GAP/Secciones/SalaPrensa/NotasInformativas/26/presbe2026-90.pdf</w:t>
        </w:r>
      </w:hyperlink>
      <w:r>
        <w:t xml:space="preserve">.</w:t>
      </w:r>
    </w:p>
    <w:bookmarkEnd w:id="342"/>
    <w:bookmarkStart w:id="344"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343">
        <w:r>
          <w:rPr>
            <w:rStyle w:val="Hyperlink"/>
          </w:rPr>
          <w:t xml:space="preserve">https://www.bde.es/wbe/es/publicaciones/informes-memorias-anuales/informe-anual/informe-anual-2025.html</w:t>
        </w:r>
      </w:hyperlink>
      <w:r>
        <w:t xml:space="preserve">.</w:t>
      </w:r>
    </w:p>
    <w:bookmarkEnd w:id="344"/>
    <w:bookmarkStart w:id="346"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345">
        <w:r>
          <w:rPr>
            <w:rStyle w:val="Hyperlink"/>
          </w:rPr>
          <w:t xml:space="preserve">https://www.bis.org/publ/arpdf/ar2024e.htm</w:t>
        </w:r>
      </w:hyperlink>
      <w:r>
        <w:t xml:space="preserve">.</w:t>
      </w:r>
    </w:p>
    <w:bookmarkEnd w:id="346"/>
    <w:bookmarkStart w:id="348" w:name="ref_BM2026WDI"/>
    <w:p>
      <w:pPr>
        <w:pStyle w:val="Bibliography"/>
      </w:pPr>
      <w:r>
        <w:t xml:space="preserve">Banco Mundial (2026).</w:t>
      </w:r>
      <w:r>
        <w:t xml:space="preserve"> </w:t>
      </w:r>
      <w:r>
        <w:t xml:space="preserve">«World Development Indicators»</w:t>
      </w:r>
      <w:r>
        <w:t xml:space="preserve">. 2026.</w:t>
      </w:r>
      <w:r>
        <w:t xml:space="preserve"> </w:t>
      </w:r>
      <w:hyperlink r:id="rId347">
        <w:r>
          <w:rPr>
            <w:rStyle w:val="Hyperlink"/>
          </w:rPr>
          <w:t xml:space="preserve">https://data.worldbank.org/indicator/NE.TRD.GNFS.ZS</w:t>
        </w:r>
      </w:hyperlink>
      <w:r>
        <w:t xml:space="preserve">.</w:t>
      </w:r>
    </w:p>
    <w:bookmarkEnd w:id="348"/>
    <w:bookmarkStart w:id="350"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349">
        <w:r>
          <w:rPr>
            <w:rStyle w:val="Hyperlink"/>
          </w:rPr>
          <w:t xml:space="preserve">https://doi.org/10.1086/260266</w:t>
        </w:r>
      </w:hyperlink>
      <w:r>
        <w:t xml:space="preserve">.</w:t>
      </w:r>
    </w:p>
    <w:bookmarkEnd w:id="350"/>
    <w:bookmarkStart w:id="352"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351">
        <w:r>
          <w:rPr>
            <w:rStyle w:val="Hyperlink"/>
          </w:rPr>
          <w:t xml:space="preserve">https://www.bis.org/bcbs/publ/d424.htm</w:t>
        </w:r>
      </w:hyperlink>
      <w:r>
        <w:t xml:space="preserve">.</w:t>
      </w:r>
    </w:p>
    <w:bookmarkEnd w:id="352"/>
    <w:bookmarkStart w:id="354"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353">
        <w:r>
          <w:rPr>
            <w:rStyle w:val="Hyperlink"/>
          </w:rPr>
          <w:t xml:space="preserve">https://doi.org/10.1257/aer.109.4.1197</w:t>
        </w:r>
      </w:hyperlink>
      <w:r>
        <w:t xml:space="preserve">.</w:t>
      </w:r>
    </w:p>
    <w:bookmarkEnd w:id="354"/>
    <w:bookmarkStart w:id="356"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355">
        <w:r>
          <w:rPr>
            <w:rStyle w:val="Hyperlink"/>
          </w:rPr>
          <w:t xml:space="preserve">https://doi.org/10.2307/2534495</w:t>
        </w:r>
      </w:hyperlink>
      <w:r>
        <w:t xml:space="preserve">.</w:t>
      </w:r>
    </w:p>
    <w:bookmarkEnd w:id="356"/>
    <w:bookmarkStart w:id="358"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357">
        <w:r>
          <w:rPr>
            <w:rStyle w:val="Hyperlink"/>
          </w:rPr>
          <w:t xml:space="preserve">https://doi.org/10.1257/jep.5.1.73</w:t>
        </w:r>
      </w:hyperlink>
      <w:r>
        <w:t xml:space="preserve">.</w:t>
      </w:r>
    </w:p>
    <w:bookmarkEnd w:id="358"/>
    <w:bookmarkStart w:id="360"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359">
        <w:r>
          <w:rPr>
            <w:rStyle w:val="Hyperlink"/>
          </w:rPr>
          <w:t xml:space="preserve">https://doi.org/10.1080/15140326.1998.12040516</w:t>
        </w:r>
      </w:hyperlink>
      <w:r>
        <w:t xml:space="preserve">.</w:t>
      </w:r>
    </w:p>
    <w:bookmarkEnd w:id="360"/>
    <w:bookmarkStart w:id="362"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361">
        <w:r>
          <w:rPr>
            <w:rStyle w:val="Hyperlink"/>
          </w:rPr>
          <w:t xml:space="preserve">https://doi.org/10.1162/003355302753650274</w:t>
        </w:r>
      </w:hyperlink>
      <w:r>
        <w:t xml:space="preserve">.</w:t>
      </w:r>
    </w:p>
    <w:bookmarkEnd w:id="362"/>
    <w:bookmarkStart w:id="364"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363">
        <w:r>
          <w:rPr>
            <w:rStyle w:val="Hyperlink"/>
          </w:rPr>
          <w:t xml:space="preserve">https://doi.org/10.1162/003465305775098189</w:t>
        </w:r>
      </w:hyperlink>
      <w:r>
        <w:t xml:space="preserve">.</w:t>
      </w:r>
    </w:p>
    <w:bookmarkEnd w:id="364"/>
    <w:bookmarkStart w:id="366"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365">
        <w:r>
          <w:rPr>
            <w:rStyle w:val="Hyperlink"/>
          </w:rPr>
          <w:t xml:space="preserve">https://doi.org/10.1093/jeea/jvx028</w:t>
        </w:r>
      </w:hyperlink>
      <w:r>
        <w:t xml:space="preserve">.</w:t>
      </w:r>
    </w:p>
    <w:bookmarkEnd w:id="366"/>
    <w:bookmarkStart w:id="367"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367"/>
    <w:bookmarkStart w:id="369"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368">
        <w:r>
          <w:rPr>
            <w:rStyle w:val="Hyperlink"/>
          </w:rPr>
          <w:t xml:space="preserve">https://doi.org/10.1016/j.jinteco.2014.05.003</w:t>
        </w:r>
      </w:hyperlink>
      <w:r>
        <w:t xml:space="preserve">.</w:t>
      </w:r>
    </w:p>
    <w:bookmarkEnd w:id="369"/>
    <w:bookmarkStart w:id="371" w:name="ref_CE2024Envejecimiento"/>
    <w:p>
      <w:pPr>
        <w:pStyle w:val="Bibliography"/>
      </w:pPr>
      <w:r>
        <w:t xml:space="preserve">Comisión Europea (2024).</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370">
        <w:r>
          <w:rPr>
            <w:rStyle w:val="Hyperlink"/>
          </w:rPr>
          <w:t xml:space="preserve">https://doi.org/10.2765/022983</w:t>
        </w:r>
      </w:hyperlink>
      <w:r>
        <w:t xml:space="preserve">.</w:t>
      </w:r>
    </w:p>
    <w:bookmarkEnd w:id="371"/>
    <w:bookmarkStart w:id="373"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372">
        <w:r>
          <w:rPr>
            <w:rStyle w:val="Hyperlink"/>
          </w:rPr>
          <w:t xml:space="preserve">https://eur-lex.europa.eu/legal-content/EN/ALL/?uri=CELEX:52025DC0956</w:t>
        </w:r>
      </w:hyperlink>
      <w:r>
        <w:t xml:space="preserve">.</w:t>
      </w:r>
    </w:p>
    <w:bookmarkEnd w:id="373"/>
    <w:bookmarkStart w:id="375"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374">
        <w:r>
          <w:rPr>
            <w:rStyle w:val="Hyperlink"/>
          </w:rPr>
          <w:t xml:space="preserve">https://economy-finance.ec.europa.eu/economic-forecast-and-surveys/business-and-consumer-surveys_en</w:t>
        </w:r>
      </w:hyperlink>
      <w:r>
        <w:t xml:space="preserve">.</w:t>
      </w:r>
    </w:p>
    <w:bookmarkEnd w:id="375"/>
    <w:bookmarkStart w:id="377"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376">
        <w:r>
          <w:rPr>
            <w:rStyle w:val="Hyperlink"/>
          </w:rPr>
          <w:t xml:space="preserve">https://economy-finance.ec.europa.eu/economic-research-and-databases/economic-databases/ameco-database_en</w:t>
        </w:r>
      </w:hyperlink>
      <w:r>
        <w:t xml:space="preserve">.</w:t>
      </w:r>
    </w:p>
    <w:bookmarkEnd w:id="377"/>
    <w:bookmarkStart w:id="379"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378">
        <w:r>
          <w:rPr>
            <w:rStyle w:val="Hyperlink"/>
          </w:rPr>
          <w:t xml:space="preserve">https://www.bis.org/publ/bcbs187.htm</w:t>
        </w:r>
      </w:hyperlink>
      <w:r>
        <w:t xml:space="preserve">.</w:t>
      </w:r>
    </w:p>
    <w:bookmarkEnd w:id="379"/>
    <w:bookmarkStart w:id="381"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380">
        <w:r>
          <w:rPr>
            <w:rStyle w:val="Hyperlink"/>
          </w:rPr>
          <w:t xml:space="preserve">https://www.bis.org/publ/bcbs238.htm</w:t>
        </w:r>
      </w:hyperlink>
      <w:r>
        <w:t xml:space="preserve">.</w:t>
      </w:r>
    </w:p>
    <w:bookmarkEnd w:id="381"/>
    <w:bookmarkStart w:id="383"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382">
        <w:r>
          <w:rPr>
            <w:rStyle w:val="Hyperlink"/>
          </w:rPr>
          <w:t xml:space="preserve">https://www.bis.org/bcbs/publ/d295.htm</w:t>
        </w:r>
      </w:hyperlink>
      <w:r>
        <w:t xml:space="preserve">.</w:t>
      </w:r>
    </w:p>
    <w:bookmarkEnd w:id="383"/>
    <w:bookmarkStart w:id="385"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384">
        <w:r>
          <w:rPr>
            <w:rStyle w:val="Hyperlink"/>
          </w:rPr>
          <w:t xml:space="preserve">https://eur-lex.europa.eu/eli/reg/2024/1264/oj</w:t>
        </w:r>
      </w:hyperlink>
      <w:r>
        <w:t xml:space="preserve">.</w:t>
      </w:r>
    </w:p>
    <w:bookmarkEnd w:id="385"/>
    <w:bookmarkStart w:id="387"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386">
        <w:r>
          <w:rPr>
            <w:rStyle w:val="Hyperlink"/>
          </w:rPr>
          <w:t xml:space="preserve">https://doi.org/10.2307/2232670</w:t>
        </w:r>
      </w:hyperlink>
      <w:r>
        <w:t xml:space="preserve">.</w:t>
      </w:r>
    </w:p>
    <w:bookmarkEnd w:id="387"/>
    <w:bookmarkStart w:id="388" w:name="ref_GuiaDictamenJLCT"/>
    <w:p>
      <w:pPr>
        <w:pStyle w:val="Bibliography"/>
      </w:pPr>
      <w:r>
        <w:t xml:space="preserve">Cordero Tarifa, Juan Luis (s. f.).</w:t>
      </w:r>
      <w:r>
        <w:t xml:space="preserve"> </w:t>
      </w:r>
      <w:r>
        <w:t xml:space="preserve">«Guía de dictamen económico»</w:t>
      </w:r>
      <w:r>
        <w:t xml:space="preserve">.</w:t>
      </w:r>
    </w:p>
    <w:bookmarkEnd w:id="388"/>
    <w:bookmarkStart w:id="389"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389"/>
    <w:bookmarkStart w:id="391"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390">
        <w:r>
          <w:rPr>
            <w:rStyle w:val="Hyperlink"/>
          </w:rPr>
          <w:t xml:space="preserve">https://doi.org/10.7208/chicago/9780226194578.003.0002</w:t>
        </w:r>
      </w:hyperlink>
      <w:r>
        <w:t xml:space="preserve">.</w:t>
      </w:r>
    </w:p>
    <w:bookmarkEnd w:id="391"/>
    <w:bookmarkStart w:id="393"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392">
        <w:r>
          <w:rPr>
            <w:rStyle w:val="Hyperlink"/>
          </w:rPr>
          <w:t xml:space="preserve">https://doi.org/10.1162/003465398557320</w:t>
        </w:r>
      </w:hyperlink>
      <w:r>
        <w:t xml:space="preserve">.</w:t>
      </w:r>
    </w:p>
    <w:bookmarkEnd w:id="393"/>
    <w:bookmarkStart w:id="395"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394">
        <w:r>
          <w:rPr>
            <w:rStyle w:val="Hyperlink"/>
          </w:rPr>
          <w:t xml:space="preserve">https://www.eba.europa.eu/risk-and-data-analysis/risk-analysis/risk-monitoring/risk-dashboard</w:t>
        </w:r>
      </w:hyperlink>
      <w:r>
        <w:t xml:space="preserve">.</w:t>
      </w:r>
    </w:p>
    <w:bookmarkEnd w:id="395"/>
    <w:bookmarkStart w:id="397"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396">
        <w:r>
          <w:rPr>
            <w:rStyle w:val="Hyperlink"/>
          </w:rPr>
          <w:t xml:space="preserve">https://www.eba.europa.eu/sites/default/files/2026-09/26394108-1837-4b5b-bce2-fba1d3c574b1/EBA%20Dashboard%20-%20Q2%202026.pdf</w:t>
        </w:r>
      </w:hyperlink>
      <w:r>
        <w:t xml:space="preserve">.</w:t>
      </w:r>
    </w:p>
    <w:bookmarkEnd w:id="397"/>
    <w:bookmarkStart w:id="399"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398">
        <w:r>
          <w:rPr>
            <w:rStyle w:val="Hyperlink"/>
          </w:rPr>
          <w:t xml:space="preserve">https://commission.europa.eu/system/files/2021-06/2021_06_16_efb_assessment_of_euro_area_fiscal_stance_en.pdf</w:t>
        </w:r>
      </w:hyperlink>
      <w:r>
        <w:t xml:space="preserve">.</w:t>
      </w:r>
    </w:p>
    <w:bookmarkEnd w:id="399"/>
    <w:bookmarkStart w:id="401"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400">
        <w:r>
          <w:rPr>
            <w:rStyle w:val="Hyperlink"/>
          </w:rPr>
          <w:t xml:space="preserve">https://ec.europa.eu/eurostat/web/products-euro-indicators/-/2-22042013-ap</w:t>
        </w:r>
      </w:hyperlink>
      <w:r>
        <w:t xml:space="preserve">.</w:t>
      </w:r>
    </w:p>
    <w:bookmarkEnd w:id="401"/>
    <w:bookmarkStart w:id="403"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402">
        <w:r>
          <w:rPr>
            <w:rStyle w:val="Hyperlink"/>
          </w:rPr>
          <w:t xml:space="preserve">https://ec.europa.eu/eurostat/statistics-explained/index.php?title=Glossary:Housing_cost_overburden_rate</w:t>
        </w:r>
      </w:hyperlink>
      <w:r>
        <w:t xml:space="preserve">.</w:t>
      </w:r>
    </w:p>
    <w:bookmarkEnd w:id="403"/>
    <w:bookmarkStart w:id="405"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404">
        <w:r>
          <w:rPr>
            <w:rStyle w:val="Hyperlink"/>
          </w:rPr>
          <w:t xml:space="preserve">https://ec.europa.eu/eurostat/statistics-explained/index.php?title=The_Macroeconomic_Imbalance_Procedure_(MIP)_introduced</w:t>
        </w:r>
      </w:hyperlink>
      <w:r>
        <w:t xml:space="preserve">.</w:t>
      </w:r>
    </w:p>
    <w:bookmarkEnd w:id="405"/>
    <w:bookmarkStart w:id="407"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406">
        <w:r>
          <w:rPr>
            <w:rStyle w:val="Hyperlink"/>
          </w:rPr>
          <w:t xml:space="preserve">https://ec.europa.eu/eurostat/databrowser/view/lfsq_argan/default/table</w:t>
        </w:r>
      </w:hyperlink>
      <w:r>
        <w:t xml:space="preserve">.</w:t>
      </w:r>
    </w:p>
    <w:bookmarkEnd w:id="407"/>
    <w:bookmarkStart w:id="409"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408">
        <w:r>
          <w:rPr>
            <w:rStyle w:val="Hyperlink"/>
          </w:rPr>
          <w:t xml:space="preserve">https://ec.europa.eu/eurostat/databrowser/view/lfsa_argan/default/table</w:t>
        </w:r>
      </w:hyperlink>
      <w:r>
        <w:t xml:space="preserve">.</w:t>
      </w:r>
    </w:p>
    <w:bookmarkEnd w:id="409"/>
    <w:bookmarkStart w:id="411"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410">
        <w:r>
          <w:rPr>
            <w:rStyle w:val="Hyperlink"/>
          </w:rPr>
          <w:t xml:space="preserve">https://ec.europa.eu/eurostat/databrowser/view/namq_10_a10_e/default/table</w:t>
        </w:r>
      </w:hyperlink>
      <w:r>
        <w:t xml:space="preserve">.</w:t>
      </w:r>
    </w:p>
    <w:bookmarkEnd w:id="411"/>
    <w:bookmarkStart w:id="413"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412">
        <w:r>
          <w:rPr>
            <w:rStyle w:val="Hyperlink"/>
          </w:rPr>
          <w:t xml:space="preserve">https://ec.europa.eu/eurostat/databrowser/view/namq_10_gdp/default/table</w:t>
        </w:r>
      </w:hyperlink>
      <w:r>
        <w:t xml:space="preserve">.</w:t>
      </w:r>
    </w:p>
    <w:bookmarkEnd w:id="413"/>
    <w:bookmarkStart w:id="415"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414">
        <w:r>
          <w:rPr>
            <w:rStyle w:val="Hyperlink"/>
          </w:rPr>
          <w:t xml:space="preserve">https://ec.europa.eu/eurostat/databrowser/view/nama_10_gdp/default/table</w:t>
        </w:r>
      </w:hyperlink>
      <w:r>
        <w:t xml:space="preserve">.</w:t>
      </w:r>
    </w:p>
    <w:bookmarkEnd w:id="415"/>
    <w:bookmarkStart w:id="417"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416">
        <w:r>
          <w:rPr>
            <w:rStyle w:val="Hyperlink"/>
          </w:rPr>
          <w:t xml:space="preserve">https://ec.europa.eu/eurostat/databrowser/view/nama_10_a10/default/table</w:t>
        </w:r>
      </w:hyperlink>
      <w:r>
        <w:t xml:space="preserve">.</w:t>
      </w:r>
    </w:p>
    <w:bookmarkEnd w:id="417"/>
    <w:bookmarkStart w:id="419"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418">
        <w:r>
          <w:rPr>
            <w:rStyle w:val="Hyperlink"/>
          </w:rPr>
          <w:t xml:space="preserve">https://ec.europa.eu/eurostat/databrowser/view/prc_hicp_minr/default/table</w:t>
        </w:r>
      </w:hyperlink>
      <w:r>
        <w:t xml:space="preserve">.</w:t>
      </w:r>
    </w:p>
    <w:bookmarkEnd w:id="419"/>
    <w:bookmarkStart w:id="421"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420">
        <w:r>
          <w:rPr>
            <w:rStyle w:val="Hyperlink"/>
          </w:rPr>
          <w:t xml:space="preserve">https://ec.europa.eu/eurostat/databrowser/view/jvs_q_r21/default/table</w:t>
        </w:r>
      </w:hyperlink>
      <w:r>
        <w:t xml:space="preserve">.</w:t>
      </w:r>
    </w:p>
    <w:bookmarkEnd w:id="421"/>
    <w:bookmarkStart w:id="423"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422">
        <w:r>
          <w:rPr>
            <w:rStyle w:val="Hyperlink"/>
          </w:rPr>
          <w:t xml:space="preserve">https://ec.europa.eu/eurostat/databrowser/view/une_rt_q/default/table</w:t>
        </w:r>
      </w:hyperlink>
      <w:r>
        <w:t xml:space="preserve">.</w:t>
      </w:r>
    </w:p>
    <w:bookmarkEnd w:id="423"/>
    <w:bookmarkStart w:id="425"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424">
        <w:r>
          <w:rPr>
            <w:rStyle w:val="Hyperlink"/>
          </w:rPr>
          <w:t xml:space="preserve">https://doi.org/10.1093/qje/qjz036</w:t>
        </w:r>
      </w:hyperlink>
      <w:r>
        <w:t xml:space="preserve">.</w:t>
      </w:r>
    </w:p>
    <w:bookmarkEnd w:id="425"/>
    <w:bookmarkStart w:id="427"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426">
        <w:r>
          <w:rPr>
            <w:rStyle w:val="Hyperlink"/>
          </w:rPr>
          <w:t xml:space="preserve">https://www.levyinstitute.org/pubs/wp_651.pdf</w:t>
        </w:r>
      </w:hyperlink>
      <w:r>
        <w:t xml:space="preserve">.</w:t>
      </w:r>
    </w:p>
    <w:bookmarkEnd w:id="427"/>
    <w:bookmarkStart w:id="429"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428">
        <w:r>
          <w:rPr>
            <w:rStyle w:val="Hyperlink"/>
          </w:rPr>
          <w:t xml:space="preserve">https://www.imf.org/external/pubs/ft/bop/2007/pdf/bpm6.pdf</w:t>
        </w:r>
      </w:hyperlink>
      <w:r>
        <w:t xml:space="preserve">.</w:t>
      </w:r>
    </w:p>
    <w:bookmarkEnd w:id="429"/>
    <w:bookmarkStart w:id="431"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430">
        <w:r>
          <w:rPr>
            <w:rStyle w:val="Hyperlink"/>
          </w:rPr>
          <w:t xml:space="preserve">https://www.imf.org/external/np/pp/eng/2011/021411b.pdf</w:t>
        </w:r>
      </w:hyperlink>
      <w:r>
        <w:t xml:space="preserve">.</w:t>
      </w:r>
    </w:p>
    <w:bookmarkEnd w:id="431"/>
    <w:bookmarkStart w:id="432"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432"/>
    <w:bookmarkStart w:id="434" w:name="ref_FMI2022edXFPP"/>
    <w:p>
      <w:pPr>
        <w:pStyle w:val="Bibliography"/>
      </w:pPr>
      <w:r>
        <w:t xml:space="preserve">Fondo Monetario Internacional (2022).</w:t>
      </w:r>
      <w:r>
        <w:t xml:space="preserve"> </w:t>
      </w:r>
      <w:r>
        <w:t xml:space="preserve">«Financial Programming and Policies, Part 1: Macroeconomic Accounts &amp; Analysis (IMFx FPP.1x)»</w:t>
      </w:r>
      <w:r>
        <w:t xml:space="preserve">. 2022.</w:t>
      </w:r>
      <w:r>
        <w:t xml:space="preserve"> </w:t>
      </w:r>
      <w:hyperlink r:id="rId433">
        <w:r>
          <w:rPr>
            <w:rStyle w:val="Hyperlink"/>
          </w:rPr>
          <w:t xml:space="preserve">https://www.edx.org/es/learn/finance/the-international-monetary-fund-financial-programming-and-policies-part-1-macroeconomic-accounts-analysis</w:t>
        </w:r>
      </w:hyperlink>
      <w:r>
        <w:t xml:space="preserve">.</w:t>
      </w:r>
    </w:p>
    <w:bookmarkEnd w:id="434"/>
    <w:bookmarkStart w:id="436"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435">
        <w:r>
          <w:rPr>
            <w:rStyle w:val="Hyperlink"/>
          </w:rPr>
          <w:t xml:space="preserve">https://www.imf.org/es/Publications/FM/Issues/2023/04/03/fiscal-monitor-april-2023</w:t>
        </w:r>
      </w:hyperlink>
      <w:r>
        <w:t xml:space="preserve">.</w:t>
      </w:r>
    </w:p>
    <w:bookmarkEnd w:id="436"/>
    <w:bookmarkStart w:id="438"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437">
        <w:r>
          <w:rPr>
            <w:rStyle w:val="Hyperlink"/>
          </w:rPr>
          <w:t xml:space="preserve">https://doi.org/10.5089/9798400230622.002.A001</w:t>
        </w:r>
      </w:hyperlink>
      <w:r>
        <w:t xml:space="preserve">.</w:t>
      </w:r>
    </w:p>
    <w:bookmarkEnd w:id="438"/>
    <w:bookmarkStart w:id="440"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439">
        <w:r>
          <w:rPr>
            <w:rStyle w:val="Hyperlink"/>
          </w:rPr>
          <w:t xml:space="preserve">https://www.imf.org/en/news/articles/2025/03/20/pr25072-imf-and-statistical-community-release-new-global-standards-for-macroeconomic-stats</w:t>
        </w:r>
      </w:hyperlink>
      <w:r>
        <w:t xml:space="preserve">.</w:t>
      </w:r>
    </w:p>
    <w:bookmarkEnd w:id="440"/>
    <w:bookmarkStart w:id="442"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441">
        <w:r>
          <w:rPr>
            <w:rStyle w:val="Hyperlink"/>
          </w:rPr>
          <w:t xml:space="preserve">https://www.imf.org/en/About/Factsheets/Sheets/2023/IMF-Conditionality</w:t>
        </w:r>
      </w:hyperlink>
      <w:r>
        <w:t xml:space="preserve">.</w:t>
      </w:r>
    </w:p>
    <w:bookmarkEnd w:id="442"/>
    <w:bookmarkStart w:id="444"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443">
        <w:r>
          <w:rPr>
            <w:rStyle w:val="Hyperlink"/>
          </w:rPr>
          <w:t xml:space="preserve">https://data.imf.org/en/Dashboards/FM%20Dashboard</w:t>
        </w:r>
      </w:hyperlink>
      <w:r>
        <w:t xml:space="preserve">.</w:t>
      </w:r>
    </w:p>
    <w:bookmarkEnd w:id="444"/>
    <w:bookmarkStart w:id="446" w:name="ref_FMI2026ArticuloIV"/>
    <w:p>
      <w:pPr>
        <w:pStyle w:val="Bibliography"/>
      </w:pPr>
      <w:r>
        <w:t xml:space="preserve">Fondo Monetario Internacional (2026b).</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445">
        <w:r>
          <w:rPr>
            <w:rStyle w:val="Hyperlink"/>
          </w:rPr>
          <w:t xml:space="preserve">https://www.imf.org/en/publications/cr/issues/2026/05/21/spain-2026-article-iv-consultation-press-release-staff-report-and-statement-by-the-576248</w:t>
        </w:r>
      </w:hyperlink>
      <w:r>
        <w:t xml:space="preserve">.</w:t>
      </w:r>
    </w:p>
    <w:bookmarkEnd w:id="446"/>
    <w:bookmarkStart w:id="448" w:name="ref_FMI2026WEO"/>
    <w:p>
      <w:pPr>
        <w:pStyle w:val="Bibliography"/>
      </w:pPr>
      <w:r>
        <w:t xml:space="preserve">Fondo Monetario Internacional (2026c).</w:t>
      </w:r>
      <w:r>
        <w:t xml:space="preserve"> </w:t>
      </w:r>
      <w:r>
        <w:t xml:space="preserve">«World Economic Outlook, October 2026: Resilience Under Strain, Urgent Choices»</w:t>
      </w:r>
      <w:r>
        <w:t xml:space="preserve">. Informe. Fondo Monetario Internacional.</w:t>
      </w:r>
      <w:r>
        <w:t xml:space="preserve"> </w:t>
      </w:r>
      <w:hyperlink r:id="rId447">
        <w:r>
          <w:rPr>
            <w:rStyle w:val="Hyperlink"/>
          </w:rPr>
          <w:t xml:space="preserve">https://www.imf.org/en/publications/weo/issues/2026/10/13/world-economic-outlook-october-2026</w:t>
        </w:r>
      </w:hyperlink>
      <w:r>
        <w:t xml:space="preserve">.</w:t>
      </w:r>
    </w:p>
    <w:bookmarkEnd w:id="448"/>
    <w:bookmarkStart w:id="449"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449"/>
    <w:bookmarkStart w:id="451"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450">
        <w:r>
          <w:rPr>
            <w:rStyle w:val="Hyperlink"/>
          </w:rPr>
          <w:t xml:space="preserve">https://doi.org/10.1257/aer.20171201</w:t>
        </w:r>
      </w:hyperlink>
      <w:r>
        <w:t xml:space="preserve">.</w:t>
      </w:r>
    </w:p>
    <w:bookmarkEnd w:id="451"/>
    <w:bookmarkStart w:id="453"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452">
        <w:r>
          <w:rPr>
            <w:rStyle w:val="Hyperlink"/>
          </w:rPr>
          <w:t xml:space="preserve">https://doi.org/10.1086/260724</w:t>
        </w:r>
      </w:hyperlink>
      <w:r>
        <w:t xml:space="preserve">.</w:t>
      </w:r>
    </w:p>
    <w:bookmarkEnd w:id="453"/>
    <w:bookmarkStart w:id="455"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454">
        <w:r>
          <w:rPr>
            <w:rStyle w:val="Hyperlink"/>
          </w:rPr>
          <w:t xml:space="preserve">https://doi.org/10.2765/71437</w:t>
        </w:r>
      </w:hyperlink>
      <w:r>
        <w:t xml:space="preserve">.</w:t>
      </w:r>
    </w:p>
    <w:bookmarkEnd w:id="455"/>
    <w:bookmarkStart w:id="457"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456">
        <w:r>
          <w:rPr>
            <w:rStyle w:val="Hyperlink"/>
          </w:rPr>
          <w:t xml:space="preserve">https://doi.org/10.2307/2953682</w:t>
        </w:r>
      </w:hyperlink>
      <w:r>
        <w:t xml:space="preserve">.</w:t>
      </w:r>
    </w:p>
    <w:bookmarkEnd w:id="457"/>
    <w:bookmarkStart w:id="459"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458">
        <w:r>
          <w:rPr>
            <w:rStyle w:val="Hyperlink"/>
          </w:rPr>
          <w:t xml:space="preserve">https://www.ine.es/dyngs/INEbase/es/operacion.htm?c=Estadistica_C&amp;cid=1254736176918&amp;menu=metodologia&amp;idp=1254735976595</w:t>
        </w:r>
      </w:hyperlink>
      <w:r>
        <w:t xml:space="preserve">.</w:t>
      </w:r>
    </w:p>
    <w:bookmarkEnd w:id="459"/>
    <w:bookmarkStart w:id="461"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460">
        <w:r>
          <w:rPr>
            <w:rStyle w:val="Hyperlink"/>
          </w:rPr>
          <w:t xml:space="preserve">https://www.ine.es/metodologia/t25/metodologia_IPC_base_2025.pdf</w:t>
        </w:r>
      </w:hyperlink>
      <w:r>
        <w:t xml:space="preserve">.</w:t>
      </w:r>
    </w:p>
    <w:bookmarkEnd w:id="461"/>
    <w:bookmarkStart w:id="463"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462">
        <w:r>
          <w:rPr>
            <w:rStyle w:val="Hyperlink"/>
          </w:rPr>
          <w:t xml:space="preserve">https://www.esrb.europa.eu/pub/pdf/other/140303_esrb_handbook_mp.en.pdf</w:t>
        </w:r>
      </w:hyperlink>
      <w:r>
        <w:t xml:space="preserve">.</w:t>
      </w:r>
    </w:p>
    <w:bookmarkEnd w:id="463"/>
    <w:bookmarkStart w:id="464"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464"/>
    <w:bookmarkStart w:id="466"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465">
        <w:r>
          <w:rPr>
            <w:rStyle w:val="Hyperlink"/>
          </w:rPr>
          <w:t xml:space="preserve">https://doi.org/10.1086/ma.19.3585327</w:t>
        </w:r>
      </w:hyperlink>
      <w:r>
        <w:t xml:space="preserve">.</w:t>
      </w:r>
    </w:p>
    <w:bookmarkEnd w:id="466"/>
    <w:bookmarkStart w:id="467"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467"/>
    <w:bookmarkStart w:id="469"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468">
        <w:r>
          <w:rPr>
            <w:rStyle w:val="Hyperlink"/>
          </w:rPr>
          <w:t xml:space="preserve">https://doi.org/10.1016/0304-3932(91)90007-B</w:t>
        </w:r>
      </w:hyperlink>
      <w:r>
        <w:t xml:space="preserve">.</w:t>
      </w:r>
    </w:p>
    <w:bookmarkEnd w:id="469"/>
    <w:bookmarkStart w:id="470"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470"/>
    <w:bookmarkStart w:id="471"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471"/>
    <w:bookmarkStart w:id="473"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472">
        <w:r>
          <w:rPr>
            <w:rStyle w:val="Hyperlink"/>
          </w:rPr>
          <w:t xml:space="preserve">https://doi.org/10.2307/2534091</w:t>
        </w:r>
      </w:hyperlink>
      <w:r>
        <w:t xml:space="preserve">.</w:t>
      </w:r>
    </w:p>
    <w:bookmarkEnd w:id="473"/>
    <w:bookmarkStart w:id="475"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474">
        <w:r>
          <w:rPr>
            <w:rStyle w:val="Hyperlink"/>
          </w:rPr>
          <w:t xml:space="preserve">https://doi.org/10.1257/jep.35.1.3</w:t>
        </w:r>
      </w:hyperlink>
      <w:r>
        <w:t xml:space="preserve">.</w:t>
      </w:r>
    </w:p>
    <w:bookmarkEnd w:id="475"/>
    <w:bookmarkStart w:id="476" w:name="ref_Marshall1923"/>
    <w:p>
      <w:pPr>
        <w:pStyle w:val="Bibliography"/>
      </w:pPr>
      <w:r>
        <w:t xml:space="preserve">Marshall, Alfred (1923).</w:t>
      </w:r>
      <w:r>
        <w:t xml:space="preserve"> </w:t>
      </w:r>
      <w:r>
        <w:rPr>
          <w:i/>
          <w:iCs/>
        </w:rPr>
        <w:t xml:space="preserve">Money, Credit and Commerce</w:t>
      </w:r>
      <w:r>
        <w:t xml:space="preserve">. Londres: Macmillan.</w:t>
      </w:r>
    </w:p>
    <w:bookmarkEnd w:id="476"/>
    <w:bookmarkStart w:id="478"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477">
        <w:r>
          <w:rPr>
            <w:rStyle w:val="Hyperlink"/>
          </w:rPr>
          <w:t xml:space="preserve">https://www.boe.es/diario_boe/txt.php?id=BOE-A-2024-27439</w:t>
        </w:r>
      </w:hyperlink>
      <w:r>
        <w:t xml:space="preserve">.</w:t>
      </w:r>
    </w:p>
    <w:bookmarkEnd w:id="478"/>
    <w:bookmarkStart w:id="480"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479">
        <w:r>
          <w:rPr>
            <w:rStyle w:val="Hyperlink"/>
          </w:rPr>
          <w:t xml:space="preserve">https://www.boe.es/diario_boe/txt.php?id=BOE-A-2025-26902</w:t>
        </w:r>
      </w:hyperlink>
      <w:r>
        <w:t xml:space="preserve">.</w:t>
      </w:r>
    </w:p>
    <w:bookmarkEnd w:id="480"/>
    <w:bookmarkStart w:id="481"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481"/>
    <w:bookmarkStart w:id="483"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482">
        <w:r>
          <w:rPr>
            <w:rStyle w:val="Hyperlink"/>
          </w:rPr>
          <w:t xml:space="preserve">https://www.nber.org/research/business-cycle-dating/business-cycle-dating-procedure-frequently-asked-questions</w:t>
        </w:r>
      </w:hyperlink>
      <w:r>
        <w:t xml:space="preserve">.</w:t>
      </w:r>
    </w:p>
    <w:bookmarkEnd w:id="483"/>
    <w:bookmarkStart w:id="485" w:name="ref_OCDE2026LFS"/>
    <w:p>
      <w:pPr>
        <w:pStyle w:val="Bibliography"/>
      </w:pPr>
      <w:r>
        <w:t xml:space="preserve">OCDE (2026).</w:t>
      </w:r>
      <w:r>
        <w:t xml:space="preserve"> </w:t>
      </w:r>
      <w:r>
        <w:t xml:space="preserve">«Infra-annual labour statistics: labour force participation rate»</w:t>
      </w:r>
      <w:r>
        <w:t xml:space="preserve">. 2026.</w:t>
      </w:r>
      <w:r>
        <w:t xml:space="preserve"> </w:t>
      </w:r>
      <w:hyperlink r:id="rId484">
        <w:r>
          <w:rPr>
            <w:rStyle w:val="Hyperlink"/>
          </w:rPr>
          <w:t xml:space="preserve">https://data-explorer.oecd.org/</w:t>
        </w:r>
      </w:hyperlink>
      <w:r>
        <w:t xml:space="preserve">.</w:t>
      </w:r>
    </w:p>
    <w:bookmarkEnd w:id="485"/>
    <w:bookmarkStart w:id="486"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486"/>
    <w:bookmarkStart w:id="488"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487">
        <w:r>
          <w:rPr>
            <w:rStyle w:val="Hyperlink"/>
          </w:rPr>
          <w:t xml:space="preserve">https://eur-lex.europa.eu/eli/dir/2013/36/oj</w:t>
        </w:r>
      </w:hyperlink>
      <w:r>
        <w:t xml:space="preserve">.</w:t>
      </w:r>
    </w:p>
    <w:bookmarkEnd w:id="488"/>
    <w:bookmarkStart w:id="490"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489">
        <w:r>
          <w:rPr>
            <w:rStyle w:val="Hyperlink"/>
          </w:rPr>
          <w:t xml:space="preserve">https://eur-lex.europa.eu/eli/reg/2013/575/oj</w:t>
        </w:r>
      </w:hyperlink>
      <w:r>
        <w:t xml:space="preserve">.</w:t>
      </w:r>
    </w:p>
    <w:bookmarkEnd w:id="490"/>
    <w:bookmarkStart w:id="492"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491">
        <w:r>
          <w:rPr>
            <w:rStyle w:val="Hyperlink"/>
          </w:rPr>
          <w:t xml:space="preserve">https://eur-lex.europa.eu/eli/reg/2013/549/oj</w:t>
        </w:r>
      </w:hyperlink>
      <w:r>
        <w:t xml:space="preserve">.</w:t>
      </w:r>
    </w:p>
    <w:bookmarkEnd w:id="492"/>
    <w:bookmarkStart w:id="494"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493">
        <w:r>
          <w:rPr>
            <w:rStyle w:val="Hyperlink"/>
          </w:rPr>
          <w:t xml:space="preserve">https://eur-lex.europa.eu/eli/reg/2024/1263/oj</w:t>
        </w:r>
      </w:hyperlink>
      <w:r>
        <w:t xml:space="preserve">.</w:t>
      </w:r>
    </w:p>
    <w:bookmarkEnd w:id="494"/>
    <w:bookmarkStart w:id="496"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495">
        <w:r>
          <w:rPr>
            <w:rStyle w:val="Hyperlink"/>
          </w:rPr>
          <w:t xml:space="preserve">https://eur-lex.europa.eu/eli/reg/2024/1623/oj</w:t>
        </w:r>
      </w:hyperlink>
      <w:r>
        <w:t xml:space="preserve">.</w:t>
      </w:r>
    </w:p>
    <w:bookmarkEnd w:id="496"/>
    <w:bookmarkStart w:id="497"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497"/>
    <w:bookmarkStart w:id="499"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498">
        <w:r>
          <w:rPr>
            <w:rStyle w:val="Hyperlink"/>
          </w:rPr>
          <w:t xml:space="preserve">https://doi.org/10.2307/2550759</w:t>
        </w:r>
      </w:hyperlink>
      <w:r>
        <w:t xml:space="preserve">.</w:t>
      </w:r>
    </w:p>
    <w:bookmarkEnd w:id="499"/>
    <w:bookmarkStart w:id="501"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500">
        <w:r>
          <w:rPr>
            <w:rStyle w:val="Hyperlink"/>
          </w:rPr>
          <w:t xml:space="preserve">https://doi.org/10.1353/eca.2003.0018</w:t>
        </w:r>
      </w:hyperlink>
      <w:r>
        <w:t xml:space="preserve">.</w:t>
      </w:r>
    </w:p>
    <w:bookmarkEnd w:id="501"/>
    <w:bookmarkStart w:id="502"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502"/>
    <w:bookmarkStart w:id="504"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503">
        <w:r>
          <w:rPr>
            <w:rStyle w:val="Hyperlink"/>
          </w:rPr>
          <w:t xml:space="preserve">https://doi.org/10.21034/qr.531</w:t>
        </w:r>
      </w:hyperlink>
      <w:r>
        <w:t xml:space="preserve">.</w:t>
      </w:r>
    </w:p>
    <w:bookmarkEnd w:id="504"/>
    <w:bookmarkStart w:id="506"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505">
        <w:r>
          <w:rPr>
            <w:rStyle w:val="Hyperlink"/>
          </w:rPr>
          <w:t xml:space="preserve">https://laadministracionaldia.inap.es/noticia.asp?id=1500719</w:t>
        </w:r>
      </w:hyperlink>
      <w:r>
        <w:t xml:space="preserve">.</w:t>
      </w:r>
    </w:p>
    <w:bookmarkEnd w:id="506"/>
    <w:bookmarkStart w:id="508"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507">
        <w:r>
          <w:rPr>
            <w:rStyle w:val="Hyperlink"/>
          </w:rPr>
          <w:t xml:space="preserve">https://doi.org/10.1057/imfer.2012.6</w:t>
        </w:r>
      </w:hyperlink>
      <w:r>
        <w:t xml:space="preserve">.</w:t>
      </w:r>
    </w:p>
    <w:bookmarkEnd w:id="508"/>
    <w:bookmarkStart w:id="509"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509"/>
    <w:bookmarkStart w:id="511"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510">
        <w:r>
          <w:rPr>
            <w:rStyle w:val="Hyperlink"/>
          </w:rPr>
          <w:t xml:space="preserve">https://www.spglobal.com/marketintelligence/en/mi/products/pmi.html</w:t>
        </w:r>
      </w:hyperlink>
      <w:r>
        <w:t xml:space="preserve">.</w:t>
      </w:r>
    </w:p>
    <w:bookmarkEnd w:id="511"/>
    <w:bookmarkStart w:id="513"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512">
        <w:r>
          <w:rPr>
            <w:rStyle w:val="Hyperlink"/>
          </w:rPr>
          <w:t xml:space="preserve">https://doi.org/10.1016/S1574-0048(99)01004-6</w:t>
        </w:r>
      </w:hyperlink>
      <w:r>
        <w:t xml:space="preserve">.</w:t>
      </w:r>
    </w:p>
    <w:bookmarkEnd w:id="513"/>
    <w:bookmarkStart w:id="515"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514">
        <w:r>
          <w:rPr>
            <w:rStyle w:val="Hyperlink"/>
          </w:rPr>
          <w:t xml:space="preserve">https://doi.org/10.1016/0167-2231(93)90009-L</w:t>
        </w:r>
      </w:hyperlink>
      <w:r>
        <w:t xml:space="preserve">.</w:t>
      </w:r>
    </w:p>
    <w:bookmarkEnd w:id="515"/>
    <w:bookmarkStart w:id="517"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516">
        <w:r>
          <w:rPr>
            <w:rStyle w:val="Hyperlink"/>
          </w:rPr>
          <w:t xml:space="preserve">https://doi.org/10.1016/S0014-2921(00)00037-4</w:t>
        </w:r>
      </w:hyperlink>
      <w:r>
        <w:t xml:space="preserve">.</w:t>
      </w:r>
    </w:p>
    <w:bookmarkEnd w:id="517"/>
    <w:bookmarkStart w:id="519"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518">
        <w:r>
          <w:rPr>
            <w:rStyle w:val="Hyperlink"/>
          </w:rPr>
          <w:t xml:space="preserve">https://www.conference-board.org/topics/us-leading-indicators</w:t>
        </w:r>
      </w:hyperlink>
      <w:r>
        <w:t xml:space="preserve">.</w:t>
      </w:r>
    </w:p>
    <w:bookmarkEnd w:id="519"/>
    <w:bookmarkStart w:id="521"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520">
        <w:r>
          <w:rPr>
            <w:rStyle w:val="Hyperlink"/>
          </w:rPr>
          <w:t xml:space="preserve">https://www.economist.com/finance-and-economics/2008/12/30/diagnosing-depression</w:t>
        </w:r>
      </w:hyperlink>
      <w:r>
        <w:t xml:space="preserve">.</w:t>
      </w:r>
    </w:p>
    <w:bookmarkEnd w:id="521"/>
    <w:bookmarkStart w:id="523"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522">
        <w:r>
          <w:rPr>
            <w:rStyle w:val="Hyperlink"/>
          </w:rPr>
          <w:t xml:space="preserve">https://eur-lex.europa.eu/legal-content/ES/TXT/?uri=CELEX:12012E/PRO/12</w:t>
        </w:r>
      </w:hyperlink>
      <w:r>
        <w:t xml:space="preserve">.</w:t>
      </w:r>
    </w:p>
    <w:bookmarkEnd w:id="523"/>
    <w:bookmarkStart w:id="525"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524">
        <w:r>
          <w:rPr>
            <w:rStyle w:val="Hyperlink"/>
          </w:rPr>
          <w:t xml:space="preserve">https://www.ucm.es/data/cont/docs/518-2015-04-29-COSTE%20LABORAL%20UNITARIO.pdf</w:t>
        </w:r>
      </w:hyperlink>
      <w:r>
        <w:t xml:space="preserve">.</w:t>
      </w:r>
    </w:p>
    <w:bookmarkEnd w:id="525"/>
    <w:bookmarkStart w:id="527"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526">
        <w:r>
          <w:rPr>
            <w:rStyle w:val="Hyperlink"/>
          </w:rPr>
          <w:t xml:space="preserve">https://www.eia.gov/dnav/pet/hist/LeafHandler.ashx?n=PET&amp;s=RBRTE&amp;f=M</w:t>
        </w:r>
      </w:hyperlink>
      <w:r>
        <w:t xml:space="preserve">.</w:t>
      </w:r>
    </w:p>
    <w:bookmarkEnd w:id="527"/>
    <w:bookmarkStart w:id="528" w:name="ref_VichGadella2007Guia"/>
    <w:p>
      <w:pPr>
        <w:pStyle w:val="Bibliography"/>
      </w:pPr>
      <w:r>
        <w:t xml:space="preserve">Vich Gadella, Ana Lucía (2007).</w:t>
      </w:r>
      <w:r>
        <w:t xml:space="preserve"> </w:t>
      </w:r>
      <w:r>
        <w:t xml:space="preserve">«Guía de dictamen económico»</w:t>
      </w:r>
      <w:r>
        <w:t xml:space="preserve">. ICEX-CECO.</w:t>
      </w:r>
    </w:p>
    <w:bookmarkEnd w:id="528"/>
    <w:bookmarkStart w:id="529"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529"/>
    <w:bookmarkEnd w:id="530"/>
    <w:bookmarkEnd w:id="53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En las preguntas de cálculo hay que escribir el procedimiento, no solo el resultado. Desde 2022 no se han pedido cálculos, pero el análisis los usa (contribuciones, productividad, CLU, brecha); las fórmulas y ejemplos están en el anexo </w:t>
      </w:r>
      <w:hyperlink w:anchor="anexo_calculos">
        <w:r>
          <w:rPr>
            <w:rStyle w:val="Hyperlink"/>
          </w:rPr>
          <w:t xml:space="preserve">E</w:t>
        </w:r>
      </w:hyperlink>
      <w:r>
        <w:t xml:space="preserve">.</w:t>
      </w:r>
    </w:p>
  </w:footnote>
  <w:footnote w:id="37">
    <w:p>
      <w:pPr>
        <w:pStyle w:val="FootnoteText"/>
      </w:pPr>
      <w:r>
        <w:rPr>
          <w:rStyle w:val="FootnoteReference"/>
        </w:rPr>
        <w:footnoteRef/>
      </w:r>
      <w:r>
        <w:t xml:space="preserve"> </w:t>
      </w:r>
      <w:r>
        <w:t xml:space="preserve">Traducción propia de la nota de prensa del FMI. Una frase de diagnóstico completa, en el estilo de la del FMI de 2023 sobre España, encadena 3 ideas: dónde está la economía y qué la ha sostenido, qué la está frenando y qué riesgos tiene</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footnote>
  <w:footnote w:id="39">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48">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49">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51">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57">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por plazo. Si el cuadro da 2 tipos (corto y largo), la «curva» es su diferencia.</w:t>
      </w:r>
      <w:r>
        <w:t xml:space="preserve"> </w:t>
      </w:r>
      <w:r>
        <w:rPr>
          <w:i/>
          <w:iCs/>
        </w:rPr>
        <w:t xml:space="preserve">Creciente</w:t>
      </w:r>
      <w:r>
        <w:t xml:space="preserve">: lo normal, por la prima de liquidez; si se empina, los inversores esperan subidas de tipos, a menudo porque esperan crecimiento.</w:t>
      </w:r>
      <w:r>
        <w:t xml:space="preserve"> </w:t>
      </w:r>
      <w:r>
        <w:rPr>
          <w:i/>
          <w:iCs/>
        </w:rPr>
        <w:t xml:space="preserve">Plana</w:t>
      </w:r>
      <w:r>
        <w:t xml:space="preserve">: se esperan bajadas que compensan la prima.</w:t>
      </w:r>
      <w:r>
        <w:t xml:space="preserve"> </w:t>
      </w:r>
      <w:r>
        <w:rPr>
          <w:i/>
          <w:iCs/>
        </w:rPr>
        <w:t xml:space="preserve">Invertida</w:t>
      </w:r>
      <w:r>
        <w:t xml:space="preserve">: los inversores esperan que el banco central baje los tipos para combatir una recesión y compran a largo plazo, lo que baja su rentabilidad</w:t>
      </w:r>
      <w:r>
        <w:t xml:space="preserve"> </w:t>
      </w:r>
      <w:hyperlink r:id="rId58">
        <w:r>
          <w:rPr>
            <w:rStyle w:val="Referenciaatema"/>
          </w:rPr>
          <w:t xml:space="preserve">[ver tema 3.B.24]</w:t>
        </w:r>
      </w:hyperlink>
      <w:r>
        <w:t xml:space="preserve">.</w:t>
      </w:r>
    </w:p>
  </w:footnote>
  <w:footnote w:id="68">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w:t>
      </w:r>
    </w:p>
  </w:footnote>
  <w:footnote w:id="69">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72">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78">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79">
        <w:r>
          <w:rPr>
            <w:rStyle w:val="Referenciaatema"/>
          </w:rPr>
          <w:t xml:space="preserve">[ver tema 4.A.11]</w:t>
        </w:r>
      </w:hyperlink>
      <w:r>
        <w:t xml:space="preserve">.</w:t>
      </w:r>
    </w:p>
  </w:footnote>
  <w:footnote w:id="80">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usar el nominal a largo, que ya incluye una prima por la inflación. En todos los casos hay que decir qué se ha hecho y sus limitaciones.</w:t>
      </w:r>
    </w:p>
  </w:footnote>
  <w:footnote w:id="81">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w:t>
      </w:r>
    </w:p>
  </w:footnote>
  <w:footnote w:id="85">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IV.2</w:t>
        </w:r>
      </w:hyperlink>
      <w:r>
        <w:t xml:space="preserve">).</w:t>
      </w:r>
    </w:p>
  </w:footnote>
  <w:footnote w:id="108">
    <w:p>
      <w:pPr>
        <w:pStyle w:val="FootnoteText"/>
      </w:pPr>
      <w:r>
        <w:rPr>
          <w:rStyle w:val="FootnoteReference"/>
        </w:rPr>
        <w:footnoteRef/>
      </w:r>
      <w:r>
        <w:t xml:space="preserve"> </w:t>
      </w:r>
      <w:r>
        <w:t xml:space="preserve">Pleno empleo no es paro nulo: siempre hay quien está cambiando de trabajo. En los países menos desarrollados un paro bajo puede esconder subempleo (pocas horas, informalidad, rentas muy bajas).</w:t>
      </w:r>
    </w:p>
  </w:footnote>
  <w:footnote w:id="113">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114">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119">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49">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42">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46">
    <w:p>
      <w:pPr>
        <w:pStyle w:val="FootnoteText"/>
      </w:pPr>
      <w:r>
        <w:rPr>
          <w:rStyle w:val="FootnoteReference"/>
        </w:rPr>
        <w:footnoteRef/>
      </w:r>
      <w:r>
        <w:t xml:space="preserve"> </w:t>
      </w:r>
      <w:r>
        <w:t xml:space="preserve">No hay una base teórica única para medirla; todas las medidas buscan separar los cambios persistentes de los transitorios.</w:t>
      </w:r>
    </w:p>
  </w:footnote>
  <w:footnote w:id="171">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t>0</m:t>
        </m:r>
      </m:oMath>
      <w:r>
        <w:t xml:space="preserve">, que es lo mismo.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173">
    <w:p>
      <w:pPr>
        <w:pStyle w:val="FootnoteText"/>
      </w:pPr>
      <w:r>
        <w:rPr>
          <w:rStyle w:val="FootnoteReference"/>
        </w:rPr>
        <w:footnoteRef/>
      </w:r>
      <w:r>
        <w:t xml:space="preserve"> </w:t>
      </w:r>
      <w:r>
        <w:t xml:space="preserve">Las subvenciones del Mecanismo de Recuperación y Resiliencia se anotan en la renta secundaria o en la cuenta de capital según financien gasto corriente o inversión, y los préstamos, como pasivos en la otra inversión de las administraciones públicas</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w:t>
      </w:r>
    </w:p>
  </w:footnote>
  <w:footnote w:id="183">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188">
    <w:p>
      <w:pPr>
        <w:pStyle w:val="FootnoteText"/>
      </w:pPr>
      <w:r>
        <w:rPr>
          <w:rStyle w:val="FootnoteReference"/>
        </w:rPr>
        <w:footnoteRef/>
      </w:r>
      <w:r>
        <w:t xml:space="preserve"> </w:t>
      </w:r>
      <w:r>
        <w:t xml:space="preserve">En contextos de mucha inflación hay que matizar: en 2022 muchos bancos centrales subieron con fuerza el tipo nominal, pero la inflación era tan alta que el tipo real caía. Una salvedad útil: «aunque los agentes deciden con el tipo real, la fuerte subida del tipo nominal al final de la serie indica un endurecimiento de la política monetaria».</w:t>
      </w:r>
    </w:p>
  </w:footnote>
  <w:footnote w:id="195">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22" Target="media/rId122.png" /><Relationship Type="http://schemas.openxmlformats.org/officeDocument/2006/relationships/image" Id="rId267" Target="media/rId267.png" /><Relationship Type="http://schemas.openxmlformats.org/officeDocument/2006/relationships/image" Id="rId249" Target="media/rId249.png" /><Relationship Type="http://schemas.openxmlformats.org/officeDocument/2006/relationships/image" Id="rId253" Target="media/rId253.png" /><Relationship Type="http://schemas.openxmlformats.org/officeDocument/2006/relationships/image" Id="rId73" Target="media/rId73.png" /><Relationship Type="http://schemas.openxmlformats.org/officeDocument/2006/relationships/image" Id="rId62" Target="media/rId62.png" /><Relationship Type="http://schemas.openxmlformats.org/officeDocument/2006/relationships/image" Id="rId263" Target="media/rId263.png" /><Relationship Type="http://schemas.openxmlformats.org/officeDocument/2006/relationships/image" Id="rId40" Target="media/rId40.png" /><Relationship Type="http://schemas.openxmlformats.org/officeDocument/2006/relationships/image" Id="rId149" Target="media/rId149.png" /><Relationship Type="http://schemas.openxmlformats.org/officeDocument/2006/relationships/image" Id="rId271" Target="media/rId271.png" /><Relationship Type="http://schemas.openxmlformats.org/officeDocument/2006/relationships/image" Id="rId275" Target="media/rId275.png" /><Relationship Type="http://schemas.openxmlformats.org/officeDocument/2006/relationships/image" Id="rId86" Target="media/rId86.png" /><Relationship Type="http://schemas.openxmlformats.org/officeDocument/2006/relationships/image" Id="rId259" Target="media/rId259.png" /><Relationship Type="http://schemas.openxmlformats.org/officeDocument/2006/relationships/image" Id="rId207" Target="media/rId207.png" /><Relationship Type="http://schemas.openxmlformats.org/officeDocument/2006/relationships/image" Id="rId190" Target="media/rId190.png" /><Relationship Type="http://schemas.openxmlformats.org/officeDocument/2006/relationships/hyperlink" Id="rId311" Target="https://atcee.es/la-oposicion-tcee/examenes-anteriores/" TargetMode="External" /><Relationship Type="http://schemas.openxmlformats.org/officeDocument/2006/relationships/hyperlink" Id="rId398" Target="https://commission.europa.eu/system/files/2021-06/2021_06_16_efb_assessment_of_euro_area_fiscal_stance_en.pdf" TargetMode="External" /><Relationship Type="http://schemas.openxmlformats.org/officeDocument/2006/relationships/hyperlink" Id="rId484" Target="https://data-explorer.oecd.org/" TargetMode="External" /><Relationship Type="http://schemas.openxmlformats.org/officeDocument/2006/relationships/hyperlink" Id="rId327" Target="https://data.ecb.europa.eu/data/datasets/EXR" TargetMode="External" /><Relationship Type="http://schemas.openxmlformats.org/officeDocument/2006/relationships/hyperlink" Id="rId329" Target="https://data.ecb.europa.eu/data/datasets/ILM" TargetMode="External" /><Relationship Type="http://schemas.openxmlformats.org/officeDocument/2006/relationships/hyperlink" Id="rId443" Target="https://data.imf.org/en/Dashboards/FM%20Dashboard" TargetMode="External" /><Relationship Type="http://schemas.openxmlformats.org/officeDocument/2006/relationships/hyperlink" Id="rId347" Target="https://data.worldbank.org/indicator/NE.TRD.GNFS.ZS" TargetMode="External" /><Relationship Type="http://schemas.openxmlformats.org/officeDocument/2006/relationships/hyperlink" Id="rId514" Target="https://doi.org/10.1016/0167-2231(93)90009-L" TargetMode="External" /><Relationship Type="http://schemas.openxmlformats.org/officeDocument/2006/relationships/hyperlink" Id="rId468" Target="https://doi.org/10.1016/0304-3932(91)90007-B" TargetMode="External" /><Relationship Type="http://schemas.openxmlformats.org/officeDocument/2006/relationships/hyperlink" Id="rId516" Target="https://doi.org/10.1016/S0014-2921(00)00037-4" TargetMode="External" /><Relationship Type="http://schemas.openxmlformats.org/officeDocument/2006/relationships/hyperlink" Id="rId512" Target="https://doi.org/10.1016/S1574-0048(99)01004-6" TargetMode="External" /><Relationship Type="http://schemas.openxmlformats.org/officeDocument/2006/relationships/hyperlink" Id="rId368" Target="https://doi.org/10.1016/j.jinteco.2014.05.003" TargetMode="External" /><Relationship Type="http://schemas.openxmlformats.org/officeDocument/2006/relationships/hyperlink" Id="rId507" Target="https://doi.org/10.1057/imfer.2012.6" TargetMode="External" /><Relationship Type="http://schemas.openxmlformats.org/officeDocument/2006/relationships/hyperlink" Id="rId359" Target="https://doi.org/10.1080/15140326.1998.12040516" TargetMode="External" /><Relationship Type="http://schemas.openxmlformats.org/officeDocument/2006/relationships/hyperlink" Id="rId349" Target="https://doi.org/10.1086/260266" TargetMode="External" /><Relationship Type="http://schemas.openxmlformats.org/officeDocument/2006/relationships/hyperlink" Id="rId452" Target="https://doi.org/10.1086/260724" TargetMode="External" /><Relationship Type="http://schemas.openxmlformats.org/officeDocument/2006/relationships/hyperlink" Id="rId465" Target="https://doi.org/10.1086/ma.19.3585327" TargetMode="External" /><Relationship Type="http://schemas.openxmlformats.org/officeDocument/2006/relationships/hyperlink" Id="rId365" Target="https://doi.org/10.1093/jeea/jvx028" TargetMode="External" /><Relationship Type="http://schemas.openxmlformats.org/officeDocument/2006/relationships/hyperlink" Id="rId424" Target="https://doi.org/10.1093/qje/qjz036" TargetMode="External" /><Relationship Type="http://schemas.openxmlformats.org/officeDocument/2006/relationships/hyperlink" Id="rId315" Target="https://doi.org/10.1111/jmcb.12420" TargetMode="External" /><Relationship Type="http://schemas.openxmlformats.org/officeDocument/2006/relationships/hyperlink" Id="rId361" Target="https://doi.org/10.1162/003355302753650274" TargetMode="External" /><Relationship Type="http://schemas.openxmlformats.org/officeDocument/2006/relationships/hyperlink" Id="rId363" Target="https://doi.org/10.1162/003465305775098189" TargetMode="External" /><Relationship Type="http://schemas.openxmlformats.org/officeDocument/2006/relationships/hyperlink" Id="rId392" Target="https://doi.org/10.1162/003465398557320" TargetMode="External" /><Relationship Type="http://schemas.openxmlformats.org/officeDocument/2006/relationships/hyperlink" Id="rId353" Target="https://doi.org/10.1257/aer.109.4.1197" TargetMode="External" /><Relationship Type="http://schemas.openxmlformats.org/officeDocument/2006/relationships/hyperlink" Id="rId450" Target="https://doi.org/10.1257/aer.20171201" TargetMode="External" /><Relationship Type="http://schemas.openxmlformats.org/officeDocument/2006/relationships/hyperlink" Id="rId307" Target="https://doi.org/10.1257/jep.33.4.187" TargetMode="External" /><Relationship Type="http://schemas.openxmlformats.org/officeDocument/2006/relationships/hyperlink" Id="rId474" Target="https://doi.org/10.1257/jep.35.1.3" TargetMode="External" /><Relationship Type="http://schemas.openxmlformats.org/officeDocument/2006/relationships/hyperlink" Id="rId357" Target="https://doi.org/10.1257/jep.5.1.73" TargetMode="External" /><Relationship Type="http://schemas.openxmlformats.org/officeDocument/2006/relationships/hyperlink" Id="rId500" Target="https://doi.org/10.1353/eca.2003.0018" TargetMode="External" /><Relationship Type="http://schemas.openxmlformats.org/officeDocument/2006/relationships/hyperlink" Id="rId503" Target="https://doi.org/10.21034/qr.531" TargetMode="External" /><Relationship Type="http://schemas.openxmlformats.org/officeDocument/2006/relationships/hyperlink" Id="rId386" Target="https://doi.org/10.2307/2232670" TargetMode="External" /><Relationship Type="http://schemas.openxmlformats.org/officeDocument/2006/relationships/hyperlink" Id="rId472" Target="https://doi.org/10.2307/2534091" TargetMode="External" /><Relationship Type="http://schemas.openxmlformats.org/officeDocument/2006/relationships/hyperlink" Id="rId355" Target="https://doi.org/10.2307/2534495" TargetMode="External" /><Relationship Type="http://schemas.openxmlformats.org/officeDocument/2006/relationships/hyperlink" Id="rId498" Target="https://doi.org/10.2307/2550759" TargetMode="External" /><Relationship Type="http://schemas.openxmlformats.org/officeDocument/2006/relationships/hyperlink" Id="rId456" Target="https://doi.org/10.2307/2953682" TargetMode="External" /><Relationship Type="http://schemas.openxmlformats.org/officeDocument/2006/relationships/hyperlink" Id="rId370" Target="https://doi.org/10.2765/022983" TargetMode="External" /><Relationship Type="http://schemas.openxmlformats.org/officeDocument/2006/relationships/hyperlink" Id="rId454" Target="https://doi.org/10.2765/71437" TargetMode="External" /><Relationship Type="http://schemas.openxmlformats.org/officeDocument/2006/relationships/hyperlink" Id="rId437" Target="https://doi.org/10.5089/9798400230622.002.A001" TargetMode="External" /><Relationship Type="http://schemas.openxmlformats.org/officeDocument/2006/relationships/hyperlink" Id="rId390" Target="https://doi.org/10.7208/chicago/9780226194578.003.0002" TargetMode="External" /><Relationship Type="http://schemas.openxmlformats.org/officeDocument/2006/relationships/hyperlink" Id="rId420" Target="https://ec.europa.eu/eurostat/databrowser/view/jvs_q_r21/default/table" TargetMode="External" /><Relationship Type="http://schemas.openxmlformats.org/officeDocument/2006/relationships/hyperlink" Id="rId408" Target="https://ec.europa.eu/eurostat/databrowser/view/lfsa_argan/default/table" TargetMode="External" /><Relationship Type="http://schemas.openxmlformats.org/officeDocument/2006/relationships/hyperlink" Id="rId406" Target="https://ec.europa.eu/eurostat/databrowser/view/lfsq_argan/default/table" TargetMode="External" /><Relationship Type="http://schemas.openxmlformats.org/officeDocument/2006/relationships/hyperlink" Id="rId416" Target="https://ec.europa.eu/eurostat/databrowser/view/nama_10_a10/default/table" TargetMode="External" /><Relationship Type="http://schemas.openxmlformats.org/officeDocument/2006/relationships/hyperlink" Id="rId414" Target="https://ec.europa.eu/eurostat/databrowser/view/nama_10_gdp/default/table" TargetMode="External" /><Relationship Type="http://schemas.openxmlformats.org/officeDocument/2006/relationships/hyperlink" Id="rId410" Target="https://ec.europa.eu/eurostat/databrowser/view/namq_10_a10_e/default/table" TargetMode="External" /><Relationship Type="http://schemas.openxmlformats.org/officeDocument/2006/relationships/hyperlink" Id="rId412" Target="https://ec.europa.eu/eurostat/databrowser/view/namq_10_gdp/default/table" TargetMode="External" /><Relationship Type="http://schemas.openxmlformats.org/officeDocument/2006/relationships/hyperlink" Id="rId418" Target="https://ec.europa.eu/eurostat/databrowser/view/prc_hicp_minr/default/table" TargetMode="External" /><Relationship Type="http://schemas.openxmlformats.org/officeDocument/2006/relationships/hyperlink" Id="rId422" Target="https://ec.europa.eu/eurostat/databrowser/view/une_rt_q/default/table" TargetMode="External" /><Relationship Type="http://schemas.openxmlformats.org/officeDocument/2006/relationships/hyperlink" Id="rId402" Target="https://ec.europa.eu/eurostat/statistics-explained/index.php?title=Glossary:Housing_cost_overburden_rate" TargetMode="External" /><Relationship Type="http://schemas.openxmlformats.org/officeDocument/2006/relationships/hyperlink" Id="rId404" Target="https://ec.europa.eu/eurostat/statistics-explained/index.php?title=The_Macroeconomic_Imbalance_Procedure_(MIP)_introduced" TargetMode="External" /><Relationship Type="http://schemas.openxmlformats.org/officeDocument/2006/relationships/hyperlink" Id="rId400" Target="https://ec.europa.eu/eurostat/web/products-euro-indicators/-/2-22042013-ap" TargetMode="External" /><Relationship Type="http://schemas.openxmlformats.org/officeDocument/2006/relationships/hyperlink" Id="rId374" Target="https://economy-finance.ec.europa.eu/economic-forecast-and-surveys/business-and-consumer-surveys_en" TargetMode="External" /><Relationship Type="http://schemas.openxmlformats.org/officeDocument/2006/relationships/hyperlink" Id="rId376" Target="https://economy-finance.ec.europa.eu/economic-research-and-databases/economic-databases/ameco-database_en" TargetMode="External" /><Relationship Type="http://schemas.openxmlformats.org/officeDocument/2006/relationships/hyperlink" Id="rId487" Target="https://eur-lex.europa.eu/eli/dir/2013/36/oj" TargetMode="External" /><Relationship Type="http://schemas.openxmlformats.org/officeDocument/2006/relationships/hyperlink" Id="rId491" Target="https://eur-lex.europa.eu/eli/reg/2013/549/oj" TargetMode="External" /><Relationship Type="http://schemas.openxmlformats.org/officeDocument/2006/relationships/hyperlink" Id="rId489" Target="https://eur-lex.europa.eu/eli/reg/2013/575/oj" TargetMode="External" /><Relationship Type="http://schemas.openxmlformats.org/officeDocument/2006/relationships/hyperlink" Id="rId493" Target="https://eur-lex.europa.eu/eli/reg/2024/1263/oj" TargetMode="External" /><Relationship Type="http://schemas.openxmlformats.org/officeDocument/2006/relationships/hyperlink" Id="rId384" Target="https://eur-lex.europa.eu/eli/reg/2024/1264/oj" TargetMode="External" /><Relationship Type="http://schemas.openxmlformats.org/officeDocument/2006/relationships/hyperlink" Id="rId495" Target="https://eur-lex.europa.eu/eli/reg/2024/1623/oj" TargetMode="External" /><Relationship Type="http://schemas.openxmlformats.org/officeDocument/2006/relationships/hyperlink" Id="rId372" Target="https://eur-lex.europa.eu/legal-content/EN/ALL/?uri=CELEX:52025DC0956" TargetMode="External" /><Relationship Type="http://schemas.openxmlformats.org/officeDocument/2006/relationships/hyperlink" Id="rId522" Target="https://eur-lex.europa.eu/legal-content/ES/TXT/?uri=CELEX:12012E/PRO/12" TargetMode="External" /><Relationship Type="http://schemas.openxmlformats.org/officeDocument/2006/relationships/hyperlink" Id="rId319" Target="https://eur-lex.europa.eu/legal-content/ES/TXT/?uri=CELEX:32020HB0019" TargetMode="External" /><Relationship Type="http://schemas.openxmlformats.org/officeDocument/2006/relationships/hyperlink" Id="rId505" Target="https://laadministracionaldia.inap.es/noticia.asp?id=1500719" TargetMode="External" /><Relationship Type="http://schemas.openxmlformats.org/officeDocument/2006/relationships/hyperlink" Id="rId323" Target="https://www.bankingsupervision.europa.eu/activities/srep/2025/html/ssm.srep202511_aggregatedresults2025.en.html" TargetMode="External" /><Relationship Type="http://schemas.openxmlformats.org/officeDocument/2006/relationships/hyperlink" Id="rId331" Target="https://www.bankingsupervision.europa.eu/press/pr/date/2026/html/ssm.pr260915~7917ca1416.es.html" TargetMode="External" /><Relationship Type="http://schemas.openxmlformats.org/officeDocument/2006/relationships/hyperlink" Id="rId341" Target="https://www.bde.es/f/webbe/GAP/Secciones/SalaPrensa/NotasInformativas/26/presbe2026-90.pdf" TargetMode="External" /><Relationship Type="http://schemas.openxmlformats.org/officeDocument/2006/relationships/hyperlink" Id="rId339" Target="https://www.bde.es/f/webbe/INF/MenuVertical/EstabilidadFinanciera/Colchon_capital/Resolucion_CCA_2025T4.pdf" TargetMode="External" /><Relationship Type="http://schemas.openxmlformats.org/officeDocument/2006/relationships/hyperlink" Id="rId343" Target="https://www.bde.es/wbe/es/publicaciones/informes-memorias-anuales/informe-anual/informe-anual-2025.html" TargetMode="External" /><Relationship Type="http://schemas.openxmlformats.org/officeDocument/2006/relationships/hyperlink" Id="rId337" Target="https://www.bde.es/webbe/es/estadisticas/compartido/docs/notaNGEU.pdf" TargetMode="External" /><Relationship Type="http://schemas.openxmlformats.org/officeDocument/2006/relationships/hyperlink" Id="rId382" Target="https://www.bis.org/bcbs/publ/d295.htm" TargetMode="External" /><Relationship Type="http://schemas.openxmlformats.org/officeDocument/2006/relationships/hyperlink" Id="rId351" Target="https://www.bis.org/bcbs/publ/d424.htm" TargetMode="External" /><Relationship Type="http://schemas.openxmlformats.org/officeDocument/2006/relationships/hyperlink" Id="rId345" Target="https://www.bis.org/publ/arpdf/ar2024e.htm" TargetMode="External" /><Relationship Type="http://schemas.openxmlformats.org/officeDocument/2006/relationships/hyperlink" Id="rId378" Target="https://www.bis.org/publ/bcbs187.htm" TargetMode="External" /><Relationship Type="http://schemas.openxmlformats.org/officeDocument/2006/relationships/hyperlink" Id="rId380" Target="https://www.bis.org/publ/bcbs238.htm" TargetMode="External" /><Relationship Type="http://schemas.openxmlformats.org/officeDocument/2006/relationships/hyperlink" Id="rId477" Target="https://www.boe.es/diario_boe/txt.php?id=BOE-A-2024-27439" TargetMode="External" /><Relationship Type="http://schemas.openxmlformats.org/officeDocument/2006/relationships/hyperlink" Id="rId479" Target="https://www.boe.es/diario_boe/txt.php?id=BOE-A-2025-26902" TargetMode="External" /><Relationship Type="http://schemas.openxmlformats.org/officeDocument/2006/relationships/hyperlink" Id="rId518" Target="https://www.conference-board.org/topics/us-leading-indicators" TargetMode="External" /><Relationship Type="http://schemas.openxmlformats.org/officeDocument/2006/relationships/hyperlink" Id="rId313" Target="https://www.eba.europa.eu/regulation-and-policy/credit-risk/guidelines-legislative-and-non-legislative-moratoria-loan-repayments-applied-light-covid-19-crisis" TargetMode="External" /><Relationship Type="http://schemas.openxmlformats.org/officeDocument/2006/relationships/hyperlink" Id="rId394" Target="https://www.eba.europa.eu/risk-and-data-analysis/risk-analysis/risk-monitoring/risk-dashboard" TargetMode="External" /><Relationship Type="http://schemas.openxmlformats.org/officeDocument/2006/relationships/hyperlink" Id="rId396" Target="https://www.eba.europa.eu/sites/default/files/2026-09/26394108-1837-4b5b-bce2-fba1d3c574b1/EBA%20Dashboard%20-%20Q2%202026.pdf" TargetMode="External" /><Relationship Type="http://schemas.openxmlformats.org/officeDocument/2006/relationships/hyperlink" Id="rId325" Target="https://www.ecb.europa.eu/mopo/strategy/strategy-review/ecb.strategyreview202506_strategy_statement.es.html" TargetMode="External" /><Relationship Type="http://schemas.openxmlformats.org/officeDocument/2006/relationships/hyperlink" Id="rId333" Target="https://www.ecb.europa.eu/paym/coll/risk/ecaf/html/index.en.html" TargetMode="External" /><Relationship Type="http://schemas.openxmlformats.org/officeDocument/2006/relationships/hyperlink" Id="rId321" Target="https://www.ecb.europa.eu/press/pr/date/2024/html/ecb.pr240313~807e240020.en.html" TargetMode="External" /><Relationship Type="http://schemas.openxmlformats.org/officeDocument/2006/relationships/hyperlink" Id="rId317" Target="https://www.ecb.europa.eu/pub/financial-stability/fsr/html/ecb.fsr202011~b7be9ae1f1.en.html" TargetMode="External" /><Relationship Type="http://schemas.openxmlformats.org/officeDocument/2006/relationships/hyperlink" Id="rId335" Target="https://www.ecb.europa.eu/stats/policy_and_exchange_rates/key_ecb_interest_rates/html/index.en.html" TargetMode="External" /><Relationship Type="http://schemas.openxmlformats.org/officeDocument/2006/relationships/hyperlink" Id="rId520" Target="https://www.economist.com/finance-and-economics/2008/12/30/diagnosing-depression" TargetMode="External" /><Relationship Type="http://schemas.openxmlformats.org/officeDocument/2006/relationships/hyperlink" Id="rId433" Target="https://www.edx.org/es/learn/finance/the-international-monetary-fund-financial-programming-and-policies-part-1-macroeconomic-accounts-analysis" TargetMode="External" /><Relationship Type="http://schemas.openxmlformats.org/officeDocument/2006/relationships/hyperlink" Id="rId526" Target="https://www.eia.gov/dnav/pet/hist/LeafHandler.ashx?n=PET&amp;s=RBRTE&amp;f=M" TargetMode="External" /><Relationship Type="http://schemas.openxmlformats.org/officeDocument/2006/relationships/hyperlink" Id="rId462" Target="https://www.esrb.europa.eu/pub/pdf/other/140303_esrb_handbook_mp.en.pdf" TargetMode="External" /><Relationship Type="http://schemas.openxmlformats.org/officeDocument/2006/relationships/hyperlink" Id="rId441" Target="https://www.imf.org/en/About/Factsheets/Sheets/2023/IMF-Conditionality" TargetMode="External" /><Relationship Type="http://schemas.openxmlformats.org/officeDocument/2006/relationships/hyperlink" Id="rId439" Target="https://www.imf.org/en/news/articles/2025/03/20/pr25072-imf-and-statistical-community-release-new-global-standards-for-macroeconomic-stats" TargetMode="External" /><Relationship Type="http://schemas.openxmlformats.org/officeDocument/2006/relationships/hyperlink" Id="rId445" Target="https://www.imf.org/en/publications/cr/issues/2026/05/21/spain-2026-article-iv-consultation-press-release-staff-report-and-statement-by-the-576248" TargetMode="External" /><Relationship Type="http://schemas.openxmlformats.org/officeDocument/2006/relationships/hyperlink" Id="rId447" Target="https://www.imf.org/en/publications/weo/issues/2026/10/13/world-economic-outlook-october-2026" TargetMode="External" /><Relationship Type="http://schemas.openxmlformats.org/officeDocument/2006/relationships/hyperlink" Id="rId435" Target="https://www.imf.org/es/Publications/FM/Issues/2023/04/03/fiscal-monitor-april-2023" TargetMode="External" /><Relationship Type="http://schemas.openxmlformats.org/officeDocument/2006/relationships/hyperlink" Id="rId430" Target="https://www.imf.org/external/np/pp/eng/2011/021411b.pdf" TargetMode="External" /><Relationship Type="http://schemas.openxmlformats.org/officeDocument/2006/relationships/hyperlink" Id="rId428" Target="https://www.imf.org/external/pubs/ft/bop/2007/pdf/bpm6.pdf" TargetMode="External" /><Relationship Type="http://schemas.openxmlformats.org/officeDocument/2006/relationships/hyperlink" Id="rId458" Target="https://www.ine.es/dyngs/INEbase/es/operacion.htm?c=Estadistica_C&amp;cid=1254736176918&amp;menu=metodologia&amp;idp=1254735976595" TargetMode="External" /><Relationship Type="http://schemas.openxmlformats.org/officeDocument/2006/relationships/hyperlink" Id="rId460" Target="https://www.ine.es/metodologia/t25/metodologia_IPC_base_2025.pdf" TargetMode="External" /><Relationship Type="http://schemas.openxmlformats.org/officeDocument/2006/relationships/hyperlink" Id="rId426" Target="https://www.levyinstitute.org/pubs/wp_651.pdf" TargetMode="External" /><Relationship Type="http://schemas.openxmlformats.org/officeDocument/2006/relationships/hyperlink" Id="rId482" Target="https://www.nber.org/research/business-cycle-dating/business-cycle-dating-procedure-frequently-asked-questions" TargetMode="External" /><Relationship Type="http://schemas.openxmlformats.org/officeDocument/2006/relationships/hyperlink" Id="rId510" Target="https://www.spglobal.com/marketintelligence/en/mi/products/pmi.html" TargetMode="External" /><Relationship Type="http://schemas.openxmlformats.org/officeDocument/2006/relationships/hyperlink" Id="rId524" Target="https://www.ucm.es/data/cont/docs/518-2015-04-29-COSTE%20LABORAL%20UNITARIO.pdf" TargetMode="External" /><Relationship Type="http://schemas.openxmlformats.org/officeDocument/2006/relationships/hyperlink" Id="rId46" Target="https://www.victorgutierrezmarcos.es/oposicion/temario/cuarto-ejercicio/4A01.pdf" TargetMode="External" /><Relationship Type="http://schemas.openxmlformats.org/officeDocument/2006/relationships/hyperlink" Id="rId79" Target="https://www.victorgutierrezmarcos.es/oposicion/temario/cuarto-ejercicio/4A11.pdf" TargetMode="External" /><Relationship Type="http://schemas.openxmlformats.org/officeDocument/2006/relationships/hyperlink" Id="rId97" Target="https://www.victorgutierrezmarcos.es/oposicion/temario/cuarto-ejercicio/4A13.pdf" TargetMode="External" /><Relationship Type="http://schemas.openxmlformats.org/officeDocument/2006/relationships/hyperlink" Id="rId298" Target="https://www.victorgutierrezmarcos.es/oposicion/temario/cuarto-ejercicio/4A15.pdf" TargetMode="External" /><Relationship Type="http://schemas.openxmlformats.org/officeDocument/2006/relationships/hyperlink" Id="rId110" Target="https://www.victorgutierrezmarcos.es/oposicion/temario/cuarto-ejercicio/4A16.pdf" TargetMode="External" /><Relationship Type="http://schemas.openxmlformats.org/officeDocument/2006/relationships/hyperlink" Id="rId225" Target="https://www.victorgutierrezmarcos.es/oposicion/temario/cuarto-ejercicio/4A18.pdf" TargetMode="External" /><Relationship Type="http://schemas.openxmlformats.org/officeDocument/2006/relationships/hyperlink" Id="rId132" Target="https://www.victorgutierrezmarcos.es/oposicion/temario/cuarto-ejercicio/4A19.pdf" TargetMode="External" /><Relationship Type="http://schemas.openxmlformats.org/officeDocument/2006/relationships/hyperlink" Id="rId289" Target="https://www.victorgutierrezmarcos.es/oposicion/temario/cuarto-ejercicio/4A20.pdf" TargetMode="External" /><Relationship Type="http://schemas.openxmlformats.org/officeDocument/2006/relationships/hyperlink" Id="rId55" Target="https://www.victorgutierrezmarcos.es/oposicion/temario/cuarto-ejercicio/4A21.pdf" TargetMode="External" /><Relationship Type="http://schemas.openxmlformats.org/officeDocument/2006/relationships/hyperlink" Id="rId116" Target="https://www.victorgutierrezmarcos.es/oposicion/temario/cuarto-ejercicio/4A22.pdf" TargetMode="External" /><Relationship Type="http://schemas.openxmlformats.org/officeDocument/2006/relationships/hyperlink" Id="rId293" Target="https://www.victorgutierrezmarcos.es/oposicion/temario/cuarto-ejercicio/4A23.pdf" TargetMode="External" /><Relationship Type="http://schemas.openxmlformats.org/officeDocument/2006/relationships/hyperlink" Id="rId304" Target="https://www.victorgutierrezmarcos.es/oposicion/temario/cuarto-ejercicio/4A24.pdf" TargetMode="External" /><Relationship Type="http://schemas.openxmlformats.org/officeDocument/2006/relationships/hyperlink" Id="rId107" Target="https://www.victorgutierrezmarcos.es/oposicion/temario/cuarto-ejercicio/4A30.pdf" TargetMode="External" /><Relationship Type="http://schemas.openxmlformats.org/officeDocument/2006/relationships/hyperlink" Id="rId223" Target="https://www.victorgutierrezmarcos.es/oposicion/temario/cuarto-ejercicio/4B01.pdf" TargetMode="External" /><Relationship Type="http://schemas.openxmlformats.org/officeDocument/2006/relationships/hyperlink" Id="rId50" Target="https://www.victorgutierrezmarcos.es/oposicion/temario/cuarto-ejercicio/4B04.pdf" TargetMode="External" /><Relationship Type="http://schemas.openxmlformats.org/officeDocument/2006/relationships/hyperlink" Id="rId201" Target="https://www.victorgutierrezmarcos.es/oposicion/temario/cuarto-ejercicio/4B05.pdf" TargetMode="External" /><Relationship Type="http://schemas.openxmlformats.org/officeDocument/2006/relationships/hyperlink" Id="rId202" Target="https://www.victorgutierrezmarcos.es/oposicion/temario/cuarto-ejercicio/4B07.pdf" TargetMode="External" /><Relationship Type="http://schemas.openxmlformats.org/officeDocument/2006/relationships/hyperlink" Id="rId198" Target="https://www.victorgutierrezmarcos.es/oposicion/temario/cuarto-ejercicio/4B21.pdf" TargetMode="External" /><Relationship Type="http://schemas.openxmlformats.org/officeDocument/2006/relationships/hyperlink" Id="rId203"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49" Target="https://www.victorgutierrezmarcos.es/oposicion/temario/tema-no-disponible.html?tema=3.A.28" TargetMode="External" /><Relationship Type="http://schemas.openxmlformats.org/officeDocument/2006/relationships/hyperlink" Id="rId284" Target="https://www.victorgutierrezmarcos.es/oposicion/temario/tema-no-disponible.html?tema=3.A.31" TargetMode="External" /><Relationship Type="http://schemas.openxmlformats.org/officeDocument/2006/relationships/hyperlink" Id="rId178" Target="https://www.victorgutierrezmarcos.es/oposicion/temario/tema-no-disponible.html?tema=3.A.32" TargetMode="External" /><Relationship Type="http://schemas.openxmlformats.org/officeDocument/2006/relationships/hyperlink" Id="rId206" Target="https://www.victorgutierrezmarcos.es/oposicion/temario/tema-no-disponible.html?tema=3.A.40" TargetMode="External" /><Relationship Type="http://schemas.openxmlformats.org/officeDocument/2006/relationships/hyperlink" Id="rId286" Target="https://www.victorgutierrezmarcos.es/oposicion/temario/tema-no-disponible.html?tema=3.B.18" TargetMode="External" /><Relationship Type="http://schemas.openxmlformats.org/officeDocument/2006/relationships/hyperlink" Id="rId288" Target="https://www.victorgutierrezmarcos.es/oposicion/temario/tema-no-disponible.html?tema=3.B.26" TargetMode="External" /><Relationship Type="http://schemas.openxmlformats.org/officeDocument/2006/relationships/hyperlink" Id="rId222" Target="https://www.victorgutierrezmarcos.es/oposicion/temario/tema-no-disponible.html?tema=3.B.29" TargetMode="External" /><Relationship Type="http://schemas.openxmlformats.org/officeDocument/2006/relationships/hyperlink" Id="rId100" Target="https://www.victorgutierrezmarcos.es/oposicion/temario/tema-no-disponible.html?tema=3.B.32" TargetMode="External" /><Relationship Type="http://schemas.openxmlformats.org/officeDocument/2006/relationships/hyperlink" Id="rId297" Target="https://www.victorgutierrezmarcos.es/oposicion/temario/tema-no-disponible.html?tema=3.B.43" TargetMode="External" /><Relationship Type="http://schemas.openxmlformats.org/officeDocument/2006/relationships/hyperlink" Id="rId138" Target="https://www.victorgutierrezmarcos.es/oposicion/temario/tema-no-disponible.html?tema=3.B.44"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27" Target="https://www.victorgutierrezmarcos.es/oposicion/temario/tema-no-disponible.html?tema=4.A.2" TargetMode="External" /><Relationship Type="http://schemas.openxmlformats.org/officeDocument/2006/relationships/hyperlink" Id="rId291" Target="https://www.victorgutierrezmarcos.es/oposicion/temario/tema-no-disponible.html?tema=4.A.25" TargetMode="External" /><Relationship Type="http://schemas.openxmlformats.org/officeDocument/2006/relationships/hyperlink" Id="rId61" Target="https://www.victorgutierrezmarcos.es/oposicion/temario/tema-no-disponible.html?tema=4.A.29" TargetMode="External" /><Relationship Type="http://schemas.openxmlformats.org/officeDocument/2006/relationships/hyperlink" Id="rId94" Target="https://www.victorgutierrezmarcos.es/oposicion/temario/tema-no-disponible.html?tema=4.A.4" TargetMode="External" /><Relationship Type="http://schemas.openxmlformats.org/officeDocument/2006/relationships/hyperlink" Id="rId95" Target="https://www.victorgutierrezmarcos.es/oposicion/temario/tema-no-disponible.html?tema=4.A.5" TargetMode="External" /><Relationship Type="http://schemas.openxmlformats.org/officeDocument/2006/relationships/hyperlink" Id="rId303" Target="https://www.victorgutierrezmarcos.es/oposicion/temario/tema-no-disponible.html?tema=4.A.7" TargetMode="External" /><Relationship Type="http://schemas.openxmlformats.org/officeDocument/2006/relationships/hyperlink" Id="rId96" Target="https://www.victorgutierrezmarcos.es/oposicion/temario/tema-no-disponible.html?tema=4.A.9" TargetMode="External" /><Relationship Type="http://schemas.openxmlformats.org/officeDocument/2006/relationships/hyperlink" Id="rId299" Target="https://www.victorgutierrezmarcos.es/oposicion/temario/tema-no-disponible.html?tema=4.B.23" TargetMode="External" /><Relationship Type="http://schemas.openxmlformats.org/officeDocument/2006/relationships/hyperlink" Id="rId143" Target="https://www.victorgutierrezmarcos.es/oposicion/temario/tercer-ejercicio/3A09.pdf" TargetMode="External" /><Relationship Type="http://schemas.openxmlformats.org/officeDocument/2006/relationships/hyperlink" Id="rId70" Target="https://www.victorgutierrezmarcos.es/oposicion/temario/tercer-ejercicio/3A10.pdf" TargetMode="External" /><Relationship Type="http://schemas.openxmlformats.org/officeDocument/2006/relationships/hyperlink" Id="rId285" Target="https://www.victorgutierrezmarcos.es/oposicion/temario/tercer-ejercicio/3A13.pdf" TargetMode="External" /><Relationship Type="http://schemas.openxmlformats.org/officeDocument/2006/relationships/hyperlink" Id="rId300" Target="https://www.victorgutierrezmarcos.es/oposicion/temario/tercer-ejercicio/3A15.pdf" TargetMode="External" /><Relationship Type="http://schemas.openxmlformats.org/officeDocument/2006/relationships/hyperlink" Id="rId128" Target="https://www.victorgutierrezmarcos.es/oposicion/temario/tercer-ejercicio/3A17.pdf" TargetMode="External" /><Relationship Type="http://schemas.openxmlformats.org/officeDocument/2006/relationships/hyperlink" Id="rId301" Target="https://www.victorgutierrezmarcos.es/oposicion/temario/tercer-ejercicio/3A20.pdf" TargetMode="External" /><Relationship Type="http://schemas.openxmlformats.org/officeDocument/2006/relationships/hyperlink" Id="rId302" Target="https://www.victorgutierrezmarcos.es/oposicion/temario/tercer-ejercicio/3A23.pdf" TargetMode="External" /><Relationship Type="http://schemas.openxmlformats.org/officeDocument/2006/relationships/hyperlink" Id="rId109" Target="https://www.victorgutierrezmarcos.es/oposicion/temario/tercer-ejercicio/3A25.pdf" TargetMode="External" /><Relationship Type="http://schemas.openxmlformats.org/officeDocument/2006/relationships/hyperlink" Id="rId121" Target="https://www.victorgutierrezmarcos.es/oposicion/temario/tercer-ejercicio/3A26.pdf" TargetMode="External" /><Relationship Type="http://schemas.openxmlformats.org/officeDocument/2006/relationships/hyperlink" Id="rId115"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67" Target="https://www.victorgutierrezmarcos.es/oposicion/temario/tercer-ejercicio/3A33.pdf" TargetMode="External" /><Relationship Type="http://schemas.openxmlformats.org/officeDocument/2006/relationships/hyperlink" Id="rId82" Target="https://www.victorgutierrezmarcos.es/oposicion/temario/tercer-ejercicio/3A34.pdf" TargetMode="External" /><Relationship Type="http://schemas.openxmlformats.org/officeDocument/2006/relationships/hyperlink" Id="rId294" Target="https://www.victorgutierrezmarcos.es/oposicion/temario/tercer-ejercicio/3A35.pdf" TargetMode="External" /><Relationship Type="http://schemas.openxmlformats.org/officeDocument/2006/relationships/hyperlink" Id="rId154" Target="https://www.victorgutierrezmarcos.es/oposicion/temario/tercer-ejercicio/3A36.pdf" TargetMode="External" /><Relationship Type="http://schemas.openxmlformats.org/officeDocument/2006/relationships/hyperlink" Id="rId189" Target="https://www.victorgutierrezmarcos.es/oposicion/temario/tercer-ejercicio/3A37.pdf" TargetMode="External" /><Relationship Type="http://schemas.openxmlformats.org/officeDocument/2006/relationships/hyperlink" Id="rId295" Target="https://www.victorgutierrezmarcos.es/oposicion/temario/tercer-ejercicio/3A38.pdf" TargetMode="External" /><Relationship Type="http://schemas.openxmlformats.org/officeDocument/2006/relationships/hyperlink" Id="rId71" Target="https://www.victorgutierrezmarcos.es/oposicion/temario/tercer-ejercicio/3A39.pdf" TargetMode="External" /><Relationship Type="http://schemas.openxmlformats.org/officeDocument/2006/relationships/hyperlink" Id="rId147"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2" Target="https://www.victorgutierrezmarcos.es/oposicion/temario/tercer-ejercicio/3A43.pdf" TargetMode="External" /><Relationship Type="http://schemas.openxmlformats.org/officeDocument/2006/relationships/hyperlink" Id="rId212" Target="https://www.victorgutierrezmarcos.es/oposicion/temario/tercer-ejercicio/3A44.pdf" TargetMode="External" /><Relationship Type="http://schemas.openxmlformats.org/officeDocument/2006/relationships/hyperlink" Id="rId52" Target="https://www.victorgutierrezmarcos.es/oposicion/temario/tercer-ejercicio/3A45.pdf" TargetMode="External" /><Relationship Type="http://schemas.openxmlformats.org/officeDocument/2006/relationships/hyperlink" Id="rId134" Target="https://www.victorgutierrezmarcos.es/oposicion/temario/tercer-ejercicio/3B01.pdf" TargetMode="External" /><Relationship Type="http://schemas.openxmlformats.org/officeDocument/2006/relationships/hyperlink" Id="rId176" Target="https://www.victorgutierrezmarcos.es/oposicion/temario/tercer-ejercicio/3B05.pdf" TargetMode="External" /><Relationship Type="http://schemas.openxmlformats.org/officeDocument/2006/relationships/hyperlink" Id="rId164" Target="https://www.victorgutierrezmarcos.es/oposicion/temario/tercer-ejercicio/3B06.pdf" TargetMode="External" /><Relationship Type="http://schemas.openxmlformats.org/officeDocument/2006/relationships/hyperlink" Id="rId165" Target="https://www.victorgutierrezmarcos.es/oposicion/temario/tercer-ejercicio/3B07.pdf" TargetMode="External" /><Relationship Type="http://schemas.openxmlformats.org/officeDocument/2006/relationships/hyperlink" Id="rId175" Target="https://www.victorgutierrezmarcos.es/oposicion/temario/tercer-ejercicio/3B09.pdf" TargetMode="External" /><Relationship Type="http://schemas.openxmlformats.org/officeDocument/2006/relationships/hyperlink" Id="rId54" Target="https://www.victorgutierrezmarcos.es/oposicion/temario/tercer-ejercicio/3B11.pdf" TargetMode="External" /><Relationship Type="http://schemas.openxmlformats.org/officeDocument/2006/relationships/hyperlink" Id="rId159" Target="https://www.victorgutierrezmarcos.es/oposicion/temario/tercer-ejercicio/3B12.pdf" TargetMode="External" /><Relationship Type="http://schemas.openxmlformats.org/officeDocument/2006/relationships/hyperlink" Id="rId157" Target="https://www.victorgutierrezmarcos.es/oposicion/temario/tercer-ejercicio/3B13.pdf" TargetMode="External" /><Relationship Type="http://schemas.openxmlformats.org/officeDocument/2006/relationships/hyperlink" Id="rId290" Target="https://www.victorgutierrezmarcos.es/oposicion/temario/tercer-ejercicio/3B14.pdf" TargetMode="External" /><Relationship Type="http://schemas.openxmlformats.org/officeDocument/2006/relationships/hyperlink" Id="rId161" Target="https://www.victorgutierrezmarcos.es/oposicion/temario/tercer-ejercicio/3B15.pdf" TargetMode="External" /><Relationship Type="http://schemas.openxmlformats.org/officeDocument/2006/relationships/hyperlink" Id="rId292" Target="https://www.victorgutierrezmarcos.es/oposicion/temario/tercer-ejercicio/3B17.pdf" TargetMode="External" /><Relationship Type="http://schemas.openxmlformats.org/officeDocument/2006/relationships/hyperlink" Id="rId296" Target="https://www.victorgutierrezmarcos.es/oposicion/temario/tercer-ejercicio/3B19.pdf" TargetMode="External" /><Relationship Type="http://schemas.openxmlformats.org/officeDocument/2006/relationships/hyperlink" Id="rId181" Target="https://www.victorgutierrezmarcos.es/oposicion/temario/tercer-ejercicio/3B22.pdf" TargetMode="External" /><Relationship Type="http://schemas.openxmlformats.org/officeDocument/2006/relationships/hyperlink" Id="rId287" Target="https://www.victorgutierrezmarcos.es/oposicion/temario/tercer-ejercicio/3B23.pdf" TargetMode="External" /><Relationship Type="http://schemas.openxmlformats.org/officeDocument/2006/relationships/hyperlink" Id="rId58" Target="https://www.victorgutierrezmarcos.es/oposicion/temario/tercer-ejercicio/3B24.pdf" TargetMode="External" /><Relationship Type="http://schemas.openxmlformats.org/officeDocument/2006/relationships/hyperlink" Id="rId131" Target="https://www.victorgutierrezmarcos.es/oposicion/temario/tercer-ejercicio/3B27.pdf" TargetMode="External" /><Relationship Type="http://schemas.openxmlformats.org/officeDocument/2006/relationships/hyperlink" Id="rId99" Target="https://www.victorgutierrezmarcos.es/oposicion/temario/tercer-ejercicio/3B28.pdf" TargetMode="External" /><Relationship Type="http://schemas.openxmlformats.org/officeDocument/2006/relationships/hyperlink" Id="rId166" Target="https://www.victorgutierrezmarcos.es/oposicion/temario/tercer-ejercicio/3B33.pdf" TargetMode="External" /><Relationship Type="http://schemas.openxmlformats.org/officeDocument/2006/relationships/hyperlink" Id="rId167" Target="https://www.victorgutierrezmarcos.es/oposicion/temario/tercer-ejercicio/3B41.pdf" TargetMode="External" /><Relationship Type="http://schemas.openxmlformats.org/officeDocument/2006/relationships/hyperlink" Id="rId309"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11" Target="https://atcee.es/la-oposicion-tcee/examenes-anteriores/" TargetMode="External" /><Relationship Type="http://schemas.openxmlformats.org/officeDocument/2006/relationships/hyperlink" Id="rId398" Target="https://commission.europa.eu/system/files/2021-06/2021_06_16_efb_assessment_of_euro_area_fiscal_stance_en.pdf" TargetMode="External" /><Relationship Type="http://schemas.openxmlformats.org/officeDocument/2006/relationships/hyperlink" Id="rId484" Target="https://data-explorer.oecd.org/" TargetMode="External" /><Relationship Type="http://schemas.openxmlformats.org/officeDocument/2006/relationships/hyperlink" Id="rId327" Target="https://data.ecb.europa.eu/data/datasets/EXR" TargetMode="External" /><Relationship Type="http://schemas.openxmlformats.org/officeDocument/2006/relationships/hyperlink" Id="rId329" Target="https://data.ecb.europa.eu/data/datasets/ILM" TargetMode="External" /><Relationship Type="http://schemas.openxmlformats.org/officeDocument/2006/relationships/hyperlink" Id="rId443" Target="https://data.imf.org/en/Dashboards/FM%20Dashboard" TargetMode="External" /><Relationship Type="http://schemas.openxmlformats.org/officeDocument/2006/relationships/hyperlink" Id="rId347" Target="https://data.worldbank.org/indicator/NE.TRD.GNFS.ZS" TargetMode="External" /><Relationship Type="http://schemas.openxmlformats.org/officeDocument/2006/relationships/hyperlink" Id="rId514" Target="https://doi.org/10.1016/0167-2231(93)90009-L" TargetMode="External" /><Relationship Type="http://schemas.openxmlformats.org/officeDocument/2006/relationships/hyperlink" Id="rId468" Target="https://doi.org/10.1016/0304-3932(91)90007-B" TargetMode="External" /><Relationship Type="http://schemas.openxmlformats.org/officeDocument/2006/relationships/hyperlink" Id="rId516" Target="https://doi.org/10.1016/S0014-2921(00)00037-4" TargetMode="External" /><Relationship Type="http://schemas.openxmlformats.org/officeDocument/2006/relationships/hyperlink" Id="rId512" Target="https://doi.org/10.1016/S1574-0048(99)01004-6" TargetMode="External" /><Relationship Type="http://schemas.openxmlformats.org/officeDocument/2006/relationships/hyperlink" Id="rId368" Target="https://doi.org/10.1016/j.jinteco.2014.05.003" TargetMode="External" /><Relationship Type="http://schemas.openxmlformats.org/officeDocument/2006/relationships/hyperlink" Id="rId507" Target="https://doi.org/10.1057/imfer.2012.6" TargetMode="External" /><Relationship Type="http://schemas.openxmlformats.org/officeDocument/2006/relationships/hyperlink" Id="rId359" Target="https://doi.org/10.1080/15140326.1998.12040516" TargetMode="External" /><Relationship Type="http://schemas.openxmlformats.org/officeDocument/2006/relationships/hyperlink" Id="rId349" Target="https://doi.org/10.1086/260266" TargetMode="External" /><Relationship Type="http://schemas.openxmlformats.org/officeDocument/2006/relationships/hyperlink" Id="rId452" Target="https://doi.org/10.1086/260724" TargetMode="External" /><Relationship Type="http://schemas.openxmlformats.org/officeDocument/2006/relationships/hyperlink" Id="rId465" Target="https://doi.org/10.1086/ma.19.3585327" TargetMode="External" /><Relationship Type="http://schemas.openxmlformats.org/officeDocument/2006/relationships/hyperlink" Id="rId365" Target="https://doi.org/10.1093/jeea/jvx028" TargetMode="External" /><Relationship Type="http://schemas.openxmlformats.org/officeDocument/2006/relationships/hyperlink" Id="rId424" Target="https://doi.org/10.1093/qje/qjz036" TargetMode="External" /><Relationship Type="http://schemas.openxmlformats.org/officeDocument/2006/relationships/hyperlink" Id="rId315" Target="https://doi.org/10.1111/jmcb.12420" TargetMode="External" /><Relationship Type="http://schemas.openxmlformats.org/officeDocument/2006/relationships/hyperlink" Id="rId361" Target="https://doi.org/10.1162/003355302753650274" TargetMode="External" /><Relationship Type="http://schemas.openxmlformats.org/officeDocument/2006/relationships/hyperlink" Id="rId363" Target="https://doi.org/10.1162/003465305775098189" TargetMode="External" /><Relationship Type="http://schemas.openxmlformats.org/officeDocument/2006/relationships/hyperlink" Id="rId392" Target="https://doi.org/10.1162/003465398557320" TargetMode="External" /><Relationship Type="http://schemas.openxmlformats.org/officeDocument/2006/relationships/hyperlink" Id="rId353" Target="https://doi.org/10.1257/aer.109.4.1197" TargetMode="External" /><Relationship Type="http://schemas.openxmlformats.org/officeDocument/2006/relationships/hyperlink" Id="rId450" Target="https://doi.org/10.1257/aer.20171201" TargetMode="External" /><Relationship Type="http://schemas.openxmlformats.org/officeDocument/2006/relationships/hyperlink" Id="rId307" Target="https://doi.org/10.1257/jep.33.4.187" TargetMode="External" /><Relationship Type="http://schemas.openxmlformats.org/officeDocument/2006/relationships/hyperlink" Id="rId474" Target="https://doi.org/10.1257/jep.35.1.3" TargetMode="External" /><Relationship Type="http://schemas.openxmlformats.org/officeDocument/2006/relationships/hyperlink" Id="rId357" Target="https://doi.org/10.1257/jep.5.1.73" TargetMode="External" /><Relationship Type="http://schemas.openxmlformats.org/officeDocument/2006/relationships/hyperlink" Id="rId500" Target="https://doi.org/10.1353/eca.2003.0018" TargetMode="External" /><Relationship Type="http://schemas.openxmlformats.org/officeDocument/2006/relationships/hyperlink" Id="rId503" Target="https://doi.org/10.21034/qr.531" TargetMode="External" /><Relationship Type="http://schemas.openxmlformats.org/officeDocument/2006/relationships/hyperlink" Id="rId386" Target="https://doi.org/10.2307/2232670" TargetMode="External" /><Relationship Type="http://schemas.openxmlformats.org/officeDocument/2006/relationships/hyperlink" Id="rId472" Target="https://doi.org/10.2307/2534091" TargetMode="External" /><Relationship Type="http://schemas.openxmlformats.org/officeDocument/2006/relationships/hyperlink" Id="rId355" Target="https://doi.org/10.2307/2534495" TargetMode="External" /><Relationship Type="http://schemas.openxmlformats.org/officeDocument/2006/relationships/hyperlink" Id="rId498" Target="https://doi.org/10.2307/2550759" TargetMode="External" /><Relationship Type="http://schemas.openxmlformats.org/officeDocument/2006/relationships/hyperlink" Id="rId456" Target="https://doi.org/10.2307/2953682" TargetMode="External" /><Relationship Type="http://schemas.openxmlformats.org/officeDocument/2006/relationships/hyperlink" Id="rId370" Target="https://doi.org/10.2765/022983" TargetMode="External" /><Relationship Type="http://schemas.openxmlformats.org/officeDocument/2006/relationships/hyperlink" Id="rId454" Target="https://doi.org/10.2765/71437" TargetMode="External" /><Relationship Type="http://schemas.openxmlformats.org/officeDocument/2006/relationships/hyperlink" Id="rId437" Target="https://doi.org/10.5089/9798400230622.002.A001" TargetMode="External" /><Relationship Type="http://schemas.openxmlformats.org/officeDocument/2006/relationships/hyperlink" Id="rId390" Target="https://doi.org/10.7208/chicago/9780226194578.003.0002" TargetMode="External" /><Relationship Type="http://schemas.openxmlformats.org/officeDocument/2006/relationships/hyperlink" Id="rId420" Target="https://ec.europa.eu/eurostat/databrowser/view/jvs_q_r21/default/table" TargetMode="External" /><Relationship Type="http://schemas.openxmlformats.org/officeDocument/2006/relationships/hyperlink" Id="rId408" Target="https://ec.europa.eu/eurostat/databrowser/view/lfsa_argan/default/table" TargetMode="External" /><Relationship Type="http://schemas.openxmlformats.org/officeDocument/2006/relationships/hyperlink" Id="rId406" Target="https://ec.europa.eu/eurostat/databrowser/view/lfsq_argan/default/table" TargetMode="External" /><Relationship Type="http://schemas.openxmlformats.org/officeDocument/2006/relationships/hyperlink" Id="rId416" Target="https://ec.europa.eu/eurostat/databrowser/view/nama_10_a10/default/table" TargetMode="External" /><Relationship Type="http://schemas.openxmlformats.org/officeDocument/2006/relationships/hyperlink" Id="rId414" Target="https://ec.europa.eu/eurostat/databrowser/view/nama_10_gdp/default/table" TargetMode="External" /><Relationship Type="http://schemas.openxmlformats.org/officeDocument/2006/relationships/hyperlink" Id="rId410" Target="https://ec.europa.eu/eurostat/databrowser/view/namq_10_a10_e/default/table" TargetMode="External" /><Relationship Type="http://schemas.openxmlformats.org/officeDocument/2006/relationships/hyperlink" Id="rId412" Target="https://ec.europa.eu/eurostat/databrowser/view/namq_10_gdp/default/table" TargetMode="External" /><Relationship Type="http://schemas.openxmlformats.org/officeDocument/2006/relationships/hyperlink" Id="rId418" Target="https://ec.europa.eu/eurostat/databrowser/view/prc_hicp_minr/default/table" TargetMode="External" /><Relationship Type="http://schemas.openxmlformats.org/officeDocument/2006/relationships/hyperlink" Id="rId422" Target="https://ec.europa.eu/eurostat/databrowser/view/une_rt_q/default/table" TargetMode="External" /><Relationship Type="http://schemas.openxmlformats.org/officeDocument/2006/relationships/hyperlink" Id="rId402" Target="https://ec.europa.eu/eurostat/statistics-explained/index.php?title=Glossary:Housing_cost_overburden_rate" TargetMode="External" /><Relationship Type="http://schemas.openxmlformats.org/officeDocument/2006/relationships/hyperlink" Id="rId404" Target="https://ec.europa.eu/eurostat/statistics-explained/index.php?title=The_Macroeconomic_Imbalance_Procedure_(MIP)_introduced" TargetMode="External" /><Relationship Type="http://schemas.openxmlformats.org/officeDocument/2006/relationships/hyperlink" Id="rId400" Target="https://ec.europa.eu/eurostat/web/products-euro-indicators/-/2-22042013-ap" TargetMode="External" /><Relationship Type="http://schemas.openxmlformats.org/officeDocument/2006/relationships/hyperlink" Id="rId374" Target="https://economy-finance.ec.europa.eu/economic-forecast-and-surveys/business-and-consumer-surveys_en" TargetMode="External" /><Relationship Type="http://schemas.openxmlformats.org/officeDocument/2006/relationships/hyperlink" Id="rId376" Target="https://economy-finance.ec.europa.eu/economic-research-and-databases/economic-databases/ameco-database_en" TargetMode="External" /><Relationship Type="http://schemas.openxmlformats.org/officeDocument/2006/relationships/hyperlink" Id="rId487" Target="https://eur-lex.europa.eu/eli/dir/2013/36/oj" TargetMode="External" /><Relationship Type="http://schemas.openxmlformats.org/officeDocument/2006/relationships/hyperlink" Id="rId491" Target="https://eur-lex.europa.eu/eli/reg/2013/549/oj" TargetMode="External" /><Relationship Type="http://schemas.openxmlformats.org/officeDocument/2006/relationships/hyperlink" Id="rId489" Target="https://eur-lex.europa.eu/eli/reg/2013/575/oj" TargetMode="External" /><Relationship Type="http://schemas.openxmlformats.org/officeDocument/2006/relationships/hyperlink" Id="rId493" Target="https://eur-lex.europa.eu/eli/reg/2024/1263/oj" TargetMode="External" /><Relationship Type="http://schemas.openxmlformats.org/officeDocument/2006/relationships/hyperlink" Id="rId384" Target="https://eur-lex.europa.eu/eli/reg/2024/1264/oj" TargetMode="External" /><Relationship Type="http://schemas.openxmlformats.org/officeDocument/2006/relationships/hyperlink" Id="rId495" Target="https://eur-lex.europa.eu/eli/reg/2024/1623/oj" TargetMode="External" /><Relationship Type="http://schemas.openxmlformats.org/officeDocument/2006/relationships/hyperlink" Id="rId372" Target="https://eur-lex.europa.eu/legal-content/EN/ALL/?uri=CELEX:52025DC0956" TargetMode="External" /><Relationship Type="http://schemas.openxmlformats.org/officeDocument/2006/relationships/hyperlink" Id="rId522" Target="https://eur-lex.europa.eu/legal-content/ES/TXT/?uri=CELEX:12012E/PRO/12" TargetMode="External" /><Relationship Type="http://schemas.openxmlformats.org/officeDocument/2006/relationships/hyperlink" Id="rId319" Target="https://eur-lex.europa.eu/legal-content/ES/TXT/?uri=CELEX:32020HB0019" TargetMode="External" /><Relationship Type="http://schemas.openxmlformats.org/officeDocument/2006/relationships/hyperlink" Id="rId505" Target="https://laadministracionaldia.inap.es/noticia.asp?id=1500719" TargetMode="External" /><Relationship Type="http://schemas.openxmlformats.org/officeDocument/2006/relationships/hyperlink" Id="rId323" Target="https://www.bankingsupervision.europa.eu/activities/srep/2025/html/ssm.srep202511_aggregatedresults2025.en.html" TargetMode="External" /><Relationship Type="http://schemas.openxmlformats.org/officeDocument/2006/relationships/hyperlink" Id="rId331" Target="https://www.bankingsupervision.europa.eu/press/pr/date/2026/html/ssm.pr260915~7917ca1416.es.html" TargetMode="External" /><Relationship Type="http://schemas.openxmlformats.org/officeDocument/2006/relationships/hyperlink" Id="rId341" Target="https://www.bde.es/f/webbe/GAP/Secciones/SalaPrensa/NotasInformativas/26/presbe2026-90.pdf" TargetMode="External" /><Relationship Type="http://schemas.openxmlformats.org/officeDocument/2006/relationships/hyperlink" Id="rId339" Target="https://www.bde.es/f/webbe/INF/MenuVertical/EstabilidadFinanciera/Colchon_capital/Resolucion_CCA_2025T4.pdf" TargetMode="External" /><Relationship Type="http://schemas.openxmlformats.org/officeDocument/2006/relationships/hyperlink" Id="rId343" Target="https://www.bde.es/wbe/es/publicaciones/informes-memorias-anuales/informe-anual/informe-anual-2025.html" TargetMode="External" /><Relationship Type="http://schemas.openxmlformats.org/officeDocument/2006/relationships/hyperlink" Id="rId337" Target="https://www.bde.es/webbe/es/estadisticas/compartido/docs/notaNGEU.pdf" TargetMode="External" /><Relationship Type="http://schemas.openxmlformats.org/officeDocument/2006/relationships/hyperlink" Id="rId382" Target="https://www.bis.org/bcbs/publ/d295.htm" TargetMode="External" /><Relationship Type="http://schemas.openxmlformats.org/officeDocument/2006/relationships/hyperlink" Id="rId351" Target="https://www.bis.org/bcbs/publ/d424.htm" TargetMode="External" /><Relationship Type="http://schemas.openxmlformats.org/officeDocument/2006/relationships/hyperlink" Id="rId345" Target="https://www.bis.org/publ/arpdf/ar2024e.htm" TargetMode="External" /><Relationship Type="http://schemas.openxmlformats.org/officeDocument/2006/relationships/hyperlink" Id="rId378" Target="https://www.bis.org/publ/bcbs187.htm" TargetMode="External" /><Relationship Type="http://schemas.openxmlformats.org/officeDocument/2006/relationships/hyperlink" Id="rId380" Target="https://www.bis.org/publ/bcbs238.htm" TargetMode="External" /><Relationship Type="http://schemas.openxmlformats.org/officeDocument/2006/relationships/hyperlink" Id="rId477" Target="https://www.boe.es/diario_boe/txt.php?id=BOE-A-2024-27439" TargetMode="External" /><Relationship Type="http://schemas.openxmlformats.org/officeDocument/2006/relationships/hyperlink" Id="rId479" Target="https://www.boe.es/diario_boe/txt.php?id=BOE-A-2025-26902" TargetMode="External" /><Relationship Type="http://schemas.openxmlformats.org/officeDocument/2006/relationships/hyperlink" Id="rId518" Target="https://www.conference-board.org/topics/us-leading-indicators" TargetMode="External" /><Relationship Type="http://schemas.openxmlformats.org/officeDocument/2006/relationships/hyperlink" Id="rId313" Target="https://www.eba.europa.eu/regulation-and-policy/credit-risk/guidelines-legislative-and-non-legislative-moratoria-loan-repayments-applied-light-covid-19-crisis" TargetMode="External" /><Relationship Type="http://schemas.openxmlformats.org/officeDocument/2006/relationships/hyperlink" Id="rId394" Target="https://www.eba.europa.eu/risk-and-data-analysis/risk-analysis/risk-monitoring/risk-dashboard" TargetMode="External" /><Relationship Type="http://schemas.openxmlformats.org/officeDocument/2006/relationships/hyperlink" Id="rId396" Target="https://www.eba.europa.eu/sites/default/files/2026-09/26394108-1837-4b5b-bce2-fba1d3c574b1/EBA%20Dashboard%20-%20Q2%202026.pdf" TargetMode="External" /><Relationship Type="http://schemas.openxmlformats.org/officeDocument/2006/relationships/hyperlink" Id="rId325" Target="https://www.ecb.europa.eu/mopo/strategy/strategy-review/ecb.strategyreview202506_strategy_statement.es.html" TargetMode="External" /><Relationship Type="http://schemas.openxmlformats.org/officeDocument/2006/relationships/hyperlink" Id="rId333" Target="https://www.ecb.europa.eu/paym/coll/risk/ecaf/html/index.en.html" TargetMode="External" /><Relationship Type="http://schemas.openxmlformats.org/officeDocument/2006/relationships/hyperlink" Id="rId321" Target="https://www.ecb.europa.eu/press/pr/date/2024/html/ecb.pr240313~807e240020.en.html" TargetMode="External" /><Relationship Type="http://schemas.openxmlformats.org/officeDocument/2006/relationships/hyperlink" Id="rId317" Target="https://www.ecb.europa.eu/pub/financial-stability/fsr/html/ecb.fsr202011~b7be9ae1f1.en.html" TargetMode="External" /><Relationship Type="http://schemas.openxmlformats.org/officeDocument/2006/relationships/hyperlink" Id="rId335" Target="https://www.ecb.europa.eu/stats/policy_and_exchange_rates/key_ecb_interest_rates/html/index.en.html" TargetMode="External" /><Relationship Type="http://schemas.openxmlformats.org/officeDocument/2006/relationships/hyperlink" Id="rId520" Target="https://www.economist.com/finance-and-economics/2008/12/30/diagnosing-depression" TargetMode="External" /><Relationship Type="http://schemas.openxmlformats.org/officeDocument/2006/relationships/hyperlink" Id="rId433" Target="https://www.edx.org/es/learn/finance/the-international-monetary-fund-financial-programming-and-policies-part-1-macroeconomic-accounts-analysis" TargetMode="External" /><Relationship Type="http://schemas.openxmlformats.org/officeDocument/2006/relationships/hyperlink" Id="rId526" Target="https://www.eia.gov/dnav/pet/hist/LeafHandler.ashx?n=PET&amp;s=RBRTE&amp;f=M" TargetMode="External" /><Relationship Type="http://schemas.openxmlformats.org/officeDocument/2006/relationships/hyperlink" Id="rId462" Target="https://www.esrb.europa.eu/pub/pdf/other/140303_esrb_handbook_mp.en.pdf" TargetMode="External" /><Relationship Type="http://schemas.openxmlformats.org/officeDocument/2006/relationships/hyperlink" Id="rId441" Target="https://www.imf.org/en/About/Factsheets/Sheets/2023/IMF-Conditionality" TargetMode="External" /><Relationship Type="http://schemas.openxmlformats.org/officeDocument/2006/relationships/hyperlink" Id="rId439" Target="https://www.imf.org/en/news/articles/2025/03/20/pr25072-imf-and-statistical-community-release-new-global-standards-for-macroeconomic-stats" TargetMode="External" /><Relationship Type="http://schemas.openxmlformats.org/officeDocument/2006/relationships/hyperlink" Id="rId445" Target="https://www.imf.org/en/publications/cr/issues/2026/05/21/spain-2026-article-iv-consultation-press-release-staff-report-and-statement-by-the-576248" TargetMode="External" /><Relationship Type="http://schemas.openxmlformats.org/officeDocument/2006/relationships/hyperlink" Id="rId447" Target="https://www.imf.org/en/publications/weo/issues/2026/10/13/world-economic-outlook-october-2026" TargetMode="External" /><Relationship Type="http://schemas.openxmlformats.org/officeDocument/2006/relationships/hyperlink" Id="rId435" Target="https://www.imf.org/es/Publications/FM/Issues/2023/04/03/fiscal-monitor-april-2023" TargetMode="External" /><Relationship Type="http://schemas.openxmlformats.org/officeDocument/2006/relationships/hyperlink" Id="rId430" Target="https://www.imf.org/external/np/pp/eng/2011/021411b.pdf" TargetMode="External" /><Relationship Type="http://schemas.openxmlformats.org/officeDocument/2006/relationships/hyperlink" Id="rId428" Target="https://www.imf.org/external/pubs/ft/bop/2007/pdf/bpm6.pdf" TargetMode="External" /><Relationship Type="http://schemas.openxmlformats.org/officeDocument/2006/relationships/hyperlink" Id="rId458" Target="https://www.ine.es/dyngs/INEbase/es/operacion.htm?c=Estadistica_C&amp;cid=1254736176918&amp;menu=metodologia&amp;idp=1254735976595" TargetMode="External" /><Relationship Type="http://schemas.openxmlformats.org/officeDocument/2006/relationships/hyperlink" Id="rId460" Target="https://www.ine.es/metodologia/t25/metodologia_IPC_base_2025.pdf" TargetMode="External" /><Relationship Type="http://schemas.openxmlformats.org/officeDocument/2006/relationships/hyperlink" Id="rId426" Target="https://www.levyinstitute.org/pubs/wp_651.pdf" TargetMode="External" /><Relationship Type="http://schemas.openxmlformats.org/officeDocument/2006/relationships/hyperlink" Id="rId482" Target="https://www.nber.org/research/business-cycle-dating/business-cycle-dating-procedure-frequently-asked-questions" TargetMode="External" /><Relationship Type="http://schemas.openxmlformats.org/officeDocument/2006/relationships/hyperlink" Id="rId510" Target="https://www.spglobal.com/marketintelligence/en/mi/products/pmi.html" TargetMode="External" /><Relationship Type="http://schemas.openxmlformats.org/officeDocument/2006/relationships/hyperlink" Id="rId524" Target="https://www.ucm.es/data/cont/docs/518-2015-04-29-COSTE%20LABORAL%20UNITARIO.pdf" TargetMode="External" /><Relationship Type="http://schemas.openxmlformats.org/officeDocument/2006/relationships/hyperlink" Id="rId46" Target="https://www.victorgutierrezmarcos.es/oposicion/temario/cuarto-ejercicio/4A01.pdf" TargetMode="External" /><Relationship Type="http://schemas.openxmlformats.org/officeDocument/2006/relationships/hyperlink" Id="rId79" Target="https://www.victorgutierrezmarcos.es/oposicion/temario/cuarto-ejercicio/4A11.pdf" TargetMode="External" /><Relationship Type="http://schemas.openxmlformats.org/officeDocument/2006/relationships/hyperlink" Id="rId97" Target="https://www.victorgutierrezmarcos.es/oposicion/temario/cuarto-ejercicio/4A13.pdf" TargetMode="External" /><Relationship Type="http://schemas.openxmlformats.org/officeDocument/2006/relationships/hyperlink" Id="rId298" Target="https://www.victorgutierrezmarcos.es/oposicion/temario/cuarto-ejercicio/4A15.pdf" TargetMode="External" /><Relationship Type="http://schemas.openxmlformats.org/officeDocument/2006/relationships/hyperlink" Id="rId110" Target="https://www.victorgutierrezmarcos.es/oposicion/temario/cuarto-ejercicio/4A16.pdf" TargetMode="External" /><Relationship Type="http://schemas.openxmlformats.org/officeDocument/2006/relationships/hyperlink" Id="rId225" Target="https://www.victorgutierrezmarcos.es/oposicion/temario/cuarto-ejercicio/4A18.pdf" TargetMode="External" /><Relationship Type="http://schemas.openxmlformats.org/officeDocument/2006/relationships/hyperlink" Id="rId132" Target="https://www.victorgutierrezmarcos.es/oposicion/temario/cuarto-ejercicio/4A19.pdf" TargetMode="External" /><Relationship Type="http://schemas.openxmlformats.org/officeDocument/2006/relationships/hyperlink" Id="rId289" Target="https://www.victorgutierrezmarcos.es/oposicion/temario/cuarto-ejercicio/4A20.pdf" TargetMode="External" /><Relationship Type="http://schemas.openxmlformats.org/officeDocument/2006/relationships/hyperlink" Id="rId55" Target="https://www.victorgutierrezmarcos.es/oposicion/temario/cuarto-ejercicio/4A21.pdf" TargetMode="External" /><Relationship Type="http://schemas.openxmlformats.org/officeDocument/2006/relationships/hyperlink" Id="rId116" Target="https://www.victorgutierrezmarcos.es/oposicion/temario/cuarto-ejercicio/4A22.pdf" TargetMode="External" /><Relationship Type="http://schemas.openxmlformats.org/officeDocument/2006/relationships/hyperlink" Id="rId293" Target="https://www.victorgutierrezmarcos.es/oposicion/temario/cuarto-ejercicio/4A23.pdf" TargetMode="External" /><Relationship Type="http://schemas.openxmlformats.org/officeDocument/2006/relationships/hyperlink" Id="rId304" Target="https://www.victorgutierrezmarcos.es/oposicion/temario/cuarto-ejercicio/4A24.pdf" TargetMode="External" /><Relationship Type="http://schemas.openxmlformats.org/officeDocument/2006/relationships/hyperlink" Id="rId107" Target="https://www.victorgutierrezmarcos.es/oposicion/temario/cuarto-ejercicio/4A30.pdf" TargetMode="External" /><Relationship Type="http://schemas.openxmlformats.org/officeDocument/2006/relationships/hyperlink" Id="rId223" Target="https://www.victorgutierrezmarcos.es/oposicion/temario/cuarto-ejercicio/4B01.pdf" TargetMode="External" /><Relationship Type="http://schemas.openxmlformats.org/officeDocument/2006/relationships/hyperlink" Id="rId50" Target="https://www.victorgutierrezmarcos.es/oposicion/temario/cuarto-ejercicio/4B04.pdf" TargetMode="External" /><Relationship Type="http://schemas.openxmlformats.org/officeDocument/2006/relationships/hyperlink" Id="rId201" Target="https://www.victorgutierrezmarcos.es/oposicion/temario/cuarto-ejercicio/4B05.pdf" TargetMode="External" /><Relationship Type="http://schemas.openxmlformats.org/officeDocument/2006/relationships/hyperlink" Id="rId202" Target="https://www.victorgutierrezmarcos.es/oposicion/temario/cuarto-ejercicio/4B07.pdf" TargetMode="External" /><Relationship Type="http://schemas.openxmlformats.org/officeDocument/2006/relationships/hyperlink" Id="rId198" Target="https://www.victorgutierrezmarcos.es/oposicion/temario/cuarto-ejercicio/4B21.pdf" TargetMode="External" /><Relationship Type="http://schemas.openxmlformats.org/officeDocument/2006/relationships/hyperlink" Id="rId203"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49" Target="https://www.victorgutierrezmarcos.es/oposicion/temario/tema-no-disponible.html?tema=3.A.28" TargetMode="External" /><Relationship Type="http://schemas.openxmlformats.org/officeDocument/2006/relationships/hyperlink" Id="rId284" Target="https://www.victorgutierrezmarcos.es/oposicion/temario/tema-no-disponible.html?tema=3.A.31" TargetMode="External" /><Relationship Type="http://schemas.openxmlformats.org/officeDocument/2006/relationships/hyperlink" Id="rId178" Target="https://www.victorgutierrezmarcos.es/oposicion/temario/tema-no-disponible.html?tema=3.A.32" TargetMode="External" /><Relationship Type="http://schemas.openxmlformats.org/officeDocument/2006/relationships/hyperlink" Id="rId206" Target="https://www.victorgutierrezmarcos.es/oposicion/temario/tema-no-disponible.html?tema=3.A.40" TargetMode="External" /><Relationship Type="http://schemas.openxmlformats.org/officeDocument/2006/relationships/hyperlink" Id="rId286" Target="https://www.victorgutierrezmarcos.es/oposicion/temario/tema-no-disponible.html?tema=3.B.18" TargetMode="External" /><Relationship Type="http://schemas.openxmlformats.org/officeDocument/2006/relationships/hyperlink" Id="rId288" Target="https://www.victorgutierrezmarcos.es/oposicion/temario/tema-no-disponible.html?tema=3.B.26" TargetMode="External" /><Relationship Type="http://schemas.openxmlformats.org/officeDocument/2006/relationships/hyperlink" Id="rId222" Target="https://www.victorgutierrezmarcos.es/oposicion/temario/tema-no-disponible.html?tema=3.B.29" TargetMode="External" /><Relationship Type="http://schemas.openxmlformats.org/officeDocument/2006/relationships/hyperlink" Id="rId100" Target="https://www.victorgutierrezmarcos.es/oposicion/temario/tema-no-disponible.html?tema=3.B.32" TargetMode="External" /><Relationship Type="http://schemas.openxmlformats.org/officeDocument/2006/relationships/hyperlink" Id="rId297" Target="https://www.victorgutierrezmarcos.es/oposicion/temario/tema-no-disponible.html?tema=3.B.43" TargetMode="External" /><Relationship Type="http://schemas.openxmlformats.org/officeDocument/2006/relationships/hyperlink" Id="rId138" Target="https://www.victorgutierrezmarcos.es/oposicion/temario/tema-no-disponible.html?tema=3.B.44"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27" Target="https://www.victorgutierrezmarcos.es/oposicion/temario/tema-no-disponible.html?tema=4.A.2" TargetMode="External" /><Relationship Type="http://schemas.openxmlformats.org/officeDocument/2006/relationships/hyperlink" Id="rId291" Target="https://www.victorgutierrezmarcos.es/oposicion/temario/tema-no-disponible.html?tema=4.A.25" TargetMode="External" /><Relationship Type="http://schemas.openxmlformats.org/officeDocument/2006/relationships/hyperlink" Id="rId61" Target="https://www.victorgutierrezmarcos.es/oposicion/temario/tema-no-disponible.html?tema=4.A.29" TargetMode="External" /><Relationship Type="http://schemas.openxmlformats.org/officeDocument/2006/relationships/hyperlink" Id="rId94" Target="https://www.victorgutierrezmarcos.es/oposicion/temario/tema-no-disponible.html?tema=4.A.4" TargetMode="External" /><Relationship Type="http://schemas.openxmlformats.org/officeDocument/2006/relationships/hyperlink" Id="rId95" Target="https://www.victorgutierrezmarcos.es/oposicion/temario/tema-no-disponible.html?tema=4.A.5" TargetMode="External" /><Relationship Type="http://schemas.openxmlformats.org/officeDocument/2006/relationships/hyperlink" Id="rId303" Target="https://www.victorgutierrezmarcos.es/oposicion/temario/tema-no-disponible.html?tema=4.A.7" TargetMode="External" /><Relationship Type="http://schemas.openxmlformats.org/officeDocument/2006/relationships/hyperlink" Id="rId96" Target="https://www.victorgutierrezmarcos.es/oposicion/temario/tema-no-disponible.html?tema=4.A.9" TargetMode="External" /><Relationship Type="http://schemas.openxmlformats.org/officeDocument/2006/relationships/hyperlink" Id="rId299" Target="https://www.victorgutierrezmarcos.es/oposicion/temario/tema-no-disponible.html?tema=4.B.23" TargetMode="External" /><Relationship Type="http://schemas.openxmlformats.org/officeDocument/2006/relationships/hyperlink" Id="rId143" Target="https://www.victorgutierrezmarcos.es/oposicion/temario/tercer-ejercicio/3A09.pdf" TargetMode="External" /><Relationship Type="http://schemas.openxmlformats.org/officeDocument/2006/relationships/hyperlink" Id="rId70" Target="https://www.victorgutierrezmarcos.es/oposicion/temario/tercer-ejercicio/3A10.pdf" TargetMode="External" /><Relationship Type="http://schemas.openxmlformats.org/officeDocument/2006/relationships/hyperlink" Id="rId285" Target="https://www.victorgutierrezmarcos.es/oposicion/temario/tercer-ejercicio/3A13.pdf" TargetMode="External" /><Relationship Type="http://schemas.openxmlformats.org/officeDocument/2006/relationships/hyperlink" Id="rId300" Target="https://www.victorgutierrezmarcos.es/oposicion/temario/tercer-ejercicio/3A15.pdf" TargetMode="External" /><Relationship Type="http://schemas.openxmlformats.org/officeDocument/2006/relationships/hyperlink" Id="rId128" Target="https://www.victorgutierrezmarcos.es/oposicion/temario/tercer-ejercicio/3A17.pdf" TargetMode="External" /><Relationship Type="http://schemas.openxmlformats.org/officeDocument/2006/relationships/hyperlink" Id="rId301" Target="https://www.victorgutierrezmarcos.es/oposicion/temario/tercer-ejercicio/3A20.pdf" TargetMode="External" /><Relationship Type="http://schemas.openxmlformats.org/officeDocument/2006/relationships/hyperlink" Id="rId302" Target="https://www.victorgutierrezmarcos.es/oposicion/temario/tercer-ejercicio/3A23.pdf" TargetMode="External" /><Relationship Type="http://schemas.openxmlformats.org/officeDocument/2006/relationships/hyperlink" Id="rId109" Target="https://www.victorgutierrezmarcos.es/oposicion/temario/tercer-ejercicio/3A25.pdf" TargetMode="External" /><Relationship Type="http://schemas.openxmlformats.org/officeDocument/2006/relationships/hyperlink" Id="rId121" Target="https://www.victorgutierrezmarcos.es/oposicion/temario/tercer-ejercicio/3A26.pdf" TargetMode="External" /><Relationship Type="http://schemas.openxmlformats.org/officeDocument/2006/relationships/hyperlink" Id="rId115"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67" Target="https://www.victorgutierrezmarcos.es/oposicion/temario/tercer-ejercicio/3A33.pdf" TargetMode="External" /><Relationship Type="http://schemas.openxmlformats.org/officeDocument/2006/relationships/hyperlink" Id="rId82" Target="https://www.victorgutierrezmarcos.es/oposicion/temario/tercer-ejercicio/3A34.pdf" TargetMode="External" /><Relationship Type="http://schemas.openxmlformats.org/officeDocument/2006/relationships/hyperlink" Id="rId294" Target="https://www.victorgutierrezmarcos.es/oposicion/temario/tercer-ejercicio/3A35.pdf" TargetMode="External" /><Relationship Type="http://schemas.openxmlformats.org/officeDocument/2006/relationships/hyperlink" Id="rId154" Target="https://www.victorgutierrezmarcos.es/oposicion/temario/tercer-ejercicio/3A36.pdf" TargetMode="External" /><Relationship Type="http://schemas.openxmlformats.org/officeDocument/2006/relationships/hyperlink" Id="rId189" Target="https://www.victorgutierrezmarcos.es/oposicion/temario/tercer-ejercicio/3A37.pdf" TargetMode="External" /><Relationship Type="http://schemas.openxmlformats.org/officeDocument/2006/relationships/hyperlink" Id="rId295" Target="https://www.victorgutierrezmarcos.es/oposicion/temario/tercer-ejercicio/3A38.pdf" TargetMode="External" /><Relationship Type="http://schemas.openxmlformats.org/officeDocument/2006/relationships/hyperlink" Id="rId71" Target="https://www.victorgutierrezmarcos.es/oposicion/temario/tercer-ejercicio/3A39.pdf" TargetMode="External" /><Relationship Type="http://schemas.openxmlformats.org/officeDocument/2006/relationships/hyperlink" Id="rId147"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2" Target="https://www.victorgutierrezmarcos.es/oposicion/temario/tercer-ejercicio/3A43.pdf" TargetMode="External" /><Relationship Type="http://schemas.openxmlformats.org/officeDocument/2006/relationships/hyperlink" Id="rId212" Target="https://www.victorgutierrezmarcos.es/oposicion/temario/tercer-ejercicio/3A44.pdf" TargetMode="External" /><Relationship Type="http://schemas.openxmlformats.org/officeDocument/2006/relationships/hyperlink" Id="rId52" Target="https://www.victorgutierrezmarcos.es/oposicion/temario/tercer-ejercicio/3A45.pdf" TargetMode="External" /><Relationship Type="http://schemas.openxmlformats.org/officeDocument/2006/relationships/hyperlink" Id="rId134" Target="https://www.victorgutierrezmarcos.es/oposicion/temario/tercer-ejercicio/3B01.pdf" TargetMode="External" /><Relationship Type="http://schemas.openxmlformats.org/officeDocument/2006/relationships/hyperlink" Id="rId176" Target="https://www.victorgutierrezmarcos.es/oposicion/temario/tercer-ejercicio/3B05.pdf" TargetMode="External" /><Relationship Type="http://schemas.openxmlformats.org/officeDocument/2006/relationships/hyperlink" Id="rId164" Target="https://www.victorgutierrezmarcos.es/oposicion/temario/tercer-ejercicio/3B06.pdf" TargetMode="External" /><Relationship Type="http://schemas.openxmlformats.org/officeDocument/2006/relationships/hyperlink" Id="rId165" Target="https://www.victorgutierrezmarcos.es/oposicion/temario/tercer-ejercicio/3B07.pdf" TargetMode="External" /><Relationship Type="http://schemas.openxmlformats.org/officeDocument/2006/relationships/hyperlink" Id="rId175" Target="https://www.victorgutierrezmarcos.es/oposicion/temario/tercer-ejercicio/3B09.pdf" TargetMode="External" /><Relationship Type="http://schemas.openxmlformats.org/officeDocument/2006/relationships/hyperlink" Id="rId54" Target="https://www.victorgutierrezmarcos.es/oposicion/temario/tercer-ejercicio/3B11.pdf" TargetMode="External" /><Relationship Type="http://schemas.openxmlformats.org/officeDocument/2006/relationships/hyperlink" Id="rId159" Target="https://www.victorgutierrezmarcos.es/oposicion/temario/tercer-ejercicio/3B12.pdf" TargetMode="External" /><Relationship Type="http://schemas.openxmlformats.org/officeDocument/2006/relationships/hyperlink" Id="rId157" Target="https://www.victorgutierrezmarcos.es/oposicion/temario/tercer-ejercicio/3B13.pdf" TargetMode="External" /><Relationship Type="http://schemas.openxmlformats.org/officeDocument/2006/relationships/hyperlink" Id="rId290" Target="https://www.victorgutierrezmarcos.es/oposicion/temario/tercer-ejercicio/3B14.pdf" TargetMode="External" /><Relationship Type="http://schemas.openxmlformats.org/officeDocument/2006/relationships/hyperlink" Id="rId161" Target="https://www.victorgutierrezmarcos.es/oposicion/temario/tercer-ejercicio/3B15.pdf" TargetMode="External" /><Relationship Type="http://schemas.openxmlformats.org/officeDocument/2006/relationships/hyperlink" Id="rId292" Target="https://www.victorgutierrezmarcos.es/oposicion/temario/tercer-ejercicio/3B17.pdf" TargetMode="External" /><Relationship Type="http://schemas.openxmlformats.org/officeDocument/2006/relationships/hyperlink" Id="rId296" Target="https://www.victorgutierrezmarcos.es/oposicion/temario/tercer-ejercicio/3B19.pdf" TargetMode="External" /><Relationship Type="http://schemas.openxmlformats.org/officeDocument/2006/relationships/hyperlink" Id="rId181" Target="https://www.victorgutierrezmarcos.es/oposicion/temario/tercer-ejercicio/3B22.pdf" TargetMode="External" /><Relationship Type="http://schemas.openxmlformats.org/officeDocument/2006/relationships/hyperlink" Id="rId287" Target="https://www.victorgutierrezmarcos.es/oposicion/temario/tercer-ejercicio/3B23.pdf" TargetMode="External" /><Relationship Type="http://schemas.openxmlformats.org/officeDocument/2006/relationships/hyperlink" Id="rId58" Target="https://www.victorgutierrezmarcos.es/oposicion/temario/tercer-ejercicio/3B24.pdf" TargetMode="External" /><Relationship Type="http://schemas.openxmlformats.org/officeDocument/2006/relationships/hyperlink" Id="rId131" Target="https://www.victorgutierrezmarcos.es/oposicion/temario/tercer-ejercicio/3B27.pdf" TargetMode="External" /><Relationship Type="http://schemas.openxmlformats.org/officeDocument/2006/relationships/hyperlink" Id="rId99" Target="https://www.victorgutierrezmarcos.es/oposicion/temario/tercer-ejercicio/3B28.pdf" TargetMode="External" /><Relationship Type="http://schemas.openxmlformats.org/officeDocument/2006/relationships/hyperlink" Id="rId166" Target="https://www.victorgutierrezmarcos.es/oposicion/temario/tercer-ejercicio/3B33.pdf" TargetMode="External" /><Relationship Type="http://schemas.openxmlformats.org/officeDocument/2006/relationships/hyperlink" Id="rId167" Target="https://www.victorgutierrezmarcos.es/oposicion/temario/tercer-ejercicio/3B41.pdf" TargetMode="External" /><Relationship Type="http://schemas.openxmlformats.org/officeDocument/2006/relationships/hyperlink" Id="rId309"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2026-10-24T06:15:57Z</dcterms:created>
  <dcterms:modified xsi:type="dcterms:W3CDTF">2026-10-24T06:15:57Z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23/10/2026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23/10/2026</vt:lpwstr>
  </property>
  <property fmtid="{D5CDD505-2E9C-101B-9397-08002B2CF9AE}" pid="15" name="fecha-cita">
    <vt:lpwstr>2026/10/23</vt:lpwstr>
  </property>
  <property fmtid="{D5CDD505-2E9C-101B-9397-08002B2CF9AE}" pid="16" name="fecha-iso">
    <vt:lpwstr>2026-10-23</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45 págs. · Anexos: 20 · Bibliografía: 8</vt:lpwstr>
  </property>
  <property fmtid="{D5CDD505-2E9C-101B-9397-08002B2CF9AE}" pid="22" name="palabras-clave">
    <vt:lpwstr>dictamen de coyuntura, análisis de coyuntura, cuadro macroeconómico, perfil cíclico, brecha de producción, PIB potencial, contribuciones al crecimiento, renta nacional bruta, PMI, indicadores adelantados, consumo privado, inversión, productividad aparente del trabajo, enfermedad holandesa, fortalezas y debilidades, Macroeconomía</vt:lpwstr>
  </property>
  <property fmtid="{D5CDD505-2E9C-101B-9397-08002B2CF9AE}" pid="23" name="reference-section-title">
    <vt:lpwstr>Bibliografía</vt:lpwstr>
  </property>
  <property fmtid="{D5CDD505-2E9C-101B-9397-08002B2CF9AE}" pid="24" name="resumen">
    <vt:lpwstr>Cómo leer un cuadro macroeconómico y escribir un dictamen de coyuntura: reparto del tiempo, perfil cíclico, brecha de producción, contribuciones al PIB.</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