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3.png" ContentType="image/png"/>
  <Override PartName="/word/media/rId38.png" ContentType="image/png"/>
  <Override PartName="/word/media/rId26.png" ContentType="image/png"/>
  <Override PartName="/word/media/rId130.png" ContentType="image/png"/>
  <Override PartName="/word/media/rId123.png" ContentType="image/png"/>
  <Override PartName="/word/media/rId30.png" ContentType="image/png"/>
  <Override PartName="/word/media/rId59.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3.B.31: El cambio climático y su impacto en la</w:t>
      </w:r>
      <w:r>
        <w:br/>
      </w:r>
      <w:r>
        <w:t xml:space="preserve">economía. Evidencia y modelos integrados de evaluación.</w:t>
      </w:r>
      <w:r>
        <w:br/>
      </w:r>
      <w:r>
        <w:t xml:space="preserve">Acuerdos internacionales y principales medidas</w:t>
      </w:r>
      <w:r>
        <w:br/>
      </w:r>
      <w:r>
        <w:t xml:space="preserve">adoptadas para hacer frente al cambio climático.</w:t>
      </w:r>
    </w:p>
    <w:p>
      <w:pPr>
        <w:spacing w:before="0" w:after="200"/>
      </w:pPr>
      <w:r>
        <w:rPr>
          <w:b/>
          <w:smallCaps/>
          <w:color w:val="5F2987"/>
          <w:sz w:val="16"/>
        </w:rPr>
        <w:t xml:space="preserve">Exclusivo · uso personal. </w:t>
      </w:r>
      <w:r>
        <w:rPr>
          <w:i/>
          <w:color w:val="767171"/>
          <w:sz w:val="16"/>
        </w:rPr>
        <w:t xml:space="preserve">Material exclusivo de victorgutierrezmarcos.es y la app Oposición TCEE · DCE. Puedes usarlo libremente para tu estudio personal. No se autoriza su incorporación a otras plataformas, aplicaciones o servicios. Condiciones: https://www.victorgutierrezmarcos.es/condiciones-materiales.html</w:t>
      </w:r>
    </w:p>
    <w:p>
      <w:pPr>
        <w:pStyle w:val="Author"/>
      </w:pPr>
      <w:r>
        <w:t xml:space="preserve">Víctor Gutiérrez Marcos</w:t>
      </w:r>
    </w:p>
    <w:p>
      <w:pPr>
        <w:pStyle w:val="Date"/>
      </w:pPr>
      <w:r>
        <w:t xml:space="preserve">Última actualización: 31/10/2026</w:t>
      </w:r>
    </w:p>
    <w:p>
      <w:pPr>
        <w:pStyle w:val="Paginasdeltema"/>
      </w:pPr>
      <w:r>
        <w:t xml:space="preserve">Tema: 32 págs. · Anexos: 6 · Bibliografía: 8 (PDF)</w:t>
      </w:r>
    </w:p>
    <w:bookmarkStart w:id="25"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«Quien siembra vientos recoge tempestades», dice el refrán. Con el clima, el que siembra y el que recoge no son la misma persona: emite una generación y sufre las consecuencias la siguiente; emite un país y las padecen todos.</w:t>
      </w:r>
    </w:p>
    <w:p>
      <w:pPr>
        <w:numPr>
          <w:ilvl w:val="1"/>
          <w:numId w:val="1002"/>
        </w:numPr>
      </w:pPr>
      <w:r>
        <w:t xml:space="preserve">Según el servicio europeo Copernicus, 2024 fue el primer año natural en que la temperatura media del planeta superó en más de 1,5 °C la de la era preindustrial (1850-1900), y 2023-2025, el primer trienio cuya media quedó por encima de ese umbral</w:t>
      </w:r>
      <w:r>
        <w:t xml:space="preserve"> </w:t>
      </w:r>
      <w:r>
        <w:t xml:space="preserve">(</w:t>
      </w:r>
      <w:hyperlink w:anchor="ref_C3S2026GCH2025">
        <w:r>
          <w:rPr>
            <w:rStyle w:val="Hyperlink"/>
            <w:smallCaps/>
          </w:rPr>
          <w:t xml:space="preserve">Copernicus Climate Change Service</w:t>
        </w:r>
        <w:r>
          <w:rPr>
            <w:rStyle w:val="Hyperlink"/>
          </w:rPr>
          <w:t xml:space="preserve">, 2026</w:t>
        </w:r>
      </w:hyperlink>
      <w:r>
        <w:t xml:space="preserve">)</w:t>
      </w:r>
      <w:r>
        <w:t xml:space="preserve">. Y, sin embargo, el 27 de enero de 2026 el segundo mayor emisor del mundo, Estados Unidos, dejó de ser parte del Acuerdo de París</w:t>
      </w:r>
      <w:r>
        <w:t xml:space="preserve"> </w:t>
      </w:r>
      <w:r>
        <w:t xml:space="preserve">(</w:t>
      </w:r>
      <w:hyperlink w:anchor="ref_ONU2025RetiradaParis">
        <w:r>
          <w:rPr>
            <w:rStyle w:val="Hyperlink"/>
            <w:smallCaps/>
          </w:rPr>
          <w:t xml:space="preserve">Secretario General de las Naciones Unidas (depositario)</w:t>
        </w:r>
        <w:r>
          <w:rPr>
            <w:rStyle w:val="Hyperlink"/>
          </w:rPr>
          <w:t xml:space="preserve">, 2025</w:t>
        </w:r>
      </w:hyperlink>
      <w:r>
        <w:t xml:space="preserve">)</w:t>
      </w:r>
      <w:r>
        <w:t xml:space="preserve">.</w:t>
      </w:r>
    </w:p>
    <w:p>
      <w:pPr>
        <w:numPr>
          <w:ilvl w:val="1"/>
          <w:numId w:val="1002"/>
        </w:numPr>
      </w:pPr>
      <w:r>
        <w:t xml:space="preserve">A lo largo de la exposición seguiremos una sola tonelada de CO</w:t>
      </w:r>
      <w:r>
        <w:rPr>
          <w:vertAlign w:val="subscript"/>
        </w:rPr>
        <w:t xml:space="preserve">2</w:t>
      </w:r>
      <w:r>
        <w:t xml:space="preserve">: la que sale hoy por la chimenea de una acería. Veremos qué hace en la atmósfera, cuánto daño causa, cuánto vale ese daño y quién debería pagarlo.</w:t>
      </w:r>
    </w:p>
    <w:p>
      <w:pPr>
        <w:keepNext/>
        <w:numPr>
          <w:ilvl w:val="0"/>
          <w:numId w:val="1001"/>
        </w:numPr>
      </w:pPr>
      <w:r>
        <w:rPr>
          <w:b/>
          <w:bCs/>
          <w:i/>
          <w:iCs/>
        </w:rPr>
        <w:t xml:space="preserve">Relevancia</w:t>
      </w:r>
      <w:r>
        <w:t xml:space="preserve">:</w:t>
      </w:r>
    </w:p>
    <w:p>
      <w:pPr>
        <w:numPr>
          <w:ilvl w:val="1"/>
          <w:numId w:val="1003"/>
        </w:numPr>
      </w:pPr>
      <w:r>
        <w:rPr>
          <w:i/>
          <w:iCs/>
        </w:rPr>
        <w:t xml:space="preserve">Teórica</w:t>
      </w:r>
      <w:r>
        <w:t xml:space="preserve">: el cambio climático reúne los fallos de mercado más difíciles de corregir: es una</w:t>
      </w:r>
      <w:r>
        <w:t xml:space="preserve"> </w:t>
      </w:r>
      <w:r>
        <w:rPr>
          <w:b/>
          <w:bCs/>
        </w:rPr>
        <w:t xml:space="preserve">externalidad</w:t>
      </w:r>
      <w:r>
        <w:t xml:space="preserve"> </w:t>
      </w:r>
      <w:r>
        <w:t xml:space="preserve">global, que se transmite entre generaciones, que se acumula y que está rodeada de incertidumbre. Para Nicholas</w:t>
      </w:r>
      <w:r>
        <w:t xml:space="preserve"> </w:t>
      </w:r>
      <w:r>
        <w:rPr>
          <w:smallCaps/>
        </w:rPr>
        <w:t xml:space="preserve">Stern</w:t>
      </w:r>
      <w:r>
        <w:t xml:space="preserve"> </w:t>
      </w:r>
      <w:r>
        <w:t xml:space="preserve">es «el mayor fallo de mercado que el mundo ha visto»</w:t>
      </w:r>
      <w:r>
        <w:t xml:space="preserve"> </w:t>
      </w:r>
      <w:r>
        <w:t xml:space="preserve">(</w:t>
      </w:r>
      <w:hyperlink w:anchor="ref_Stern2007Economics">
        <w:r>
          <w:rPr>
            <w:rStyle w:val="Hyperlink"/>
            <w:smallCaps/>
          </w:rPr>
          <w:t xml:space="preserve">Stern</w:t>
        </w:r>
        <w:r>
          <w:rPr>
            <w:rStyle w:val="Hyperlink"/>
          </w:rPr>
          <w:t xml:space="preserve">, 2007</w:t>
        </w:r>
      </w:hyperlink>
      <w:r>
        <w:t xml:space="preserve">)</w:t>
      </w:r>
      <w:r>
        <w:t xml:space="preserve">, y en 2018 William</w:t>
      </w:r>
      <w:r>
        <w:t xml:space="preserve"> </w:t>
      </w:r>
      <w:r>
        <w:rPr>
          <w:smallCaps/>
        </w:rPr>
        <w:t xml:space="preserve">Nordhaus</w:t>
      </w:r>
      <w:r>
        <w:t xml:space="preserve"> </w:t>
      </w:r>
      <w:r>
        <w:t xml:space="preserve">recibió el Premio Nobel de Economía «por integrar el cambio climático en el análisis macroeconómico a largo plazo»</w:t>
      </w:r>
      <w:r>
        <w:t xml:space="preserve"> </w:t>
      </w:r>
      <w:r>
        <w:t xml:space="preserve">(</w:t>
      </w:r>
      <w:hyperlink w:anchor="ref_Nobel2018Nordhaus">
        <w:r>
          <w:rPr>
            <w:rStyle w:val="Hyperlink"/>
            <w:smallCaps/>
          </w:rPr>
          <w:t xml:space="preserve">The Nobel Prize</w:t>
        </w:r>
        <w:r>
          <w:rPr>
            <w:rStyle w:val="Hyperlink"/>
          </w:rPr>
          <w:t xml:space="preserve">, 2018</w:t>
        </w:r>
      </w:hyperlink>
      <w:r>
        <w:t xml:space="preserve">)</w:t>
      </w:r>
      <w:r>
        <w:t xml:space="preserve">.</w:t>
      </w:r>
    </w:p>
    <w:p>
      <w:pPr>
        <w:numPr>
          <w:ilvl w:val="1"/>
          <w:numId w:val="1003"/>
        </w:numPr>
      </w:pPr>
      <w:r>
        <w:rPr>
          <w:i/>
          <w:iCs/>
        </w:rPr>
        <w:t xml:space="preserve">Práctica</w:t>
      </w:r>
      <w:r>
        <w:t xml:space="preserve">: poner precio al carbono ya es política económica corriente. Según el Banco Mundial, en 2026 funcionan 87 impuestos o mercados de carbono, que cubren casi el 30 % de las emisiones mundiales</w:t>
      </w:r>
      <w:r>
        <w:t xml:space="preserve"> </w:t>
      </w:r>
      <w:r>
        <w:t xml:space="preserve">(</w:t>
      </w:r>
      <w:hyperlink w:anchor="ref_BM2026StateTrends">
        <w:r>
          <w:rPr>
            <w:rStyle w:val="Hyperlink"/>
            <w:smallCaps/>
          </w:rPr>
          <w:t xml:space="preserve">Banco Mundial</w:t>
        </w:r>
        <w:r>
          <w:rPr>
            <w:rStyle w:val="Hyperlink"/>
          </w:rPr>
          <w:t xml:space="preserve">, 2026</w:t>
        </w:r>
      </w:hyperlink>
      <w:r>
        <w:t xml:space="preserve">)</w:t>
      </w:r>
      <w:r>
        <w:t xml:space="preserve">; en la UE, el derecho a emitir una tonelada se subastaba en octubre de 2026 a unos 85 €</w:t>
      </w:r>
      <w:r>
        <w:t xml:space="preserve"> </w:t>
      </w:r>
      <w:r>
        <w:t xml:space="preserve">(</w:t>
      </w:r>
      <w:hyperlink w:anchor="ref_EEX2026Subastas">
        <w:r>
          <w:rPr>
            <w:rStyle w:val="Hyperlink"/>
            <w:smallCaps/>
          </w:rPr>
          <w:t xml:space="preserve">European Energy Exchange</w:t>
        </w:r>
        <w:r>
          <w:rPr>
            <w:rStyle w:val="Hyperlink"/>
          </w:rPr>
          <w:t xml:space="preserve">, 2026</w:t>
        </w:r>
      </w:hyperlink>
      <w:r>
        <w:t xml:space="preserve">)</w:t>
      </w:r>
      <w:r>
        <w:t xml:space="preserve">, y desde el 1 de enero de 2026 ese precio se cobra también a ciertas importaciones con el Mecanismo de Ajuste en Frontera por Carbono</w:t>
      </w:r>
      <w:r>
        <w:t xml:space="preserve"> </w:t>
      </w:r>
      <w:r>
        <w:t xml:space="preserve">(</w:t>
      </w:r>
      <w:hyperlink w:anchor="ref_UE2023Reglamento956">
        <w:r>
          <w:rPr>
            <w:rStyle w:val="Hyperlink"/>
            <w:smallCaps/>
          </w:rPr>
          <w:t xml:space="preserve">Parlamento Europeo y Consejo de la Unión Europea</w:t>
        </w:r>
        <w:r>
          <w:rPr>
            <w:rStyle w:val="Hyperlink"/>
          </w:rPr>
          <w:t xml:space="preserve">, 2023c</w:t>
        </w:r>
      </w:hyperlink>
      <w:r>
        <w:t xml:space="preserve">)</w:t>
      </w:r>
      <w:r>
        <w:t xml:space="preserve">.</w:t>
      </w:r>
    </w:p>
    <w:p>
      <w:pPr>
        <w:numPr>
          <w:ilvl w:val="1"/>
          <w:numId w:val="1003"/>
        </w:numPr>
      </w:pPr>
      <w:r>
        <w:rPr>
          <w:i/>
          <w:iCs/>
        </w:rPr>
        <w:t xml:space="preserve">Para el economista del Estado</w:t>
      </w:r>
      <w:r>
        <w:t xml:space="preserve">: la política climática toca la fiscalidad</w:t>
      </w:r>
      <w:r>
        <w:t xml:space="preserve"> </w:t>
      </w:r>
      <w:hyperlink r:id="rId20">
        <w:r>
          <w:rPr>
            <w:rStyle w:val="Referenciaatema"/>
          </w:rPr>
          <w:t xml:space="preserve">[ver tema 4.B.13]</w:t>
        </w:r>
      </w:hyperlink>
      <w:r>
        <w:t xml:space="preserve">, la política comercial</w:t>
      </w:r>
      <w:r>
        <w:t xml:space="preserve"> </w:t>
      </w:r>
      <w:hyperlink r:id="rId21">
        <w:r>
          <w:rPr>
            <w:rStyle w:val="Referenciaatema"/>
          </w:rPr>
          <w:t xml:space="preserve">[ver tema 3.B.41]</w:t>
        </w:r>
      </w:hyperlink>
      <w:r>
        <w:t xml:space="preserve">, el presupuesto de la UE</w:t>
      </w:r>
      <w:r>
        <w:t xml:space="preserve"> </w:t>
      </w:r>
      <w:hyperlink r:id="rId22">
        <w:r>
          <w:rPr>
            <w:rStyle w:val="Referenciaatema"/>
          </w:rPr>
          <w:t xml:space="preserve">[ver tema 3.B.37]</w:t>
        </w:r>
      </w:hyperlink>
      <w:r>
        <w:t xml:space="preserve"> </w:t>
      </w:r>
      <w:r>
        <w:t xml:space="preserve">y la política energética española</w:t>
      </w:r>
      <w:r>
        <w:t xml:space="preserve"> </w:t>
      </w:r>
      <w:hyperlink r:id="rId23">
        <w:r>
          <w:rPr>
            <w:rStyle w:val="Referenciaatema"/>
          </w:rPr>
          <w:t xml:space="preserve">[ver tema 4.A.6]</w:t>
        </w:r>
      </w:hyperlink>
      <w:r>
        <w:t xml:space="preserve">, y se negocia cada año en las Conferencias de las Partes.</w:t>
      </w:r>
    </w:p>
    <w:p>
      <w:pPr>
        <w:keepNext/>
        <w:numPr>
          <w:ilvl w:val="0"/>
          <w:numId w:val="1001"/>
        </w:numPr>
      </w:pPr>
      <w:r>
        <w:rPr>
          <w:b/>
          <w:bCs/>
          <w:i/>
          <w:iCs/>
        </w:rPr>
        <w:t xml:space="preserve">Contextualización</w:t>
      </w:r>
      <w:r>
        <w:t xml:space="preserve">. Desde un punto de vista histórico:</w:t>
      </w:r>
    </w:p>
    <w:p>
      <w:pPr>
        <w:numPr>
          <w:ilvl w:val="1"/>
          <w:numId w:val="1004"/>
        </w:numPr>
      </w:pPr>
      <w:r>
        <w:t xml:space="preserve">La preocupación por los límites naturales del crecimiento es tan antigua como la economía: Thomas</w:t>
      </w:r>
      <w:r>
        <w:t xml:space="preserve"> </w:t>
      </w:r>
      <w:r>
        <w:rPr>
          <w:smallCaps/>
        </w:rPr>
        <w:t xml:space="preserve">Malthus</w:t>
      </w:r>
      <w:r>
        <w:t xml:space="preserve"> </w:t>
      </w:r>
      <w:r>
        <w:t xml:space="preserve">(</w:t>
      </w:r>
      <w:hyperlink w:anchor="ref_Malthus1798Essay">
        <w:r>
          <w:rPr>
            <w:rStyle w:val="Hyperlink"/>
          </w:rPr>
          <w:t xml:space="preserve">1798</w:t>
        </w:r>
      </w:hyperlink>
      <w:r>
        <w:t xml:space="preserve">)</w:t>
      </w:r>
      <w:r>
        <w:t xml:space="preserve"> </w:t>
      </w:r>
      <w:r>
        <w:t xml:space="preserve">temía que la población creciera más deprisa que los alimentos, y el informe al Club de Roma</w:t>
      </w:r>
      <w:r>
        <w:t xml:space="preserve"> </w:t>
      </w:r>
      <w:r>
        <w:t xml:space="preserve">(</w:t>
      </w:r>
      <w:hyperlink w:anchor="ref_Meadows1972Limits">
        <w:r>
          <w:rPr>
            <w:rStyle w:val="Hyperlink"/>
            <w:smallCaps/>
          </w:rPr>
          <w:t xml:space="preserve">Meadows</w:t>
        </w:r>
        <w:r>
          <w:rPr>
            <w:rStyle w:val="Hyperlink"/>
          </w:rPr>
          <w:t xml:space="preserve"> </w:t>
        </w:r>
        <w:r>
          <w:rPr>
            <w:rStyle w:val="Hyperlink"/>
          </w:rPr>
          <w:t xml:space="preserve">et al., 1972</w:t>
        </w:r>
      </w:hyperlink>
      <w:r>
        <w:t xml:space="preserve">)</w:t>
      </w:r>
      <w:r>
        <w:t xml:space="preserve"> </w:t>
      </w:r>
      <w:r>
        <w:t xml:space="preserve">anunció un colapso por agotamiento de recursos y contaminación. La respuesta neoclásica</w:t>
      </w:r>
      <w:r>
        <w:t xml:space="preserve"> </w:t>
      </w:r>
      <w:r>
        <w:t xml:space="preserve">(</w:t>
      </w:r>
      <w:hyperlink w:anchor="ref_Solow1974Intergenerational">
        <w:r>
          <w:rPr>
            <w:rStyle w:val="Hyperlink"/>
            <w:smallCaps/>
          </w:rPr>
          <w:t xml:space="preserve">Solow</w:t>
        </w:r>
        <w:r>
          <w:rPr>
            <w:rStyle w:val="Hyperlink"/>
          </w:rPr>
          <w:t xml:space="preserve">, 1974</w:t>
        </w:r>
      </w:hyperlink>
      <w:r>
        <w:t xml:space="preserve">;</w:t>
      </w:r>
      <w:r>
        <w:t xml:space="preserve"> </w:t>
      </w:r>
      <w:hyperlink w:anchor="ref_Stiglitz1974Growth">
        <w:r>
          <w:rPr>
            <w:rStyle w:val="Hyperlink"/>
            <w:smallCaps/>
          </w:rPr>
          <w:t xml:space="preserve">Stiglitz</w:t>
        </w:r>
        <w:r>
          <w:rPr>
            <w:rStyle w:val="Hyperlink"/>
          </w:rPr>
          <w:t xml:space="preserve">, 1974</w:t>
        </w:r>
      </w:hyperlink>
      <w:r>
        <w:t xml:space="preserve">)</w:t>
      </w:r>
      <w:r>
        <w:t xml:space="preserve"> </w:t>
      </w:r>
      <w:r>
        <w:t xml:space="preserve">fue que la sustitución entre factores y el progreso técnico pueden sostener el crecimiento con recursos finitos</w:t>
      </w:r>
      <w:r>
        <w:t xml:space="preserve"> </w:t>
      </w:r>
      <w:hyperlink r:id="rId24">
        <w:r>
          <w:rPr>
            <w:rStyle w:val="Referenciaatema"/>
          </w:rPr>
          <w:t xml:space="preserve">[ver tema 3.A.43]</w:t>
        </w:r>
      </w:hyperlink>
      <w:r>
        <w:t xml:space="preserve">.</w:t>
      </w:r>
    </w:p>
    <w:p>
      <w:pPr>
        <w:numPr>
          <w:ilvl w:val="1"/>
          <w:numId w:val="1004"/>
        </w:numPr>
      </w:pPr>
      <w:r>
        <w:t xml:space="preserve">La física del efecto invernadero es del siglo XIX: Svante</w:t>
      </w:r>
      <w:r>
        <w:t xml:space="preserve"> </w:t>
      </w:r>
      <w:r>
        <w:rPr>
          <w:smallCaps/>
        </w:rPr>
        <w:t xml:space="preserve">Arrhenius</w:t>
      </w:r>
      <w:r>
        <w:t xml:space="preserve"> </w:t>
      </w:r>
      <w:r>
        <w:t xml:space="preserve">(</w:t>
      </w:r>
      <w:hyperlink w:anchor="ref_Arrhenius1896Influence">
        <w:r>
          <w:rPr>
            <w:rStyle w:val="Hyperlink"/>
          </w:rPr>
          <w:t xml:space="preserve">1896</w:t>
        </w:r>
      </w:hyperlink>
      <w:r>
        <w:t xml:space="preserve">)</w:t>
      </w:r>
      <w:r>
        <w:t xml:space="preserve"> </w:t>
      </w:r>
      <w:r>
        <w:t xml:space="preserve">calculó cuánto se calentaría la Tierra si se duplicara el CO</w:t>
      </w:r>
      <w:r>
        <w:rPr>
          <w:vertAlign w:val="subscript"/>
        </w:rPr>
        <w:t xml:space="preserve">2</w:t>
      </w:r>
      <w:r>
        <w:t xml:space="preserve"> </w:t>
      </w:r>
      <w:r>
        <w:t xml:space="preserve">del aire. En 1987, la Comisión</w:t>
      </w:r>
      <w:r>
        <w:t xml:space="preserve"> </w:t>
      </w:r>
      <w:r>
        <w:rPr>
          <w:smallCaps/>
        </w:rPr>
        <w:t xml:space="preserve">Brundtland</w:t>
      </w:r>
      <w:r>
        <w:t xml:space="preserve"> </w:t>
      </w:r>
      <w:r>
        <w:t xml:space="preserve">definió el</w:t>
      </w:r>
      <w:r>
        <w:t xml:space="preserve"> </w:t>
      </w:r>
      <w:r>
        <w:rPr>
          <w:b/>
          <w:bCs/>
        </w:rPr>
        <w:t xml:space="preserve">desarrollo sostenible</w:t>
      </w:r>
      <w:r>
        <w:t xml:space="preserve"> </w:t>
      </w:r>
      <w:r>
        <w:t xml:space="preserve">como el que atiende las necesidades del presente sin comprometer la capacidad de las generaciones futuras de atender las suyas</w:t>
      </w:r>
      <w:r>
        <w:t xml:space="preserve"> </w:t>
      </w:r>
      <w:r>
        <w:t xml:space="preserve">(</w:t>
      </w:r>
      <w:hyperlink w:anchor="ref_WCED1987Our">
        <w:r>
          <w:rPr>
            <w:rStyle w:val="Hyperlink"/>
            <w:smallCaps/>
          </w:rPr>
          <w:t xml:space="preserve">Comisión Mundial sobre el Medio Ambiente y el Desarrollo</w:t>
        </w:r>
        <w:r>
          <w:rPr>
            <w:rStyle w:val="Hyperlink"/>
          </w:rPr>
          <w:t xml:space="preserve">, 1987</w:t>
        </w:r>
      </w:hyperlink>
      <w:r>
        <w:t xml:space="preserve">)</w:t>
      </w:r>
      <w:r>
        <w:t xml:space="preserve">, y en 1988 la ONU creó el Grupo Intergubernamental de Expertos sobre el Cambio Climático (IPCC, por sus siglas en inglés).</w:t>
      </w:r>
    </w:p>
    <w:p>
      <w:pPr>
        <w:numPr>
          <w:ilvl w:val="1"/>
          <w:numId w:val="1004"/>
        </w:numPr>
      </w:pPr>
      <w:r>
        <w:t xml:space="preserve">En la Cumbre de la Tierra de Río de Janeiro (1992) se abrió a la firma la Convención Marco de las Naciones Unidas sobre el Cambio Climático (CMNUCC), cuyas Conferencias de las Partes (COP) se reúnen desde 1995</w:t>
      </w:r>
      <w:r>
        <w:t xml:space="preserve"> </w:t>
      </w:r>
      <w:r>
        <w:t xml:space="preserve">(</w:t>
      </w:r>
      <w:hyperlink w:anchor="ref_CMNUCC1992Convencion">
        <w:r>
          <w:rPr>
            <w:rStyle w:val="Hyperlink"/>
            <w:smallCaps/>
          </w:rPr>
          <w:t xml:space="preserve">Naciones Unidas</w:t>
        </w:r>
        <w:r>
          <w:rPr>
            <w:rStyle w:val="Hyperlink"/>
          </w:rPr>
          <w:t xml:space="preserve">, 1992</w:t>
        </w:r>
      </w:hyperlink>
      <w:r>
        <w:t xml:space="preserve">)</w:t>
      </w:r>
      <w:r>
        <w:t xml:space="preserve">.</w:t>
      </w:r>
    </w:p>
    <w:p>
      <w:pPr>
        <w:numPr>
          <w:ilvl w:val="1"/>
          <w:numId w:val="1004"/>
        </w:numPr>
      </w:pPr>
      <w:r>
        <w:t xml:space="preserve">La economía del clima como disciplina nace con el modelo DICE de</w:t>
      </w:r>
      <w:r>
        <w:t xml:space="preserve"> </w:t>
      </w:r>
      <w:r>
        <w:t xml:space="preserve">W. D.</w:t>
      </w:r>
      <w:r>
        <w:t xml:space="preserve"> </w:t>
      </w:r>
      <w:r>
        <w:rPr>
          <w:smallCaps/>
        </w:rPr>
        <w:t xml:space="preserve">Nordhaus</w:t>
      </w:r>
      <w:r>
        <w:t xml:space="preserve"> </w:t>
      </w:r>
      <w:r>
        <w:t xml:space="preserve">(</w:t>
      </w:r>
      <w:hyperlink w:anchor="ref_Nordhaus1992Optimal">
        <w:r>
          <w:rPr>
            <w:rStyle w:val="Hyperlink"/>
          </w:rPr>
          <w:t xml:space="preserve">1992</w:t>
        </w:r>
      </w:hyperlink>
      <w:r>
        <w:t xml:space="preserve">)</w:t>
      </w:r>
      <w:r>
        <w:t xml:space="preserve">, que mete el clima en un modelo de crecimiento óptimo; el informe de</w:t>
      </w:r>
      <w:r>
        <w:t xml:space="preserve"> </w:t>
      </w:r>
      <w:r>
        <w:rPr>
          <w:smallCaps/>
        </w:rPr>
        <w:t xml:space="preserve">Stern</w:t>
      </w:r>
      <w:r>
        <w:t xml:space="preserve"> </w:t>
      </w:r>
      <w:r>
        <w:t xml:space="preserve">(</w:t>
      </w:r>
      <w:hyperlink w:anchor="ref_Stern2007Economics">
        <w:r>
          <w:rPr>
            <w:rStyle w:val="Hyperlink"/>
          </w:rPr>
          <w:t xml:space="preserve">2007</w:t>
        </w:r>
      </w:hyperlink>
      <w:r>
        <w:t xml:space="preserve">)</w:t>
      </w:r>
      <w:r>
        <w:t xml:space="preserve"> </w:t>
      </w:r>
      <w:r>
        <w:t xml:space="preserve">la llevó al debate público, y en los últimos 15 años la econometría del clima</w:t>
      </w:r>
      <w:r>
        <w:t xml:space="preserve"> </w:t>
      </w:r>
      <w:r>
        <w:t xml:space="preserve">(</w:t>
      </w:r>
      <w:hyperlink w:anchor="ref_DellJonesOlken2014Weather">
        <w:r>
          <w:rPr>
            <w:rStyle w:val="Hyperlink"/>
            <w:smallCaps/>
          </w:rPr>
          <w:t xml:space="preserve">Dell</w:t>
        </w:r>
        <w:r>
          <w:rPr>
            <w:rStyle w:val="Hyperlink"/>
          </w:rPr>
          <w:t xml:space="preserve">,</w:t>
        </w:r>
        <w:r>
          <w:rPr>
            <w:rStyle w:val="Hyperlink"/>
          </w:rPr>
          <w:t xml:space="preserve"> </w:t>
        </w:r>
        <w:r>
          <w:rPr>
            <w:rStyle w:val="Hyperlink"/>
            <w:smallCaps/>
          </w:rPr>
          <w:t xml:space="preserve">Jones</w:t>
        </w:r>
        <w:r>
          <w:rPr>
            <w:rStyle w:val="Hyperlink"/>
          </w:rPr>
          <w:t xml:space="preserve"> </w:t>
        </w:r>
        <w:r>
          <w:rPr>
            <w:rStyle w:val="Hyperlink"/>
          </w:rPr>
          <w:t xml:space="preserve">y</w:t>
        </w:r>
        <w:r>
          <w:rPr>
            <w:rStyle w:val="Hyperlink"/>
          </w:rPr>
          <w:t xml:space="preserve"> </w:t>
        </w:r>
        <w:r>
          <w:rPr>
            <w:rStyle w:val="Hyperlink"/>
            <w:smallCaps/>
          </w:rPr>
          <w:t xml:space="preserve">Olken</w:t>
        </w:r>
        <w:r>
          <w:rPr>
            <w:rStyle w:val="Hyperlink"/>
          </w:rPr>
          <w:t xml:space="preserve">, 2014</w:t>
        </w:r>
      </w:hyperlink>
      <w:r>
        <w:t xml:space="preserve">)</w:t>
      </w:r>
      <w:r>
        <w:t xml:space="preserve"> </w:t>
      </w:r>
      <w:r>
        <w:t xml:space="preserve">ha cambiado lo que sabemos de sus daños.</w:t>
      </w:r>
    </w:p>
    <w:p>
      <w:pPr>
        <w:keepNext/>
        <w:numPr>
          <w:ilvl w:val="0"/>
          <w:numId w:val="1001"/>
        </w:numPr>
      </w:pPr>
      <w:r>
        <w:rPr>
          <w:b/>
          <w:bCs/>
          <w:i/>
          <w:iCs/>
        </w:rPr>
        <w:t xml:space="preserve">Problemática (preguntas clave)</w:t>
      </w:r>
      <w:r>
        <w:t xml:space="preserve">:</w:t>
      </w:r>
    </w:p>
    <w:p>
      <w:pPr>
        <w:numPr>
          <w:ilvl w:val="1"/>
          <w:numId w:val="1005"/>
        </w:numPr>
      </w:pPr>
      <w:r>
        <w:t xml:space="preserve">¿Por qué el mercado emite demasiado, qué distingue al clima de otras externalidades y por qué canales llega el daño a la economía?</w:t>
      </w:r>
    </w:p>
    <w:p>
      <w:pPr>
        <w:numPr>
          <w:ilvl w:val="1"/>
          <w:numId w:val="1005"/>
        </w:numPr>
      </w:pPr>
      <w:r>
        <w:t xml:space="preserve">¿Cuánto daña el cambio climático a la economía y cuánto vale hoy evitar una tonelada de CO</w:t>
      </w:r>
      <w:r>
        <w:rPr>
          <w:vertAlign w:val="subscript"/>
        </w:rPr>
        <w:t xml:space="preserve">2</w:t>
      </w:r>
      <w:r>
        <w:t xml:space="preserve">? ¿Por qué esa cifra depende tanto de la tasa de descuento y de la incertidumbre?</w:t>
      </w:r>
    </w:p>
    <w:p>
      <w:pPr>
        <w:numPr>
          <w:ilvl w:val="1"/>
          <w:numId w:val="1005"/>
        </w:numPr>
      </w:pPr>
      <w:r>
        <w:t xml:space="preserve">Si a todos les conviene reducir emisiones, ¿por qué los acuerdos internacionales han logrado tan poco y qué medidas funcionan?</w:t>
      </w:r>
    </w:p>
    <w:p>
      <w:pPr>
        <w:keepNext/>
        <w:numPr>
          <w:ilvl w:val="0"/>
          <w:numId w:val="1001"/>
        </w:numPr>
      </w:pPr>
      <w:r>
        <w:rPr>
          <w:b/>
          <w:bCs/>
          <w:i/>
          <w:iCs/>
        </w:rPr>
        <w:t xml:space="preserve">Estructura</w:t>
      </w:r>
      <w:r>
        <w:t xml:space="preserve">. La exposición sigue las 3 partes del título, que son las 3 preguntas de la problemática:</w:t>
      </w:r>
    </w:p>
    <w:p>
      <w:pPr>
        <w:numPr>
          <w:ilvl w:val="1"/>
          <w:numId w:val="1006"/>
        </w:numPr>
      </w:pPr>
      <w:r>
        <w:t xml:space="preserve">En el bloque </w:t>
      </w:r>
      <w:hyperlink w:anchor="sec_impacto">
        <w:r>
          <w:rPr>
            <w:rStyle w:val="Hyperlink"/>
          </w:rPr>
          <w:t xml:space="preserve">I</w:t>
        </w:r>
      </w:hyperlink>
      <w:r>
        <w:t xml:space="preserve">, qué es el cambio climático, por qué es un problema económico (una externalidad global, entre generaciones y con incertidumbre) y por qué canales afecta a la economía.</w:t>
      </w:r>
    </w:p>
    <w:p>
      <w:pPr>
        <w:numPr>
          <w:ilvl w:val="1"/>
          <w:numId w:val="1006"/>
        </w:numPr>
      </w:pPr>
      <w:r>
        <w:t xml:space="preserve">En el bloque </w:t>
      </w:r>
      <w:hyperlink w:anchor="sec_evidencia_mie">
        <w:r>
          <w:rPr>
            <w:rStyle w:val="Hyperlink"/>
          </w:rPr>
          <w:t xml:space="preserve">II</w:t>
        </w:r>
      </w:hyperlink>
      <w:r>
        <w:t xml:space="preserve">, cuánto la afecta: la evidencia empírica y los modelos integrados de evaluación, con el DICE de</w:t>
      </w:r>
      <w:r>
        <w:t xml:space="preserve"> </w:t>
      </w:r>
      <w:r>
        <w:rPr>
          <w:smallCaps/>
        </w:rPr>
        <w:t xml:space="preserve">Nordhaus</w:t>
      </w:r>
      <w:r>
        <w:t xml:space="preserve"> </w:t>
      </w:r>
      <w:r>
        <w:t xml:space="preserve">y el debate sobre el descuento.</w:t>
      </w:r>
    </w:p>
    <w:p>
      <w:pPr>
        <w:numPr>
          <w:ilvl w:val="1"/>
          <w:numId w:val="1006"/>
        </w:numPr>
      </w:pPr>
      <w:r>
        <w:t xml:space="preserve">En el bloque </w:t>
      </w:r>
      <w:hyperlink w:anchor="sec_acuerdos_medidas">
        <w:r>
          <w:rPr>
            <w:rStyle w:val="Hyperlink"/>
          </w:rPr>
          <w:t xml:space="preserve">III</w:t>
        </w:r>
      </w:hyperlink>
      <w:r>
        <w:t xml:space="preserve">, qué hacer y por qué cuesta tanto hacerlo: los instrumentos, el problema de la cooperación entre países, los acuerdos internacionales y las medidas adoptadas, en especial el Mecanismo de Ajuste en Frontera por Carbono de la UE.</w:t>
      </w:r>
    </w:p>
    <w:p>
      <w:pPr>
        <w:numPr>
          <w:ilvl w:val="0"/>
          <w:numId w:val="1000"/>
        </w:numPr>
      </w:pPr>
      <w:r>
        <w:t xml:space="preserve">El orden va del diagnóstico a la medida y a la cura: sin saber por qué falla el mercado no se entiende la cifra, y sin la cifra no se sabe cuánto pedir a los acuerdos.</w:t>
      </w:r>
    </w:p>
    <w:p>
      <w:pPr>
        <w:pStyle w:val="Esquema"/>
        <w:keepLines/>
      </w:pPr>
      <w:r>
        <w:rPr>
          <w:b/>
          <w:bCs/>
        </w:rPr>
        <w:t xml:space="preserve">Esquema del tema. </w:t>
      </w:r>
      <w:r>
        <w:rPr>
          <w:b/>
          <w:bCs/>
        </w:rPr>
        <w:t xml:space="preserve">3.B.31. El cambio climático y su impacto en la economía</w:t>
      </w:r>
      <w:r>
        <w:br/>
      </w:r>
      <w:r>
        <w:t xml:space="preserve">Introducción</w:t>
      </w:r>
      <w:r>
        <w:br/>
      </w:r>
      <w:r>
        <w:t xml:space="preserve">I. El cambio climático y su impacto en la economía</w:t>
      </w:r>
      <w:r>
        <w:br/>
      </w:r>
      <w:r>
        <w:t xml:space="preserve">1. El fenómeno físico:</w:t>
      </w:r>
      <w:r>
        <w:t xml:space="preserve"> </w:t>
      </w:r>
      <m:oMath>
        <m:r>
          <m:rPr>
            <m:sty m:val="p"/>
          </m:rPr>
          <m:t>+</m:t>
        </m:r>
        <m:r>
          <m:t>1</m:t>
        </m:r>
        <m:r>
          <m:rPr>
            <m:sty m:val="p"/>
          </m:rPr>
          <m:t>,</m:t>
        </m:r>
        <m:r>
          <m:t>4</m:t>
        </m:r>
      </m:oMath>
      <w:r>
        <w:t xml:space="preserve"> °C, CO</w:t>
      </w:r>
      <w:r>
        <w:rPr>
          <w:vertAlign w:val="subscript"/>
        </w:rPr>
        <w:t xml:space="preserve">2</w:t>
      </w:r>
      <w:r>
        <w:t xml:space="preserve"> </w:t>
      </w:r>
      <w:r>
        <w:t xml:space="preserve">acumulado, presupuesto de carbono, IPCC</w:t>
      </w:r>
      <w:r>
        <w:br/>
      </w:r>
      <w:r>
        <w:t xml:space="preserve">2. Problema económico:</w:t>
      </w:r>
      <w:r>
        <w:t xml:space="preserve"> </w:t>
      </w:r>
      <m:oMath>
        <m:r>
          <m:rPr>
            <m:sty m:val="p"/>
          </m:rPr>
          <m:t>D</m:t>
        </m:r>
        <m:r>
          <m:rPr>
            <m:sty m:val="p"/>
          </m:rPr>
          <m:t>M</m:t>
        </m:r>
        <m:r>
          <m:rPr>
            <m:sty m:val="p"/>
          </m:rPr>
          <m:t>g</m:t>
        </m:r>
        <m:d>
          <m:dPr>
            <m:begChr m:val="("/>
            <m:sepChr m:val=""/>
            <m:endChr m:val=")"/>
            <m:grow/>
          </m:dPr>
          <m:e>
            <m:r>
              <m:t>E</m:t>
            </m:r>
          </m:e>
        </m:d>
        <m:r>
          <m:rPr>
            <m:sty m:val="p"/>
          </m:rPr>
          <m:t>=</m:t>
        </m:r>
        <m:nary>
          <m:naryPr>
            <m:chr m:val="∑"/>
            <m:limLoc m:val="undOvr"/>
            <m:subHide m:val="off"/>
            <m:supHide m:val="on"/>
          </m:naryPr>
          <m:sub>
            <m:r>
              <m:t>i</m:t>
            </m:r>
          </m:sub>
          <m:sup>
            <m:r>
              <m:t>​</m:t>
            </m:r>
          </m:sup>
          <m:e>
            <m:sSub>
              <m:e>
                <m:r>
                  <m:rPr>
                    <m:sty m:val="p"/>
                  </m:rPr>
                  <m:t>D</m:t>
                </m:r>
                <m:r>
                  <m:rPr>
                    <m:sty m:val="p"/>
                  </m:rPr>
                  <m:t>M</m:t>
                </m:r>
                <m:r>
                  <m:rPr>
                    <m:sty m:val="p"/>
                  </m:rPr>
                  <m:t>g</m:t>
                </m:r>
              </m:e>
              <m:sub>
                <m:r>
                  <m:t>i</m:t>
                </m:r>
              </m:sub>
            </m:sSub>
          </m:e>
        </m:nary>
        <m:d>
          <m:dPr>
            <m:begChr m:val="("/>
            <m:sepChr m:val=""/>
            <m:endChr m:val=")"/>
            <m:grow/>
          </m:dPr>
          <m:e>
            <m:r>
              <m:t>E</m:t>
            </m:r>
          </m:e>
        </m:d>
      </m:oMath>
      <w:r>
        <w:t xml:space="preserve">;</w:t>
      </w:r>
      <w:r>
        <w:t xml:space="preserve"> </w:t>
      </w:r>
      <m:oMath>
        <m:sSup>
          <m:e>
            <m:r>
              <m:t>E</m:t>
            </m:r>
          </m:e>
          <m:sup>
            <m:r>
              <m:t>c</m:t>
            </m:r>
          </m:sup>
        </m:sSup>
        <m:r>
          <m:rPr>
            <m:sty m:val="p"/>
          </m:rPr>
          <m:t>&gt;</m:t>
        </m:r>
        <m:sSup>
          <m:e>
            <m:r>
              <m:t>E</m:t>
            </m:r>
          </m:e>
          <m:sup>
            <m:r>
              <m:rPr>
                <m:sty m:val="p"/>
              </m:rPr>
              <m:t>N</m:t>
            </m:r>
          </m:sup>
        </m:sSup>
        <m:r>
          <m:rPr>
            <m:sty m:val="p"/>
          </m:rPr>
          <m:t>&gt;</m:t>
        </m:r>
        <m:sSup>
          <m:e>
            <m:r>
              <m:t>E</m:t>
            </m:r>
          </m:e>
          <m:sup>
            <m:r>
              <m:rPr>
                <m:sty m:val="p"/>
              </m:rPr>
              <m:t>*</m:t>
            </m:r>
          </m:sup>
        </m:sSup>
      </m:oMath>
      <w:r>
        <w:br/>
      </w:r>
      <w:r>
        <w:t xml:space="preserve">3. Canales: riesgos físicos y de transición</w:t>
      </w:r>
      <w:r>
        <w:br/>
      </w:r>
      <w:r>
        <w:t xml:space="preserve">II. Evidencia y modelos integrados de evaluación</w:t>
      </w:r>
      <w:r>
        <w:br/>
      </w:r>
      <w:r>
        <w:t xml:space="preserve">1. Evidencia: corte transversal, panel, temperatura global</w:t>
      </w:r>
      <w:r>
        <w:br/>
      </w:r>
      <w:r>
        <w:t xml:space="preserve">2. Modelos integrados y coste social del carbono</w:t>
      </w:r>
      <w:r>
        <w:br/>
      </w:r>
      <w:r>
        <w:t xml:space="preserve">3. DICE:</w:t>
      </w:r>
      <w:r>
        <w:t xml:space="preserve"> </w:t>
      </w:r>
      <m:oMath>
        <m:sSub>
          <m:e>
            <m:r>
              <m:t>Q</m:t>
            </m:r>
          </m:e>
          <m:sub>
            <m:r>
              <m:t>t</m:t>
            </m:r>
          </m:sub>
        </m:sSub>
        <m:r>
          <m:rPr>
            <m:sty m:val="p"/>
          </m:rPr>
          <m:t>=</m:t>
        </m:r>
        <m:d>
          <m:dPr>
            <m:begChr m:val="["/>
            <m:sepChr m:val=""/>
            <m:endChr m:val="]"/>
            <m:grow/>
          </m:dPr>
          <m:e>
            <m:r>
              <m:t>1</m:t>
            </m:r>
            <m:r>
              <m:rPr>
                <m:sty m:val="p"/>
              </m:rPr>
              <m:t>−</m:t>
            </m:r>
            <m:r>
              <m:t>Λ</m:t>
            </m:r>
            <m:d>
              <m:dPr>
                <m:begChr m:val="("/>
                <m:sepChr m:val=""/>
                <m:endChr m:val=")"/>
                <m:grow/>
              </m:dPr>
              <m:e>
                <m:sSub>
                  <m:e>
                    <m:r>
                      <m:t>μ</m:t>
                    </m:r>
                  </m:e>
                  <m:sub>
                    <m:r>
                      <m:t>t</m:t>
                    </m:r>
                  </m:sub>
                </m:sSub>
              </m:e>
            </m:d>
          </m:e>
        </m:d>
        <m:d>
          <m:dPr>
            <m:begChr m:val="["/>
            <m:sepChr m:val=""/>
            <m:endChr m:val="]"/>
            <m:grow/>
          </m:dPr>
          <m:e>
            <m:r>
              <m:t>1</m:t>
            </m:r>
            <m:r>
              <m:rPr>
                <m:sty m:val="p"/>
              </m:rPr>
              <m:t>−</m:t>
            </m:r>
            <m:r>
              <m:t>Ω</m:t>
            </m:r>
            <m:d>
              <m:dPr>
                <m:begChr m:val="("/>
                <m:sepChr m:val=""/>
                <m:endChr m:val=")"/>
                <m:grow/>
              </m:dPr>
              <m:e>
                <m:sSub>
                  <m:e>
                    <m:r>
                      <m:t>T</m:t>
                    </m:r>
                  </m:e>
                  <m:sub>
                    <m:r>
                      <m:t>t</m:t>
                    </m:r>
                  </m:sub>
                </m:sSub>
              </m:e>
            </m:d>
          </m:e>
        </m:d>
        <m:sSub>
          <m:e>
            <m:r>
              <m:t>Y</m:t>
            </m:r>
          </m:e>
          <m:sub>
            <m:r>
              <m:t>t</m:t>
            </m:r>
          </m:sub>
        </m:sSub>
      </m:oMath>
      <w:r>
        <w:t xml:space="preserve">;</w:t>
      </w:r>
      <w:r>
        <w:t xml:space="preserve"> </w:t>
      </w:r>
      <m:oMath>
        <m:sSub>
          <m:e>
            <m:r>
              <m:t>r</m:t>
            </m:r>
          </m:e>
          <m:sub>
            <m:r>
              <m:t>s</m:t>
            </m:r>
          </m:sub>
        </m:sSub>
        <m:r>
          <m:rPr>
            <m:sty m:val="p"/>
          </m:rPr>
          <m:t>=</m:t>
        </m:r>
        <m:r>
          <m:t>ρ</m:t>
        </m:r>
        <m:r>
          <m:rPr>
            <m:sty m:val="p"/>
          </m:rPr>
          <m:t>+</m:t>
        </m:r>
        <m:r>
          <m:t>θ</m:t>
        </m:r>
        <m:sSub>
          <m:e>
            <m:r>
              <m:t>γ</m:t>
            </m:r>
          </m:e>
          <m:sub>
            <m:r>
              <m:t>c</m:t>
            </m:r>
          </m:sub>
        </m:sSub>
      </m:oMath>
      <w:r>
        <w:br/>
      </w:r>
      <w:r>
        <w:t xml:space="preserve">III. Acuerdos internacionales y principales medidas</w:t>
      </w:r>
      <w:r>
        <w:br/>
      </w:r>
      <w:r>
        <w:t xml:space="preserve">1. Instrumentos: precio, cantidad, adaptación</w:t>
      </w:r>
      <w:r>
        <w:br/>
      </w:r>
      <w:r>
        <w:t xml:space="preserve">2. Cooperación: dilema del prisionero y clubes climáticos</w:t>
      </w:r>
      <w:r>
        <w:br/>
      </w:r>
      <w:r>
        <w:t xml:space="preserve">3. Acuerdos: CMNUCC, Kioto, París</w:t>
      </w:r>
      <w:r>
        <w:br/>
      </w:r>
      <w:r>
        <w:t xml:space="preserve">4. Medidas: UE, RCDE y MAFC</w:t>
      </w:r>
      <w:r>
        <w:br/>
      </w:r>
      <w:r>
        <w:t xml:space="preserve">Conclusión</w:t>
      </w:r>
    </w:p>
    <w:p>
      <w:pPr>
        <w:pStyle w:val="Notaalopositor"/>
        <w:keepNext/>
        <w:keepLines/>
      </w:pPr>
      <w:r>
        <w:rPr>
          <w:b/>
          <w:bCs/>
        </w:rPr>
        <w:t xml:space="preserve">Nota al opositor. </w:t>
      </w:r>
      <w:r>
        <w:t xml:space="preserve">Reparto del cante:</w:t>
      </w:r>
    </w:p>
    <w:p>
      <w:pPr>
        <w:pStyle w:val="Notaalopositor"/>
        <w:keepNext/>
        <w:keepLines/>
        <w:numPr>
          <w:ilvl w:val="0"/>
          <w:numId w:val="1007"/>
        </w:numPr>
      </w:pPr>
      <w:r>
        <w:t xml:space="preserve">introducción, 2′30″;</w:t>
      </w:r>
    </w:p>
    <w:p>
      <w:pPr>
        <w:pStyle w:val="Notaalopositor"/>
        <w:keepNext/>
        <w:keepLines/>
        <w:numPr>
          <w:ilvl w:val="0"/>
          <w:numId w:val="1007"/>
        </w:numPr>
      </w:pPr>
      <w:r>
        <w:t xml:space="preserve">I, 7′30″ (I.1, 1′30″; I.2, 2′; I.3, 4′);</w:t>
      </w:r>
    </w:p>
    <w:p>
      <w:pPr>
        <w:pStyle w:val="Notaalopositor"/>
        <w:keepNext/>
        <w:keepLines/>
        <w:numPr>
          <w:ilvl w:val="0"/>
          <w:numId w:val="1007"/>
        </w:numPr>
      </w:pPr>
      <w:r>
        <w:t xml:space="preserve">II, 9′ (II.1, 2′30″; II.2, 1′30″; II.3, 5′);</w:t>
      </w:r>
    </w:p>
    <w:p>
      <w:pPr>
        <w:pStyle w:val="Notaalopositor"/>
        <w:keepNext/>
        <w:keepLines/>
        <w:numPr>
          <w:ilvl w:val="0"/>
          <w:numId w:val="1007"/>
        </w:numPr>
      </w:pPr>
      <w:r>
        <w:t xml:space="preserve">III, 9′30″ (III.1, 1′30″; III.2, 1′30″; III.3, 2′30″; III.4, 4′);</w:t>
      </w:r>
    </w:p>
    <w:p>
      <w:pPr>
        <w:pStyle w:val="Notaalopositor"/>
        <w:keepNext/>
        <w:keepLines/>
        <w:numPr>
          <w:ilvl w:val="0"/>
          <w:numId w:val="1007"/>
        </w:numPr>
      </w:pPr>
      <w:r>
        <w:t xml:space="preserve">conclusión, 1′30″.</w:t>
      </w:r>
    </w:p>
    <w:p>
      <w:pPr>
        <w:pStyle w:val="Notaalopositor"/>
        <w:keepNext/>
        <w:keepLines/>
      </w:pPr>
      <w:r>
        <w:t xml:space="preserve">Los 3 bloques pesan casi lo mismo, como en el título; dentro del tercero, el Mecanismo de Ajuste en Frontera por Carbono se lleva unos 2′. Los gráficos imprescindibles son:</w:t>
      </w:r>
    </w:p>
    <w:p>
      <w:pPr>
        <w:pStyle w:val="Notaalopositor"/>
        <w:keepNext/>
        <w:keepLines/>
        <w:numPr>
          <w:ilvl w:val="0"/>
          <w:numId w:val="1008"/>
        </w:numPr>
      </w:pPr>
      <w:r>
        <w:t xml:space="preserve">el de las emisiones óptimas, que se queda en la pizarra todo el cante (gráfico </w:t>
      </w:r>
      <w:hyperlink w:anchor="fig_emisiones_optimas">
        <w:r>
          <w:rPr>
            <w:rStyle w:val="Hyperlink"/>
          </w:rPr>
          <w:t xml:space="preserve">3</w:t>
        </w:r>
      </w:hyperlink>
      <w:r>
        <w:t xml:space="preserve">);</w:t>
      </w:r>
    </w:p>
    <w:p>
      <w:pPr>
        <w:pStyle w:val="Notaalopositor"/>
        <w:keepNext/>
        <w:keepLines/>
        <w:numPr>
          <w:ilvl w:val="0"/>
          <w:numId w:val="1008"/>
        </w:numPr>
      </w:pPr>
      <w:r>
        <w:t xml:space="preserve">la U invertida de la temperatura y la productividad (gráfico </w:t>
      </w:r>
      <w:hyperlink w:anchor="fig_temperatura_productividad">
        <w:r>
          <w:rPr>
            <w:rStyle w:val="Hyperlink"/>
          </w:rPr>
          <w:t xml:space="preserve">4</w:t>
        </w:r>
      </w:hyperlink>
      <w:r>
        <w:t xml:space="preserve">);</w:t>
      </w:r>
    </w:p>
    <w:p>
      <w:pPr>
        <w:pStyle w:val="Notaalopositor"/>
        <w:keepNext/>
        <w:keepLines/>
        <w:numPr>
          <w:ilvl w:val="0"/>
          <w:numId w:val="1008"/>
        </w:numPr>
      </w:pPr>
      <w:r>
        <w:t xml:space="preserve">el esquema del DICE con su problema de optimización y la fórmula del descuento (gráfico </w:t>
      </w:r>
      <w:hyperlink w:anchor="fig_dice_esquema">
        <w:r>
          <w:rPr>
            <w:rStyle w:val="Hyperlink"/>
          </w:rPr>
          <w:t xml:space="preserve">5</w:t>
        </w:r>
      </w:hyperlink>
      <w:r>
        <w:t xml:space="preserve">);</w:t>
      </w:r>
    </w:p>
    <w:p>
      <w:pPr>
        <w:pStyle w:val="Notaalopositor"/>
        <w:keepNext/>
        <w:keepLines/>
        <w:numPr>
          <w:ilvl w:val="0"/>
          <w:numId w:val="1008"/>
        </w:numPr>
      </w:pPr>
      <w:r>
        <w:t xml:space="preserve">la matriz del dilema entre países y su versión con el club (tablas </w:t>
      </w:r>
      <w:hyperlink w:anchor="tab_dilema_clima">
        <w:r>
          <w:rPr>
            <w:rStyle w:val="Hyperlink"/>
          </w:rPr>
          <w:t xml:space="preserve">4</w:t>
        </w:r>
      </w:hyperlink>
      <w:r>
        <w:t xml:space="preserve"> </w:t>
      </w:r>
      <w:r>
        <w:t xml:space="preserve">y </w:t>
      </w:r>
      <w:hyperlink w:anchor="tab_club_clima">
        <w:r>
          <w:rPr>
            <w:rStyle w:val="Hyperlink"/>
          </w:rPr>
          <w:t xml:space="preserve">5</w:t>
        </w:r>
      </w:hyperlink>
      <w:r>
        <w:t xml:space="preserve">);</w:t>
      </w:r>
    </w:p>
    <w:p>
      <w:pPr>
        <w:pStyle w:val="Notaalopositor"/>
        <w:keepNext/>
        <w:keepLines/>
        <w:numPr>
          <w:ilvl w:val="0"/>
          <w:numId w:val="1008"/>
        </w:numPr>
      </w:pPr>
      <w:r>
        <w:t xml:space="preserve">el del Mecanismo de Ajuste en Frontera por Carbono (gráfico </w:t>
      </w:r>
      <w:hyperlink w:anchor="fig_mafc">
        <w:r>
          <w:rPr>
            <w:rStyle w:val="Hyperlink"/>
          </w:rPr>
          <w:t xml:space="preserve">7</w:t>
        </w:r>
      </w:hyperlink>
      <w:r>
        <w:t xml:space="preserve">).</w:t>
      </w:r>
    </w:p>
    <w:p>
      <w:pPr>
        <w:pStyle w:val="Notaalopositor"/>
        <w:keepLines/>
      </w:pPr>
      <w:r>
        <w:t xml:space="preserve">Las series de datos y los anexos son para las preguntas del tribunal. Conviene escribir este esquema en la pizarra al empezar. El ejemplo de la tonelada de CO</w:t>
      </w:r>
      <w:r>
        <w:rPr>
          <w:vertAlign w:val="subscript"/>
        </w:rPr>
        <w:t xml:space="preserve">2</w:t>
      </w:r>
      <w:r>
        <w:t xml:space="preserve"> </w:t>
      </w:r>
      <w:r>
        <w:t xml:space="preserve">de la acería vuelve en cada bloque, siempre en una viñeta propia.</w:t>
      </w:r>
    </w:p>
    <w:bookmarkEnd w:id="25"/>
    <w:bookmarkStart w:id="57" w:name="sec_impacto"/>
    <w:p>
      <w:pPr>
        <w:pStyle w:val="Heading1"/>
      </w:pPr>
      <w:r>
        <w:t xml:space="preserve">I.</w:t>
      </w:r>
      <w:r>
        <w:t xml:space="preserve"> </w:t>
      </w:r>
      <w:r>
        <w:t xml:space="preserve">El cambio climático y su impacto en la economía</w:t>
      </w:r>
      <w:r>
        <w:t xml:space="preserve"> </w:t>
      </w:r>
      <w:r>
        <w:rPr>
          <w:rStyle w:val="Minutos"/>
        </w:rPr>
        <w:t xml:space="preserve">7′30″</w:t>
      </w:r>
    </w:p>
    <w:p>
      <w:pPr>
        <w:pStyle w:val="Notaalopositor"/>
        <w:keepLines/>
      </w:pPr>
      <w:r>
        <w:rPr>
          <w:b/>
          <w:bCs/>
        </w:rPr>
        <w:t xml:space="preserve">Nota al opositor. </w:t>
      </w:r>
      <w:r>
        <w:t xml:space="preserve">En el cante: el fenómeno físico, de palabra y con 3 cifras en una esquina de la pizarra (temperatura, concentración y presupuesto de carbono); el gráfico de la temperatura y el CO</w:t>
      </w:r>
      <w:r>
        <w:rPr>
          <w:vertAlign w:val="subscript"/>
        </w:rPr>
        <w:t xml:space="preserve">2</w:t>
      </w:r>
      <w:r>
        <w:t xml:space="preserve"> </w:t>
      </w:r>
      <w:r>
        <w:t xml:space="preserve">no se dibuja (1′30″). El gráfico de las emisiones óptimas, por capas, con los 5 rasgos que hacen singular al clima dichos de palabra; se queda en la pizarra hasta el final (2′). Los canales, en la tabla de riesgos físicos y de transición, que se borra al acabar el bloque (4′).</w:t>
      </w:r>
    </w:p>
    <w:p>
      <w:pPr>
        <w:numPr>
          <w:ilvl w:val="0"/>
          <w:numId w:val="1009"/>
        </w:numPr>
      </w:pPr>
      <w:r>
        <w:t xml:space="preserve">Empezamos por lo que dice la ciencia del clima, porque de su rasgo físico central, que el CO</w:t>
      </w:r>
      <w:r>
        <w:rPr>
          <w:vertAlign w:val="subscript"/>
        </w:rPr>
        <w:t xml:space="preserve">2</w:t>
      </w:r>
      <w:r>
        <w:t xml:space="preserve"> </w:t>
      </w:r>
      <w:r>
        <w:t xml:space="preserve">se acumula en la atmósfera, nacen casi todas las dificultades económicas.</w:t>
      </w:r>
    </w:p>
    <w:p>
      <w:pPr>
        <w:numPr>
          <w:ilvl w:val="0"/>
          <w:numId w:val="1009"/>
        </w:numPr>
      </w:pPr>
      <w:r>
        <w:rPr>
          <w:i/>
          <w:iCs/>
        </w:rPr>
        <w:t xml:space="preserve">Conclusión anticipada</w:t>
      </w:r>
      <w:r>
        <w:t xml:space="preserve">: el cambio climático es una externalidad global, entre generaciones y acumulativa, que afecta a la economía por la oferta (factores y productividad), por los precios, por el sistema financiero y por la distribución; y sus costes recaen sobre todo en los países pobres y cálidos.</w:t>
      </w:r>
    </w:p>
    <w:bookmarkStart w:id="34" w:name="sec_fenomeno"/>
    <w:p>
      <w:pPr>
        <w:pStyle w:val="Heading2"/>
      </w:pPr>
      <w:r>
        <w:t xml:space="preserve">I.1.</w:t>
      </w:r>
      <w:r>
        <w:t xml:space="preserve"> </w:t>
      </w:r>
      <w:r>
        <w:t xml:space="preserve">El fenómeno físico y su evidencia</w:t>
      </w:r>
    </w:p>
    <w:p>
      <w:pPr>
        <w:numPr>
          <w:ilvl w:val="0"/>
          <w:numId w:val="1010"/>
        </w:numPr>
      </w:pPr>
      <w:r>
        <w:t xml:space="preserve">La CMNUCC entiende por</w:t>
      </w:r>
      <w:r>
        <w:t xml:space="preserve"> </w:t>
      </w:r>
      <w:r>
        <w:rPr>
          <w:b/>
          <w:bCs/>
        </w:rPr>
        <w:t xml:space="preserve">cambio climático</w:t>
      </w:r>
      <w:r>
        <w:t xml:space="preserve"> </w:t>
      </w:r>
      <w:r>
        <w:t xml:space="preserve">el cambio del clima atribuido directa o indirectamente a la actividad humana, que altera la composición de la atmósfera mundial y se suma a la variabilidad natural observada en periodos comparables</w:t>
      </w:r>
      <w:r>
        <w:t xml:space="preserve"> </w:t>
      </w:r>
      <w:r>
        <w:t xml:space="preserve">(</w:t>
      </w:r>
      <w:hyperlink w:anchor="ref_CMNUCC1992Convencion">
        <w:r>
          <w:rPr>
            <w:rStyle w:val="Hyperlink"/>
            <w:smallCaps/>
          </w:rPr>
          <w:t xml:space="preserve">Naciones Unidas</w:t>
        </w:r>
        <w:r>
          <w:rPr>
            <w:rStyle w:val="Hyperlink"/>
          </w:rPr>
          <w:t xml:space="preserve">, 1992</w:t>
        </w:r>
      </w:hyperlink>
      <w:r>
        <w:t xml:space="preserve">, art. 1)</w:t>
      </w:r>
      <w:r>
        <w:t xml:space="preserve">.</w:t>
      </w:r>
    </w:p>
    <w:p>
      <w:pPr>
        <w:keepNext/>
        <w:numPr>
          <w:ilvl w:val="0"/>
          <w:numId w:val="1010"/>
        </w:numPr>
      </w:pPr>
      <w:r>
        <w:rPr>
          <w:i/>
          <w:iCs/>
        </w:rPr>
        <w:t xml:space="preserve">El mecanismo</w:t>
      </w:r>
      <w:r>
        <w:t xml:space="preserve">: el efecto invernadero.</w:t>
      </w:r>
    </w:p>
    <w:p>
      <w:pPr>
        <w:numPr>
          <w:ilvl w:val="1"/>
          <w:numId w:val="1011"/>
        </w:numPr>
      </w:pPr>
      <w:r>
        <w:t xml:space="preserve">La Tierra recibe la radiación del Sol y devuelve al espacio radiación infrarroja. Los</w:t>
      </w:r>
      <w:r>
        <w:t xml:space="preserve"> </w:t>
      </w:r>
      <w:r>
        <w:rPr>
          <w:b/>
          <w:bCs/>
        </w:rPr>
        <w:t xml:space="preserve">gases de efecto invernadero</w:t>
      </w:r>
      <w:r>
        <w:t xml:space="preserve"> </w:t>
      </w:r>
      <w:r>
        <w:t xml:space="preserve">(GEI) retienen parte de esa radiación de vuelta y calientan la superficie. Sin ellos el planeta sería mucho más frío; el problema es el efecto invernadero</w:t>
      </w:r>
      <w:r>
        <w:t xml:space="preserve"> </w:t>
      </w:r>
      <w:r>
        <w:rPr>
          <w:i/>
          <w:iCs/>
        </w:rPr>
        <w:t xml:space="preserve">añadido</w:t>
      </w:r>
      <w:r>
        <w:t xml:space="preserve"> </w:t>
      </w:r>
      <w:r>
        <w:t xml:space="preserve">por las emisiones humanas.</w:t>
      </w:r>
    </w:p>
    <w:p>
      <w:pPr>
        <w:numPr>
          <w:ilvl w:val="1"/>
          <w:numId w:val="1011"/>
        </w:numPr>
      </w:pPr>
      <w:r>
        <w:t xml:space="preserve">Los principales son el dióxido de carbono (CO</w:t>
      </w:r>
      <w:r>
        <w:rPr>
          <w:vertAlign w:val="subscript"/>
        </w:rPr>
        <w:t xml:space="preserve">2</w:t>
      </w:r>
      <w:r>
        <w:t xml:space="preserve">), el metano, el óxido nitroso y los gases fluorados. Se suman en</w:t>
      </w:r>
      <w:r>
        <w:t xml:space="preserve"> </w:t>
      </w:r>
      <w:r>
        <w:rPr>
          <w:b/>
          <w:bCs/>
        </w:rPr>
        <w:t xml:space="preserve">toneladas de CO</w:t>
      </w:r>
      <w:r>
        <w:rPr>
          <w:b/>
          <w:bCs/>
          <w:vertAlign w:val="subscript"/>
        </w:rPr>
        <w:t xml:space="preserve">2</w:t>
      </w:r>
      <w:r>
        <w:rPr>
          <w:b/>
          <w:bCs/>
        </w:rPr>
        <w:t xml:space="preserve"> </w:t>
      </w:r>
      <w:r>
        <w:rPr>
          <w:b/>
          <w:bCs/>
        </w:rPr>
        <w:t xml:space="preserve">equivalente</w:t>
      </w:r>
      <w:r>
        <w:t xml:space="preserve"> </w:t>
      </w:r>
      <w:r>
        <w:t xml:space="preserve">(CO</w:t>
      </w:r>
      <w:r>
        <w:rPr>
          <w:vertAlign w:val="subscript"/>
        </w:rPr>
        <w:t xml:space="preserve">2</w:t>
      </w:r>
      <w:r>
        <w:t xml:space="preserve">e), según lo que calienta cada uno.</w:t>
      </w:r>
    </w:p>
    <w:p>
      <w:pPr>
        <w:numPr>
          <w:ilvl w:val="1"/>
          <w:numId w:val="1011"/>
        </w:numPr>
      </w:pPr>
      <w:r>
        <w:t xml:space="preserve">En 2025 el mundo emitió unos 54.100 millones de toneladas de CO</w:t>
      </w:r>
      <w:r>
        <w:rPr>
          <w:vertAlign w:val="subscript"/>
        </w:rPr>
        <w:t xml:space="preserve">2</w:t>
      </w:r>
      <w:r>
        <w:t xml:space="preserve">e, un 0,7 % más que en 2024</w:t>
      </w:r>
      <w:r>
        <w:t xml:space="preserve"> </w:t>
      </w:r>
      <w:r>
        <w:t xml:space="preserve">(</w:t>
      </w:r>
      <w:hyperlink w:anchor="ref_JRC2026EDGAR">
        <w:r>
          <w:rPr>
            <w:rStyle w:val="Hyperlink"/>
            <w:smallCaps/>
          </w:rPr>
          <w:t xml:space="preserve">Crippa</w:t>
        </w:r>
        <w:r>
          <w:rPr>
            <w:rStyle w:val="Hyperlink"/>
          </w:rPr>
          <w:t xml:space="preserve"> </w:t>
        </w:r>
        <w:r>
          <w:rPr>
            <w:rStyle w:val="Hyperlink"/>
          </w:rPr>
          <w:t xml:space="preserve">et al., 2026</w:t>
        </w:r>
      </w:hyperlink>
      <w:r>
        <w:t xml:space="preserve">)</w:t>
      </w:r>
      <w:r>
        <w:t xml:space="preserve">; el CO</w:t>
      </w:r>
      <w:r>
        <w:rPr>
          <w:vertAlign w:val="subscript"/>
        </w:rPr>
        <w:t xml:space="preserve">2</w:t>
      </w:r>
      <w:r>
        <w:t xml:space="preserve"> </w:t>
      </w:r>
      <w:r>
        <w:t xml:space="preserve">de los combustibles fósiles, unos 38.000 millones, marcó otro récord y es por sí solo unas 7 de cada 10 de esas toneladas</w:t>
      </w:r>
      <w:r>
        <w:t xml:space="preserve"> </w:t>
      </w:r>
      <w:r>
        <w:t xml:space="preserve">(</w:t>
      </w:r>
      <w:hyperlink w:anchor="ref_GCP2025Budget">
        <w:r>
          <w:rPr>
            <w:rStyle w:val="Hyperlink"/>
            <w:smallCaps/>
          </w:rPr>
          <w:t xml:space="preserve">Global Carbon Project</w:t>
        </w:r>
        <w:r>
          <w:rPr>
            <w:rStyle w:val="Hyperlink"/>
          </w:rPr>
          <w:t xml:space="preserve">, 2025</w:t>
        </w:r>
      </w:hyperlink>
      <w:r>
        <w:t xml:space="preserve">;</w:t>
      </w:r>
      <w:r>
        <w:t xml:space="preserve"> </w:t>
      </w:r>
      <w:hyperlink w:anchor="ref_JRC2026EDGAR">
        <w:r>
          <w:rPr>
            <w:rStyle w:val="Hyperlink"/>
            <w:smallCaps/>
          </w:rPr>
          <w:t xml:space="preserve">Crippa</w:t>
        </w:r>
        <w:r>
          <w:rPr>
            <w:rStyle w:val="Hyperlink"/>
          </w:rPr>
          <w:t xml:space="preserve"> </w:t>
        </w:r>
        <w:r>
          <w:rPr>
            <w:rStyle w:val="Hyperlink"/>
          </w:rPr>
          <w:t xml:space="preserve">et al., 2026</w:t>
        </w:r>
      </w:hyperlink>
      <w:r>
        <w:t xml:space="preserve">)</w:t>
      </w:r>
      <w:r>
        <w:t xml:space="preserve">.</w:t>
      </w:r>
    </w:p>
    <w:p>
      <w:pPr>
        <w:numPr>
          <w:ilvl w:val="0"/>
          <w:numId w:val="1010"/>
        </w:numPr>
      </w:pPr>
      <w:r>
        <w:rPr>
          <w:i/>
          <w:iCs/>
        </w:rPr>
        <w:t xml:space="preserve">Las causas</w:t>
      </w:r>
      <w:r>
        <w:t xml:space="preserve">: la quema de combustibles fósiles (energía, industria, transporte), algunos procesos industriales (el cemento), la agricultura y la deforestación. Las causas naturales, como la actividad solar o los volcanes, no explican el calentamiento observado: el IPCC concluyó en su sexto informe que el calentamiento, de 1,1 °C en 2011-2020 respecto a 1850-1900, se debe de forma inequívoca a la actividad humana</w:t>
      </w:r>
      <w:r>
        <w:t xml:space="preserve"> </w:t>
      </w:r>
      <w:r>
        <w:t xml:space="preserve">(</w:t>
      </w:r>
      <w:hyperlink w:anchor="ref_IPCC2023SYR">
        <w:r>
          <w:rPr>
            <w:rStyle w:val="Hyperlink"/>
            <w:smallCaps/>
          </w:rPr>
          <w:t xml:space="preserve">IPCC</w:t>
        </w:r>
        <w:r>
          <w:rPr>
            <w:rStyle w:val="Hyperlink"/>
          </w:rPr>
          <w:t xml:space="preserve">, 2023</w:t>
        </w:r>
      </w:hyperlink>
      <w:r>
        <w:t xml:space="preserve">)</w:t>
      </w:r>
      <w:r>
        <w:t xml:space="preserve">.</w:t>
      </w:r>
    </w:p>
    <w:p>
      <w:pPr>
        <w:numPr>
          <w:ilvl w:val="0"/>
          <w:numId w:val="1010"/>
        </w:numPr>
      </w:pPr>
      <w:r>
        <w:rPr>
          <w:i/>
          <w:iCs/>
        </w:rPr>
        <w:t xml:space="preserve">Quién emite</w:t>
      </w:r>
      <w:r>
        <w:t xml:space="preserve">: China emite casi el 30 % de los GEI del mundo, Estados Unidos el 11 %, la India el 8 % y la UE menos del 6 %; pero por habitante un estadounidense emite 17,5 toneladas, un europeo 7,1 y un indio 3,1</w:t>
      </w:r>
      <w:r>
        <w:t xml:space="preserve"> </w:t>
      </w:r>
      <w:r>
        <w:t xml:space="preserve">(</w:t>
      </w:r>
      <w:hyperlink w:anchor="ref_JRC2026EDGAR">
        <w:r>
          <w:rPr>
            <w:rStyle w:val="Hyperlink"/>
            <w:smallCaps/>
          </w:rPr>
          <w:t xml:space="preserve">Crippa</w:t>
        </w:r>
        <w:r>
          <w:rPr>
            <w:rStyle w:val="Hyperlink"/>
          </w:rPr>
          <w:t xml:space="preserve"> </w:t>
        </w:r>
        <w:r>
          <w:rPr>
            <w:rStyle w:val="Hyperlink"/>
          </w:rPr>
          <w:t xml:space="preserve">et al., 2026</w:t>
        </w:r>
      </w:hyperlink>
      <w:r>
        <w:t xml:space="preserve">)</w:t>
      </w:r>
      <w:r>
        <w:t xml:space="preserve"> </w:t>
      </w:r>
      <w:r>
        <w:t xml:space="preserve">(gráfico </w:t>
      </w:r>
      <w:hyperlink w:anchor="fig_emisiones_paises">
        <w:r>
          <w:rPr>
            <w:rStyle w:val="Hyperlink"/>
          </w:rPr>
          <w:t xml:space="preserve">1</w:t>
        </w:r>
      </w:hyperlink>
      <w:r>
        <w:t xml:space="preserve">).</w:t>
      </w:r>
    </w:p>
    <w:bookmarkStart w:id="29" w:name="fig_emisiones_paises"/>
    <w:p>
      <w:pPr>
        <w:pStyle w:val="ImageCaption"/>
      </w:pPr>
      <w:r>
        <w:t xml:space="preserve">Gráfico 1.–</w:t>
      </w:r>
      <w:r>
        <w:t xml:space="preserve"> </w:t>
      </w:r>
      <w:r>
        <w:t xml:space="preserve">Emisiones de gases de efecto invernadero en 2025: total y por habitante</w:t>
      </w:r>
    </w:p>
    <w:p>
      <w:pPr>
        <w:pStyle w:val="CaptionedFigure"/>
      </w:pPr>
      <w:r>
        <w:drawing>
          <wp:inline>
            <wp:extent cx="4775200" cy="2397166"/>
            <wp:effectExtent b="0" l="0" r="0" t="0"/>
            <wp:docPr descr="Gráfico 1.– Emisiones de gases de efecto invernadero en 2025: total y por habitante" title="" id="27" name="Picture"/>
            <a:graphic>
              <a:graphicData uri="http://schemas.openxmlformats.org/drawingml/2006/picture">
                <pic:pic>
                  <pic:nvPicPr>
                    <pic:cNvPr descr="C:\Users\vgutierrez\Documents\src\victorgutierrezmarcos.github.io-revision\oposicion\temario\fuentes\3B31\graficos/emisiones-paises.png" id="28" name="Picture"/>
                    <pic:cNvPicPr>
                      <a:picLocks noChangeArrowheads="1" noChangeAspect="1"/>
                    </pic:cNvPicPr>
                  </pic:nvPicPr>
                  <pic:blipFill>
                    <a:blip r:embed="rId26"/>
                    <a:stretch>
                      <a:fillRect/>
                    </a:stretch>
                  </pic:blipFill>
                  <pic:spPr bwMode="auto">
                    <a:xfrm>
                      <a:off x="0" y="0"/>
                      <a:ext cx="4775200" cy="2397166"/>
                    </a:xfrm>
                    <a:prstGeom prst="rect">
                      <a:avLst/>
                    </a:prstGeom>
                    <a:noFill/>
                    <a:ln w="9525">
                      <a:noFill/>
                      <a:headEnd/>
                      <a:tailEnd/>
                    </a:ln>
                  </pic:spPr>
                </pic:pic>
              </a:graphicData>
            </a:graphic>
          </wp:inline>
        </w:drawing>
      </w:r>
    </w:p>
    <w:bookmarkEnd w:id="29"/>
    <w:p>
      <w:pPr>
        <w:pStyle w:val="Piedeimagen"/>
      </w:pPr>
      <w:r>
        <w:t xml:space="preserve">Fuente: elaboración propia con datos de EDGAR</w:t>
      </w:r>
      <w:r>
        <w:t xml:space="preserve"> </w:t>
      </w:r>
      <w:r>
        <w:t xml:space="preserve">(</w:t>
      </w:r>
      <w:hyperlink w:anchor="ref_JRC2026EDGAR">
        <w:r>
          <w:rPr>
            <w:rStyle w:val="Hyperlink"/>
            <w:smallCaps/>
          </w:rPr>
          <w:t xml:space="preserve">Crippa</w:t>
        </w:r>
        <w:r>
          <w:rPr>
            <w:rStyle w:val="Hyperlink"/>
          </w:rPr>
          <w:t xml:space="preserve"> </w:t>
        </w:r>
        <w:r>
          <w:rPr>
            <w:rStyle w:val="Hyperlink"/>
          </w:rPr>
          <w:t xml:space="preserve">et al., 2026</w:t>
        </w:r>
      </w:hyperlink>
      <w:r>
        <w:t xml:space="preserve">)</w:t>
      </w:r>
      <w:r>
        <w:t xml:space="preserve">. Sin usos del suelo; el total mundial incluye la aviación y el transporte marítimo internacionales. España incluye Andorra (agregado de EDGAR).</w:t>
      </w:r>
    </w:p>
    <w:p>
      <w:pPr>
        <w:keepNext/>
        <w:numPr>
          <w:ilvl w:val="0"/>
          <w:numId w:val="1012"/>
        </w:numPr>
      </w:pPr>
      <w:r>
        <w:rPr>
          <w:i/>
          <w:iCs/>
        </w:rPr>
        <w:t xml:space="preserve">Los hechos</w:t>
      </w:r>
      <w:r>
        <w:t xml:space="preserve">:</w:t>
      </w:r>
    </w:p>
    <w:p>
      <w:pPr>
        <w:numPr>
          <w:ilvl w:val="1"/>
          <w:numId w:val="1013"/>
        </w:numPr>
      </w:pPr>
      <w:r>
        <w:t xml:space="preserve">la concentración de CO</w:t>
      </w:r>
      <w:r>
        <w:rPr>
          <w:vertAlign w:val="subscript"/>
        </w:rPr>
        <w:t xml:space="preserve">2</w:t>
      </w:r>
      <w:r>
        <w:t xml:space="preserve"> </w:t>
      </w:r>
      <w:r>
        <w:t xml:space="preserve">alcanzó en 2025 un récord de 426,8 partes por millón (ppm), un 53 % más que antes de la Revolución Industrial</w:t>
      </w:r>
      <w:r>
        <w:t xml:space="preserve"> </w:t>
      </w:r>
      <w:r>
        <w:t xml:space="preserve">(</w:t>
      </w:r>
      <w:hyperlink w:anchor="ref_OMM2026BoletinGEI22">
        <w:r>
          <w:rPr>
            <w:rStyle w:val="Hyperlink"/>
            <w:smallCaps/>
          </w:rPr>
          <w:t xml:space="preserve">Organización Meteorológica Mundial</w:t>
        </w:r>
        <w:r>
          <w:rPr>
            <w:rStyle w:val="Hyperlink"/>
          </w:rPr>
          <w:t xml:space="preserve">, 2026</w:t>
        </w:r>
      </w:hyperlink>
      <w:r>
        <w:t xml:space="preserve">)</w:t>
      </w:r>
      <w:r>
        <w:t xml:space="preserve">;</w:t>
      </w:r>
    </w:p>
    <w:p>
      <w:pPr>
        <w:numPr>
          <w:ilvl w:val="1"/>
          <w:numId w:val="1013"/>
        </w:numPr>
      </w:pPr>
      <w:r>
        <w:t xml:space="preserve">según Copernicus, 2025 fue el tercer año más cálido registrado, 1,47 °C por encima de 1850-1900, tras el récord de 2024, con 1,60 °C</w:t>
      </w:r>
      <w:r>
        <w:t xml:space="preserve"> </w:t>
      </w:r>
      <w:r>
        <w:t xml:space="preserve">(</w:t>
      </w:r>
      <w:hyperlink w:anchor="ref_C3S2026GCH2025">
        <w:r>
          <w:rPr>
            <w:rStyle w:val="Hyperlink"/>
            <w:smallCaps/>
          </w:rPr>
          <w:t xml:space="preserve">Copernicus Climate Change Service</w:t>
        </w:r>
        <w:r>
          <w:rPr>
            <w:rStyle w:val="Hyperlink"/>
          </w:rPr>
          <w:t xml:space="preserve">, 2026</w:t>
        </w:r>
      </w:hyperlink>
      <w:r>
        <w:t xml:space="preserve">)</w:t>
      </w:r>
      <w:r>
        <w:t xml:space="preserve"> </w:t>
      </w:r>
      <w:r>
        <w:t xml:space="preserve">(gráfico </w:t>
      </w:r>
      <w:hyperlink w:anchor="fig_temperatura_co2">
        <w:r>
          <w:rPr>
            <w:rStyle w:val="Hyperlink"/>
          </w:rPr>
          <w:t xml:space="preserve">2</w:t>
        </w:r>
      </w:hyperlink>
      <w:r>
        <w:t xml:space="preserve">);</w:t>
      </w:r>
    </w:p>
    <w:p>
      <w:pPr>
        <w:numPr>
          <w:ilvl w:val="1"/>
          <w:numId w:val="1013"/>
        </w:numPr>
      </w:pPr>
      <w:r>
        <w:t xml:space="preserve">con los métodos del IPCC, el calentamiento de origen humano llegaba ya a 1,37 °C en 2025 y avanza a unos 0,27 °C por década</w:t>
      </w:r>
      <w:r>
        <w:t xml:space="preserve"> </w:t>
      </w:r>
      <w:r>
        <w:t xml:space="preserve">(</w:t>
      </w:r>
      <w:hyperlink w:anchor="ref_Forster2026Indicators">
        <w:r>
          <w:rPr>
            <w:rStyle w:val="Hyperlink"/>
            <w:smallCaps/>
          </w:rPr>
          <w:t xml:space="preserve">Forster</w:t>
        </w:r>
        <w:r>
          <w:rPr>
            <w:rStyle w:val="Hyperlink"/>
          </w:rPr>
          <w:t xml:space="preserve">,</w:t>
        </w:r>
        <w:r>
          <w:rPr>
            <w:rStyle w:val="Hyperlink"/>
          </w:rPr>
          <w:t xml:space="preserve"> </w:t>
        </w:r>
        <w:r>
          <w:rPr>
            <w:rStyle w:val="Hyperlink"/>
            <w:smallCaps/>
          </w:rPr>
          <w:t xml:space="preserve">Walsh</w:t>
        </w:r>
        <w:r>
          <w:rPr>
            <w:rStyle w:val="Hyperlink"/>
          </w:rPr>
          <w:t xml:space="preserve">, et al., 2026</w:t>
        </w:r>
      </w:hyperlink>
      <w:r>
        <w:t xml:space="preserve">)</w:t>
      </w:r>
      <w:r>
        <w:t xml:space="preserve">.</w:t>
      </w:r>
    </w:p>
    <w:bookmarkStart w:id="33" w:name="fig_temperatura_co2"/>
    <w:p>
      <w:pPr>
        <w:pStyle w:val="ImageCaption"/>
      </w:pPr>
      <w:r>
        <w:t xml:space="preserve">Gráfico 2.–</w:t>
      </w:r>
      <w:r>
        <w:t xml:space="preserve"> </w:t>
      </w:r>
      <w:r>
        <w:t xml:space="preserve">Anomalía de la temperatura media mundial respecto a 1850-1900 y concentración de CO</w:t>
      </w:r>
      <w:r>
        <w:rPr>
          <w:vertAlign w:val="subscript"/>
        </w:rPr>
        <w:t xml:space="preserve">2</w:t>
      </w:r>
    </w:p>
    <w:p>
      <w:pPr>
        <w:pStyle w:val="CaptionedFigure"/>
      </w:pPr>
      <w:r>
        <w:drawing>
          <wp:inline>
            <wp:extent cx="5073650" cy="2310252"/>
            <wp:effectExtent b="0" l="0" r="0" t="0"/>
            <wp:docPr descr="Gráfico 2.– Anomalía de la temperatura media mundial respecto a 1850-1900 y concentración de CO2" title="" id="31" name="Picture"/>
            <a:graphic>
              <a:graphicData uri="http://schemas.openxmlformats.org/drawingml/2006/picture">
                <pic:pic>
                  <pic:nvPicPr>
                    <pic:cNvPr descr="C:\Users\vgutierrez\Documents\src\victorgutierrezmarcos.github.io-revision\oposicion\temario\fuentes\3B31\graficos/temperatura-co2.png" id="32" name="Picture"/>
                    <pic:cNvPicPr>
                      <a:picLocks noChangeArrowheads="1" noChangeAspect="1"/>
                    </pic:cNvPicPr>
                  </pic:nvPicPr>
                  <pic:blipFill>
                    <a:blip r:embed="rId30"/>
                    <a:stretch>
                      <a:fillRect/>
                    </a:stretch>
                  </pic:blipFill>
                  <pic:spPr bwMode="auto">
                    <a:xfrm>
                      <a:off x="0" y="0"/>
                      <a:ext cx="5073650" cy="2310252"/>
                    </a:xfrm>
                    <a:prstGeom prst="rect">
                      <a:avLst/>
                    </a:prstGeom>
                    <a:noFill/>
                    <a:ln w="9525">
                      <a:noFill/>
                      <a:headEnd/>
                      <a:tailEnd/>
                    </a:ln>
                  </pic:spPr>
                </pic:pic>
              </a:graphicData>
            </a:graphic>
          </wp:inline>
        </w:drawing>
      </w:r>
    </w:p>
    <w:bookmarkEnd w:id="33"/>
    <w:p>
      <w:pPr>
        <w:pStyle w:val="Piedeimagen"/>
      </w:pPr>
      <w:r>
        <w:t xml:space="preserve">Fuente: elaboración propia con datos de Copernicus (ERA5) y de la NOAA (Mauna Loa)</w:t>
      </w:r>
      <w:r>
        <w:t xml:space="preserve"> </w:t>
      </w:r>
      <w:r>
        <w:t xml:space="preserve">(</w:t>
      </w:r>
      <w:hyperlink w:anchor="ref_C3S2026GCH2025">
        <w:r>
          <w:rPr>
            <w:rStyle w:val="Hyperlink"/>
            <w:smallCaps/>
          </w:rPr>
          <w:t xml:space="preserve">Copernicus Climate Change Service</w:t>
        </w:r>
        <w:r>
          <w:rPr>
            <w:rStyle w:val="Hyperlink"/>
          </w:rPr>
          <w:t xml:space="preserve">, 2026</w:t>
        </w:r>
      </w:hyperlink>
      <w:r>
        <w:t xml:space="preserve">;</w:t>
      </w:r>
      <w:r>
        <w:t xml:space="preserve"> </w:t>
      </w:r>
      <w:hyperlink w:anchor="ref_NOAA2026CO2">
        <w:r>
          <w:rPr>
            <w:rStyle w:val="Hyperlink"/>
            <w:smallCaps/>
          </w:rPr>
          <w:t xml:space="preserve">National Oceanic and Atmospheric Administration, Global Monitoring Laboratory</w:t>
        </w:r>
        <w:r>
          <w:rPr>
            <w:rStyle w:val="Hyperlink"/>
          </w:rPr>
          <w:t xml:space="preserve">, 2026</w:t>
        </w:r>
      </w:hyperlink>
      <w:r>
        <w:t xml:space="preserve">)</w:t>
      </w:r>
      <w:r>
        <w:t xml:space="preserve">. 2026, hasta el 29 de octubre; provisional.</w:t>
      </w:r>
    </w:p>
    <w:p>
      <w:pPr>
        <w:keepNext/>
        <w:numPr>
          <w:ilvl w:val="0"/>
          <w:numId w:val="1014"/>
        </w:numPr>
      </w:pPr>
      <w:r>
        <w:rPr>
          <w:i/>
          <w:iCs/>
        </w:rPr>
        <w:t xml:space="preserve">El rasgo físico que importa para la economía</w:t>
      </w:r>
      <w:r>
        <w:t xml:space="preserve">: el CO</w:t>
      </w:r>
      <w:r>
        <w:rPr>
          <w:vertAlign w:val="subscript"/>
        </w:rPr>
        <w:t xml:space="preserve">2</w:t>
      </w:r>
      <w:r>
        <w:t xml:space="preserve"> </w:t>
      </w:r>
      <w:r>
        <w:t xml:space="preserve">es un</w:t>
      </w:r>
      <w:r>
        <w:t xml:space="preserve"> </w:t>
      </w:r>
      <w:r>
        <w:rPr>
          <w:b/>
          <w:bCs/>
        </w:rPr>
        <w:t xml:space="preserve">stock</w:t>
      </w:r>
      <w:r>
        <w:t xml:space="preserve">.</w:t>
      </w:r>
    </w:p>
    <w:p>
      <w:pPr>
        <w:numPr>
          <w:ilvl w:val="1"/>
          <w:numId w:val="1015"/>
        </w:numPr>
      </w:pPr>
      <w:r>
        <w:t xml:space="preserve">Parte del CO</w:t>
      </w:r>
      <w:r>
        <w:rPr>
          <w:vertAlign w:val="subscript"/>
        </w:rPr>
        <w:t xml:space="preserve">2</w:t>
      </w:r>
      <w:r>
        <w:t xml:space="preserve"> </w:t>
      </w:r>
      <w:r>
        <w:t xml:space="preserve">emitido sale de la atmósfera en unas décadas, hacia el océano y la biosfera, pero otra parte se queda en ella durante siglos.</w:t>
      </w:r>
    </w:p>
    <w:p>
      <w:pPr>
        <w:numPr>
          <w:ilvl w:val="1"/>
          <w:numId w:val="1015"/>
        </w:numPr>
      </w:pPr>
      <w:r>
        <w:t xml:space="preserve">Por eso el calentamiento es, aproximadamente,</w:t>
      </w:r>
      <w:r>
        <w:t xml:space="preserve"> </w:t>
      </w:r>
      <w:r>
        <w:rPr>
          <w:i/>
          <w:iCs/>
        </w:rPr>
        <w:t xml:space="preserve">proporcional a las emisiones acumuladas</w:t>
      </w:r>
      <w:r>
        <w:t xml:space="preserve">: cada billón de toneladas de CO</w:t>
      </w:r>
      <w:r>
        <w:rPr>
          <w:vertAlign w:val="subscript"/>
        </w:rPr>
        <w:t xml:space="preserve">2</w:t>
      </w:r>
      <w:r>
        <w:t xml:space="preserve"> </w:t>
      </w:r>
      <w:r>
        <w:t xml:space="preserve">añade unos 0,45 °C</w:t>
      </w:r>
      <w:r>
        <w:t xml:space="preserve"> </w:t>
      </w:r>
      <w:r>
        <w:t xml:space="preserve">(</w:t>
      </w:r>
      <w:hyperlink w:anchor="ref_IPCC2021SPM">
        <w:r>
          <w:rPr>
            <w:rStyle w:val="Hyperlink"/>
            <w:smallCaps/>
          </w:rPr>
          <w:t xml:space="preserve">IPCC</w:t>
        </w:r>
        <w:r>
          <w:rPr>
            <w:rStyle w:val="Hyperlink"/>
          </w:rPr>
          <w:t xml:space="preserve">, 2021</w:t>
        </w:r>
      </w:hyperlink>
      <w:r>
        <w:t xml:space="preserve">)</w:t>
      </w:r>
      <w:r>
        <w:t xml:space="preserve">.</w:t>
      </w:r>
    </w:p>
    <w:p>
      <w:pPr>
        <w:numPr>
          <w:ilvl w:val="1"/>
          <w:numId w:val="1015"/>
        </w:numPr>
      </w:pPr>
      <w:r>
        <w:t xml:space="preserve">La consecuencia es que, para</w:t>
      </w:r>
      <w:r>
        <w:t xml:space="preserve"> </w:t>
      </w:r>
      <w:r>
        <w:rPr>
          <w:i/>
          <w:iCs/>
        </w:rPr>
        <w:t xml:space="preserve">estabilizar</w:t>
      </w:r>
      <w:r>
        <w:t xml:space="preserve"> </w:t>
      </w:r>
      <w:r>
        <w:t xml:space="preserve">la temperatura, no basta con emitir menos: hay que llegar a</w:t>
      </w:r>
      <w:r>
        <w:t xml:space="preserve"> </w:t>
      </w:r>
      <w:r>
        <w:rPr>
          <w:b/>
          <w:bCs/>
        </w:rPr>
        <w:t xml:space="preserve">emisiones netas nulas</w:t>
      </w:r>
      <w:r>
        <w:t xml:space="preserve">, y el nivel en que se estabilice dependerá de lo acumulado hasta entonces.</w:t>
      </w:r>
    </w:p>
    <w:p>
      <w:pPr>
        <w:keepNext/>
        <w:numPr>
          <w:ilvl w:val="0"/>
          <w:numId w:val="1014"/>
        </w:numPr>
      </w:pPr>
      <w:r>
        <w:t xml:space="preserve">El</w:t>
      </w:r>
      <w:r>
        <w:t xml:space="preserve"> </w:t>
      </w:r>
      <w:r>
        <w:rPr>
          <w:b/>
          <w:bCs/>
        </w:rPr>
        <w:t xml:space="preserve">presupuesto de carbono</w:t>
      </w:r>
      <w:r>
        <w:t xml:space="preserve"> </w:t>
      </w:r>
      <w:r>
        <w:t xml:space="preserve">es lo que aún se puede emitir sin pasar de un umbral. Para tener un 50 % de probabilidad de no superar 1,5 °C, a principios de 2026 quedaban unos 130.000 millones de toneladas de CO</w:t>
      </w:r>
      <w:r>
        <w:rPr>
          <w:vertAlign w:val="subscript"/>
        </w:rPr>
        <w:t xml:space="preserve">2</w:t>
      </w:r>
      <w:r>
        <w:t xml:space="preserve">, unos 3 años al ritmo actual</w:t>
      </w:r>
      <w:r>
        <w:t xml:space="preserve"> </w:t>
      </w:r>
      <w:r>
        <w:t xml:space="preserve">(</w:t>
      </w:r>
      <w:hyperlink w:anchor="ref_Forster2026Indicators">
        <w:r>
          <w:rPr>
            <w:rStyle w:val="Hyperlink"/>
            <w:smallCaps/>
          </w:rPr>
          <w:t xml:space="preserve">Forster</w:t>
        </w:r>
        <w:r>
          <w:rPr>
            <w:rStyle w:val="Hyperlink"/>
          </w:rPr>
          <w:t xml:space="preserve">,</w:t>
        </w:r>
        <w:r>
          <w:rPr>
            <w:rStyle w:val="Hyperlink"/>
          </w:rPr>
          <w:t xml:space="preserve"> </w:t>
        </w:r>
        <w:r>
          <w:rPr>
            <w:rStyle w:val="Hyperlink"/>
            <w:smallCaps/>
          </w:rPr>
          <w:t xml:space="preserve">Walsh</w:t>
        </w:r>
        <w:r>
          <w:rPr>
            <w:rStyle w:val="Hyperlink"/>
          </w:rPr>
          <w:t xml:space="preserve">, et al., 2026</w:t>
        </w:r>
      </w:hyperlink>
      <w:r>
        <w:t xml:space="preserve">)</w:t>
      </w:r>
      <w:r>
        <w:t xml:space="preserve">; el IPCC calculaba 500.000 millones desde 2020</w:t>
      </w:r>
      <w:r>
        <w:t xml:space="preserve"> </w:t>
      </w:r>
      <w:r>
        <w:t xml:space="preserve">(</w:t>
      </w:r>
      <w:hyperlink w:anchor="ref_IPCC2023SYR">
        <w:r>
          <w:rPr>
            <w:rStyle w:val="Hyperlink"/>
            <w:smallCaps/>
          </w:rPr>
          <w:t xml:space="preserve">IPCC</w:t>
        </w:r>
        <w:r>
          <w:rPr>
            <w:rStyle w:val="Hyperlink"/>
          </w:rPr>
          <w:t xml:space="preserve">, 2023</w:t>
        </w:r>
      </w:hyperlink>
      <w:r>
        <w:t xml:space="preserve">)</w:t>
      </w:r>
      <w:r>
        <w:t xml:space="preserve">.</w:t>
      </w:r>
    </w:p>
    <w:p>
      <w:pPr>
        <w:numPr>
          <w:ilvl w:val="1"/>
          <w:numId w:val="1016"/>
        </w:numPr>
      </w:pPr>
      <w:r>
        <w:t xml:space="preserve">Volvamos a nuestra tonelada de la acería. Por sí sola apenas calienta, pero se suma a todas las demás, gasta un trozo de ese presupuesto y una parte de ella seguirá en el aire dentro de varios siglos. Es un daño pequeño, duradero y repartido por todo el planeta.</w:t>
      </w:r>
    </w:p>
    <w:p>
      <w:pPr>
        <w:keepNext/>
        <w:numPr>
          <w:ilvl w:val="0"/>
          <w:numId w:val="1014"/>
        </w:numPr>
      </w:pPr>
      <w:r>
        <w:rPr>
          <w:i/>
          <w:iCs/>
        </w:rPr>
        <w:t xml:space="preserve">Los efectos</w:t>
      </w:r>
      <w:r>
        <w:t xml:space="preserve"> </w:t>
      </w:r>
      <w:r>
        <w:t xml:space="preserve">(</w:t>
      </w:r>
      <w:hyperlink w:anchor="ref_IPCC2023SYR">
        <w:r>
          <w:rPr>
            <w:rStyle w:val="Hyperlink"/>
            <w:smallCaps/>
          </w:rPr>
          <w:t xml:space="preserve">IPCC</w:t>
        </w:r>
        <w:r>
          <w:rPr>
            <w:rStyle w:val="Hyperlink"/>
          </w:rPr>
          <w:t xml:space="preserve">, 2023</w:t>
        </w:r>
      </w:hyperlink>
      <w:r>
        <w:t xml:space="preserve">)</w:t>
      </w:r>
      <w:r>
        <w:t xml:space="preserve">:</w:t>
      </w:r>
    </w:p>
    <w:p>
      <w:pPr>
        <w:numPr>
          <w:ilvl w:val="1"/>
          <w:numId w:val="1017"/>
        </w:numPr>
      </w:pPr>
      <w:r>
        <w:t xml:space="preserve">fenómenos extremos más frecuentes e intensos: olas de calor, lluvias torrenciales, sequías e incendios;</w:t>
      </w:r>
    </w:p>
    <w:p>
      <w:pPr>
        <w:numPr>
          <w:ilvl w:val="1"/>
          <w:numId w:val="1017"/>
        </w:numPr>
      </w:pPr>
      <w:r>
        <w:t xml:space="preserve">un mar más alto y más ácido;</w:t>
      </w:r>
    </w:p>
    <w:p>
      <w:pPr>
        <w:numPr>
          <w:ilvl w:val="1"/>
          <w:numId w:val="1017"/>
        </w:numPr>
      </w:pPr>
      <w:r>
        <w:t xml:space="preserve">daños en los ecosistemas y pérdida de biodiversidad;</w:t>
      </w:r>
    </w:p>
    <w:p>
      <w:pPr>
        <w:numPr>
          <w:ilvl w:val="1"/>
          <w:numId w:val="1017"/>
        </w:numPr>
      </w:pPr>
      <w:r>
        <w:t xml:space="preserve">efectos en la salud (mortalidad por calor, enfermedades) y en los sectores más expuestos: agricultura, pesca, turismo y energía.</w:t>
      </w:r>
    </w:p>
    <w:p>
      <w:pPr>
        <w:numPr>
          <w:ilvl w:val="0"/>
          <w:numId w:val="1014"/>
        </w:numPr>
      </w:pPr>
      <w:r>
        <w:rPr>
          <w:i/>
          <w:iCs/>
        </w:rPr>
        <w:t xml:space="preserve">Los puntos de inflexión</w:t>
      </w:r>
      <w:r>
        <w:t xml:space="preserve">: algunos subsistemas de la Tierra pueden cambiar de estado de forma brusca e irreversible si se supera un umbral (los mantos de hielo de Groenlandia y de la Antártida occidental, el permafrost, los arrecifes de coral, la circulación del Atlántico), y varios podrían activarse entre 1,5 y 2 °C</w:t>
      </w:r>
      <w:r>
        <w:t xml:space="preserve"> </w:t>
      </w:r>
      <w:r>
        <w:t xml:space="preserve">(</w:t>
      </w:r>
      <w:hyperlink w:anchor="ref_ArmstrongMcKay2022Exceeding">
        <w:r>
          <w:rPr>
            <w:rStyle w:val="Hyperlink"/>
            <w:smallCaps/>
          </w:rPr>
          <w:t xml:space="preserve">Armstrong McKay</w:t>
        </w:r>
        <w:r>
          <w:rPr>
            <w:rStyle w:val="Hyperlink"/>
          </w:rPr>
          <w:t xml:space="preserve"> </w:t>
        </w:r>
        <w:r>
          <w:rPr>
            <w:rStyle w:val="Hyperlink"/>
          </w:rPr>
          <w:t xml:space="preserve">et al., 2022</w:t>
        </w:r>
      </w:hyperlink>
      <w:r>
        <w:t xml:space="preserve">)</w:t>
      </w:r>
      <w:r>
        <w:t xml:space="preserve">. Según el informe de 2025 sobre puntos de inflexión, los arrecifes de coral de aguas cálidas ya han cruzado el suyo, en torno a 1,2 °C</w:t>
      </w:r>
      <w:r>
        <w:t xml:space="preserve"> </w:t>
      </w:r>
      <w:r>
        <w:t xml:space="preserve">(</w:t>
      </w:r>
      <w:hyperlink w:anchor="ref_Lenton2025GTPR">
        <w:r>
          <w:rPr>
            <w:rStyle w:val="Hyperlink"/>
            <w:smallCaps/>
          </w:rPr>
          <w:t xml:space="preserve">Lenton</w:t>
        </w:r>
        <w:r>
          <w:rPr>
            <w:rStyle w:val="Hyperlink"/>
          </w:rPr>
          <w:t xml:space="preserve"> </w:t>
        </w:r>
        <w:r>
          <w:rPr>
            <w:rStyle w:val="Hyperlink"/>
          </w:rPr>
          <w:t xml:space="preserve">et al., 2025</w:t>
        </w:r>
      </w:hyperlink>
      <w:r>
        <w:t xml:space="preserve">)</w:t>
      </w:r>
      <w:r>
        <w:t xml:space="preserve">. Son la razón física de la incertidumbre de cola que veremos en el bloque </w:t>
      </w:r>
      <w:hyperlink w:anchor="sec_evidencia_mie">
        <w:r>
          <w:rPr>
            <w:rStyle w:val="Hyperlink"/>
          </w:rPr>
          <w:t xml:space="preserve">II</w:t>
        </w:r>
      </w:hyperlink>
      <w:r>
        <w:t xml:space="preserve">.</w:t>
      </w:r>
    </w:p>
    <w:p>
      <w:pPr>
        <w:numPr>
          <w:ilvl w:val="0"/>
          <w:numId w:val="1014"/>
        </w:numPr>
      </w:pPr>
      <w:r>
        <w:rPr>
          <w:i/>
          <w:iCs/>
        </w:rPr>
        <w:t xml:space="preserve">Proyecciones</w:t>
      </w:r>
      <w:r>
        <w:t xml:space="preserve">: con las políticas en vigor, el mundo va hacia unos 2,8 °C en 2100, y hacia 2,3-2,5 °C si se cumplen todas las contribuciones anunciadas</w:t>
      </w:r>
      <w:r>
        <w:t xml:space="preserve"> </w:t>
      </w:r>
      <w:r>
        <w:t xml:space="preserve">(</w:t>
      </w:r>
      <w:hyperlink w:anchor="ref_UNEP2025Emissions">
        <w:r>
          <w:rPr>
            <w:rStyle w:val="Hyperlink"/>
            <w:smallCaps/>
          </w:rPr>
          <w:t xml:space="preserve">Programa de las Naciones Unidas para el Medio Ambiente</w:t>
        </w:r>
        <w:r>
          <w:rPr>
            <w:rStyle w:val="Hyperlink"/>
          </w:rPr>
          <w:t xml:space="preserve">, 2025</w:t>
        </w:r>
      </w:hyperlink>
      <w:r>
        <w:t xml:space="preserve">)</w:t>
      </w:r>
      <w:r>
        <w:t xml:space="preserve">. El sexto informe del IPCC (2021-2023) es la referencia vigente; el séptimo se está redactando y su síntesis se espera para 2029.</w:t>
      </w:r>
    </w:p>
    <w:p>
      <w:pPr>
        <w:numPr>
          <w:ilvl w:val="0"/>
          <w:numId w:val="1014"/>
        </w:numPr>
      </w:pPr>
      <w:r>
        <w:t xml:space="preserve">Esta es la evidencia</w:t>
      </w:r>
      <w:r>
        <w:t xml:space="preserve"> </w:t>
      </w:r>
      <w:r>
        <w:rPr>
          <w:i/>
          <w:iCs/>
        </w:rPr>
        <w:t xml:space="preserve">física</w:t>
      </w:r>
      <w:r>
        <w:t xml:space="preserve">; la evidencia</w:t>
      </w:r>
      <w:r>
        <w:t xml:space="preserve"> </w:t>
      </w:r>
      <w:r>
        <w:rPr>
          <w:i/>
          <w:iCs/>
        </w:rPr>
        <w:t xml:space="preserve">económica</w:t>
      </w:r>
      <w:r>
        <w:t xml:space="preserve"> </w:t>
      </w:r>
      <w:r>
        <w:t xml:space="preserve">de los daños la veremos en el apartado </w:t>
      </w:r>
      <w:hyperlink w:anchor="sec_evidencia">
        <w:r>
          <w:rPr>
            <w:rStyle w:val="Hyperlink"/>
          </w:rPr>
          <w:t xml:space="preserve">II.1</w:t>
        </w:r>
      </w:hyperlink>
      <w:r>
        <w:t xml:space="preserve">. Antes hay que entender por qué un fenómeno físico es un problema económico.</w:t>
      </w:r>
    </w:p>
    <w:bookmarkEnd w:id="34"/>
    <w:bookmarkStart w:id="45" w:name="sec_problema_economico"/>
    <w:p>
      <w:pPr>
        <w:pStyle w:val="Heading2"/>
      </w:pPr>
      <w:r>
        <w:t xml:space="preserve">I.2.</w:t>
      </w:r>
      <w:r>
        <w:t xml:space="preserve"> </w:t>
      </w:r>
      <w:r>
        <w:t xml:space="preserve">El cambio climático como problema económico</w:t>
      </w:r>
    </w:p>
    <w:bookmarkStart w:id="37" w:name="el_diagn__stico_una_externalidad_n_97537"/>
    <w:p>
      <w:pPr>
        <w:pStyle w:val="Heading4"/>
      </w:pPr>
      <w:r>
        <w:t xml:space="preserve">El diagnóstico: una externalidad negativa</w:t>
      </w:r>
    </w:p>
    <w:p>
      <w:pPr>
        <w:keepNext/>
        <w:numPr>
          <w:ilvl w:val="0"/>
          <w:numId w:val="1018"/>
        </w:numPr>
      </w:pPr>
      <w:r>
        <w:t xml:space="preserve">Emitir GEI es una</w:t>
      </w:r>
      <w:r>
        <w:t xml:space="preserve"> </w:t>
      </w:r>
      <w:r>
        <w:rPr>
          <w:b/>
          <w:bCs/>
        </w:rPr>
        <w:t xml:space="preserve">externalidad negativa</w:t>
      </w:r>
      <w:r>
        <w:t xml:space="preserve">: el bienestar de unos depende directamente de lo que hacen otros, sin pasar por los precios</w:t>
      </w:r>
      <w:r>
        <w:t xml:space="preserve"> </w:t>
      </w:r>
      <w:hyperlink r:id="rId35">
        <w:r>
          <w:rPr>
            <w:rStyle w:val="Referenciaatema"/>
          </w:rPr>
          <w:t xml:space="preserve">[ver tema 3.A.23]</w:t>
        </w:r>
      </w:hyperlink>
      <w:r>
        <w:t xml:space="preserve">.</w:t>
      </w:r>
    </w:p>
    <w:p>
      <w:pPr>
        <w:numPr>
          <w:ilvl w:val="1"/>
          <w:numId w:val="1019"/>
        </w:numPr>
      </w:pPr>
      <w:r>
        <w:t xml:space="preserve">La acería iguala el precio a su coste marginal privado,</w:t>
      </w:r>
      <w:r>
        <w:t xml:space="preserve"> </w:t>
      </w:r>
      <m:oMath>
        <m:r>
          <m:rPr>
            <m:sty m:val="p"/>
          </m:rPr>
          <m:t>C</m:t>
        </m:r>
        <m:r>
          <m:rPr>
            <m:sty m:val="p"/>
          </m:rPr>
          <m:t>M</m:t>
        </m:r>
        <m:r>
          <m:rPr>
            <m:sty m:val="p"/>
          </m:rPr>
          <m:t>g</m:t>
        </m:r>
        <m:r>
          <m:rPr>
            <m:sty m:val="p"/>
          </m:rPr>
          <m:t>P</m:t>
        </m:r>
      </m:oMath>
      <w:r>
        <w:t xml:space="preserve">, y no tiene en cuenta el coste marginal externo,</w:t>
      </w:r>
      <w:r>
        <w:t xml:space="preserve"> </w:t>
      </w:r>
      <m:oMath>
        <m:r>
          <m:rPr>
            <m:sty m:val="p"/>
          </m:rPr>
          <m:t>C</m:t>
        </m:r>
        <m:r>
          <m:rPr>
            <m:sty m:val="p"/>
          </m:rPr>
          <m:t>M</m:t>
        </m:r>
        <m:r>
          <m:rPr>
            <m:sty m:val="p"/>
          </m:rPr>
          <m:t>g</m:t>
        </m:r>
        <m:r>
          <m:rPr>
            <m:sty m:val="p"/>
          </m:rPr>
          <m:t>E</m:t>
        </m:r>
      </m:oMath>
      <w:r>
        <w:t xml:space="preserve">, que su CO</w:t>
      </w:r>
      <w:r>
        <w:rPr>
          <w:vertAlign w:val="subscript"/>
        </w:rPr>
        <w:t xml:space="preserve">2</w:t>
      </w:r>
      <w:r>
        <w:t xml:space="preserve"> </w:t>
      </w:r>
      <w:r>
        <w:t xml:space="preserve">impone a los demás. El coste marginal social es</w:t>
      </w:r>
      <w:r>
        <w:t xml:space="preserve"> </w:t>
      </w:r>
      <m:oMath>
        <m:r>
          <m:rPr>
            <m:sty m:val="p"/>
          </m:rPr>
          <m:t>C</m:t>
        </m:r>
        <m:r>
          <m:rPr>
            <m:sty m:val="p"/>
          </m:rPr>
          <m:t>M</m:t>
        </m:r>
        <m:r>
          <m:rPr>
            <m:sty m:val="p"/>
          </m:rPr>
          <m:t>g</m:t>
        </m:r>
        <m:r>
          <m:rPr>
            <m:sty m:val="p"/>
          </m:rPr>
          <m:t>S</m:t>
        </m:r>
        <m:r>
          <m:rPr>
            <m:sty m:val="p"/>
          </m:rPr>
          <m:t>=</m:t>
        </m:r>
        <m:r>
          <m:rPr>
            <m:sty m:val="p"/>
          </m:rPr>
          <m:t>C</m:t>
        </m:r>
        <m:r>
          <m:rPr>
            <m:sty m:val="p"/>
          </m:rPr>
          <m:t>M</m:t>
        </m:r>
        <m:r>
          <m:rPr>
            <m:sty m:val="p"/>
          </m:rPr>
          <m:t>g</m:t>
        </m:r>
        <m:r>
          <m:rPr>
            <m:sty m:val="p"/>
          </m:rPr>
          <m:t>P</m:t>
        </m:r>
        <m:r>
          <m:rPr>
            <m:sty m:val="p"/>
          </m:rPr>
          <m:t>+</m:t>
        </m:r>
        <m:r>
          <m:rPr>
            <m:sty m:val="p"/>
          </m:rPr>
          <m:t>C</m:t>
        </m:r>
        <m:r>
          <m:rPr>
            <m:sty m:val="p"/>
          </m:rPr>
          <m:t>M</m:t>
        </m:r>
        <m:r>
          <m:rPr>
            <m:sty m:val="p"/>
          </m:rPr>
          <m:t>g</m:t>
        </m:r>
        <m:r>
          <m:rPr>
            <m:sty m:val="p"/>
          </m:rPr>
          <m:t>E</m:t>
        </m:r>
      </m:oMath>
      <w:r>
        <w:t xml:space="preserve">, y el mercado produce, y emite, más de lo óptimo.</w:t>
      </w:r>
    </w:p>
    <w:p>
      <w:pPr>
        <w:numPr>
          <w:ilvl w:val="1"/>
          <w:numId w:val="1019"/>
        </w:numPr>
      </w:pPr>
      <w:r>
        <w:t xml:space="preserve">Falla un supuesto del primer teorema fundamental de la economía del bienestar (1TFEB), el de mercados completos: sin externalidades, el equilibrio competitivo es un óptimo de</w:t>
      </w:r>
      <w:r>
        <w:t xml:space="preserve"> </w:t>
      </w:r>
      <w:r>
        <w:rPr>
          <w:smallCaps/>
        </w:rPr>
        <w:t xml:space="preserve">Pareto</w:t>
      </w:r>
      <w:r>
        <w:t xml:space="preserve">; con ellas, no</w:t>
      </w:r>
      <w:r>
        <w:t xml:space="preserve"> </w:t>
      </w:r>
      <w:hyperlink r:id="rId36">
        <w:r>
          <w:rPr>
            <w:rStyle w:val="Referenciaatema"/>
          </w:rPr>
          <w:t xml:space="preserve">[ver tema 3.A.22]</w:t>
        </w:r>
      </w:hyperlink>
      <w:r>
        <w:t xml:space="preserve">.</w:t>
      </w:r>
    </w:p>
    <w:p>
      <w:pPr>
        <w:numPr>
          <w:ilvl w:val="1"/>
          <w:numId w:val="1019"/>
        </w:numPr>
      </w:pPr>
      <w:r>
        <w:t xml:space="preserve">El</w:t>
      </w:r>
      <w:r>
        <w:t xml:space="preserve"> </w:t>
      </w:r>
      <m:oMath>
        <m:r>
          <m:rPr>
            <m:sty m:val="p"/>
          </m:rPr>
          <m:t>C</m:t>
        </m:r>
        <m:r>
          <m:rPr>
            <m:sty m:val="p"/>
          </m:rPr>
          <m:t>M</m:t>
        </m:r>
        <m:r>
          <m:rPr>
            <m:sty m:val="p"/>
          </m:rPr>
          <m:t>g</m:t>
        </m:r>
        <m:r>
          <m:rPr>
            <m:sty m:val="p"/>
          </m:rPr>
          <m:t>E</m:t>
        </m:r>
      </m:oMath>
      <w:r>
        <w:t xml:space="preserve"> </w:t>
      </w:r>
      <w:r>
        <w:t xml:space="preserve">de una tonelada de CO</w:t>
      </w:r>
      <w:r>
        <w:rPr>
          <w:vertAlign w:val="subscript"/>
        </w:rPr>
        <w:t xml:space="preserve">2</w:t>
      </w:r>
      <w:r>
        <w:t xml:space="preserve"> </w:t>
      </w:r>
      <w:r>
        <w:t xml:space="preserve">tiene nombre propio: es el</w:t>
      </w:r>
      <w:r>
        <w:t xml:space="preserve"> </w:t>
      </w:r>
      <w:r>
        <w:rPr>
          <w:b/>
          <w:bCs/>
        </w:rPr>
        <w:t xml:space="preserve">coste social del carbono</w:t>
      </w:r>
      <w:r>
        <w:t xml:space="preserve"> </w:t>
      </w:r>
      <w:r>
        <w:t xml:space="preserve">(CSC), que estudiaremos en el apartado </w:t>
      </w:r>
      <w:hyperlink w:anchor="sec_mie">
        <w:r>
          <w:rPr>
            <w:rStyle w:val="Hyperlink"/>
          </w:rPr>
          <w:t xml:space="preserve">II.2</w:t>
        </w:r>
      </w:hyperlink>
      <w:r>
        <w:t xml:space="preserve">.</w:t>
      </w:r>
    </w:p>
    <w:bookmarkEnd w:id="37"/>
    <w:bookmarkStart w:id="42" w:name="las_emisiones___ptimas_y_la_suma_d_96371"/>
    <w:p>
      <w:pPr>
        <w:pStyle w:val="Heading4"/>
      </w:pPr>
      <w:r>
        <w:t xml:space="preserve">Las emisiones óptimas y la suma de los daños</w:t>
      </w:r>
    </w:p>
    <w:p>
      <w:pPr>
        <w:keepNext/>
        <w:numPr>
          <w:ilvl w:val="0"/>
          <w:numId w:val="1020"/>
        </w:numPr>
      </w:pPr>
      <w:r>
        <w:t xml:space="preserve">Para ver qué añade el clima a una externalidad de libro, pasamos el análisis del mercado del bien a las</w:t>
      </w:r>
      <w:r>
        <w:t xml:space="preserve"> </w:t>
      </w:r>
      <w:r>
        <w:rPr>
          <w:i/>
          <w:iCs/>
        </w:rPr>
        <w:t xml:space="preserve">emisiones</w:t>
      </w:r>
      <w:r>
        <w:t xml:space="preserve">. En el eje horizontal, las emisiones anuales de CO</w:t>
      </w:r>
      <w:r>
        <w:rPr>
          <w:vertAlign w:val="subscript"/>
        </w:rPr>
        <w:t xml:space="preserve">2</w:t>
      </w:r>
      <w:r>
        <w:t xml:space="preserve">,</w:t>
      </w:r>
      <w:r>
        <w:t xml:space="preserve"> </w:t>
      </w:r>
      <m:oMath>
        <m:r>
          <m:t>E</m:t>
        </m:r>
      </m:oMath>
      <w:r>
        <w:t xml:space="preserve">; en el vertical, euros por tonelada (gráfico </w:t>
      </w:r>
      <w:hyperlink w:anchor="fig_emisiones_optimas">
        <w:r>
          <w:rPr>
            <w:rStyle w:val="Hyperlink"/>
          </w:rPr>
          <w:t xml:space="preserve">3</w:t>
        </w:r>
      </w:hyperlink>
      <w:r>
        <w:t xml:space="preserve">):</w:t>
      </w:r>
    </w:p>
    <w:p>
      <w:pPr>
        <w:numPr>
          <w:ilvl w:val="1"/>
          <w:numId w:val="1021"/>
        </w:numPr>
      </w:pPr>
      <m:oMath>
        <m:r>
          <m:rPr>
            <m:sty m:val="p"/>
          </m:rPr>
          <m:t>C</m:t>
        </m:r>
        <m:r>
          <m:rPr>
            <m:sty m:val="p"/>
          </m:rPr>
          <m:t>M</m:t>
        </m:r>
        <m:r>
          <m:rPr>
            <m:sty m:val="p"/>
          </m:rPr>
          <m:t>g</m:t>
        </m:r>
        <m:r>
          <m:rPr>
            <m:sty m:val="p"/>
          </m:rPr>
          <m:t>R</m:t>
        </m:r>
        <m:d>
          <m:dPr>
            <m:begChr m:val="("/>
            <m:sepChr m:val=""/>
            <m:endChr m:val=")"/>
            <m:grow/>
          </m:dPr>
          <m:e>
            <m:r>
              <m:t>E</m:t>
            </m:r>
          </m:e>
        </m:d>
      </m:oMath>
      <w:r>
        <w:t xml:space="preserve">, decreciente, es el</w:t>
      </w:r>
      <w:r>
        <w:t xml:space="preserve"> </w:t>
      </w:r>
      <w:r>
        <w:rPr>
          <w:b/>
          <w:bCs/>
        </w:rPr>
        <w:t xml:space="preserve">coste marginal de reducción</w:t>
      </w:r>
      <w:r>
        <w:t xml:space="preserve">: lo que cuesta dejar de emitir la última tonelada cuando se emite</w:t>
      </w:r>
      <w:r>
        <w:t xml:space="preserve"> </w:t>
      </w:r>
      <m:oMath>
        <m:r>
          <m:t>E</m:t>
        </m:r>
      </m:oMath>
      <w:r>
        <w:t xml:space="preserve">. Es, por tanto, el</w:t>
      </w:r>
      <w:r>
        <w:t xml:space="preserve"> </w:t>
      </w:r>
      <w:r>
        <w:rPr>
          <w:i/>
          <w:iCs/>
        </w:rPr>
        <w:t xml:space="preserve">beneficio marginal de emitir</w:t>
      </w:r>
      <w:r>
        <w:t xml:space="preserve">. Se anula en</w:t>
      </w:r>
      <w:r>
        <w:t xml:space="preserve"> </w:t>
      </w:r>
      <m:oMath>
        <m:sSup>
          <m:e>
            <m:r>
              <m:t>E</m:t>
            </m:r>
          </m:e>
          <m:sup>
            <m:r>
              <m:t>c</m:t>
            </m:r>
          </m:sup>
        </m:sSup>
      </m:oMath>
      <w:r>
        <w:t xml:space="preserve">, las emisiones sin ninguna política;</w:t>
      </w:r>
    </w:p>
    <w:p>
      <w:pPr>
        <w:numPr>
          <w:ilvl w:val="1"/>
          <w:numId w:val="1021"/>
        </w:numPr>
      </w:pPr>
      <m:oMath>
        <m:sSub>
          <m:e>
            <m:r>
              <m:rPr>
                <m:sty m:val="p"/>
              </m:rPr>
              <m:t>D</m:t>
            </m:r>
            <m:r>
              <m:rPr>
                <m:sty m:val="p"/>
              </m:rPr>
              <m:t>M</m:t>
            </m:r>
            <m:r>
              <m:rPr>
                <m:sty m:val="p"/>
              </m:rPr>
              <m:t>g</m:t>
            </m:r>
          </m:e>
          <m:sub>
            <m:r>
              <m:t>i</m:t>
            </m:r>
          </m:sub>
        </m:sSub>
        <m:d>
          <m:dPr>
            <m:begChr m:val="("/>
            <m:sepChr m:val=""/>
            <m:endChr m:val=")"/>
            <m:grow/>
          </m:dPr>
          <m:e>
            <m:r>
              <m:t>E</m:t>
            </m:r>
          </m:e>
        </m:d>
      </m:oMath>
      <w:r>
        <w:t xml:space="preserve">, creciente, es el</w:t>
      </w:r>
      <w:r>
        <w:t xml:space="preserve"> </w:t>
      </w:r>
      <w:r>
        <w:rPr>
          <w:b/>
          <w:bCs/>
        </w:rPr>
        <w:t xml:space="preserve">daño marginal</w:t>
      </w:r>
      <w:r>
        <w:t xml:space="preserve"> </w:t>
      </w:r>
      <w:r>
        <w:t xml:space="preserve">que sufre</w:t>
      </w:r>
      <w:r>
        <w:t xml:space="preserve"> </w:t>
      </w:r>
      <w:r>
        <w:rPr>
          <w:i/>
          <w:iCs/>
        </w:rPr>
        <w:t xml:space="preserve">un</w:t>
      </w:r>
      <w:r>
        <w:t xml:space="preserve"> </w:t>
      </w:r>
      <w:r>
        <w:t xml:space="preserve">país</w:t>
      </w:r>
      <w:r>
        <w:t xml:space="preserve"> </w:t>
      </w:r>
      <m:oMath>
        <m:r>
          <m:t>i</m:t>
        </m:r>
      </m:oMath>
      <w:r>
        <w:t xml:space="preserve"> </w:t>
      </w:r>
      <w:r>
        <w:t xml:space="preserve">con cada tonelada más;</w:t>
      </w:r>
    </w:p>
    <w:p>
      <w:pPr>
        <w:numPr>
          <w:ilvl w:val="1"/>
          <w:numId w:val="1021"/>
        </w:numPr>
      </w:pPr>
      <m:oMath>
        <m:r>
          <m:rPr>
            <m:sty m:val="p"/>
          </m:rPr>
          <m:t>D</m:t>
        </m:r>
        <m:r>
          <m:rPr>
            <m:sty m:val="p"/>
          </m:rPr>
          <m:t>M</m:t>
        </m:r>
        <m:r>
          <m:rPr>
            <m:sty m:val="p"/>
          </m:rPr>
          <m:t>g</m:t>
        </m:r>
        <m:d>
          <m:dPr>
            <m:begChr m:val="("/>
            <m:sepChr m:val=""/>
            <m:endChr m:val=")"/>
            <m:grow/>
          </m:dPr>
          <m:e>
            <m:r>
              <m:t>E</m:t>
            </m:r>
          </m:e>
        </m:d>
        <m:r>
          <m:rPr>
            <m:sty m:val="p"/>
          </m:rPr>
          <m:t>=</m:t>
        </m:r>
        <m:nary>
          <m:naryPr>
            <m:chr m:val="∑"/>
            <m:limLoc m:val="undOvr"/>
            <m:subHide m:val="off"/>
            <m:supHide m:val="on"/>
          </m:naryPr>
          <m:sub>
            <m:r>
              <m:t>i</m:t>
            </m:r>
          </m:sub>
          <m:sup>
            <m:r>
              <m:t>​</m:t>
            </m:r>
          </m:sup>
          <m:e>
            <m:sSub>
              <m:e>
                <m:r>
                  <m:rPr>
                    <m:sty m:val="p"/>
                  </m:rPr>
                  <m:t>D</m:t>
                </m:r>
                <m:r>
                  <m:rPr>
                    <m:sty m:val="p"/>
                  </m:rPr>
                  <m:t>M</m:t>
                </m:r>
                <m:r>
                  <m:rPr>
                    <m:sty m:val="p"/>
                  </m:rPr>
                  <m:t>g</m:t>
                </m:r>
              </m:e>
              <m:sub>
                <m:r>
                  <m:t>i</m:t>
                </m:r>
              </m:sub>
            </m:sSub>
          </m:e>
        </m:nary>
        <m:d>
          <m:dPr>
            <m:begChr m:val="("/>
            <m:sepChr m:val=""/>
            <m:endChr m:val=")"/>
            <m:grow/>
          </m:dPr>
          <m:e>
            <m:r>
              <m:t>E</m:t>
            </m:r>
          </m:e>
        </m:d>
      </m:oMath>
      <w:r>
        <w:t xml:space="preserve"> </w:t>
      </w:r>
      <w:r>
        <w:t xml:space="preserve">es el daño marginal</w:t>
      </w:r>
      <w:r>
        <w:t xml:space="preserve"> </w:t>
      </w:r>
      <w:r>
        <w:rPr>
          <w:i/>
          <w:iCs/>
        </w:rPr>
        <w:t xml:space="preserve">mundial</w:t>
      </w:r>
      <w:r>
        <w:t xml:space="preserve">: como una tonelada calienta igual se emita donde se emita, sus daños se suman</w:t>
      </w:r>
      <w:r>
        <w:t xml:space="preserve"> </w:t>
      </w:r>
      <w:r>
        <w:rPr>
          <w:i/>
          <w:iCs/>
        </w:rPr>
        <w:t xml:space="preserve">en vertical</w:t>
      </w:r>
      <w:r>
        <w:t xml:space="preserve"> </w:t>
      </w:r>
      <w:r>
        <w:t xml:space="preserve">entre países, igual que las valoraciones de un bien público en la condición de</w:t>
      </w:r>
      <w:r>
        <w:t xml:space="preserve"> </w:t>
      </w:r>
      <w:r>
        <w:rPr>
          <w:smallCaps/>
        </w:rPr>
        <w:t xml:space="preserve">Samuelson</w:t>
      </w:r>
      <w:r>
        <w:t xml:space="preserve"> </w:t>
      </w:r>
      <w:r>
        <w:t xml:space="preserve">y</w:t>
      </w:r>
      <w:r>
        <w:t xml:space="preserve"> </w:t>
      </w:r>
      <w:r>
        <w:rPr>
          <w:smallCaps/>
        </w:rPr>
        <w:t xml:space="preserve">Bowen</w:t>
      </w:r>
      <w:r>
        <w:t xml:space="preserve"> </w:t>
      </w:r>
      <w:hyperlink r:id="rId35">
        <w:r>
          <w:rPr>
            <w:rStyle w:val="Referenciaatema"/>
          </w:rPr>
          <w:t xml:space="preserve">[ver tema 3.A.23]</w:t>
        </w:r>
      </w:hyperlink>
      <w:r>
        <w:t xml:space="preserve">.</w:t>
      </w:r>
    </w:p>
    <w:p>
      <w:pPr>
        <w:numPr>
          <w:ilvl w:val="0"/>
          <w:numId w:val="1020"/>
        </w:numPr>
      </w:pPr>
      <w:r>
        <w:t xml:space="preserve">Es el gráfico de la negociación de</w:t>
      </w:r>
      <w:r>
        <w:t xml:space="preserve"> </w:t>
      </w:r>
      <w:r>
        <w:rPr>
          <w:smallCaps/>
        </w:rPr>
        <w:t xml:space="preserve">Coase</w:t>
      </w:r>
      <w:r>
        <w:t xml:space="preserve"> </w:t>
      </w:r>
      <w:hyperlink r:id="rId35">
        <w:r>
          <w:rPr>
            <w:rStyle w:val="Referenciaatema"/>
          </w:rPr>
          <w:t xml:space="preserve">[ver tema 3.A.23]</w:t>
        </w:r>
      </w:hyperlink>
      <w:r>
        <w:t xml:space="preserve"> </w:t>
      </w:r>
      <w:r>
        <w:t xml:space="preserve">con 2 cambios: en el eje horizontal están las emisiones, y el daño marginal que cuenta es la</w:t>
      </w:r>
      <w:r>
        <w:t xml:space="preserve"> </w:t>
      </w:r>
      <w:r>
        <w:rPr>
          <w:i/>
          <w:iCs/>
        </w:rPr>
        <w:t xml:space="preserve">suma</w:t>
      </w:r>
      <w:r>
        <w:t xml:space="preserve"> </w:t>
      </w:r>
      <w:r>
        <w:t xml:space="preserve">de los daños de todos los países. Cada país solo tiene en cuenta el suyo; el resto del daño es una externalidad que exporta a los demás.</w:t>
      </w:r>
    </w:p>
    <w:p>
      <w:pPr>
        <w:keepNext/>
        <w:numPr>
          <w:ilvl w:val="0"/>
          <w:numId w:val="1020"/>
        </w:numPr>
      </w:pPr>
      <w:r>
        <w:t xml:space="preserve">Salen 3 niveles de emisiones (con países iguales, para simplificar):</w:t>
      </w:r>
    </w:p>
    <w:p>
      <w:pPr>
        <w:numPr>
          <w:ilvl w:val="1"/>
          <w:numId w:val="1022"/>
        </w:numPr>
      </w:pPr>
      <m:oMath>
        <m:sSup>
          <m:e>
            <m:r>
              <m:t>E</m:t>
            </m:r>
          </m:e>
          <m:sup>
            <m:r>
              <m:t>c</m:t>
            </m:r>
          </m:sup>
        </m:sSup>
      </m:oMath>
      <w:r>
        <w:t xml:space="preserve">: nadie hace nada, porque nadie paga por emitir;</w:t>
      </w:r>
    </w:p>
    <w:p>
      <w:pPr>
        <w:numPr>
          <w:ilvl w:val="1"/>
          <w:numId w:val="1022"/>
        </w:numPr>
      </w:pPr>
      <m:oMath>
        <m:sSup>
          <m:e>
            <m:r>
              <m:t>E</m:t>
            </m:r>
          </m:e>
          <m:sup>
            <m:r>
              <m:rPr>
                <m:sty m:val="p"/>
              </m:rPr>
              <m:t>N</m:t>
            </m:r>
          </m:sup>
        </m:sSup>
      </m:oMath>
      <w:r>
        <w:t xml:space="preserve">: cada país reduce hasta que su coste marginal de reducción iguala</w:t>
      </w:r>
      <w:r>
        <w:t xml:space="preserve"> </w:t>
      </w:r>
      <w:r>
        <w:rPr>
          <w:i/>
          <w:iCs/>
        </w:rPr>
        <w:t xml:space="preserve">su propio</w:t>
      </w:r>
      <w:r>
        <w:t xml:space="preserve"> </w:t>
      </w:r>
      <w:r>
        <w:t xml:space="preserve">daño marginal,</w:t>
      </w:r>
      <w:r>
        <w:t xml:space="preserve"> </w:t>
      </w:r>
      <m:oMath>
        <m:r>
          <m:rPr>
            <m:sty m:val="p"/>
          </m:rPr>
          <m:t>C</m:t>
        </m:r>
        <m:r>
          <m:rPr>
            <m:sty m:val="p"/>
          </m:rPr>
          <m:t>M</m:t>
        </m:r>
        <m:r>
          <m:rPr>
            <m:sty m:val="p"/>
          </m:rPr>
          <m:t>g</m:t>
        </m:r>
        <m:r>
          <m:rPr>
            <m:sty m:val="p"/>
          </m:rPr>
          <m:t>R</m:t>
        </m:r>
        <m:r>
          <m:rPr>
            <m:sty m:val="p"/>
          </m:rPr>
          <m:t>=</m:t>
        </m:r>
        <m:sSub>
          <m:e>
            <m:r>
              <m:rPr>
                <m:sty m:val="p"/>
              </m:rPr>
              <m:t>D</m:t>
            </m:r>
            <m:r>
              <m:rPr>
                <m:sty m:val="p"/>
              </m:rPr>
              <m:t>M</m:t>
            </m:r>
            <m:r>
              <m:rPr>
                <m:sty m:val="p"/>
              </m:rPr>
              <m:t>g</m:t>
            </m:r>
          </m:e>
          <m:sub>
            <m:r>
              <m:t>i</m:t>
            </m:r>
          </m:sub>
        </m:sSub>
      </m:oMath>
      <w:r>
        <w:t xml:space="preserve">. Es el</w:t>
      </w:r>
      <w:r>
        <w:t xml:space="preserve"> </w:t>
      </w:r>
      <w:r>
        <w:rPr>
          <w:i/>
          <w:iCs/>
        </w:rPr>
        <w:t xml:space="preserve">equilibrio de</w:t>
      </w:r>
      <w:r>
        <w:rPr>
          <w:i/>
          <w:iCs/>
        </w:rPr>
        <w:t xml:space="preserve"> </w:t>
      </w:r>
      <w:r>
        <w:rPr>
          <w:i/>
          <w:iCs/>
          <w:smallCaps/>
        </w:rPr>
        <w:t xml:space="preserve">Nash</w:t>
      </w:r>
      <w:r>
        <w:t xml:space="preserve"> </w:t>
      </w:r>
      <w:r>
        <w:t xml:space="preserve">entre Estados;</w:t>
      </w:r>
    </w:p>
    <w:p>
      <w:pPr>
        <w:numPr>
          <w:ilvl w:val="1"/>
          <w:numId w:val="1022"/>
        </w:numPr>
      </w:pPr>
      <m:oMath>
        <m:sSup>
          <m:e>
            <m:r>
              <m:t>E</m:t>
            </m:r>
          </m:e>
          <m:sup>
            <m:r>
              <m:rPr>
                <m:sty m:val="p"/>
              </m:rPr>
              <m:t>*</m:t>
            </m:r>
          </m:sup>
        </m:sSup>
      </m:oMath>
      <w:r>
        <w:t xml:space="preserve">: el óptimo mundial, donde</w:t>
      </w:r>
      <w:r>
        <w:t xml:space="preserve"> </w:t>
      </w:r>
      <m:oMath>
        <m:r>
          <m:rPr>
            <m:sty m:val="p"/>
          </m:rPr>
          <m:t>C</m:t>
        </m:r>
        <m:r>
          <m:rPr>
            <m:sty m:val="p"/>
          </m:rPr>
          <m:t>M</m:t>
        </m:r>
        <m:r>
          <m:rPr>
            <m:sty m:val="p"/>
          </m:rPr>
          <m:t>g</m:t>
        </m:r>
        <m:r>
          <m:rPr>
            <m:sty m:val="p"/>
          </m:rPr>
          <m:t>R</m:t>
        </m:r>
        <m:d>
          <m:dPr>
            <m:begChr m:val="("/>
            <m:sepChr m:val=""/>
            <m:endChr m:val=")"/>
            <m:grow/>
          </m:dPr>
          <m:e>
            <m:sSup>
              <m:e>
                <m:r>
                  <m:t>E</m:t>
                </m:r>
              </m:e>
              <m:sup>
                <m:r>
                  <m:rPr>
                    <m:sty m:val="p"/>
                  </m:rPr>
                  <m:t>*</m:t>
                </m:r>
              </m:sup>
            </m:sSup>
          </m:e>
        </m:d>
        <m:r>
          <m:rPr>
            <m:sty m:val="p"/>
          </m:rPr>
          <m:t>=</m:t>
        </m:r>
        <m:r>
          <m:rPr>
            <m:sty m:val="p"/>
          </m:rPr>
          <m:t>D</m:t>
        </m:r>
        <m:r>
          <m:rPr>
            <m:sty m:val="p"/>
          </m:rPr>
          <m:t>M</m:t>
        </m:r>
        <m:r>
          <m:rPr>
            <m:sty m:val="p"/>
          </m:rPr>
          <m:t>g</m:t>
        </m:r>
        <m:d>
          <m:dPr>
            <m:begChr m:val="("/>
            <m:sepChr m:val=""/>
            <m:endChr m:val=")"/>
            <m:grow/>
          </m:dPr>
          <m:e>
            <m:sSup>
              <m:e>
                <m:r>
                  <m:t>E</m:t>
                </m:r>
              </m:e>
              <m:sup>
                <m:r>
                  <m:rPr>
                    <m:sty m:val="p"/>
                  </m:rPr>
                  <m:t>*</m:t>
                </m:r>
              </m:sup>
            </m:sSup>
          </m:e>
        </m:d>
      </m:oMath>
      <w:r>
        <w:t xml:space="preserve">.</w:t>
      </w:r>
    </w:p>
    <w:p>
      <w:pPr>
        <w:numPr>
          <w:ilvl w:val="0"/>
          <w:numId w:val="1000"/>
        </w:numPr>
      </w:pPr>
      <w:r>
        <w:t xml:space="preserve">Se cumple</w:t>
      </w:r>
      <w:r>
        <w:t xml:space="preserve"> </w:t>
      </w:r>
      <m:oMath>
        <m:sSup>
          <m:e>
            <m:r>
              <m:t>E</m:t>
            </m:r>
          </m:e>
          <m:sup>
            <m:r>
              <m:t>c</m:t>
            </m:r>
          </m:sup>
        </m:sSup>
        <m:r>
          <m:rPr>
            <m:sty m:val="p"/>
          </m:rPr>
          <m:t>&gt;</m:t>
        </m:r>
        <m:sSup>
          <m:e>
            <m:r>
              <m:t>E</m:t>
            </m:r>
          </m:e>
          <m:sup>
            <m:r>
              <m:rPr>
                <m:sty m:val="p"/>
              </m:rPr>
              <m:t>N</m:t>
            </m:r>
          </m:sup>
        </m:sSup>
        <m:r>
          <m:rPr>
            <m:sty m:val="p"/>
          </m:rPr>
          <m:t>&gt;</m:t>
        </m:r>
        <m:sSup>
          <m:e>
            <m:r>
              <m:t>E</m:t>
            </m:r>
          </m:e>
          <m:sup>
            <m:r>
              <m:rPr>
                <m:sty m:val="p"/>
              </m:rPr>
              <m:t>*</m:t>
            </m:r>
          </m:sup>
        </m:sSup>
      </m:oMath>
      <w:r>
        <w:t xml:space="preserve">: aunque cada país haga lo que le conviene, el mundo emite demasiado. La distancia entre</w:t>
      </w:r>
      <w:r>
        <w:t xml:space="preserve"> </w:t>
      </w:r>
      <m:oMath>
        <m:sSup>
          <m:e>
            <m:r>
              <m:t>E</m:t>
            </m:r>
          </m:e>
          <m:sup>
            <m:r>
              <m:rPr>
                <m:sty m:val="p"/>
              </m:rPr>
              <m:t>N</m:t>
            </m:r>
          </m:sup>
        </m:sSup>
      </m:oMath>
      <w:r>
        <w:t xml:space="preserve"> </w:t>
      </w:r>
      <w:r>
        <w:t xml:space="preserve">y</w:t>
      </w:r>
      <w:r>
        <w:t xml:space="preserve"> </w:t>
      </w:r>
      <m:oMath>
        <m:sSup>
          <m:e>
            <m:r>
              <m:t>E</m:t>
            </m:r>
          </m:e>
          <m:sup>
            <m:r>
              <m:rPr>
                <m:sty m:val="p"/>
              </m:rPr>
              <m:t>*</m:t>
            </m:r>
          </m:sup>
        </m:sSup>
      </m:oMath>
      <w:r>
        <w:t xml:space="preserve"> </w:t>
      </w:r>
      <w:r>
        <w:t xml:space="preserve">es el</w:t>
      </w:r>
      <w:r>
        <w:t xml:space="preserve"> </w:t>
      </w:r>
      <w:r>
        <w:rPr>
          <w:b/>
          <w:bCs/>
        </w:rPr>
        <w:t xml:space="preserve">problema del polizón entre Estados</w:t>
      </w:r>
      <w:r>
        <w:t xml:space="preserve">.</w:t>
      </w:r>
    </w:p>
    <w:p>
      <w:pPr>
        <w:numPr>
          <w:ilvl w:val="0"/>
          <w:numId w:val="1020"/>
        </w:numPr>
      </w:pPr>
      <w:r>
        <w:t xml:space="preserve">El precio que lleva a</w:t>
      </w:r>
      <w:r>
        <w:t xml:space="preserve"> </w:t>
      </w:r>
      <m:oMath>
        <m:sSup>
          <m:e>
            <m:r>
              <m:t>E</m:t>
            </m:r>
          </m:e>
          <m:sup>
            <m:r>
              <m:rPr>
                <m:sty m:val="p"/>
              </m:rPr>
              <m:t>*</m:t>
            </m:r>
          </m:sup>
        </m:sSup>
      </m:oMath>
      <w:r>
        <w:t xml:space="preserve"> </w:t>
      </w:r>
      <w:r>
        <w:t xml:space="preserve">es</w:t>
      </w:r>
      <w:r>
        <w:t xml:space="preserve"> </w:t>
      </w:r>
      <m:oMath>
        <m:sSup>
          <m:e>
            <m:r>
              <m:t>t</m:t>
            </m:r>
          </m:e>
          <m:sup>
            <m:r>
              <m:rPr>
                <m:sty m:val="p"/>
              </m:rPr>
              <m:t>*</m:t>
            </m:r>
          </m:sup>
        </m:sSup>
        <m:r>
          <m:rPr>
            <m:sty m:val="p"/>
          </m:rPr>
          <m:t>=</m:t>
        </m:r>
        <m:r>
          <m:rPr>
            <m:sty m:val="p"/>
          </m:rPr>
          <m:t>D</m:t>
        </m:r>
        <m:r>
          <m:rPr>
            <m:sty m:val="p"/>
          </m:rPr>
          <m:t>M</m:t>
        </m:r>
        <m:r>
          <m:rPr>
            <m:sty m:val="p"/>
          </m:rPr>
          <m:t>g</m:t>
        </m:r>
        <m:d>
          <m:dPr>
            <m:begChr m:val="("/>
            <m:sepChr m:val=""/>
            <m:endChr m:val=")"/>
            <m:grow/>
          </m:dPr>
          <m:e>
            <m:sSup>
              <m:e>
                <m:r>
                  <m:t>E</m:t>
                </m:r>
              </m:e>
              <m:sup>
                <m:r>
                  <m:rPr>
                    <m:sty m:val="p"/>
                  </m:rPr>
                  <m:t>*</m:t>
                </m:r>
              </m:sup>
            </m:sSup>
          </m:e>
        </m:d>
      </m:oMath>
      <w:r>
        <w:t xml:space="preserve">, el impuesto pigouviano por tonelada; es la misma idea que</w:t>
      </w:r>
      <w:r>
        <w:t xml:space="preserve"> </w:t>
      </w:r>
      <m:oMath>
        <m:sSup>
          <m:e>
            <m:r>
              <m:t>t</m:t>
            </m:r>
          </m:e>
          <m:sup>
            <m:r>
              <m:rPr>
                <m:sty m:val="p"/>
              </m:rPr>
              <m:t>*</m:t>
            </m:r>
          </m:sup>
        </m:sSup>
        <m:r>
          <m:rPr>
            <m:sty m:val="p"/>
          </m:rPr>
          <m:t>=</m:t>
        </m:r>
        <m:r>
          <m:rPr>
            <m:sty m:val="p"/>
          </m:rPr>
          <m:t>C</m:t>
        </m:r>
        <m:r>
          <m:rPr>
            <m:sty m:val="p"/>
          </m:rPr>
          <m:t>M</m:t>
        </m:r>
        <m:r>
          <m:rPr>
            <m:sty m:val="p"/>
          </m:rPr>
          <m:t>g</m:t>
        </m:r>
        <m:r>
          <m:rPr>
            <m:sty m:val="p"/>
          </m:rPr>
          <m:t>E</m:t>
        </m:r>
        <m:d>
          <m:dPr>
            <m:begChr m:val="("/>
            <m:sepChr m:val=""/>
            <m:endChr m:val=")"/>
            <m:grow/>
          </m:dPr>
          <m:e>
            <m:sSup>
              <m:e>
                <m:r>
                  <m:t>q</m:t>
                </m:r>
              </m:e>
              <m:sup>
                <m:r>
                  <m:rPr>
                    <m:sty m:val="p"/>
                  </m:rPr>
                  <m:t>*</m:t>
                </m:r>
              </m:sup>
            </m:sSup>
          </m:e>
        </m:d>
      </m:oMath>
      <w:r>
        <w:t xml:space="preserve"> </w:t>
      </w:r>
      <w:r>
        <w:t xml:space="preserve">en el mercado del bien</w:t>
      </w:r>
      <w:r>
        <w:t xml:space="preserve"> </w:t>
      </w:r>
      <w:hyperlink r:id="rId35">
        <w:r>
          <w:rPr>
            <w:rStyle w:val="Referenciaatema"/>
          </w:rPr>
          <w:t xml:space="preserve">[ver tema 3.A.23]</w:t>
        </w:r>
      </w:hyperlink>
      <w:r>
        <w:t xml:space="preserve">. Ese daño marginal en el óptimo es el coste social del carbono (apartado </w:t>
      </w:r>
      <w:hyperlink w:anchor="sec_mie">
        <w:r>
          <w:rPr>
            <w:rStyle w:val="Hyperlink"/>
          </w:rPr>
          <w:t xml:space="preserve">II.2</w:t>
        </w:r>
      </w:hyperlink>
      <w:r>
        <w:t xml:space="preserve">), y un tope de emisiones</w:t>
      </w:r>
      <w:r>
        <w:t xml:space="preserve"> </w:t>
      </w:r>
      <m:oMath>
        <m:bar>
          <m:barPr>
            <m:pos m:val="top"/>
          </m:barPr>
          <m:e>
            <m:r>
              <m:t>E</m:t>
            </m:r>
          </m:e>
        </m:bar>
        <m:r>
          <m:rPr>
            <m:sty m:val="p"/>
          </m:rPr>
          <m:t>=</m:t>
        </m:r>
        <m:sSup>
          <m:e>
            <m:r>
              <m:t>E</m:t>
            </m:r>
          </m:e>
          <m:sup>
            <m:r>
              <m:rPr>
                <m:sty m:val="p"/>
              </m:rPr>
              <m:t>*</m:t>
            </m:r>
          </m:sup>
        </m:sSup>
      </m:oMath>
      <w:r>
        <w:t xml:space="preserve"> </w:t>
      </w:r>
      <w:r>
        <w:t xml:space="preserve">lograría lo mismo si no hubiera incertidumbre (apartado </w:t>
      </w:r>
      <w:hyperlink w:anchor="sec_instrumentos">
        <w:r>
          <w:rPr>
            <w:rStyle w:val="Hyperlink"/>
          </w:rPr>
          <w:t xml:space="preserve">III.1</w:t>
        </w:r>
      </w:hyperlink>
      <w:r>
        <w:t xml:space="preserve">).</w:t>
      </w:r>
    </w:p>
    <w:bookmarkStart w:id="41" w:name="fig_emisiones_optimas"/>
    <w:p>
      <w:pPr>
        <w:pStyle w:val="ImageCaption"/>
      </w:pPr>
      <w:r>
        <w:t xml:space="preserve">Gráfico 3.–</w:t>
      </w:r>
      <w:r>
        <w:t xml:space="preserve"> </w:t>
      </w:r>
      <w:r>
        <w:t xml:space="preserve">Emisiones sin política, de</w:t>
      </w:r>
      <w:r>
        <w:t xml:space="preserve"> </w:t>
      </w:r>
      <w:r>
        <w:rPr>
          <w:smallCaps/>
        </w:rPr>
        <w:t xml:space="preserve">Nash</w:t>
      </w:r>
      <w:r>
        <w:t xml:space="preserve"> </w:t>
      </w:r>
      <w:r>
        <w:t xml:space="preserve">y óptimas: el daño marginal mundial es la suma de los daños de los países</w:t>
      </w:r>
    </w:p>
    <w:p>
      <w:pPr>
        <w:pStyle w:val="CaptionedFigure"/>
      </w:pPr>
      <w:r>
        <w:drawing>
          <wp:inline>
            <wp:extent cx="4178300" cy="2090601"/>
            <wp:effectExtent b="0" l="0" r="0" t="0"/>
            <wp:docPr descr="Gráfico 3.– Emisiones sin política, de Nash y óptimas: el daño marginal mundial es la suma de los daños de los países" title="" id="39" name="Picture"/>
            <a:graphic>
              <a:graphicData uri="http://schemas.openxmlformats.org/drawingml/2006/picture">
                <pic:pic>
                  <pic:nvPicPr>
                    <pic:cNvPr descr="C:\Users\vgutierrez\Documents\src\victorgutierrezmarcos.github.io-revision\oposicion\temario\fuentes\3B31\graficos/emisiones-optimas.png" id="40" name="Picture"/>
                    <pic:cNvPicPr>
                      <a:picLocks noChangeArrowheads="1" noChangeAspect="1"/>
                    </pic:cNvPicPr>
                  </pic:nvPicPr>
                  <pic:blipFill>
                    <a:blip r:embed="rId38"/>
                    <a:stretch>
                      <a:fillRect/>
                    </a:stretch>
                  </pic:blipFill>
                  <pic:spPr bwMode="auto">
                    <a:xfrm>
                      <a:off x="0" y="0"/>
                      <a:ext cx="4178300" cy="2090601"/>
                    </a:xfrm>
                    <a:prstGeom prst="rect">
                      <a:avLst/>
                    </a:prstGeom>
                    <a:noFill/>
                    <a:ln w="9525">
                      <a:noFill/>
                      <a:headEnd/>
                      <a:tailEnd/>
                    </a:ln>
                  </pic:spPr>
                </pic:pic>
              </a:graphicData>
            </a:graphic>
          </wp:inline>
        </w:drawing>
      </w:r>
    </w:p>
    <w:bookmarkEnd w:id="41"/>
    <w:p>
      <w:pPr>
        <w:pStyle w:val="Piedeimagen"/>
      </w:pPr>
      <w:r>
        <w:t xml:space="preserve">Fuente: elaboración propia a partir del gráfico de</w:t>
      </w:r>
      <w:r>
        <w:t xml:space="preserve"> </w:t>
      </w:r>
      <w:r>
        <w:rPr>
          <w:smallCaps/>
        </w:rPr>
        <w:t xml:space="preserve">Coase</w:t>
      </w:r>
      <w:r>
        <w:t xml:space="preserve"> </w:t>
      </w:r>
      <w:r>
        <w:t xml:space="preserve">de</w:t>
      </w:r>
      <w:r>
        <w:t xml:space="preserve"> </w:t>
      </w:r>
      <w:hyperlink r:id="rId35">
        <w:r>
          <w:rPr>
            <w:rStyle w:val="Referenciaatema"/>
          </w:rPr>
          <w:t xml:space="preserve">[ver tema 3.A.23]</w:t>
        </w:r>
      </w:hyperlink>
      <w:r>
        <w:t xml:space="preserve">,</w:t>
      </w:r>
      <w:r>
        <w:t xml:space="preserve"> </w:t>
      </w:r>
      <w:r>
        <w:rPr>
          <w:smallCaps/>
        </w:rPr>
        <w:t xml:space="preserve">Samuelson</w:t>
      </w:r>
      <w:r>
        <w:t xml:space="preserve"> </w:t>
      </w:r>
      <w:r>
        <w:t xml:space="preserve">(</w:t>
      </w:r>
      <w:hyperlink w:anchor="ref_Samuelson1954Pure">
        <w:r>
          <w:rPr>
            <w:rStyle w:val="Hyperlink"/>
          </w:rPr>
          <w:t xml:space="preserve">1954</w:t>
        </w:r>
      </w:hyperlink>
      <w:r>
        <w:t xml:space="preserve">)</w:t>
      </w:r>
      <w:r>
        <w:t xml:space="preserve"> </w:t>
      </w:r>
      <w:r>
        <w:t xml:space="preserve">y</w:t>
      </w:r>
      <w:r>
        <w:t xml:space="preserve"> </w:t>
      </w:r>
      <w:r>
        <w:t xml:space="preserve">W.</w:t>
      </w:r>
      <w:r>
        <w:t xml:space="preserve"> </w:t>
      </w:r>
      <w:r>
        <w:rPr>
          <w:smallCaps/>
        </w:rPr>
        <w:t xml:space="preserve">Nordhaus</w:t>
      </w:r>
      <w:r>
        <w:t xml:space="preserve"> </w:t>
      </w:r>
      <w:r>
        <w:t xml:space="preserve">(</w:t>
      </w:r>
      <w:hyperlink w:anchor="ref_Nordhaus2015Climate">
        <w:r>
          <w:rPr>
            <w:rStyle w:val="Hyperlink"/>
          </w:rPr>
          <w:t xml:space="preserve">2015</w:t>
        </w:r>
      </w:hyperlink>
      <w:r>
        <w:t xml:space="preserve">)</w:t>
      </w:r>
      <w:r>
        <w:t xml:space="preserve">.</w:t>
      </w:r>
    </w:p>
    <w:p>
      <w:pPr>
        <w:numPr>
          <w:ilvl w:val="0"/>
          <w:numId w:val="1023"/>
        </w:numPr>
      </w:pPr>
      <w:r>
        <w:t xml:space="preserve">Volvamos a nuestra tonelada. Si la acería está en</w:t>
      </w:r>
      <w:r>
        <w:t xml:space="preserve"> </w:t>
      </w:r>
      <m:oMath>
        <m:sSup>
          <m:e>
            <m:r>
              <m:t>E</m:t>
            </m:r>
          </m:e>
          <m:sup>
            <m:r>
              <m:t>c</m:t>
            </m:r>
          </m:sup>
        </m:sSup>
      </m:oMath>
      <w:r>
        <w:t xml:space="preserve">, la emite porque no le cuesta nada; si su país aplica su propio interés (</w:t>
      </w:r>
      <m:oMath>
        <m:sSup>
          <m:e>
            <m:r>
              <m:t>E</m:t>
            </m:r>
          </m:e>
          <m:sup>
            <m:r>
              <m:rPr>
                <m:sty m:val="p"/>
              </m:rPr>
              <m:t>N</m:t>
            </m:r>
          </m:sup>
        </m:sSup>
      </m:oMath>
      <w:r>
        <w:t xml:space="preserve">), quizá la evite, pero solo si reducirla le sale más barato que el daño que sufre</w:t>
      </w:r>
      <w:r>
        <w:t xml:space="preserve"> </w:t>
      </w:r>
      <w:r>
        <w:rPr>
          <w:i/>
          <w:iCs/>
        </w:rPr>
        <w:t xml:space="preserve">su</w:t>
      </w:r>
      <w:r>
        <w:t xml:space="preserve"> </w:t>
      </w:r>
      <w:r>
        <w:t xml:space="preserve">país, una fracción pequeña del total. Solo un precio igual al daño</w:t>
      </w:r>
      <w:r>
        <w:t xml:space="preserve"> </w:t>
      </w:r>
      <w:r>
        <w:rPr>
          <w:i/>
          <w:iCs/>
        </w:rPr>
        <w:t xml:space="preserve">mundial</w:t>
      </w:r>
      <w:r>
        <w:t xml:space="preserve">,</w:t>
      </w:r>
      <w:r>
        <w:t xml:space="preserve"> </w:t>
      </w:r>
      <m:oMath>
        <m:sSup>
          <m:e>
            <m:r>
              <m:t>t</m:t>
            </m:r>
          </m:e>
          <m:sup>
            <m:r>
              <m:rPr>
                <m:sty m:val="p"/>
              </m:rPr>
              <m:t>*</m:t>
            </m:r>
          </m:sup>
        </m:sSup>
      </m:oMath>
      <w:r>
        <w:t xml:space="preserve">, la hace pagar lo que de verdad cuesta.</w:t>
      </w:r>
    </w:p>
    <w:bookmarkEnd w:id="42"/>
    <w:bookmarkStart w:id="44" w:name="por_qu___es_la_externalidad_m__s_d_00034"/>
    <w:p>
      <w:pPr>
        <w:pStyle w:val="Heading4"/>
      </w:pPr>
      <w:r>
        <w:t xml:space="preserve">Por qué es la externalidad más difícil</w:t>
      </w:r>
    </w:p>
    <w:p>
      <w:pPr>
        <w:keepNext/>
        <w:numPr>
          <w:ilvl w:val="0"/>
          <w:numId w:val="1024"/>
        </w:numPr>
      </w:pPr>
      <w:r>
        <w:t xml:space="preserve">El clima tiene 5 rasgos que rara vez se dan juntos:</w:t>
      </w:r>
    </w:p>
    <w:p>
      <w:pPr>
        <w:numPr>
          <w:ilvl w:val="1"/>
          <w:numId w:val="1025"/>
        </w:numPr>
      </w:pPr>
      <w:r>
        <w:rPr>
          <w:i/>
          <w:iCs/>
        </w:rPr>
        <w:t xml:space="preserve">Global</w:t>
      </w:r>
      <w:r>
        <w:t xml:space="preserve">. Reducir emisiones es un</w:t>
      </w:r>
      <w:r>
        <w:t xml:space="preserve"> </w:t>
      </w:r>
      <w:r>
        <w:rPr>
          <w:b/>
          <w:bCs/>
        </w:rPr>
        <w:t xml:space="preserve">bien público global</w:t>
      </w:r>
      <w:r>
        <w:t xml:space="preserve">, no rival y no excluible, y su provisión depende de la</w:t>
      </w:r>
      <w:r>
        <w:t xml:space="preserve"> </w:t>
      </w:r>
      <w:r>
        <w:rPr>
          <w:i/>
          <w:iCs/>
        </w:rPr>
        <w:t xml:space="preserve">suma de esfuerzos</w:t>
      </w:r>
      <w:r>
        <w:t xml:space="preserve"> </w:t>
      </w:r>
      <w:r>
        <w:t xml:space="preserve">de todos los países</w:t>
      </w:r>
      <w:r>
        <w:t xml:space="preserve"> </w:t>
      </w:r>
      <w:r>
        <w:t xml:space="preserve">(</w:t>
      </w:r>
      <w:hyperlink w:anchor="ref_Hirshleifer1983Weakest">
        <w:r>
          <w:rPr>
            <w:rStyle w:val="Hyperlink"/>
            <w:smallCaps/>
          </w:rPr>
          <w:t xml:space="preserve">Hirshleifer</w:t>
        </w:r>
        <w:r>
          <w:rPr>
            <w:rStyle w:val="Hyperlink"/>
          </w:rPr>
          <w:t xml:space="preserve">, 1983</w:t>
        </w:r>
      </w:hyperlink>
      <w:r>
        <w:t xml:space="preserve">)</w:t>
      </w:r>
      <w:r>
        <w:t xml:space="preserve">. Cada país paga el coste de lo que reduce y disfruta solo de una pequeña parte del beneficio: le conviene ser</w:t>
      </w:r>
      <w:r>
        <w:t xml:space="preserve"> </w:t>
      </w:r>
      <w:r>
        <w:rPr>
          <w:b/>
          <w:bCs/>
        </w:rPr>
        <w:t xml:space="preserve">polizón</w:t>
      </w:r>
      <w:r>
        <w:t xml:space="preserve">. Y no existe un gobierno mundial que pueda imponer un impuesto</w:t>
      </w:r>
      <w:r>
        <w:t xml:space="preserve"> </w:t>
      </w:r>
      <w:r>
        <w:t xml:space="preserve">(</w:t>
      </w:r>
      <w:hyperlink w:anchor="ref_Kindleberger1986International">
        <w:r>
          <w:rPr>
            <w:rStyle w:val="Hyperlink"/>
            <w:smallCaps/>
          </w:rPr>
          <w:t xml:space="preserve">Kindleberger</w:t>
        </w:r>
        <w:r>
          <w:rPr>
            <w:rStyle w:val="Hyperlink"/>
          </w:rPr>
          <w:t xml:space="preserve">, 1986</w:t>
        </w:r>
      </w:hyperlink>
      <w:r>
        <w:t xml:space="preserve">)</w:t>
      </w:r>
      <w:r>
        <w:t xml:space="preserve">. La atmósfera es también un común global, con su tragedia de los comunes</w:t>
      </w:r>
      <w:r>
        <w:t xml:space="preserve"> </w:t>
      </w:r>
      <w:hyperlink r:id="rId35">
        <w:r>
          <w:rPr>
            <w:rStyle w:val="Referenciaatema"/>
          </w:rPr>
          <w:t xml:space="preserve">[ver tema 3.A.23]</w:t>
        </w:r>
      </w:hyperlink>
      <w:r>
        <w:t xml:space="preserve">.</w:t>
      </w:r>
    </w:p>
    <w:p>
      <w:pPr>
        <w:numPr>
          <w:ilvl w:val="1"/>
          <w:numId w:val="1025"/>
        </w:numPr>
      </w:pPr>
      <w:r>
        <w:rPr>
          <w:i/>
          <w:iCs/>
        </w:rPr>
        <w:t xml:space="preserve">Entre generaciones</w:t>
      </w:r>
      <w:r>
        <w:t xml:space="preserve">. Quien paga hoy por reducir no es quien disfrutará del clima evitado dentro de 50 o 100 años. Proteger a las generaciones futuras es uno de los motivos clásicos para intervenir</w:t>
      </w:r>
      <w:r>
        <w:t xml:space="preserve"> </w:t>
      </w:r>
      <w:hyperlink r:id="rId43">
        <w:r>
          <w:rPr>
            <w:rStyle w:val="Referenciaatema"/>
          </w:rPr>
          <w:t xml:space="preserve">[ver tema 3.A.20]</w:t>
        </w:r>
      </w:hyperlink>
      <w:r>
        <w:t xml:space="preserve">, pero comparar su bienestar con el nuestro exige una tasa de descuento, y ahí está el gran debate normativo del tema (apartado </w:t>
      </w:r>
      <w:hyperlink w:anchor="sec_dice">
        <w:r>
          <w:rPr>
            <w:rStyle w:val="Hyperlink"/>
          </w:rPr>
          <w:t xml:space="preserve">II.3</w:t>
        </w:r>
      </w:hyperlink>
      <w:r>
        <w:t xml:space="preserve">).</w:t>
      </w:r>
    </w:p>
    <w:p>
      <w:pPr>
        <w:numPr>
          <w:ilvl w:val="1"/>
          <w:numId w:val="1025"/>
        </w:numPr>
      </w:pPr>
      <w:r>
        <w:rPr>
          <w:i/>
          <w:iCs/>
        </w:rPr>
        <w:t xml:space="preserve">Acumulativa e irreversible</w:t>
      </w:r>
      <w:r>
        <w:t xml:space="preserve">. El daño depende del stock y no del flujo, y algunos efectos no tienen vuelta atrás. Con irreversibilidad e incertidumbre conviene ser más prudente de lo que diría un cálculo con valores esperados, porque esperar a saber más tiene un</w:t>
      </w:r>
      <w:r>
        <w:t xml:space="preserve"> </w:t>
      </w:r>
      <w:r>
        <w:rPr>
          <w:b/>
          <w:bCs/>
        </w:rPr>
        <w:t xml:space="preserve">valor de opción</w:t>
      </w:r>
      <w:r>
        <w:t xml:space="preserve"> </w:t>
      </w:r>
      <w:r>
        <w:t xml:space="preserve">(</w:t>
      </w:r>
      <w:hyperlink w:anchor="ref_ArrowFisher1974Environmental">
        <w:r>
          <w:rPr>
            <w:rStyle w:val="Hyperlink"/>
            <w:smallCaps/>
          </w:rPr>
          <w:t xml:space="preserve">Arrow</w:t>
        </w:r>
        <w:r>
          <w:rPr>
            <w:rStyle w:val="Hyperlink"/>
          </w:rPr>
          <w:t xml:space="preserve"> </w:t>
        </w:r>
        <w:r>
          <w:rPr>
            <w:rStyle w:val="Hyperlink"/>
          </w:rPr>
          <w:t xml:space="preserve">y</w:t>
        </w:r>
        <w:r>
          <w:rPr>
            <w:rStyle w:val="Hyperlink"/>
          </w:rPr>
          <w:t xml:space="preserve"> </w:t>
        </w:r>
        <w:r>
          <w:rPr>
            <w:rStyle w:val="Hyperlink"/>
            <w:smallCaps/>
          </w:rPr>
          <w:t xml:space="preserve">Fisher</w:t>
        </w:r>
        <w:r>
          <w:rPr>
            <w:rStyle w:val="Hyperlink"/>
          </w:rPr>
          <w:t xml:space="preserve">, 1974</w:t>
        </w:r>
      </w:hyperlink>
      <w:r>
        <w:t xml:space="preserve">)</w:t>
      </w:r>
      <w:r>
        <w:t xml:space="preserve">.</w:t>
      </w:r>
    </w:p>
    <w:p>
      <w:pPr>
        <w:numPr>
          <w:ilvl w:val="1"/>
          <w:numId w:val="1025"/>
        </w:numPr>
      </w:pPr>
      <w:r>
        <w:rPr>
          <w:i/>
          <w:iCs/>
        </w:rPr>
        <w:t xml:space="preserve">Incierta</w:t>
      </w:r>
      <w:r>
        <w:t xml:space="preserve">. No sabemos con precisión cuánto calentará una duplicación del CO</w:t>
      </w:r>
      <w:r>
        <w:rPr>
          <w:vertAlign w:val="subscript"/>
        </w:rPr>
        <w:t xml:space="preserve">2</w:t>
      </w:r>
      <w:r>
        <w:t xml:space="preserve">, cuánto daño hará cada grado ni cuándo se cruzará un punto de inflexión, y la incertidumbre se concentra en las colas.</w:t>
      </w:r>
    </w:p>
    <w:p>
      <w:pPr>
        <w:numPr>
          <w:ilvl w:val="1"/>
          <w:numId w:val="1025"/>
        </w:numPr>
      </w:pPr>
      <w:r>
        <w:rPr>
          <w:i/>
          <w:iCs/>
        </w:rPr>
        <w:t xml:space="preserve">Desigual</w:t>
      </w:r>
      <w:r>
        <w:t xml:space="preserve">. Los países que más han emitido, los ricos, no son los que más sufren, los pobres y cálidos. De ahí el principio de</w:t>
      </w:r>
      <w:r>
        <w:t xml:space="preserve"> </w:t>
      </w:r>
      <w:r>
        <w:rPr>
          <w:b/>
          <w:bCs/>
        </w:rPr>
        <w:t xml:space="preserve">responsabilidades comunes pero diferenciadas</w:t>
      </w:r>
      <w:r>
        <w:t xml:space="preserve"> </w:t>
      </w:r>
      <w:r>
        <w:t xml:space="preserve">(</w:t>
      </w:r>
      <w:hyperlink w:anchor="ref_CMNUCC1992Convencion">
        <w:r>
          <w:rPr>
            <w:rStyle w:val="Hyperlink"/>
            <w:smallCaps/>
          </w:rPr>
          <w:t xml:space="preserve">Naciones Unidas</w:t>
        </w:r>
        <w:r>
          <w:rPr>
            <w:rStyle w:val="Hyperlink"/>
          </w:rPr>
          <w:t xml:space="preserve">, 1992</w:t>
        </w:r>
      </w:hyperlink>
      <w:r>
        <w:t xml:space="preserve">, art. 3.1)</w:t>
      </w:r>
      <w:r>
        <w:t xml:space="preserve">.</w:t>
      </w:r>
    </w:p>
    <w:p>
      <w:pPr>
        <w:numPr>
          <w:ilvl w:val="0"/>
          <w:numId w:val="1024"/>
        </w:numPr>
      </w:pPr>
      <w:r>
        <w:rPr>
          <w:i/>
          <w:iCs/>
        </w:rPr>
        <w:t xml:space="preserve">Consecuencia</w:t>
      </w:r>
      <w:r>
        <w:t xml:space="preserve">: hay que intervenir, pero las soluciones de manual suponen un Estado capaz de imponerlas (el impuesto de</w:t>
      </w:r>
      <w:r>
        <w:t xml:space="preserve"> </w:t>
      </w:r>
      <w:r>
        <w:rPr>
          <w:smallCaps/>
        </w:rPr>
        <w:t xml:space="preserve">Pigou</w:t>
      </w:r>
      <w:r>
        <w:t xml:space="preserve">) o pocos afectados que puedan negociar (</w:t>
      </w:r>
      <w:r>
        <w:rPr>
          <w:smallCaps/>
        </w:rPr>
        <w:t xml:space="preserve">Coase</w:t>
      </w:r>
      <w:r>
        <w:t xml:space="preserve">). Con casi 200 Estados soberanos y generaciones que aún no han nacido, no se da ni lo uno ni lo otro.</w:t>
      </w:r>
      <w:r>
        <w:t xml:space="preserve"> </w:t>
      </w:r>
      <w:r>
        <w:t xml:space="preserve">W.</w:t>
      </w:r>
      <w:r>
        <w:t xml:space="preserve"> </w:t>
      </w:r>
      <w:r>
        <w:rPr>
          <w:smallCaps/>
        </w:rPr>
        <w:t xml:space="preserve">Nordhaus</w:t>
      </w:r>
      <w:r>
        <w:t xml:space="preserve"> </w:t>
      </w:r>
      <w:r>
        <w:t xml:space="preserve">(</w:t>
      </w:r>
      <w:hyperlink w:anchor="ref_Nordhaus2015Climate">
        <w:r>
          <w:rPr>
            <w:rStyle w:val="Hyperlink"/>
          </w:rPr>
          <w:t xml:space="preserve">2015</w:t>
        </w:r>
      </w:hyperlink>
      <w:r>
        <w:t xml:space="preserve">)</w:t>
      </w:r>
      <w:r>
        <w:t xml:space="preserve"> </w:t>
      </w:r>
      <w:r>
        <w:t xml:space="preserve">lo llama el</w:t>
      </w:r>
      <w:r>
        <w:t xml:space="preserve"> </w:t>
      </w:r>
      <w:r>
        <w:rPr>
          <w:b/>
          <w:bCs/>
        </w:rPr>
        <w:t xml:space="preserve">dilema de Westfalia</w:t>
      </w:r>
      <w:r>
        <w:t xml:space="preserve">, y es el problema del bloque </w:t>
      </w:r>
      <w:hyperlink w:anchor="sec_acuerdos_medidas">
        <w:r>
          <w:rPr>
            <w:rStyle w:val="Hyperlink"/>
          </w:rPr>
          <w:t xml:space="preserve">III</w:t>
        </w:r>
      </w:hyperlink>
      <w:r>
        <w:t xml:space="preserve">.</w:t>
      </w:r>
    </w:p>
    <w:bookmarkEnd w:id="44"/>
    <w:bookmarkEnd w:id="45"/>
    <w:bookmarkStart w:id="56" w:name="sec_canales"/>
    <w:p>
      <w:pPr>
        <w:pStyle w:val="Heading2"/>
      </w:pPr>
      <w:r>
        <w:t xml:space="preserve">I.3.</w:t>
      </w:r>
      <w:r>
        <w:t xml:space="preserve"> </w:t>
      </w:r>
      <w:r>
        <w:t xml:space="preserve">Canales de impacto en la economía</w:t>
      </w:r>
    </w:p>
    <w:p>
      <w:pPr>
        <w:keepNext/>
        <w:numPr>
          <w:ilvl w:val="0"/>
          <w:numId w:val="1026"/>
        </w:numPr>
      </w:pPr>
      <w:r>
        <w:t xml:space="preserve">Una vez visto por qué el mercado emite demasiado, pasamos a analizar por dónde llega el daño a la economía. Los bancos centrales lo ordenan en</w:t>
      </w:r>
      <w:r>
        <w:t xml:space="preserve"> </w:t>
      </w:r>
      <w:r>
        <w:rPr>
          <w:i/>
          <w:iCs/>
        </w:rPr>
        <w:t xml:space="preserve">2 tipos de riesgo</w:t>
      </w:r>
      <w:r>
        <w:t xml:space="preserve"> </w:t>
      </w:r>
      <w:r>
        <w:t xml:space="preserve">desde</w:t>
      </w:r>
      <w:r>
        <w:t xml:space="preserve"> </w:t>
      </w:r>
      <w:r>
        <w:rPr>
          <w:smallCaps/>
        </w:rPr>
        <w:t xml:space="preserve">Carney</w:t>
      </w:r>
      <w:r>
        <w:t xml:space="preserve"> </w:t>
      </w:r>
      <w:r>
        <w:t xml:space="preserve">(</w:t>
      </w:r>
      <w:hyperlink w:anchor="ref_Carney2015Breaking">
        <w:r>
          <w:rPr>
            <w:rStyle w:val="Hyperlink"/>
          </w:rPr>
          <w:t xml:space="preserve">2015</w:t>
        </w:r>
      </w:hyperlink>
      <w:r>
        <w:t xml:space="preserve">)</w:t>
      </w:r>
      <w:r>
        <w:t xml:space="preserve"> </w:t>
      </w:r>
      <w:r>
        <w:t xml:space="preserve">y la Red de Bancos Centrales y Supervisores para la Ecologización del Sistema Financiero (NGFS, por sus siglas en inglés)</w:t>
      </w:r>
      <w:r>
        <w:t xml:space="preserve"> </w:t>
      </w:r>
      <w:r>
        <w:t xml:space="preserve">(</w:t>
      </w:r>
      <w:hyperlink w:anchor="ref_NGFS2019Call">
        <w:r>
          <w:rPr>
            <w:rStyle w:val="Hyperlink"/>
            <w:smallCaps/>
          </w:rPr>
          <w:t xml:space="preserve">Network for Greening the Financial System</w:t>
        </w:r>
        <w:r>
          <w:rPr>
            <w:rStyle w:val="Hyperlink"/>
          </w:rPr>
          <w:t xml:space="preserve">, 2019</w:t>
        </w:r>
      </w:hyperlink>
      <w:r>
        <w:t xml:space="preserve">)</w:t>
      </w:r>
      <w:r>
        <w:t xml:space="preserve">:</w:t>
      </w:r>
    </w:p>
    <w:p>
      <w:pPr>
        <w:numPr>
          <w:ilvl w:val="1"/>
          <w:numId w:val="1027"/>
        </w:numPr>
      </w:pPr>
      <w:r>
        <w:rPr>
          <w:b/>
          <w:bCs/>
        </w:rPr>
        <w:t xml:space="preserve">riesgos físicos</w:t>
      </w:r>
      <w:r>
        <w:t xml:space="preserve">: los daños del propio clima,</w:t>
      </w:r>
      <w:r>
        <w:t xml:space="preserve"> </w:t>
      </w:r>
      <w:r>
        <w:rPr>
          <w:i/>
          <w:iCs/>
        </w:rPr>
        <w:t xml:space="preserve">agudos</w:t>
      </w:r>
      <w:r>
        <w:t xml:space="preserve"> </w:t>
      </w:r>
      <w:r>
        <w:t xml:space="preserve">(una dana, un huracán, una ola de calor) o</w:t>
      </w:r>
      <w:r>
        <w:t xml:space="preserve"> </w:t>
      </w:r>
      <w:r>
        <w:rPr>
          <w:i/>
          <w:iCs/>
        </w:rPr>
        <w:t xml:space="preserve">crónicos</w:t>
      </w:r>
      <w:r>
        <w:t xml:space="preserve"> </w:t>
      </w:r>
      <w:r>
        <w:t xml:space="preserve">(más temperatura media, menos agua, subida del mar);</w:t>
      </w:r>
    </w:p>
    <w:p>
      <w:pPr>
        <w:numPr>
          <w:ilvl w:val="1"/>
          <w:numId w:val="1027"/>
        </w:numPr>
      </w:pPr>
      <w:r>
        <w:rPr>
          <w:b/>
          <w:bCs/>
        </w:rPr>
        <w:t xml:space="preserve">riesgos de transición</w:t>
      </w:r>
      <w:r>
        <w:t xml:space="preserve">: los costes de pasar a una economía baja en carbono por cambios en la política (un precio del carbono), en la tecnología o en las preferencias. Son mayores cuanto más tarde y más bruscamente se haga la transición.</w:t>
      </w:r>
    </w:p>
    <w:p>
      <w:pPr>
        <w:numPr>
          <w:ilvl w:val="0"/>
          <w:numId w:val="1026"/>
        </w:numPr>
      </w:pPr>
      <w:r>
        <w:t xml:space="preserve">Los 2 riesgos llegan a la economía por 5 canales, que resume la tabla </w:t>
      </w:r>
      <w:hyperlink w:anchor="tab_canales">
        <w:r>
          <w:rPr>
            <w:rStyle w:val="Hyperlink"/>
          </w:rPr>
          <w:t xml:space="preserve">1</w:t>
        </w:r>
      </w:hyperlink>
      <w:r>
        <w:t xml:space="preserve">.</w:t>
      </w:r>
    </w:p>
    <w:bookmarkStart w:id="46" w:name="tab_canales"/>
    <w:p>
      <w:pPr>
        <w:pStyle w:val="TableCaption"/>
      </w:pPr>
      <w:r>
        <w:t xml:space="preserve">Tabla 1.–</w:t>
      </w:r>
      <w:r>
        <w:t xml:space="preserve"> </w:t>
      </w:r>
      <w:r>
        <w:t xml:space="preserve">Los canales de impacto del cambio climático en la economía</w:t>
      </w:r>
    </w:p>
    <w:tbl>
      <w:tblPr>
        <w:tblStyle w:val="Table"/>
        <w:tblW w:type="auto" w:w="0"/>
        <w:tblLook w:firstRow="1" w:lastRow="0" w:firstColumn="0" w:lastColumn="0" w:noHBand="0" w:noVBand="0" w:val="0020"/>
        <w:tblCaption w:val="Tabla 1.– Los canales de impacto del cambio climático en la economía"/>
      </w:tblPr>
      <w:tblGrid>
        <w:gridCol w:w="2640"/>
        <w:gridCol w:w="2640"/>
        <w:gridCol w:w="2640"/>
      </w:tblGrid>
      <w:tr>
        <w:trPr>
          <w:cantSplit/>
          <w:tblHeader w:val="on"/>
        </w:trPr>
        <w:tc>
          <w:tcPr>
            <w:shd w:val="clear" w:color="auto" w:fill="DDEBF7"/>
          </w:tcPr>
          <w:tcPr/>
          <w:p>
            <w:pPr>
              <w:pStyle w:val="Celdatceeazulpalido"/>
              <w:keepNext/>
              <w:jc w:val="left"/>
            </w:pPr>
            <w:r>
              <w:rPr>
                <w:b/>
                <w:bCs/>
              </w:rPr>
              <w:t xml:space="preserve">Canal</w:t>
            </w:r>
          </w:p>
        </w:tc>
        <w:tc>
          <w:tcPr>
            <w:shd w:val="clear" w:color="auto" w:fill="DDEBF7"/>
          </w:tcPr>
          <w:tcPr/>
          <w:p>
            <w:pPr>
              <w:pStyle w:val="Celdatceeazulpalido"/>
              <w:keepNext/>
              <w:jc w:val="left"/>
            </w:pPr>
            <w:r>
              <w:rPr>
                <w:b/>
                <w:bCs/>
              </w:rPr>
              <w:t xml:space="preserve">Riesgos físicos</w:t>
            </w:r>
          </w:p>
        </w:tc>
        <w:tc>
          <w:tcPr>
            <w:shd w:val="clear" w:color="auto" w:fill="DDEBF7"/>
          </w:tcPr>
          <w:tcPr/>
          <w:p>
            <w:pPr>
              <w:pStyle w:val="Celdatceeazulpalido"/>
              <w:keepNext/>
              <w:jc w:val="left"/>
            </w:pPr>
            <w:r>
              <w:rPr>
                <w:b/>
                <w:bCs/>
              </w:rPr>
              <w:t xml:space="preserve">Riesgos de transición</w:t>
            </w:r>
          </w:p>
        </w:tc>
      </w:tr>
      <w:tr>
        <w:trPr>
          <w:cantSplit/>
        </w:trPr>
        <w:tc>
          <w:tcPr/>
          <w:p>
            <w:pPr>
              <w:pStyle w:val="Compact"/>
              <w:jc w:val="left"/>
            </w:pPr>
            <w:r>
              <w:rPr>
                <w:rStyle w:val="Textomorado"/>
                <w:b/>
                <w:bCs/>
              </w:rPr>
              <w:t xml:space="preserve">Crecimiento</w:t>
            </w:r>
          </w:p>
        </w:tc>
        <w:tc>
          <w:tcPr/>
          <w:p>
            <w:pPr>
              <w:pStyle w:val="Compact"/>
              <w:jc w:val="left"/>
            </w:pPr>
            <w:r>
              <w:t xml:space="preserve">menos horas y productividad del trabajo; capital destruido; peor productividad agrícola</w:t>
            </w:r>
          </w:p>
        </w:tc>
        <w:tc>
          <w:tcPr/>
          <w:p>
            <w:pPr>
              <w:pStyle w:val="Compact"/>
              <w:jc w:val="left"/>
            </w:pPr>
            <w:r>
              <w:t xml:space="preserve">activos varados; inversión que se desvía; cambio de la estructura productiva</w:t>
            </w:r>
          </w:p>
        </w:tc>
      </w:tr>
      <w:tr>
        <w:trPr>
          <w:cantSplit/>
        </w:trPr>
        <w:tc>
          <w:tcPr/>
          <w:p>
            <w:pPr>
              <w:pStyle w:val="Compact"/>
              <w:jc w:val="left"/>
            </w:pPr>
            <w:r>
              <w:rPr>
                <w:rStyle w:val="Textomorado"/>
                <w:b/>
                <w:bCs/>
              </w:rPr>
              <w:t xml:space="preserve">Precios</w:t>
            </w:r>
          </w:p>
        </w:tc>
        <w:tc>
          <w:tcPr/>
          <w:p>
            <w:pPr>
              <w:pStyle w:val="Compact"/>
              <w:jc w:val="left"/>
            </w:pPr>
            <w:r>
              <w:t xml:space="preserve">choques de oferta en alimentos y energía (</w:t>
            </w:r>
            <w:r>
              <w:rPr>
                <w:i/>
                <w:iCs/>
              </w:rPr>
              <w:t xml:space="preserve">climateflation</w:t>
            </w:r>
            <w:r>
              <w:t xml:space="preserve">)</w:t>
            </w:r>
          </w:p>
        </w:tc>
        <w:tc>
          <w:tcPr/>
          <w:p>
            <w:pPr>
              <w:pStyle w:val="Compact"/>
              <w:jc w:val="left"/>
            </w:pPr>
            <w:r>
              <w:t xml:space="preserve">precio del carbono y demanda de metales (</w:t>
            </w:r>
            <w:r>
              <w:rPr>
                <w:i/>
                <w:iCs/>
              </w:rPr>
              <w:t xml:space="preserve">greenflation</w:t>
            </w:r>
            <w:r>
              <w:t xml:space="preserve">)</w:t>
            </w:r>
          </w:p>
        </w:tc>
      </w:tr>
      <w:tr>
        <w:trPr>
          <w:cantSplit/>
        </w:trPr>
        <w:tc>
          <w:tcPr/>
          <w:p>
            <w:pPr>
              <w:pStyle w:val="Compact"/>
              <w:jc w:val="left"/>
            </w:pPr>
            <w:r>
              <w:rPr>
                <w:rStyle w:val="Textomorado"/>
                <w:b/>
                <w:bCs/>
              </w:rPr>
              <w:t xml:space="preserve">Estabilidad financiera</w:t>
            </w:r>
          </w:p>
        </w:tc>
        <w:tc>
          <w:tcPr/>
          <w:p>
            <w:pPr>
              <w:pStyle w:val="Compact"/>
              <w:jc w:val="left"/>
            </w:pPr>
            <w:r>
              <w:t xml:space="preserve">pérdidas de aseguradoras e impagos</w:t>
            </w:r>
          </w:p>
        </w:tc>
        <w:tc>
          <w:tcPr/>
          <w:p>
            <w:pPr>
              <w:pStyle w:val="Compact"/>
              <w:jc w:val="left"/>
            </w:pPr>
            <w:r>
              <w:t xml:space="preserve">caída del valor de los activos intensivos en carbono</w:t>
            </w:r>
          </w:p>
        </w:tc>
      </w:tr>
      <w:tr>
        <w:trPr>
          <w:cantSplit/>
        </w:trPr>
        <w:tc>
          <w:tcPr/>
          <w:p>
            <w:pPr>
              <w:pStyle w:val="Compact"/>
              <w:jc w:val="left"/>
            </w:pPr>
            <w:r>
              <w:rPr>
                <w:rStyle w:val="Textomorado"/>
                <w:b/>
                <w:bCs/>
              </w:rPr>
              <w:t xml:space="preserve">Política económica</w:t>
            </w:r>
          </w:p>
        </w:tc>
        <w:tc>
          <w:tcPr/>
          <w:p>
            <w:pPr>
              <w:pStyle w:val="Compact"/>
              <w:jc w:val="left"/>
            </w:pPr>
            <w:r>
              <w:t xml:space="preserve">gasto de emergencia; choques que complican la política monetaria</w:t>
            </w:r>
          </w:p>
        </w:tc>
        <w:tc>
          <w:tcPr/>
          <w:p>
            <w:pPr>
              <w:pStyle w:val="Compact"/>
              <w:jc w:val="left"/>
            </w:pPr>
            <w:r>
              <w:t xml:space="preserve">inversión pública, subvenciones e ingresos del carbono</w:t>
            </w:r>
          </w:p>
        </w:tc>
      </w:tr>
      <w:tr>
        <w:trPr>
          <w:cantSplit/>
        </w:trPr>
        <w:tc>
          <w:tcPr/>
          <w:p>
            <w:pPr>
              <w:pStyle w:val="Compact"/>
              <w:jc w:val="left"/>
            </w:pPr>
            <w:r>
              <w:rPr>
                <w:rStyle w:val="Textomorado"/>
                <w:b/>
                <w:bCs/>
              </w:rPr>
              <w:t xml:space="preserve">Desigualdad</w:t>
            </w:r>
          </w:p>
        </w:tc>
        <w:tc>
          <w:tcPr/>
          <w:p>
            <w:pPr>
              <w:pStyle w:val="Compact"/>
              <w:jc w:val="left"/>
            </w:pPr>
            <w:r>
              <w:t xml:space="preserve">pierden más los países y hogares pobres</w:t>
            </w:r>
          </w:p>
        </w:tc>
        <w:tc>
          <w:tcPr/>
          <w:p>
            <w:pPr>
              <w:pStyle w:val="Compact"/>
              <w:jc w:val="left"/>
            </w:pPr>
            <w:r>
              <w:t xml:space="preserve">el precio del carbono es regresivo si no se compensa</w:t>
            </w:r>
          </w:p>
        </w:tc>
      </w:tr>
    </w:tbl>
    <w:bookmarkEnd w:id="46"/>
    <w:p>
      <w:pPr>
        <w:pStyle w:val="BodyText"/>
      </w:pPr>
      <w:r>
        <w:rPr>
          <w:i/>
          <w:iCs/>
        </w:rPr>
        <w:t xml:space="preserve">Fuente: elaboración propia a partir de</w:t>
      </w:r>
      <w:r>
        <w:rPr>
          <w:i/>
          <w:iCs/>
        </w:rPr>
        <w:t xml:space="preserve"> </w:t>
      </w:r>
      <w:r>
        <w:rPr>
          <w:i/>
          <w:iCs/>
          <w:smallCaps/>
        </w:rPr>
        <w:t xml:space="preserve">Carney</w:t>
      </w:r>
      <w:r>
        <w:rPr>
          <w:i/>
          <w:iCs/>
        </w:rPr>
        <w:t xml:space="preserve"> </w:t>
      </w:r>
      <w:r>
        <w:rPr>
          <w:i/>
          <w:iCs/>
        </w:rPr>
        <w:t xml:space="preserve">(</w:t>
      </w:r>
      <w:hyperlink w:anchor="ref_Carney2015Breaking">
        <w:r>
          <w:rPr>
            <w:rStyle w:val="Hyperlink"/>
            <w:i/>
            <w:iCs/>
          </w:rPr>
          <w:t xml:space="preserve">2015</w:t>
        </w:r>
      </w:hyperlink>
      <w:r>
        <w:rPr>
          <w:i/>
          <w:iCs/>
        </w:rPr>
        <w:t xml:space="preserve">)</w:t>
      </w:r>
      <w:r>
        <w:rPr>
          <w:i/>
          <w:iCs/>
        </w:rPr>
        <w:t xml:space="preserve">,</w:t>
      </w:r>
      <w:r>
        <w:rPr>
          <w:i/>
          <w:iCs/>
        </w:rPr>
        <w:t xml:space="preserve"> </w:t>
      </w:r>
      <w:r>
        <w:rPr>
          <w:i/>
          <w:iCs/>
          <w:smallCaps/>
        </w:rPr>
        <w:t xml:space="preserve">Network for Greening the Financial System</w:t>
      </w:r>
      <w:r>
        <w:rPr>
          <w:i/>
          <w:iCs/>
        </w:rPr>
        <w:t xml:space="preserve"> </w:t>
      </w:r>
      <w:r>
        <w:rPr>
          <w:i/>
          <w:iCs/>
        </w:rPr>
        <w:t xml:space="preserve">(</w:t>
      </w:r>
      <w:hyperlink w:anchor="ref_NGFS2019Call">
        <w:r>
          <w:rPr>
            <w:rStyle w:val="Hyperlink"/>
            <w:i/>
            <w:iCs/>
          </w:rPr>
          <w:t xml:space="preserve">2019</w:t>
        </w:r>
      </w:hyperlink>
      <w:r>
        <w:rPr>
          <w:i/>
          <w:iCs/>
        </w:rPr>
        <w:t xml:space="preserve">)</w:t>
      </w:r>
      <w:r>
        <w:rPr>
          <w:i/>
          <w:iCs/>
        </w:rPr>
        <w:t xml:space="preserve"> </w:t>
      </w:r>
      <w:r>
        <w:rPr>
          <w:i/>
          <w:iCs/>
        </w:rPr>
        <w:t xml:space="preserve">y</w:t>
      </w:r>
      <w:r>
        <w:rPr>
          <w:i/>
          <w:iCs/>
        </w:rPr>
        <w:t xml:space="preserve"> </w:t>
      </w:r>
      <w:r>
        <w:rPr>
          <w:i/>
          <w:iCs/>
          <w:smallCaps/>
        </w:rPr>
        <w:t xml:space="preserve">Schnabel</w:t>
      </w:r>
      <w:r>
        <w:rPr>
          <w:i/>
          <w:iCs/>
        </w:rPr>
        <w:t xml:space="preserve"> </w:t>
      </w:r>
      <w:r>
        <w:rPr>
          <w:i/>
          <w:iCs/>
        </w:rPr>
        <w:t xml:space="preserve">(</w:t>
      </w:r>
      <w:hyperlink w:anchor="ref_Schnabel2022New">
        <w:r>
          <w:rPr>
            <w:rStyle w:val="Hyperlink"/>
            <w:i/>
            <w:iCs/>
          </w:rPr>
          <w:t xml:space="preserve">2022</w:t>
        </w:r>
      </w:hyperlink>
      <w:r>
        <w:rPr>
          <w:i/>
          <w:iCs/>
        </w:rPr>
        <w:t xml:space="preserve">)</w:t>
      </w:r>
      <w:r>
        <w:rPr>
          <w:i/>
          <w:iCs/>
        </w:rPr>
        <w:t xml:space="preserve">.</w:t>
      </w:r>
    </w:p>
    <w:bookmarkStart w:id="48" w:name="sec_canal_crecimiento"/>
    <w:p>
      <w:pPr>
        <w:pStyle w:val="Heading3"/>
      </w:pPr>
      <w:r>
        <w:t xml:space="preserve">I.3.1.</w:t>
      </w:r>
      <w:r>
        <w:t xml:space="preserve"> </w:t>
      </w:r>
      <w:r>
        <w:t xml:space="preserve">Crecimiento económico</w:t>
      </w:r>
    </w:p>
    <w:p>
      <w:pPr>
        <w:keepNext/>
        <w:numPr>
          <w:ilvl w:val="0"/>
          <w:numId w:val="1028"/>
        </w:numPr>
      </w:pPr>
      <w:r>
        <w:t xml:space="preserve">Con una función de producción</w:t>
      </w:r>
      <w:r>
        <w:t xml:space="preserve"> </w:t>
      </w:r>
      <m:oMath>
        <m:sSub>
          <m:e>
            <m:r>
              <m:t>Y</m:t>
            </m:r>
          </m:e>
          <m:sub>
            <m:r>
              <m:t>t</m:t>
            </m:r>
          </m:sub>
        </m:sSub>
        <m:r>
          <m:rPr>
            <m:sty m:val="p"/>
          </m:rPr>
          <m:t>=</m:t>
        </m:r>
        <m:sSub>
          <m:e>
            <m:r>
              <m:t>A</m:t>
            </m:r>
          </m:e>
          <m:sub>
            <m:r>
              <m:t>t</m:t>
            </m:r>
          </m:sub>
        </m:sSub>
        <m:sSubSup>
          <m:e>
            <m:r>
              <m:t>K</m:t>
            </m:r>
          </m:e>
          <m:sub>
            <m:r>
              <m:t>t</m:t>
            </m:r>
          </m:sub>
          <m:sup>
            <m:r>
              <m:t>α</m:t>
            </m:r>
          </m:sup>
        </m:sSubSup>
        <m:sSubSup>
          <m:e>
            <m:r>
              <m:t>L</m:t>
            </m:r>
          </m:e>
          <m:sub>
            <m:r>
              <m:t>t</m:t>
            </m:r>
          </m:sub>
          <m:sup>
            <m:r>
              <m:t>1</m:t>
            </m:r>
            <m:r>
              <m:rPr>
                <m:sty m:val="p"/>
              </m:rPr>
              <m:t>−</m:t>
            </m:r>
            <m:r>
              <m:t>α</m:t>
            </m:r>
          </m:sup>
        </m:sSubSup>
      </m:oMath>
      <w:r>
        <w:t xml:space="preserve"> </w:t>
      </w:r>
      <w:hyperlink r:id="rId47">
        <w:r>
          <w:rPr>
            <w:rStyle w:val="Referenciaatema"/>
          </w:rPr>
          <w:t xml:space="preserve">[ver tema 3.A.45]</w:t>
        </w:r>
      </w:hyperlink>
      <w:r>
        <w:t xml:space="preserve">, el clima afecta a los 3 términos:</w:t>
      </w:r>
    </w:p>
    <w:p>
      <w:pPr>
        <w:numPr>
          <w:ilvl w:val="1"/>
          <w:numId w:val="1029"/>
        </w:numPr>
      </w:pPr>
      <w:r>
        <w:rPr>
          <w:i/>
          <w:iCs/>
        </w:rPr>
        <w:t xml:space="preserve">Trabajo</w:t>
      </w:r>
      <w:r>
        <w:t xml:space="preserve">: el calor reduce las horas y la productividad del trabajo al aire libre y empeora la salud; los fenómenos extremos y la escasez de agua desplazan población.</w:t>
      </w:r>
    </w:p>
    <w:p>
      <w:pPr>
        <w:numPr>
          <w:ilvl w:val="1"/>
          <w:numId w:val="1029"/>
        </w:numPr>
      </w:pPr>
      <w:r>
        <w:rPr>
          <w:i/>
          <w:iCs/>
        </w:rPr>
        <w:t xml:space="preserve">Capital</w:t>
      </w:r>
      <w:r>
        <w:t xml:space="preserve">: los desastres lo destruyen y aceleran su depreciación; la transición deja</w:t>
      </w:r>
      <w:r>
        <w:t xml:space="preserve"> </w:t>
      </w:r>
      <w:r>
        <w:rPr>
          <w:b/>
          <w:bCs/>
        </w:rPr>
        <w:t xml:space="preserve">activos varados</w:t>
      </w:r>
      <w:r>
        <w:t xml:space="preserve">, centrales, yacimientos o máquinas que pierden su valor antes de tiempo. Para tener un 50 % de probabilidad de no pasar de 2 °C, habría que dejar sin usar un tercio de las reservas de petróleo, la mitad de las de gas y más del 80 % de las de carbón</w:t>
      </w:r>
      <w:r>
        <w:t xml:space="preserve"> </w:t>
      </w:r>
      <w:r>
        <w:t xml:space="preserve">(</w:t>
      </w:r>
      <w:hyperlink w:anchor="ref_McGladeEkins2015Geographical">
        <w:r>
          <w:rPr>
            <w:rStyle w:val="Hyperlink"/>
            <w:smallCaps/>
          </w:rPr>
          <w:t xml:space="preserve">McGlade</w:t>
        </w:r>
        <w:r>
          <w:rPr>
            <w:rStyle w:val="Hyperlink"/>
          </w:rPr>
          <w:t xml:space="preserve"> </w:t>
        </w:r>
        <w:r>
          <w:rPr>
            <w:rStyle w:val="Hyperlink"/>
          </w:rPr>
          <w:t xml:space="preserve">y</w:t>
        </w:r>
        <w:r>
          <w:rPr>
            <w:rStyle w:val="Hyperlink"/>
          </w:rPr>
          <w:t xml:space="preserve"> </w:t>
        </w:r>
        <w:r>
          <w:rPr>
            <w:rStyle w:val="Hyperlink"/>
            <w:smallCaps/>
          </w:rPr>
          <w:t xml:space="preserve">Ekins</w:t>
        </w:r>
        <w:r>
          <w:rPr>
            <w:rStyle w:val="Hyperlink"/>
          </w:rPr>
          <w:t xml:space="preserve">, 2015</w:t>
        </w:r>
      </w:hyperlink>
      <w:r>
        <w:t xml:space="preserve">)</w:t>
      </w:r>
      <w:r>
        <w:t xml:space="preserve">.</w:t>
      </w:r>
    </w:p>
    <w:p>
      <w:pPr>
        <w:numPr>
          <w:ilvl w:val="1"/>
          <w:numId w:val="1029"/>
        </w:numPr>
      </w:pPr>
      <w:r>
        <w:rPr>
          <w:i/>
          <w:iCs/>
        </w:rPr>
        <w:t xml:space="preserve">Productividad total de los factores</w:t>
      </w:r>
      <w:r>
        <w:t xml:space="preserve">: menos rendimiento agrícola, más cortes en las cadenas de suministro y recursos que pasan de innovar a reparar daños.</w:t>
      </w:r>
    </w:p>
    <w:p>
      <w:pPr>
        <w:keepNext/>
        <w:numPr>
          <w:ilvl w:val="0"/>
          <w:numId w:val="1028"/>
        </w:numPr>
      </w:pPr>
      <w:r>
        <w:rPr>
          <w:i/>
          <w:iCs/>
        </w:rPr>
        <w:t xml:space="preserve">¿Efecto nivel o efecto crecimiento?</w:t>
      </w:r>
      <w:r>
        <w:t xml:space="preserve"> </w:t>
      </w:r>
      <w:r>
        <w:t xml:space="preserve">Es la pregunta clave:</w:t>
      </w:r>
    </w:p>
    <w:p>
      <w:pPr>
        <w:numPr>
          <w:ilvl w:val="1"/>
          <w:numId w:val="1030"/>
        </w:numPr>
      </w:pPr>
      <w:r>
        <w:t xml:space="preserve">si el calor reduce el</w:t>
      </w:r>
      <w:r>
        <w:t xml:space="preserve"> </w:t>
      </w:r>
      <w:r>
        <w:rPr>
          <w:i/>
          <w:iCs/>
        </w:rPr>
        <w:t xml:space="preserve">nivel</w:t>
      </w:r>
      <w:r>
        <w:t xml:space="preserve"> </w:t>
      </w:r>
      <w:r>
        <w:t xml:space="preserve">del PIB, el daño es acotado;</w:t>
      </w:r>
    </w:p>
    <w:p>
      <w:pPr>
        <w:numPr>
          <w:ilvl w:val="1"/>
          <w:numId w:val="1030"/>
        </w:numPr>
      </w:pPr>
      <w:r>
        <w:t xml:space="preserve">si reduce su</w:t>
      </w:r>
      <w:r>
        <w:t xml:space="preserve"> </w:t>
      </w:r>
      <w:r>
        <w:rPr>
          <w:i/>
          <w:iCs/>
        </w:rPr>
        <w:t xml:space="preserve">tasa de crecimiento</w:t>
      </w:r>
      <w:r>
        <w:t xml:space="preserve">, se acumula año tras año y a largo plazo puede ser enorme.</w:t>
      </w:r>
    </w:p>
    <w:p>
      <w:pPr>
        <w:numPr>
          <w:ilvl w:val="0"/>
          <w:numId w:val="1000"/>
        </w:numPr>
      </w:pPr>
      <w:r>
        <w:t xml:space="preserve">La evidencia de panel apunta a efectos sobre el crecimiento en los países pobres</w:t>
      </w:r>
      <w:r>
        <w:t xml:space="preserve"> </w:t>
      </w:r>
      <w:r>
        <w:t xml:space="preserve">(</w:t>
      </w:r>
      <w:hyperlink w:anchor="ref_DellJonesOlken2012Temperature">
        <w:r>
          <w:rPr>
            <w:rStyle w:val="Hyperlink"/>
            <w:smallCaps/>
          </w:rPr>
          <w:t xml:space="preserve">Dell</w:t>
        </w:r>
        <w:r>
          <w:rPr>
            <w:rStyle w:val="Hyperlink"/>
          </w:rPr>
          <w:t xml:space="preserve">,</w:t>
        </w:r>
        <w:r>
          <w:rPr>
            <w:rStyle w:val="Hyperlink"/>
          </w:rPr>
          <w:t xml:space="preserve"> </w:t>
        </w:r>
        <w:r>
          <w:rPr>
            <w:rStyle w:val="Hyperlink"/>
            <w:smallCaps/>
          </w:rPr>
          <w:t xml:space="preserve">Jones</w:t>
        </w:r>
        <w:r>
          <w:rPr>
            <w:rStyle w:val="Hyperlink"/>
          </w:rPr>
          <w:t xml:space="preserve"> </w:t>
        </w:r>
        <w:r>
          <w:rPr>
            <w:rStyle w:val="Hyperlink"/>
          </w:rPr>
          <w:t xml:space="preserve">y</w:t>
        </w:r>
        <w:r>
          <w:rPr>
            <w:rStyle w:val="Hyperlink"/>
          </w:rPr>
          <w:t xml:space="preserve"> </w:t>
        </w:r>
        <w:r>
          <w:rPr>
            <w:rStyle w:val="Hyperlink"/>
            <w:smallCaps/>
          </w:rPr>
          <w:t xml:space="preserve">Olken</w:t>
        </w:r>
        <w:r>
          <w:rPr>
            <w:rStyle w:val="Hyperlink"/>
          </w:rPr>
          <w:t xml:space="preserve">, 2012</w:t>
        </w:r>
      </w:hyperlink>
      <w:r>
        <w:t xml:space="preserve">)</w:t>
      </w:r>
      <w:r>
        <w:t xml:space="preserve">, y por eso las estimaciones de daños de la última década son mucho mayores que las de los primeros modelos (apartado </w:t>
      </w:r>
      <w:hyperlink w:anchor="sec_evidencia">
        <w:r>
          <w:rPr>
            <w:rStyle w:val="Hyperlink"/>
          </w:rPr>
          <w:t xml:space="preserve">II.1</w:t>
        </w:r>
      </w:hyperlink>
      <w:r>
        <w:t xml:space="preserve">).</w:t>
      </w:r>
    </w:p>
    <w:bookmarkEnd w:id="48"/>
    <w:bookmarkStart w:id="50" w:name="sec_canal_precios"/>
    <w:p>
      <w:pPr>
        <w:pStyle w:val="Heading3"/>
      </w:pPr>
      <w:r>
        <w:t xml:space="preserve">I.3.2.</w:t>
      </w:r>
      <w:r>
        <w:t xml:space="preserve"> </w:t>
      </w:r>
      <w:r>
        <w:t xml:space="preserve">Estabilidad macroeconómica y de precios</w:t>
      </w:r>
    </w:p>
    <w:p>
      <w:pPr>
        <w:numPr>
          <w:ilvl w:val="0"/>
          <w:numId w:val="1031"/>
        </w:numPr>
      </w:pPr>
      <w:r>
        <w:t xml:space="preserve">Los fenómenos extremos son</w:t>
      </w:r>
      <w:r>
        <w:t xml:space="preserve"> </w:t>
      </w:r>
      <w:r>
        <w:rPr>
          <w:i/>
          <w:iCs/>
        </w:rPr>
        <w:t xml:space="preserve">choques de oferta</w:t>
      </w:r>
      <w:r>
        <w:t xml:space="preserve"> </w:t>
      </w:r>
      <w:r>
        <w:t xml:space="preserve">más frecuentes, más grandes y más difíciles de prever, que suben los precios y bajan la producción a la vez: la peor combinación para la política monetaria</w:t>
      </w:r>
      <w:r>
        <w:t xml:space="preserve"> </w:t>
      </w:r>
      <w:hyperlink r:id="rId49">
        <w:r>
          <w:rPr>
            <w:rStyle w:val="Referenciaatema"/>
          </w:rPr>
          <w:t xml:space="preserve">[ver tema 3.A.36]</w:t>
        </w:r>
      </w:hyperlink>
      <w:r>
        <w:t xml:space="preserve">.</w:t>
      </w:r>
    </w:p>
    <w:p>
      <w:pPr>
        <w:keepNext/>
        <w:numPr>
          <w:ilvl w:val="0"/>
          <w:numId w:val="1031"/>
        </w:numPr>
      </w:pPr>
      <w:r>
        <w:t xml:space="preserve">Isabel</w:t>
      </w:r>
      <w:r>
        <w:t xml:space="preserve"> </w:t>
      </w:r>
      <w:r>
        <w:rPr>
          <w:smallCaps/>
        </w:rPr>
        <w:t xml:space="preserve">Schnabel</w:t>
      </w:r>
      <w:r>
        <w:t xml:space="preserve"> </w:t>
      </w:r>
      <w:r>
        <w:t xml:space="preserve">(</w:t>
      </w:r>
      <w:hyperlink w:anchor="ref_Schnabel2022New">
        <w:r>
          <w:rPr>
            <w:rStyle w:val="Hyperlink"/>
          </w:rPr>
          <w:t xml:space="preserve">2022</w:t>
        </w:r>
      </w:hyperlink>
      <w:r>
        <w:t xml:space="preserve">)</w:t>
      </w:r>
      <w:r>
        <w:t xml:space="preserve"> </w:t>
      </w:r>
      <w:r>
        <w:t xml:space="preserve">distingue 3 presiones sobre los precios:</w:t>
      </w:r>
    </w:p>
    <w:p>
      <w:pPr>
        <w:numPr>
          <w:ilvl w:val="1"/>
          <w:numId w:val="1032"/>
        </w:numPr>
      </w:pPr>
      <w:r>
        <w:rPr>
          <w:b/>
          <w:bCs/>
          <w:i/>
          <w:iCs/>
        </w:rPr>
        <w:t xml:space="preserve">climateflation</w:t>
      </w:r>
      <w:r>
        <w:t xml:space="preserve">: el encarecimiento de la comida y de la energía que causan los fenómenos climáticos;</w:t>
      </w:r>
    </w:p>
    <w:p>
      <w:pPr>
        <w:numPr>
          <w:ilvl w:val="1"/>
          <w:numId w:val="1032"/>
        </w:numPr>
      </w:pPr>
      <w:r>
        <w:rPr>
          <w:b/>
          <w:bCs/>
          <w:i/>
          <w:iCs/>
        </w:rPr>
        <w:t xml:space="preserve">fossilflation</w:t>
      </w:r>
      <w:r>
        <w:t xml:space="preserve">: la que viene de depender de los combustibles fósiles, como en 2022</w:t>
      </w:r>
      <w:r>
        <w:t xml:space="preserve"> </w:t>
      </w:r>
      <w:r>
        <w:t xml:space="preserve">(</w:t>
      </w:r>
      <w:hyperlink w:anchor="ref_Schnabel2022New">
        <w:r>
          <w:rPr>
            <w:rStyle w:val="Hyperlink"/>
            <w:smallCaps/>
          </w:rPr>
          <w:t xml:space="preserve">Schnabel</w:t>
        </w:r>
        <w:r>
          <w:rPr>
            <w:rStyle w:val="Hyperlink"/>
          </w:rPr>
          <w:t xml:space="preserve">, 2022</w:t>
        </w:r>
      </w:hyperlink>
      <w:r>
        <w:t xml:space="preserve">)</w:t>
      </w:r>
      <w:r>
        <w:t xml:space="preserve">;</w:t>
      </w:r>
    </w:p>
    <w:p>
      <w:pPr>
        <w:numPr>
          <w:ilvl w:val="1"/>
          <w:numId w:val="1032"/>
        </w:numPr>
      </w:pPr>
      <w:r>
        <w:rPr>
          <w:b/>
          <w:bCs/>
          <w:i/>
          <w:iCs/>
        </w:rPr>
        <w:t xml:space="preserve">greenflation</w:t>
      </w:r>
      <w:r>
        <w:t xml:space="preserve">: la que provoca la propia transición, por la mayor demanda de metales y minerales con una oferta rígida y por el precio del carbono.</w:t>
      </w:r>
    </w:p>
    <w:bookmarkEnd w:id="50"/>
    <w:bookmarkStart w:id="51" w:name="sec_canal_financiero"/>
    <w:p>
      <w:pPr>
        <w:pStyle w:val="Heading3"/>
      </w:pPr>
      <w:r>
        <w:t xml:space="preserve">I.3.3.</w:t>
      </w:r>
      <w:r>
        <w:t xml:space="preserve"> </w:t>
      </w:r>
      <w:r>
        <w:t xml:space="preserve">Estabilidad financiera</w:t>
      </w:r>
    </w:p>
    <w:p>
      <w:pPr>
        <w:numPr>
          <w:ilvl w:val="0"/>
          <w:numId w:val="1033"/>
        </w:numPr>
      </w:pPr>
      <w:r>
        <w:t xml:space="preserve">Mark</w:t>
      </w:r>
      <w:r>
        <w:t xml:space="preserve"> </w:t>
      </w:r>
      <w:r>
        <w:rPr>
          <w:smallCaps/>
        </w:rPr>
        <w:t xml:space="preserve">Carney</w:t>
      </w:r>
      <w:r>
        <w:t xml:space="preserve"> </w:t>
      </w:r>
      <w:r>
        <w:t xml:space="preserve">(</w:t>
      </w:r>
      <w:hyperlink w:anchor="ref_Carney2015Breaking">
        <w:r>
          <w:rPr>
            <w:rStyle w:val="Hyperlink"/>
          </w:rPr>
          <w:t xml:space="preserve">2015</w:t>
        </w:r>
      </w:hyperlink>
      <w:r>
        <w:t xml:space="preserve">)</w:t>
      </w:r>
      <w:r>
        <w:t xml:space="preserve"> </w:t>
      </w:r>
      <w:r>
        <w:t xml:space="preserve">habló de la</w:t>
      </w:r>
      <w:r>
        <w:t xml:space="preserve"> </w:t>
      </w:r>
      <w:r>
        <w:rPr>
          <w:b/>
          <w:bCs/>
        </w:rPr>
        <w:t xml:space="preserve">tragedia del horizonte</w:t>
      </w:r>
      <w:r>
        <w:t xml:space="preserve">: los daños llegarán más allá del horizonte en que deciden los inversores, los supervisores y los políticos, y por eso hoy no se valoran bien.</w:t>
      </w:r>
    </w:p>
    <w:p>
      <w:pPr>
        <w:keepNext/>
        <w:numPr>
          <w:ilvl w:val="0"/>
          <w:numId w:val="1033"/>
        </w:numPr>
      </w:pPr>
      <w:r>
        <w:t xml:space="preserve">Los 2 riesgos llegan a los balances:</w:t>
      </w:r>
    </w:p>
    <w:p>
      <w:pPr>
        <w:numPr>
          <w:ilvl w:val="1"/>
          <w:numId w:val="1034"/>
        </w:numPr>
      </w:pPr>
      <w:r>
        <w:t xml:space="preserve">los físicos, por las pérdidas de las aseguradoras y los impagos de los prestatarios afectados;</w:t>
      </w:r>
    </w:p>
    <w:p>
      <w:pPr>
        <w:numPr>
          <w:ilvl w:val="1"/>
          <w:numId w:val="1034"/>
        </w:numPr>
      </w:pPr>
      <w:r>
        <w:t xml:space="preserve">los de transición, por la caída del valor de los activos intensivos en carbono.</w:t>
      </w:r>
    </w:p>
    <w:p>
      <w:pPr>
        <w:numPr>
          <w:ilvl w:val="0"/>
          <w:numId w:val="1000"/>
        </w:numPr>
      </w:pPr>
      <w:r>
        <w:t xml:space="preserve">Si se materializan de golpe, pueden ser sistémicos.</w:t>
      </w:r>
    </w:p>
    <w:p>
      <w:pPr>
        <w:numPr>
          <w:ilvl w:val="0"/>
          <w:numId w:val="1033"/>
        </w:numPr>
      </w:pPr>
      <w:r>
        <w:t xml:space="preserve">La respuesta: los bancos centrales y supervisores crearon en 2017 la NGFS, que publica escenarios climáticos, y el Banco Central Europeo (BCE) hizo en 2022 su primera prueba de resistencia climática a los bancos</w:t>
      </w:r>
      <w:r>
        <w:t xml:space="preserve"> </w:t>
      </w:r>
      <w:r>
        <w:t xml:space="preserve">(</w:t>
      </w:r>
      <w:hyperlink w:anchor="ref_BCE2022Stress">
        <w:r>
          <w:rPr>
            <w:rStyle w:val="Hyperlink"/>
            <w:smallCaps/>
          </w:rPr>
          <w:t xml:space="preserve">Banco Central Europeo</w:t>
        </w:r>
        <w:r>
          <w:rPr>
            <w:rStyle w:val="Hyperlink"/>
          </w:rPr>
          <w:t xml:space="preserve">, 2022</w:t>
        </w:r>
      </w:hyperlink>
      <w:r>
        <w:t xml:space="preserve">)</w:t>
      </w:r>
      <w:r>
        <w:t xml:space="preserve">.</w:t>
      </w:r>
    </w:p>
    <w:bookmarkEnd w:id="51"/>
    <w:bookmarkStart w:id="53" w:name="sec_canal_politicas"/>
    <w:p>
      <w:pPr>
        <w:pStyle w:val="Heading3"/>
      </w:pPr>
      <w:r>
        <w:t xml:space="preserve">I.3.4.</w:t>
      </w:r>
      <w:r>
        <w:t xml:space="preserve"> </w:t>
      </w:r>
      <w:r>
        <w:t xml:space="preserve">Eficacia de la política fiscal y monetaria</w:t>
      </w:r>
    </w:p>
    <w:p>
      <w:pPr>
        <w:numPr>
          <w:ilvl w:val="0"/>
          <w:numId w:val="1035"/>
        </w:numPr>
      </w:pPr>
      <w:r>
        <w:rPr>
          <w:i/>
          <w:iCs/>
        </w:rPr>
        <w:t xml:space="preserve">Fiscal</w:t>
      </w:r>
      <w:r>
        <w:t xml:space="preserve">: los desastres exigen gasto de emergencia y de reconstrucción, y la transición, inversión pública y subvenciones, con el riesgo de una carrera de subvenciones entre bloques como la que abrió en 2022 la Ley de Reducción de la Inflación de Estados Unidos</w:t>
      </w:r>
      <w:r>
        <w:t xml:space="preserve"> </w:t>
      </w:r>
      <w:r>
        <w:t xml:space="preserve">(</w:t>
      </w:r>
      <w:hyperlink w:anchor="ref_EEUU2022IRA">
        <w:r>
          <w:rPr>
            <w:rStyle w:val="Hyperlink"/>
            <w:smallCaps/>
          </w:rPr>
          <w:t xml:space="preserve">Congreso de los Estados Unidos</w:t>
        </w:r>
        <w:r>
          <w:rPr>
            <w:rStyle w:val="Hyperlink"/>
          </w:rPr>
          <w:t xml:space="preserve">, 2022</w:t>
        </w:r>
      </w:hyperlink>
      <w:r>
        <w:t xml:space="preserve">)</w:t>
      </w:r>
      <w:r>
        <w:t xml:space="preserve">; a cambio, el precio del carbono recauda</w:t>
      </w:r>
      <w:r>
        <w:t xml:space="preserve"> </w:t>
      </w:r>
      <w:hyperlink r:id="rId20">
        <w:r>
          <w:rPr>
            <w:rStyle w:val="Referenciaatema"/>
          </w:rPr>
          <w:t xml:space="preserve">[ver tema 4.B.13]</w:t>
        </w:r>
      </w:hyperlink>
      <w:r>
        <w:t xml:space="preserve">.</w:t>
      </w:r>
    </w:p>
    <w:p>
      <w:pPr>
        <w:numPr>
          <w:ilvl w:val="0"/>
          <w:numId w:val="1035"/>
        </w:numPr>
      </w:pPr>
      <w:r>
        <w:rPr>
          <w:i/>
          <w:iCs/>
        </w:rPr>
        <w:t xml:space="preserve">Monetaria</w:t>
      </w:r>
      <w:r>
        <w:t xml:space="preserve">: los choques de oferta más frecuentes complican la disyuntiva entre inflación y actividad; el clima puede mover el tipo de interés natural, por el ahorro por precaución y por la inversión que exige la transición</w:t>
      </w:r>
      <w:r>
        <w:t xml:space="preserve"> </w:t>
      </w:r>
      <w:hyperlink r:id="rId52">
        <w:r>
          <w:rPr>
            <w:rStyle w:val="Referenciaatema"/>
          </w:rPr>
          <w:t xml:space="preserve">[ver tema 3.A.40]</w:t>
        </w:r>
      </w:hyperlink>
      <w:r>
        <w:t xml:space="preserve">; y los bancos centrales discuten hasta dónde llega su mandato. El BCE incluyó el clima en su estrategia de 2021</w:t>
      </w:r>
      <w:r>
        <w:t xml:space="preserve"> </w:t>
      </w:r>
      <w:r>
        <w:t xml:space="preserve">(</w:t>
      </w:r>
      <w:hyperlink w:anchor="ref_BCE2021Clima">
        <w:r>
          <w:rPr>
            <w:rStyle w:val="Hyperlink"/>
            <w:smallCaps/>
          </w:rPr>
          <w:t xml:space="preserve">Banco Central Europeo</w:t>
        </w:r>
        <w:r>
          <w:rPr>
            <w:rStyle w:val="Hyperlink"/>
          </w:rPr>
          <w:t xml:space="preserve">, 2021</w:t>
        </w:r>
      </w:hyperlink>
      <w:r>
        <w:t xml:space="preserve">)</w:t>
      </w:r>
      <w:r>
        <w:t xml:space="preserve">.</w:t>
      </w:r>
    </w:p>
    <w:bookmarkEnd w:id="53"/>
    <w:bookmarkStart w:id="55" w:name="sec_canal_desigualdad"/>
    <w:p>
      <w:pPr>
        <w:pStyle w:val="Heading3"/>
      </w:pPr>
      <w:r>
        <w:t xml:space="preserve">I.3.5.</w:t>
      </w:r>
      <w:r>
        <w:t xml:space="preserve"> </w:t>
      </w:r>
      <w:r>
        <w:t xml:space="preserve">Desigualdad</w:t>
      </w:r>
    </w:p>
    <w:p>
      <w:pPr>
        <w:numPr>
          <w:ilvl w:val="0"/>
          <w:numId w:val="1036"/>
        </w:numPr>
      </w:pPr>
      <w:r>
        <w:rPr>
          <w:i/>
          <w:iCs/>
        </w:rPr>
        <w:t xml:space="preserve">Entre países</w:t>
      </w:r>
      <w:r>
        <w:t xml:space="preserve">: los países pobres son más cálidos, más agrícolas y tienen menos medios para adaptarse, así que pierden más</w:t>
      </w:r>
      <w:r>
        <w:t xml:space="preserve"> </w:t>
      </w:r>
      <w:r>
        <w:t xml:space="preserve">(</w:t>
      </w:r>
      <w:hyperlink w:anchor="ref_BurkeHsiangMiguel2015Global">
        <w:r>
          <w:rPr>
            <w:rStyle w:val="Hyperlink"/>
            <w:smallCaps/>
          </w:rPr>
          <w:t xml:space="preserve">Burke</w:t>
        </w:r>
        <w:r>
          <w:rPr>
            <w:rStyle w:val="Hyperlink"/>
          </w:rPr>
          <w:t xml:space="preserve">,</w:t>
        </w:r>
        <w:r>
          <w:rPr>
            <w:rStyle w:val="Hyperlink"/>
          </w:rPr>
          <w:t xml:space="preserve"> </w:t>
        </w:r>
        <w:r>
          <w:rPr>
            <w:rStyle w:val="Hyperlink"/>
            <w:smallCaps/>
          </w:rPr>
          <w:t xml:space="preserve">Hsiang</w:t>
        </w:r>
        <w:r>
          <w:rPr>
            <w:rStyle w:val="Hyperlink"/>
          </w:rPr>
          <w:t xml:space="preserve"> </w:t>
        </w:r>
        <w:r>
          <w:rPr>
            <w:rStyle w:val="Hyperlink"/>
          </w:rPr>
          <w:t xml:space="preserve">y</w:t>
        </w:r>
        <w:r>
          <w:rPr>
            <w:rStyle w:val="Hyperlink"/>
          </w:rPr>
          <w:t xml:space="preserve"> </w:t>
        </w:r>
        <w:r>
          <w:rPr>
            <w:rStyle w:val="Hyperlink"/>
            <w:smallCaps/>
          </w:rPr>
          <w:t xml:space="preserve">Miguel</w:t>
        </w:r>
        <w:r>
          <w:rPr>
            <w:rStyle w:val="Hyperlink"/>
          </w:rPr>
          <w:t xml:space="preserve">, 2015</w:t>
        </w:r>
      </w:hyperlink>
      <w:r>
        <w:t xml:space="preserve">)</w:t>
      </w:r>
      <w:r>
        <w:t xml:space="preserve"> </w:t>
      </w:r>
      <w:hyperlink r:id="rId54">
        <w:r>
          <w:rPr>
            <w:rStyle w:val="Referenciaatema"/>
          </w:rPr>
          <w:t xml:space="preserve">[ver tema 3.B.28]</w:t>
        </w:r>
      </w:hyperlink>
      <w:r>
        <w:t xml:space="preserve">. Y han emitido menos: el 10 % de la población mundial que más emite produce casi la mitad de las emisiones</w:t>
      </w:r>
      <w:r>
        <w:t xml:space="preserve"> </w:t>
      </w:r>
      <w:r>
        <w:t xml:space="preserve">(</w:t>
      </w:r>
      <w:hyperlink w:anchor="ref_Chancel2022Global">
        <w:r>
          <w:rPr>
            <w:rStyle w:val="Hyperlink"/>
            <w:smallCaps/>
          </w:rPr>
          <w:t xml:space="preserve">Chancel</w:t>
        </w:r>
        <w:r>
          <w:rPr>
            <w:rStyle w:val="Hyperlink"/>
          </w:rPr>
          <w:t xml:space="preserve">, 2022</w:t>
        </w:r>
      </w:hyperlink>
      <w:r>
        <w:t xml:space="preserve">)</w:t>
      </w:r>
      <w:r>
        <w:t xml:space="preserve">.</w:t>
      </w:r>
    </w:p>
    <w:p>
      <w:pPr>
        <w:numPr>
          <w:ilvl w:val="0"/>
          <w:numId w:val="1036"/>
        </w:numPr>
      </w:pPr>
      <w:r>
        <w:rPr>
          <w:i/>
          <w:iCs/>
        </w:rPr>
        <w:t xml:space="preserve">Dentro de cada país</w:t>
      </w:r>
      <w:r>
        <w:t xml:space="preserve">: el precio del carbono es regresivo si no se compensa, porque los hogares pobres gastan en energía una parte mayor de su renta; las protestas de los «chalecos amarillos» contra la subida de los carburantes en Francia (2018) lo mostraron</w:t>
      </w:r>
      <w:r>
        <w:t xml:space="preserve"> </w:t>
      </w:r>
      <w:r>
        <w:t xml:space="preserve">(</w:t>
      </w:r>
      <w:hyperlink w:anchor="ref_DouenneFabre2022Yellow">
        <w:r>
          <w:rPr>
            <w:rStyle w:val="Hyperlink"/>
            <w:smallCaps/>
          </w:rPr>
          <w:t xml:space="preserve">Douenne</w:t>
        </w:r>
        <w:r>
          <w:rPr>
            <w:rStyle w:val="Hyperlink"/>
          </w:rPr>
          <w:t xml:space="preserve"> </w:t>
        </w:r>
        <w:r>
          <w:rPr>
            <w:rStyle w:val="Hyperlink"/>
          </w:rPr>
          <w:t xml:space="preserve">y</w:t>
        </w:r>
        <w:r>
          <w:rPr>
            <w:rStyle w:val="Hyperlink"/>
          </w:rPr>
          <w:t xml:space="preserve"> </w:t>
        </w:r>
        <w:r>
          <w:rPr>
            <w:rStyle w:val="Hyperlink"/>
            <w:smallCaps/>
          </w:rPr>
          <w:t xml:space="preserve">Fabre</w:t>
        </w:r>
        <w:r>
          <w:rPr>
            <w:rStyle w:val="Hyperlink"/>
          </w:rPr>
          <w:t xml:space="preserve">, 2022</w:t>
        </w:r>
      </w:hyperlink>
      <w:r>
        <w:t xml:space="preserve">)</w:t>
      </w:r>
      <w:r>
        <w:t xml:space="preserve">. De ahí los fondos de transición justa y el Fondo Social para el Clima de la UE (apartado </w:t>
      </w:r>
      <w:hyperlink w:anchor="sec_medidas">
        <w:r>
          <w:rPr>
            <w:rStyle w:val="Hyperlink"/>
          </w:rPr>
          <w:t xml:space="preserve">III.4</w:t>
        </w:r>
      </w:hyperlink>
      <w:r>
        <w:t xml:space="preserve">).</w:t>
      </w:r>
    </w:p>
    <w:p>
      <w:pPr>
        <w:numPr>
          <w:ilvl w:val="0"/>
          <w:numId w:val="1036"/>
        </w:numPr>
      </w:pPr>
      <w:r>
        <w:rPr>
          <w:i/>
          <w:iCs/>
        </w:rPr>
        <w:t xml:space="preserve">España</w:t>
      </w:r>
      <w:r>
        <w:t xml:space="preserve">: por su clima y su geografía, el sur de Europa es la zona europea más expuesta al calor, la sequía y los incendios</w:t>
      </w:r>
      <w:r>
        <w:t xml:space="preserve"> </w:t>
      </w:r>
      <w:r>
        <w:t xml:space="preserve">(</w:t>
      </w:r>
      <w:hyperlink w:anchor="ref_EEA2024European">
        <w:r>
          <w:rPr>
            <w:rStyle w:val="Hyperlink"/>
            <w:smallCaps/>
          </w:rPr>
          <w:t xml:space="preserve">Agencia Europea de Medio Ambiente</w:t>
        </w:r>
        <w:r>
          <w:rPr>
            <w:rStyle w:val="Hyperlink"/>
          </w:rPr>
          <w:t xml:space="preserve">, 2024</w:t>
        </w:r>
      </w:hyperlink>
      <w:r>
        <w:t xml:space="preserve">)</w:t>
      </w:r>
      <w:r>
        <w:t xml:space="preserve">; el Plan Nacional de Adaptación al Cambio Climático 2021-2030 recoge los riesgos y las medidas</w:t>
      </w:r>
      <w:r>
        <w:t xml:space="preserve"> </w:t>
      </w:r>
      <w:r>
        <w:t xml:space="preserve">(</w:t>
      </w:r>
      <w:hyperlink w:anchor="ref_MITECO2020PNACC">
        <w:r>
          <w:rPr>
            <w:rStyle w:val="Hyperlink"/>
            <w:smallCaps/>
          </w:rPr>
          <w:t xml:space="preserve">Ministerio para la Transición Ecológica y el Reto Demográfico</w:t>
        </w:r>
        <w:r>
          <w:rPr>
            <w:rStyle w:val="Hyperlink"/>
          </w:rPr>
          <w:t xml:space="preserve">, 2020</w:t>
        </w:r>
      </w:hyperlink>
      <w:r>
        <w:t xml:space="preserve">)</w:t>
      </w:r>
      <w:r>
        <w:t xml:space="preserve"> </w:t>
      </w:r>
      <w:hyperlink r:id="rId23">
        <w:r>
          <w:rPr>
            <w:rStyle w:val="Referenciaatema"/>
          </w:rPr>
          <w:t xml:space="preserve">[ver tema 4.A.6]</w:t>
        </w:r>
      </w:hyperlink>
      <w:r>
        <w:t xml:space="preserve">.</w:t>
      </w:r>
    </w:p>
    <w:p>
      <w:pPr>
        <w:keepNext/>
        <w:numPr>
          <w:ilvl w:val="0"/>
          <w:numId w:val="1037"/>
        </w:numPr>
      </w:pPr>
      <w:r>
        <w:rPr>
          <w:i/>
          <w:iCs/>
        </w:rPr>
        <w:t xml:space="preserve">Recapitulación</w:t>
      </w:r>
      <w:r>
        <w:t xml:space="preserve">: el cambio climático es una externalidad singular, global, entre generaciones, acumulativa, incierta y desigual, que afecta a casi todo lo que estudia la macroeconomía.</w:t>
      </w:r>
    </w:p>
    <w:p>
      <w:pPr>
        <w:numPr>
          <w:ilvl w:val="1"/>
          <w:numId w:val="1038"/>
        </w:numPr>
      </w:pPr>
      <w:r>
        <w:t xml:space="preserve">Volvamos a la acería. Su tonelada no solo calienta: puede encarecer los alimentos dentro de unos años, restar valor a los hornos de carbón de la propia acería cuando llegue un precio del carbono y pesar más sobre un agricultor del Sahel que sobre un ahorrador europeo.</w:t>
      </w:r>
    </w:p>
    <w:p>
      <w:pPr>
        <w:numPr>
          <w:ilvl w:val="0"/>
          <w:numId w:val="1037"/>
        </w:numPr>
      </w:pPr>
      <w:r>
        <w:t xml:space="preserve">Pero, ¿cuánto pesa todo esto? Para responder hay que medir. Una vez estudiados el fenómeno y sus canales, pasamos a analizar qué dice la evidencia y cómo se traduce en los modelos que guían la política.</w:t>
      </w:r>
    </w:p>
    <w:bookmarkEnd w:id="55"/>
    <w:bookmarkEnd w:id="56"/>
    <w:bookmarkEnd w:id="57"/>
    <w:bookmarkStart w:id="95" w:name="sec_evidencia_mie"/>
    <w:p>
      <w:pPr>
        <w:pStyle w:val="Heading1"/>
      </w:pPr>
      <w:r>
        <w:t xml:space="preserve">II.</w:t>
      </w:r>
      <w:r>
        <w:t xml:space="preserve"> </w:t>
      </w:r>
      <w:r>
        <w:t xml:space="preserve">Evidencia y modelos integrados de evaluación</w:t>
      </w:r>
      <w:r>
        <w:t xml:space="preserve"> </w:t>
      </w:r>
      <w:r>
        <w:rPr>
          <w:rStyle w:val="Minutos"/>
        </w:rPr>
        <w:t xml:space="preserve">9′</w:t>
      </w:r>
    </w:p>
    <w:p>
      <w:pPr>
        <w:pStyle w:val="Notaalopositor"/>
        <w:keepLines/>
      </w:pPr>
      <w:r>
        <w:rPr>
          <w:b/>
          <w:bCs/>
        </w:rPr>
        <w:t xml:space="preserve">Nota al opositor. </w:t>
      </w:r>
      <w:r>
        <w:t xml:space="preserve">En el cante: la evidencia ordenada por método, con la U invertida dibujada en unos segundos (2′30″); la definición del coste social del carbono con su fórmula y las 2 familias de modelos, de palabra (1′30″); el DICE con el esquema por capas, su problema de optimización como función clave, la condición del óptimo dicha con el gráfico de las emisiones óptimas y la fórmula de</w:t>
      </w:r>
      <w:r>
        <w:t xml:space="preserve"> </w:t>
      </w:r>
      <w:r>
        <w:rPr>
          <w:smallCaps/>
        </w:rPr>
        <w:t xml:space="preserve">Ramsey</w:t>
      </w:r>
      <w:r>
        <w:t xml:space="preserve"> </w:t>
      </w:r>
      <w:r>
        <w:t xml:space="preserve">del descuento con las calibraciones de</w:t>
      </w:r>
      <w:r>
        <w:t xml:space="preserve"> </w:t>
      </w:r>
      <w:r>
        <w:rPr>
          <w:smallCaps/>
        </w:rPr>
        <w:t xml:space="preserve">Stern</w:t>
      </w:r>
      <w:r>
        <w:t xml:space="preserve"> </w:t>
      </w:r>
      <w:r>
        <w:t xml:space="preserve">y</w:t>
      </w:r>
      <w:r>
        <w:t xml:space="preserve"> </w:t>
      </w:r>
      <w:r>
        <w:rPr>
          <w:smallCaps/>
        </w:rPr>
        <w:t xml:space="preserve">Nordhaus</w:t>
      </w:r>
      <w:r>
        <w:t xml:space="preserve"> </w:t>
      </w:r>
      <w:r>
        <w:t xml:space="preserve">(5′). El problema del DICE y</w:t>
      </w:r>
      <w:r>
        <w:t xml:space="preserve"> </w:t>
      </w:r>
      <m:oMath>
        <m:sSub>
          <m:e>
            <m:r>
              <m:t>r</m:t>
            </m:r>
          </m:e>
          <m:sub>
            <m:r>
              <m:t>s</m:t>
            </m:r>
          </m:sub>
        </m:sSub>
        <m:r>
          <m:rPr>
            <m:sty m:val="p"/>
          </m:rPr>
          <m:t>=</m:t>
        </m:r>
        <m:r>
          <m:t>ρ</m:t>
        </m:r>
        <m:r>
          <m:rPr>
            <m:sty m:val="p"/>
          </m:rPr>
          <m:t>+</m:t>
        </m:r>
        <m:r>
          <m:t>θ</m:t>
        </m:r>
        <m:sSub>
          <m:e>
            <m:r>
              <m:t>γ</m:t>
            </m:r>
          </m:e>
          <m:sub>
            <m:r>
              <m:t>c</m:t>
            </m:r>
          </m:sub>
        </m:sSub>
      </m:oMath>
      <w:r>
        <w:t xml:space="preserve"> </w:t>
      </w:r>
      <w:r>
        <w:t xml:space="preserve">se quedan en una esquina de la pizarra hasta la conclusión. La tabla del descuento y las cajas grises son de apoyo; las ecuaciones del módulo climático y los resultados completos, en el anexo </w:t>
      </w:r>
      <w:hyperlink w:anchor="anexo_dice">
        <w:r>
          <w:rPr>
            <w:rStyle w:val="Hyperlink"/>
          </w:rPr>
          <w:t xml:space="preserve">A</w:t>
        </w:r>
      </w:hyperlink>
      <w:r>
        <w:t xml:space="preserve">.</w:t>
      </w:r>
    </w:p>
    <w:p>
      <w:pPr>
        <w:numPr>
          <w:ilvl w:val="0"/>
          <w:numId w:val="1039"/>
        </w:numPr>
      </w:pPr>
      <w:r>
        <w:t xml:space="preserve">Para decidir cuánto reducir hay que comparar lo que cuesta reducir con el daño que se evita. El daño se mide con la evidencia empírica y se proyecta con los modelos integrados de evaluación, que juntan economía y clima en un solo marco. La evidencia</w:t>
      </w:r>
      <w:r>
        <w:t xml:space="preserve"> </w:t>
      </w:r>
      <w:r>
        <w:rPr>
          <w:i/>
          <w:iCs/>
        </w:rPr>
        <w:t xml:space="preserve">física</w:t>
      </w:r>
      <w:r>
        <w:t xml:space="preserve"> </w:t>
      </w:r>
      <w:r>
        <w:t xml:space="preserve">la hemos visto en el apartado </w:t>
      </w:r>
      <w:hyperlink w:anchor="sec_fenomeno">
        <w:r>
          <w:rPr>
            <w:rStyle w:val="Hyperlink"/>
          </w:rPr>
          <w:t xml:space="preserve">I.1</w:t>
        </w:r>
      </w:hyperlink>
      <w:r>
        <w:t xml:space="preserve">; aquí, la</w:t>
      </w:r>
      <w:r>
        <w:t xml:space="preserve"> </w:t>
      </w:r>
      <w:r>
        <w:rPr>
          <w:i/>
          <w:iCs/>
        </w:rPr>
        <w:t xml:space="preserve">económica</w:t>
      </w:r>
      <w:r>
        <w:t xml:space="preserve">.</w:t>
      </w:r>
    </w:p>
    <w:p>
      <w:pPr>
        <w:numPr>
          <w:ilvl w:val="0"/>
          <w:numId w:val="1039"/>
        </w:numPr>
      </w:pPr>
      <w:r>
        <w:rPr>
          <w:i/>
          <w:iCs/>
        </w:rPr>
        <w:t xml:space="preserve">Conclusión anticipada</w:t>
      </w:r>
      <w:r>
        <w:t xml:space="preserve">: la evidencia reciente apunta a daños mayores de lo que se creía, y los modelos dan un coste social del carbono positivo y creciente, pero muy sensible a 2 juicios: la tasa de descuento y el trato de las catástrofes.</w:t>
      </w:r>
    </w:p>
    <w:bookmarkStart w:id="67" w:name="sec_evidencia"/>
    <w:p>
      <w:pPr>
        <w:pStyle w:val="Heading2"/>
      </w:pPr>
      <w:r>
        <w:t xml:space="preserve">II.1.</w:t>
      </w:r>
      <w:r>
        <w:t xml:space="preserve"> </w:t>
      </w:r>
      <w:r>
        <w:t xml:space="preserve">Evidencia empírica del impacto económico</w:t>
      </w:r>
    </w:p>
    <w:bookmarkStart w:id="58" w:name="corte_transversal_pa__ses_c__lidos_29227"/>
    <w:p>
      <w:pPr>
        <w:pStyle w:val="Heading4"/>
      </w:pPr>
      <w:r>
        <w:t xml:space="preserve">Corte transversal: países cálidos, países pobres</w:t>
      </w:r>
    </w:p>
    <w:p>
      <w:pPr>
        <w:keepNext/>
        <w:numPr>
          <w:ilvl w:val="0"/>
          <w:numId w:val="1040"/>
        </w:numPr>
      </w:pPr>
      <w:r>
        <w:t xml:space="preserve">Los países más cálidos son, de media, más pobres:</w:t>
      </w:r>
    </w:p>
    <w:p>
      <w:pPr>
        <w:numPr>
          <w:ilvl w:val="1"/>
          <w:numId w:val="1041"/>
        </w:numPr>
      </w:pPr>
      <w:r>
        <w:t xml:space="preserve">entre países, la renta nacional es un 8,5 % menor por cada grado más de temperatura media</w:t>
      </w:r>
      <w:r>
        <w:t xml:space="preserve"> </w:t>
      </w:r>
      <w:r>
        <w:t xml:space="preserve">(</w:t>
      </w:r>
      <w:hyperlink w:anchor="ref_DellJonesOlken2009Temperature">
        <w:r>
          <w:rPr>
            <w:rStyle w:val="Hyperlink"/>
            <w:smallCaps/>
          </w:rPr>
          <w:t xml:space="preserve">Dell</w:t>
        </w:r>
        <w:r>
          <w:rPr>
            <w:rStyle w:val="Hyperlink"/>
          </w:rPr>
          <w:t xml:space="preserve">,</w:t>
        </w:r>
        <w:r>
          <w:rPr>
            <w:rStyle w:val="Hyperlink"/>
          </w:rPr>
          <w:t xml:space="preserve"> </w:t>
        </w:r>
        <w:r>
          <w:rPr>
            <w:rStyle w:val="Hyperlink"/>
            <w:smallCaps/>
          </w:rPr>
          <w:t xml:space="preserve">Jones</w:t>
        </w:r>
        <w:r>
          <w:rPr>
            <w:rStyle w:val="Hyperlink"/>
          </w:rPr>
          <w:t xml:space="preserve"> </w:t>
        </w:r>
        <w:r>
          <w:rPr>
            <w:rStyle w:val="Hyperlink"/>
          </w:rPr>
          <w:t xml:space="preserve">y</w:t>
        </w:r>
        <w:r>
          <w:rPr>
            <w:rStyle w:val="Hyperlink"/>
          </w:rPr>
          <w:t xml:space="preserve"> </w:t>
        </w:r>
        <w:r>
          <w:rPr>
            <w:rStyle w:val="Hyperlink"/>
            <w:smallCaps/>
          </w:rPr>
          <w:t xml:space="preserve">Olken</w:t>
        </w:r>
        <w:r>
          <w:rPr>
            <w:rStyle w:val="Hyperlink"/>
          </w:rPr>
          <w:t xml:space="preserve">, 2009</w:t>
        </w:r>
      </w:hyperlink>
      <w:r>
        <w:t xml:space="preserve">)</w:t>
      </w:r>
      <w:r>
        <w:t xml:space="preserve">;</w:t>
      </w:r>
    </w:p>
    <w:p>
      <w:pPr>
        <w:numPr>
          <w:ilvl w:val="1"/>
          <w:numId w:val="1041"/>
        </w:numPr>
      </w:pPr>
      <w:r>
        <w:t xml:space="preserve">la geografía (temperatura, lluvia, distancia al mar) explica en torno a un 20 % de la diferencia de producto por habitante entre el África tropical y las regiones industriales</w:t>
      </w:r>
      <w:r>
        <w:t xml:space="preserve"> </w:t>
      </w:r>
      <w:r>
        <w:t xml:space="preserve">(</w:t>
      </w:r>
      <w:hyperlink w:anchor="ref_Nordhaus2006Geography">
        <w:r>
          <w:rPr>
            <w:rStyle w:val="Hyperlink"/>
          </w:rPr>
          <w:t xml:space="preserve">W. D.</w:t>
        </w:r>
        <w:r>
          <w:rPr>
            <w:rStyle w:val="Hyperlink"/>
          </w:rPr>
          <w:t xml:space="preserve"> </w:t>
        </w:r>
        <w:r>
          <w:rPr>
            <w:rStyle w:val="Hyperlink"/>
            <w:smallCaps/>
          </w:rPr>
          <w:t xml:space="preserve">Nordhaus</w:t>
        </w:r>
        <w:r>
          <w:rPr>
            <w:rStyle w:val="Hyperlink"/>
          </w:rPr>
          <w:t xml:space="preserve">, 2006</w:t>
        </w:r>
      </w:hyperlink>
      <w:r>
        <w:t xml:space="preserve">)</w:t>
      </w:r>
      <w:r>
        <w:t xml:space="preserve">.</w:t>
      </w:r>
    </w:p>
    <w:p>
      <w:pPr>
        <w:numPr>
          <w:ilvl w:val="0"/>
          <w:numId w:val="1040"/>
        </w:numPr>
      </w:pPr>
      <w:r>
        <w:rPr>
          <w:i/>
          <w:iCs/>
        </w:rPr>
        <w:t xml:space="preserve">Problema</w:t>
      </w:r>
      <w:r>
        <w:t xml:space="preserve">: correlación no es causalidad. El clima va de la mano de las instituciones, de la historia colonial o de las enfermedades, y dentro de cada país la relación entre temperatura y renta es mucho más débil</w:t>
      </w:r>
      <w:r>
        <w:t xml:space="preserve"> </w:t>
      </w:r>
      <w:r>
        <w:t xml:space="preserve">(</w:t>
      </w:r>
      <w:hyperlink w:anchor="ref_DellJonesOlken2009Temperature">
        <w:r>
          <w:rPr>
            <w:rStyle w:val="Hyperlink"/>
            <w:smallCaps/>
          </w:rPr>
          <w:t xml:space="preserve">Dell</w:t>
        </w:r>
        <w:r>
          <w:rPr>
            <w:rStyle w:val="Hyperlink"/>
          </w:rPr>
          <w:t xml:space="preserve">,</w:t>
        </w:r>
        <w:r>
          <w:rPr>
            <w:rStyle w:val="Hyperlink"/>
          </w:rPr>
          <w:t xml:space="preserve"> </w:t>
        </w:r>
        <w:r>
          <w:rPr>
            <w:rStyle w:val="Hyperlink"/>
            <w:smallCaps/>
          </w:rPr>
          <w:t xml:space="preserve">Jones</w:t>
        </w:r>
        <w:r>
          <w:rPr>
            <w:rStyle w:val="Hyperlink"/>
          </w:rPr>
          <w:t xml:space="preserve"> </w:t>
        </w:r>
        <w:r>
          <w:rPr>
            <w:rStyle w:val="Hyperlink"/>
          </w:rPr>
          <w:t xml:space="preserve">y</w:t>
        </w:r>
        <w:r>
          <w:rPr>
            <w:rStyle w:val="Hyperlink"/>
          </w:rPr>
          <w:t xml:space="preserve"> </w:t>
        </w:r>
        <w:r>
          <w:rPr>
            <w:rStyle w:val="Hyperlink"/>
            <w:smallCaps/>
          </w:rPr>
          <w:t xml:space="preserve">Olken</w:t>
        </w:r>
        <w:r>
          <w:rPr>
            <w:rStyle w:val="Hyperlink"/>
          </w:rPr>
          <w:t xml:space="preserve">, 2009</w:t>
        </w:r>
      </w:hyperlink>
      <w:r>
        <w:t xml:space="preserve">)</w:t>
      </w:r>
      <w:r>
        <w:t xml:space="preserve">.</w:t>
      </w:r>
    </w:p>
    <w:bookmarkEnd w:id="58"/>
    <w:bookmarkStart w:id="64" w:name="datos_de_panel_el_tiempo_de_cada_a_30647"/>
    <w:p>
      <w:pPr>
        <w:pStyle w:val="Heading4"/>
      </w:pPr>
      <w:r>
        <w:t xml:space="preserve">Datos de panel: el tiempo de cada año como experimento natural</w:t>
      </w:r>
    </w:p>
    <w:p>
      <w:pPr>
        <w:numPr>
          <w:ilvl w:val="0"/>
          <w:numId w:val="1042"/>
        </w:numPr>
      </w:pPr>
      <w:r>
        <w:t xml:space="preserve">La</w:t>
      </w:r>
      <w:r>
        <w:t xml:space="preserve"> </w:t>
      </w:r>
      <w:r>
        <w:rPr>
          <w:b/>
          <w:bCs/>
        </w:rPr>
        <w:t xml:space="preserve">econometría del clima</w:t>
      </w:r>
      <w:r>
        <w:t xml:space="preserve"> </w:t>
      </w:r>
      <w:r>
        <w:t xml:space="preserve">compara a cada país consigo mismo en años más cálidos y más fríos de lo normal, con efectos fijos de país y de año. Como las desviaciones del tiempo meteorológico son aleatorias, permiten identificar efectos causales</w:t>
      </w:r>
      <w:r>
        <w:t xml:space="preserve"> </w:t>
      </w:r>
      <w:r>
        <w:t xml:space="preserve">(</w:t>
      </w:r>
      <w:hyperlink w:anchor="ref_DellJonesOlken2014Weather">
        <w:r>
          <w:rPr>
            <w:rStyle w:val="Hyperlink"/>
            <w:smallCaps/>
          </w:rPr>
          <w:t xml:space="preserve">Dell</w:t>
        </w:r>
        <w:r>
          <w:rPr>
            <w:rStyle w:val="Hyperlink"/>
          </w:rPr>
          <w:t xml:space="preserve">,</w:t>
        </w:r>
        <w:r>
          <w:rPr>
            <w:rStyle w:val="Hyperlink"/>
          </w:rPr>
          <w:t xml:space="preserve"> </w:t>
        </w:r>
        <w:r>
          <w:rPr>
            <w:rStyle w:val="Hyperlink"/>
            <w:smallCaps/>
          </w:rPr>
          <w:t xml:space="preserve">Jones</w:t>
        </w:r>
        <w:r>
          <w:rPr>
            <w:rStyle w:val="Hyperlink"/>
          </w:rPr>
          <w:t xml:space="preserve"> </w:t>
        </w:r>
        <w:r>
          <w:rPr>
            <w:rStyle w:val="Hyperlink"/>
          </w:rPr>
          <w:t xml:space="preserve">y</w:t>
        </w:r>
        <w:r>
          <w:rPr>
            <w:rStyle w:val="Hyperlink"/>
          </w:rPr>
          <w:t xml:space="preserve"> </w:t>
        </w:r>
        <w:r>
          <w:rPr>
            <w:rStyle w:val="Hyperlink"/>
            <w:smallCaps/>
          </w:rPr>
          <w:t xml:space="preserve">Olken</w:t>
        </w:r>
        <w:r>
          <w:rPr>
            <w:rStyle w:val="Hyperlink"/>
          </w:rPr>
          <w:t xml:space="preserve">, 2014</w:t>
        </w:r>
      </w:hyperlink>
      <w:r>
        <w:t xml:space="preserve">;</w:t>
      </w:r>
      <w:r>
        <w:t xml:space="preserve"> </w:t>
      </w:r>
      <w:hyperlink w:anchor="ref_Hsiang2016Climate">
        <w:r>
          <w:rPr>
            <w:rStyle w:val="Hyperlink"/>
            <w:smallCaps/>
          </w:rPr>
          <w:t xml:space="preserve">Hsiang</w:t>
        </w:r>
        <w:r>
          <w:rPr>
            <w:rStyle w:val="Hyperlink"/>
          </w:rPr>
          <w:t xml:space="preserve">, 2016</w:t>
        </w:r>
      </w:hyperlink>
      <w:r>
        <w:t xml:space="preserve">)</w:t>
      </w:r>
      <w:r>
        <w:t xml:space="preserve">.</w:t>
      </w:r>
    </w:p>
    <w:p>
      <w:pPr>
        <w:numPr>
          <w:ilvl w:val="0"/>
          <w:numId w:val="1042"/>
        </w:numPr>
      </w:pPr>
      <w:r>
        <w:rPr>
          <w:smallCaps/>
        </w:rPr>
        <w:t xml:space="preserve">Dell</w:t>
      </w:r>
      <w:r>
        <w:t xml:space="preserve">,</w:t>
      </w:r>
      <w:r>
        <w:t xml:space="preserve"> </w:t>
      </w:r>
      <w:r>
        <w:rPr>
          <w:smallCaps/>
        </w:rPr>
        <w:t xml:space="preserve">Jones</w:t>
      </w:r>
      <w:r>
        <w:t xml:space="preserve"> </w:t>
      </w:r>
      <w:r>
        <w:t xml:space="preserve">y</w:t>
      </w:r>
      <w:r>
        <w:t xml:space="preserve"> </w:t>
      </w:r>
      <w:r>
        <w:rPr>
          <w:smallCaps/>
        </w:rPr>
        <w:t xml:space="preserve">Olken</w:t>
      </w:r>
      <w:r>
        <w:t xml:space="preserve"> </w:t>
      </w:r>
      <w:r>
        <w:t xml:space="preserve">(</w:t>
      </w:r>
      <w:hyperlink w:anchor="ref_DellJonesOlken2012Temperature">
        <w:r>
          <w:rPr>
            <w:rStyle w:val="Hyperlink"/>
          </w:rPr>
          <w:t xml:space="preserve">2012</w:t>
        </w:r>
      </w:hyperlink>
      <w:r>
        <w:t xml:space="preserve">)</w:t>
      </w:r>
      <w:r>
        <w:t xml:space="preserve">: en los países pobres, un año 1 °C más cálido reduce el crecimiento de ese año en unos 1,3 puntos porcentuales; en los ricos no hay un efecto claro. El efecto llega por la agricultura, pero también por la industria y la inestabilidad política, y es sobre el</w:t>
      </w:r>
      <w:r>
        <w:t xml:space="preserve"> </w:t>
      </w:r>
      <w:r>
        <w:rPr>
          <w:i/>
          <w:iCs/>
        </w:rPr>
        <w:t xml:space="preserve">crecimiento</w:t>
      </w:r>
      <w:r>
        <w:t xml:space="preserve">, no solo sobre el nivel.</w:t>
      </w:r>
    </w:p>
    <w:p>
      <w:pPr>
        <w:keepNext/>
        <w:numPr>
          <w:ilvl w:val="0"/>
          <w:numId w:val="1042"/>
        </w:numPr>
      </w:pPr>
      <w:r>
        <w:rPr>
          <w:smallCaps/>
        </w:rPr>
        <w:t xml:space="preserve">Burke</w:t>
      </w:r>
      <w:r>
        <w:t xml:space="preserve">,</w:t>
      </w:r>
      <w:r>
        <w:t xml:space="preserve"> </w:t>
      </w:r>
      <w:r>
        <w:rPr>
          <w:smallCaps/>
        </w:rPr>
        <w:t xml:space="preserve">Hsiang</w:t>
      </w:r>
      <w:r>
        <w:t xml:space="preserve"> </w:t>
      </w:r>
      <w:r>
        <w:t xml:space="preserve">y</w:t>
      </w:r>
      <w:r>
        <w:t xml:space="preserve"> </w:t>
      </w:r>
      <w:r>
        <w:rPr>
          <w:smallCaps/>
        </w:rPr>
        <w:t xml:space="preserve">Miguel</w:t>
      </w:r>
      <w:r>
        <w:t xml:space="preserve"> </w:t>
      </w:r>
      <w:r>
        <w:t xml:space="preserve">(</w:t>
      </w:r>
      <w:hyperlink w:anchor="ref_BurkeHsiangMiguel2015Global">
        <w:r>
          <w:rPr>
            <w:rStyle w:val="Hyperlink"/>
          </w:rPr>
          <w:t xml:space="preserve">2015</w:t>
        </w:r>
      </w:hyperlink>
      <w:r>
        <w:t xml:space="preserve">)</w:t>
      </w:r>
      <w:r>
        <w:t xml:space="preserve">: la relación es</w:t>
      </w:r>
      <w:r>
        <w:t xml:space="preserve"> </w:t>
      </w:r>
      <w:r>
        <w:rPr>
          <w:i/>
          <w:iCs/>
        </w:rPr>
        <w:t xml:space="preserve">no lineal</w:t>
      </w:r>
      <w:r>
        <w:t xml:space="preserve"> </w:t>
      </w:r>
      <w:r>
        <w:t xml:space="preserve">y es la misma para ricos y pobres (gráfico </w:t>
      </w:r>
      <w:hyperlink w:anchor="fig_temperatura_productividad">
        <w:r>
          <w:rPr>
            <w:rStyle w:val="Hyperlink"/>
          </w:rPr>
          <w:t xml:space="preserve">4</w:t>
        </w:r>
      </w:hyperlink>
      <w:r>
        <w:t xml:space="preserve">):</w:t>
      </w:r>
    </w:p>
    <w:p>
      <w:pPr>
        <w:numPr>
          <w:ilvl w:val="1"/>
          <w:numId w:val="1043"/>
        </w:numPr>
      </w:pPr>
      <w:r>
        <w:t xml:space="preserve">la productividad es máxima con una temperatura media anual de unos 13 °C y cae con fuerza por encima;</w:t>
      </w:r>
    </w:p>
    <w:p>
      <w:pPr>
        <w:numPr>
          <w:ilvl w:val="1"/>
          <w:numId w:val="1043"/>
        </w:numPr>
      </w:pPr>
      <w:r>
        <w:t xml:space="preserve">los países ricos no son inmunes: simplemente están, de media, en zonas más frías;</w:t>
      </w:r>
    </w:p>
    <w:p>
      <w:pPr>
        <w:numPr>
          <w:ilvl w:val="1"/>
          <w:numId w:val="1043"/>
        </w:numPr>
      </w:pPr>
      <w:r>
        <w:t xml:space="preserve">con un calentamiento sin mitigar, la renta media mundial sería en 2100 un 23 % menor que sin cambio climático, y la desigualdad entre países aumentaría.</w:t>
      </w:r>
    </w:p>
    <w:bookmarkStart w:id="62" w:name="fig_temperatura_productividad"/>
    <w:p>
      <w:pPr>
        <w:pStyle w:val="ImageCaption"/>
      </w:pPr>
      <w:r>
        <w:t xml:space="preserve">Gráfico 4.–</w:t>
      </w:r>
      <w:r>
        <w:t xml:space="preserve"> </w:t>
      </w:r>
      <w:r>
        <w:t xml:space="preserve">La productividad y la temperatura media: una U invertida con el máximo en torno a 13 °C</w:t>
      </w:r>
    </w:p>
    <w:p>
      <w:pPr>
        <w:pStyle w:val="CaptionedFigure"/>
      </w:pPr>
      <w:r>
        <w:drawing>
          <wp:inline>
            <wp:extent cx="3581400" cy="1582479"/>
            <wp:effectExtent b="0" l="0" r="0" t="0"/>
            <wp:docPr descr="Gráfico 4.– La productividad y la temperatura media: una U invertida con el máximo en torno a 13� °C" title="" id="60" name="Picture"/>
            <a:graphic>
              <a:graphicData uri="http://schemas.openxmlformats.org/drawingml/2006/picture">
                <pic:pic>
                  <pic:nvPicPr>
                    <pic:cNvPr descr="C:\Users\vgutierrez\Documents\src\victorgutierrezmarcos.github.io-revision\oposicion\temario\fuentes\3B31\graficos/temperatura-productividad.png" id="61" name="Picture"/>
                    <pic:cNvPicPr>
                      <a:picLocks noChangeArrowheads="1" noChangeAspect="1"/>
                    </pic:cNvPicPr>
                  </pic:nvPicPr>
                  <pic:blipFill>
                    <a:blip r:embed="rId59"/>
                    <a:stretch>
                      <a:fillRect/>
                    </a:stretch>
                  </pic:blipFill>
                  <pic:spPr bwMode="auto">
                    <a:xfrm>
                      <a:off x="0" y="0"/>
                      <a:ext cx="3581400" cy="1582479"/>
                    </a:xfrm>
                    <a:prstGeom prst="rect">
                      <a:avLst/>
                    </a:prstGeom>
                    <a:noFill/>
                    <a:ln w="9525">
                      <a:noFill/>
                      <a:headEnd/>
                      <a:tailEnd/>
                    </a:ln>
                  </pic:spPr>
                </pic:pic>
              </a:graphicData>
            </a:graphic>
          </wp:inline>
        </w:drawing>
      </w:r>
    </w:p>
    <w:bookmarkEnd w:id="62"/>
    <w:p>
      <w:pPr>
        <w:pStyle w:val="Piedeimagen"/>
      </w:pPr>
      <w:r>
        <w:t xml:space="preserve">Fuente: elaboración propia a partir de</w:t>
      </w:r>
      <w:r>
        <w:t xml:space="preserve"> </w:t>
      </w:r>
      <w:r>
        <w:rPr>
          <w:smallCaps/>
        </w:rPr>
        <w:t xml:space="preserve">Burke</w:t>
      </w:r>
      <w:r>
        <w:t xml:space="preserve">,</w:t>
      </w:r>
      <w:r>
        <w:t xml:space="preserve"> </w:t>
      </w:r>
      <w:r>
        <w:rPr>
          <w:smallCaps/>
        </w:rPr>
        <w:t xml:space="preserve">Hsiang</w:t>
      </w:r>
      <w:r>
        <w:t xml:space="preserve"> </w:t>
      </w:r>
      <w:r>
        <w:t xml:space="preserve">y</w:t>
      </w:r>
      <w:r>
        <w:t xml:space="preserve"> </w:t>
      </w:r>
      <w:r>
        <w:rPr>
          <w:smallCaps/>
        </w:rPr>
        <w:t xml:space="preserve">Miguel</w:t>
      </w:r>
      <w:r>
        <w:t xml:space="preserve"> </w:t>
      </w:r>
      <w:r>
        <w:t xml:space="preserve">(</w:t>
      </w:r>
      <w:hyperlink w:anchor="ref_BurkeHsiangMiguel2015Global">
        <w:r>
          <w:rPr>
            <w:rStyle w:val="Hyperlink"/>
          </w:rPr>
          <w:t xml:space="preserve">2015</w:t>
        </w:r>
      </w:hyperlink>
      <w:r>
        <w:t xml:space="preserve">)</w:t>
      </w:r>
      <w:r>
        <w:t xml:space="preserve">. Curva estilizada.</w:t>
      </w:r>
    </w:p>
    <w:p>
      <w:pPr>
        <w:numPr>
          <w:ilvl w:val="0"/>
          <w:numId w:val="1044"/>
        </w:numPr>
      </w:pPr>
      <w:r>
        <w:t xml:space="preserve">Volvamos a nuestra tonelada. El grado de más al que contribuye no pesa igual en todas partes: a un país templado como España, cerca de la cima de la curva, le resta poco al principio; a un país tropical, ya en la parte que cae, le resta mucho desde el primer momento.</w:t>
      </w:r>
    </w:p>
    <w:p>
      <w:pPr>
        <w:keepNext/>
        <w:numPr>
          <w:ilvl w:val="0"/>
          <w:numId w:val="1044"/>
        </w:numPr>
      </w:pPr>
      <w:r>
        <w:rPr>
          <w:smallCaps/>
        </w:rPr>
        <w:t xml:space="preserve">Bilal</w:t>
      </w:r>
      <w:r>
        <w:t xml:space="preserve"> </w:t>
      </w:r>
      <w:r>
        <w:t xml:space="preserve">y</w:t>
      </w:r>
      <w:r>
        <w:t xml:space="preserve"> </w:t>
      </w:r>
      <w:r>
        <w:rPr>
          <w:smallCaps/>
        </w:rPr>
        <w:t xml:space="preserve">Känzig</w:t>
      </w:r>
      <w:r>
        <w:t xml:space="preserve"> </w:t>
      </w:r>
      <w:r>
        <w:t xml:space="preserve">(</w:t>
      </w:r>
      <w:hyperlink w:anchor="ref_BilalKanzig2026Macroeconomic">
        <w:r>
          <w:rPr>
            <w:rStyle w:val="Hyperlink"/>
          </w:rPr>
          <w:t xml:space="preserve">2026</w:t>
        </w:r>
      </w:hyperlink>
      <w:r>
        <w:t xml:space="preserve">)</w:t>
      </w:r>
      <w:r>
        <w:t xml:space="preserve"> </w:t>
      </w:r>
      <w:r>
        <w:t xml:space="preserve">usan la temperatura</w:t>
      </w:r>
      <w:r>
        <w:t xml:space="preserve"> </w:t>
      </w:r>
      <w:r>
        <w:rPr>
          <w:i/>
          <w:iCs/>
        </w:rPr>
        <w:t xml:space="preserve">global</w:t>
      </w:r>
      <w:r>
        <w:t xml:space="preserve"> </w:t>
      </w:r>
      <w:r>
        <w:t xml:space="preserve">y no la de cada país, porque se relaciona mejor con los fenómenos extremos y recoge efectos que la local no ve (comercio, contagio entre países):</w:t>
      </w:r>
    </w:p>
    <w:p>
      <w:pPr>
        <w:numPr>
          <w:ilvl w:val="1"/>
          <w:numId w:val="1045"/>
        </w:numPr>
      </w:pPr>
      <w:r>
        <w:t xml:space="preserve">un grado más de temperatura global reduciría el PIB mundial más de un 20 % a largo plazo, un orden de magnitud por encima de las estimaciones anteriores;</w:t>
      </w:r>
    </w:p>
    <w:p>
      <w:pPr>
        <w:numPr>
          <w:ilvl w:val="1"/>
          <w:numId w:val="1045"/>
        </w:numPr>
      </w:pPr>
      <w:r>
        <w:t xml:space="preserve">su coste social del carbono supera los 1.200 $ por tonelada.</w:t>
      </w:r>
      <w:r>
        <w:rPr>
          <w:rStyle w:val="FootnoteReference"/>
        </w:rPr>
        <w:footnoteReference w:id="63"/>
      </w:r>
    </w:p>
    <w:bookmarkEnd w:id="64"/>
    <w:bookmarkStart w:id="65" w:name="desastres_naturales"/>
    <w:p>
      <w:pPr>
        <w:pStyle w:val="Heading4"/>
      </w:pPr>
      <w:r>
        <w:t xml:space="preserve">Desastres naturales</w:t>
      </w:r>
    </w:p>
    <w:p>
      <w:pPr>
        <w:numPr>
          <w:ilvl w:val="0"/>
          <w:numId w:val="1046"/>
        </w:numPr>
      </w:pPr>
      <w:r>
        <w:t xml:space="preserve">Los daños de los huracanes en Estados Unidos crecen con la novena potencia de la velocidad del viento, y el calentamiento los aumentaría en unos 10.000 millones de dólares al año, en torno al 0,08 % del PIB</w:t>
      </w:r>
      <w:r>
        <w:t xml:space="preserve"> </w:t>
      </w:r>
      <w:r>
        <w:t xml:space="preserve">(</w:t>
      </w:r>
      <w:hyperlink w:anchor="ref_Nordhaus2010Economics">
        <w:r>
          <w:rPr>
            <w:rStyle w:val="Hyperlink"/>
          </w:rPr>
          <w:t xml:space="preserve">W. D.</w:t>
        </w:r>
        <w:r>
          <w:rPr>
            <w:rStyle w:val="Hyperlink"/>
          </w:rPr>
          <w:t xml:space="preserve"> </w:t>
        </w:r>
        <w:r>
          <w:rPr>
            <w:rStyle w:val="Hyperlink"/>
            <w:smallCaps/>
          </w:rPr>
          <w:t xml:space="preserve">Nordhaus</w:t>
        </w:r>
        <w:r>
          <w:rPr>
            <w:rStyle w:val="Hyperlink"/>
          </w:rPr>
          <w:t xml:space="preserve">, 2010</w:t>
        </w:r>
      </w:hyperlink>
      <w:r>
        <w:t xml:space="preserve">)</w:t>
      </w:r>
      <w:r>
        <w:t xml:space="preserve">. El daño medio es pequeño, pero se concentra en pocos episodios enormes.</w:t>
      </w:r>
    </w:p>
    <w:bookmarkEnd w:id="65"/>
    <w:bookmarkStart w:id="66" w:name="l__mites_de_la_evidencia"/>
    <w:p>
      <w:pPr>
        <w:pStyle w:val="Heading4"/>
      </w:pPr>
      <w:r>
        <w:t xml:space="preserve">Límites de la evidencia</w:t>
      </w:r>
    </w:p>
    <w:p>
      <w:pPr>
        <w:numPr>
          <w:ilvl w:val="0"/>
          <w:numId w:val="1047"/>
        </w:numPr>
      </w:pPr>
      <w:r>
        <w:rPr>
          <w:i/>
          <w:iCs/>
        </w:rPr>
        <w:t xml:space="preserve">El tiempo no es el clima</w:t>
      </w:r>
      <w:r>
        <w:t xml:space="preserve">: un año caluroso no es un clima más cálido. Ante un cambio permanente, la sociedad se adapta, y el daño sería menor; pero también se acumulan efectos que un año suelto no muestra, y sería mayor.</w:t>
      </w:r>
    </w:p>
    <w:p>
      <w:pPr>
        <w:numPr>
          <w:ilvl w:val="0"/>
          <w:numId w:val="1047"/>
        </w:numPr>
      </w:pPr>
      <w:r>
        <w:rPr>
          <w:i/>
          <w:iCs/>
        </w:rPr>
        <w:t xml:space="preserve">Extrapolación</w:t>
      </w:r>
      <w:r>
        <w:t xml:space="preserve">: los datos cubren el clima de los últimos 60 años; nadie ha visto una economía con 3 °C más ni un punto de inflexión.</w:t>
      </w:r>
    </w:p>
    <w:p>
      <w:pPr>
        <w:numPr>
          <w:ilvl w:val="0"/>
          <w:numId w:val="1047"/>
        </w:numPr>
      </w:pPr>
      <w:r>
        <w:rPr>
          <w:i/>
          <w:iCs/>
        </w:rPr>
        <w:t xml:space="preserve">Canales que faltan</w:t>
      </w:r>
      <w:r>
        <w:t xml:space="preserve">: la subida del mar, la biodiversidad, las migraciones o los conflictos apenas aparecen en el PIB de un año.</w:t>
      </w:r>
    </w:p>
    <w:p>
      <w:pPr>
        <w:numPr>
          <w:ilvl w:val="0"/>
          <w:numId w:val="1047"/>
        </w:numPr>
      </w:pPr>
      <w:r>
        <w:rPr>
          <w:i/>
          <w:iCs/>
        </w:rPr>
        <w:t xml:space="preserve">Fragilidad</w:t>
      </w:r>
      <w:r>
        <w:t xml:space="preserve">: los resultados dependen de la calidad de los datos. Un artículo de</w:t>
      </w:r>
      <w:r>
        <w:t xml:space="preserve"> </w:t>
      </w:r>
      <w:r>
        <w:rPr>
          <w:i/>
          <w:iCs/>
        </w:rPr>
        <w:t xml:space="preserve">Nature</w:t>
      </w:r>
      <w:r>
        <w:t xml:space="preserve"> </w:t>
      </w:r>
      <w:r>
        <w:t xml:space="preserve">muy citado, que preveía una caída de la renta mundial del 19 % hacia 2050, fue retirado por la revista en diciembre de 2025, porque sus resultados cambiaban al corregir los datos erróneos de un solo país</w:t>
      </w:r>
      <w:r>
        <w:t xml:space="preserve"> </w:t>
      </w:r>
      <w:r>
        <w:t xml:space="preserve">(</w:t>
      </w:r>
      <w:hyperlink w:anchor="ref_Nature2025RetraccionKotz">
        <w:r>
          <w:rPr>
            <w:rStyle w:val="Hyperlink"/>
            <w:smallCaps/>
          </w:rPr>
          <w:t xml:space="preserve">Kotz</w:t>
        </w:r>
        <w:r>
          <w:rPr>
            <w:rStyle w:val="Hyperlink"/>
          </w:rPr>
          <w:t xml:space="preserve">,</w:t>
        </w:r>
        <w:r>
          <w:rPr>
            <w:rStyle w:val="Hyperlink"/>
          </w:rPr>
          <w:t xml:space="preserve"> </w:t>
        </w:r>
        <w:r>
          <w:rPr>
            <w:rStyle w:val="Hyperlink"/>
            <w:smallCaps/>
          </w:rPr>
          <w:t xml:space="preserve">Levermann</w:t>
        </w:r>
        <w:r>
          <w:rPr>
            <w:rStyle w:val="Hyperlink"/>
          </w:rPr>
          <w:t xml:space="preserve"> </w:t>
        </w:r>
        <w:r>
          <w:rPr>
            <w:rStyle w:val="Hyperlink"/>
          </w:rPr>
          <w:t xml:space="preserve">y</w:t>
        </w:r>
        <w:r>
          <w:rPr>
            <w:rStyle w:val="Hyperlink"/>
          </w:rPr>
          <w:t xml:space="preserve"> </w:t>
        </w:r>
        <w:r>
          <w:rPr>
            <w:rStyle w:val="Hyperlink"/>
            <w:smallCaps/>
          </w:rPr>
          <w:t xml:space="preserve">Wenz</w:t>
        </w:r>
        <w:r>
          <w:rPr>
            <w:rStyle w:val="Hyperlink"/>
          </w:rPr>
          <w:t xml:space="preserve">, 2025</w:t>
        </w:r>
      </w:hyperlink>
      <w:r>
        <w:t xml:space="preserve">)</w:t>
      </w:r>
      <w:r>
        <w:t xml:space="preserve">.</w:t>
      </w:r>
    </w:p>
    <w:p>
      <w:pPr>
        <w:numPr>
          <w:ilvl w:val="0"/>
          <w:numId w:val="1047"/>
        </w:numPr>
      </w:pPr>
      <w:r>
        <w:rPr>
          <w:i/>
          <w:iCs/>
        </w:rPr>
        <w:t xml:space="preserve">Conclusión</w:t>
      </w:r>
      <w:r>
        <w:t xml:space="preserve">: la evidencia dice que los daños son importantes, no lineales y mayores en los países pobres. Para proyectarlos y compararlos con el coste de evitarlos hacen falta modelos, que pasamos a analizar.</w:t>
      </w:r>
    </w:p>
    <w:bookmarkEnd w:id="66"/>
    <w:bookmarkEnd w:id="67"/>
    <w:bookmarkStart w:id="71" w:name="sec_mie"/>
    <w:p>
      <w:pPr>
        <w:pStyle w:val="Heading2"/>
      </w:pPr>
      <w:r>
        <w:t xml:space="preserve">II.2.</w:t>
      </w:r>
      <w:r>
        <w:t xml:space="preserve"> </w:t>
      </w:r>
      <w:r>
        <w:t xml:space="preserve">Los modelos integrados de evaluación y el coste social del carbono</w:t>
      </w:r>
    </w:p>
    <w:p>
      <w:pPr>
        <w:numPr>
          <w:ilvl w:val="0"/>
          <w:numId w:val="1048"/>
        </w:numPr>
      </w:pPr>
      <w:r>
        <w:t xml:space="preserve">Los</w:t>
      </w:r>
      <w:r>
        <w:t xml:space="preserve"> </w:t>
      </w:r>
      <w:r>
        <w:rPr>
          <w:b/>
          <w:bCs/>
        </w:rPr>
        <w:t xml:space="preserve">modelos integrados de evaluación</w:t>
      </w:r>
      <w:r>
        <w:t xml:space="preserve"> </w:t>
      </w:r>
      <w:r>
        <w:t xml:space="preserve">(MIE;</w:t>
      </w:r>
      <w:r>
        <w:t xml:space="preserve"> </w:t>
      </w:r>
      <w:r>
        <w:rPr>
          <w:i/>
          <w:iCs/>
        </w:rPr>
        <w:t xml:space="preserve">integrated assessment models</w:t>
      </w:r>
      <w:r>
        <w:t xml:space="preserve">, IAM), también llamados modelos de evaluación integrada, unen en un solo marco un módulo económico (producción, emisiones y coste de reducirlas) y un módulo climático (concentración, temperatura y daños), y cierran el círculo: la economía emite, las emisiones calientan y el calentamiento daña a la economía. Son el laboratorio en el que se prueban las políticas climáticas.</w:t>
      </w:r>
    </w:p>
    <w:p>
      <w:pPr>
        <w:keepNext/>
        <w:numPr>
          <w:ilvl w:val="0"/>
          <w:numId w:val="1048"/>
        </w:numPr>
      </w:pPr>
      <w:r>
        <w:t xml:space="preserve">Hay 3 tipos:</w:t>
      </w:r>
    </w:p>
    <w:p>
      <w:pPr>
        <w:numPr>
          <w:ilvl w:val="1"/>
          <w:numId w:val="1049"/>
        </w:numPr>
      </w:pPr>
      <w:r>
        <w:rPr>
          <w:i/>
          <w:iCs/>
        </w:rPr>
        <w:t xml:space="preserve">De optimización</w:t>
      </w:r>
      <w:r>
        <w:t xml:space="preserve">, agregados y con función de daños: buscan la senda óptima y calculan el coste social del carbono. Los 3 clásicos son el DICE y su versión por regiones, el RICE, de</w:t>
      </w:r>
      <w:r>
        <w:t xml:space="preserve"> </w:t>
      </w:r>
      <w:r>
        <w:rPr>
          <w:smallCaps/>
        </w:rPr>
        <w:t xml:space="preserve">Nordhaus</w:t>
      </w:r>
      <w:r>
        <w:t xml:space="preserve">; el FUND de</w:t>
      </w:r>
      <w:r>
        <w:t xml:space="preserve"> </w:t>
      </w:r>
      <w:r>
        <w:rPr>
          <w:smallCaps/>
        </w:rPr>
        <w:t xml:space="preserve">Tol</w:t>
      </w:r>
      <w:r>
        <w:t xml:space="preserve"> </w:t>
      </w:r>
      <w:r>
        <w:t xml:space="preserve">y</w:t>
      </w:r>
      <w:r>
        <w:t xml:space="preserve"> </w:t>
      </w:r>
      <w:r>
        <w:rPr>
          <w:smallCaps/>
        </w:rPr>
        <w:t xml:space="preserve">Anthoff</w:t>
      </w:r>
      <w:r>
        <w:t xml:space="preserve"> </w:t>
      </w:r>
      <w:r>
        <w:t xml:space="preserve">(</w:t>
      </w:r>
      <w:hyperlink w:anchor="ref_AnthoffTol2013Uncertainty">
        <w:r>
          <w:rPr>
            <w:rStyle w:val="Hyperlink"/>
            <w:smallCaps/>
          </w:rPr>
          <w:t xml:space="preserve">Anthoff</w:t>
        </w:r>
        <w:r>
          <w:rPr>
            <w:rStyle w:val="Hyperlink"/>
          </w:rPr>
          <w:t xml:space="preserve"> </w:t>
        </w:r>
        <w:r>
          <w:rPr>
            <w:rStyle w:val="Hyperlink"/>
          </w:rPr>
          <w:t xml:space="preserve">y</w:t>
        </w:r>
        <w:r>
          <w:rPr>
            <w:rStyle w:val="Hyperlink"/>
          </w:rPr>
          <w:t xml:space="preserve"> </w:t>
        </w:r>
        <w:r>
          <w:rPr>
            <w:rStyle w:val="Hyperlink"/>
            <w:smallCaps/>
          </w:rPr>
          <w:t xml:space="preserve">Tol</w:t>
        </w:r>
        <w:r>
          <w:rPr>
            <w:rStyle w:val="Hyperlink"/>
          </w:rPr>
          <w:t xml:space="preserve">, 2013</w:t>
        </w:r>
      </w:hyperlink>
      <w:r>
        <w:t xml:space="preserve">)</w:t>
      </w:r>
      <w:r>
        <w:t xml:space="preserve">, y el PAGE de</w:t>
      </w:r>
      <w:r>
        <w:t xml:space="preserve"> </w:t>
      </w:r>
      <w:r>
        <w:rPr>
          <w:smallCaps/>
        </w:rPr>
        <w:t xml:space="preserve">Hope</w:t>
      </w:r>
      <w:r>
        <w:t xml:space="preserve"> </w:t>
      </w:r>
      <w:r>
        <w:t xml:space="preserve">(</w:t>
      </w:r>
      <w:hyperlink w:anchor="ref_Hope2006Marginal">
        <w:r>
          <w:rPr>
            <w:rStyle w:val="Hyperlink"/>
            <w:smallCaps/>
          </w:rPr>
          <w:t xml:space="preserve">Hope</w:t>
        </w:r>
        <w:r>
          <w:rPr>
            <w:rStyle w:val="Hyperlink"/>
          </w:rPr>
          <w:t xml:space="preserve">, 2006</w:t>
        </w:r>
      </w:hyperlink>
      <w:r>
        <w:t xml:space="preserve">)</w:t>
      </w:r>
      <w:r>
        <w:t xml:space="preserve">.</w:t>
      </w:r>
    </w:p>
    <w:p>
      <w:pPr>
        <w:numPr>
          <w:ilvl w:val="1"/>
          <w:numId w:val="1049"/>
        </w:numPr>
      </w:pPr>
      <w:r>
        <w:rPr>
          <w:i/>
          <w:iCs/>
        </w:rPr>
        <w:t xml:space="preserve">De simulación</w:t>
      </w:r>
      <w:r>
        <w:t xml:space="preserve">, con mucho detalle tecnológico y sectorial (IMAGE, GCAM, MESSAGE, REMIND): no valoran los daños, sino que buscan la forma más barata de cumplir un objetivo, como 1,5 o 2 °C. Son los que usa el IPCC para sus escenarios.</w:t>
      </w:r>
    </w:p>
    <w:p>
      <w:pPr>
        <w:numPr>
          <w:ilvl w:val="1"/>
          <w:numId w:val="1049"/>
        </w:numPr>
      </w:pPr>
      <w:r>
        <w:t xml:space="preserve">Los</w:t>
      </w:r>
      <w:r>
        <w:t xml:space="preserve"> </w:t>
      </w:r>
      <w:r>
        <w:rPr>
          <w:i/>
          <w:iCs/>
        </w:rPr>
        <w:t xml:space="preserve">modelos de equilibrio general computable</w:t>
      </w:r>
      <w:r>
        <w:t xml:space="preserve"> </w:t>
      </w:r>
      <w:r>
        <w:t xml:space="preserve">(MEGC): evalúan políticas concretas, como el efecto sectorial del mercado de derechos de emisión o del ajuste en frontera, pero no optimizan el bienestar a lo largo del tiempo. El DICE no es un MEGC multisectorial, sino un modelo integrado de crecimiento óptimo</w:t>
      </w:r>
      <w:r>
        <w:t xml:space="preserve"> </w:t>
      </w:r>
      <w:hyperlink r:id="rId68">
        <w:r>
          <w:rPr>
            <w:rStyle w:val="Referenciaatema"/>
          </w:rPr>
          <w:t xml:space="preserve">[ver tema 3.A.21]</w:t>
        </w:r>
      </w:hyperlink>
      <w:r>
        <w:t xml:space="preserve">.</w:t>
      </w:r>
    </w:p>
    <w:p>
      <w:pPr>
        <w:numPr>
          <w:ilvl w:val="0"/>
          <w:numId w:val="1048"/>
        </w:numPr>
      </w:pPr>
      <w:r>
        <w:t xml:space="preserve">El</w:t>
      </w:r>
      <w:r>
        <w:t xml:space="preserve"> </w:t>
      </w:r>
      <w:r>
        <w:rPr>
          <w:b/>
          <w:bCs/>
        </w:rPr>
        <w:t xml:space="preserve">coste social del carbono</w:t>
      </w:r>
      <w:r>
        <w:t xml:space="preserve"> </w:t>
      </w:r>
      <w:r>
        <w:t xml:space="preserve">(CSC;</w:t>
      </w:r>
      <w:r>
        <w:t xml:space="preserve"> </w:t>
      </w:r>
      <w:r>
        <w:rPr>
          <w:i/>
          <w:iCs/>
        </w:rPr>
        <w:t xml:space="preserve">social cost of carbon</w:t>
      </w:r>
      <w:r>
        <w:t xml:space="preserve">, SCC) es el valor actual, en unidades de consumo de hoy, de los daños que causa una tonelada más de CO</w:t>
      </w:r>
      <w:r>
        <w:rPr>
          <w:vertAlign w:val="subscript"/>
        </w:rPr>
        <w:t xml:space="preserve">2</w:t>
      </w:r>
      <w:r>
        <w:t xml:space="preserve"> </w:t>
      </w:r>
      <w:r>
        <w:t xml:space="preserve">emitida en</w:t>
      </w:r>
      <w:r>
        <w:t xml:space="preserve"> </w:t>
      </w:r>
      <m:oMath>
        <m:r>
          <m:t>t</m:t>
        </m:r>
      </m:oMath>
      <w:r>
        <w:t xml:space="preserve">:</w:t>
      </w:r>
      <w:r>
        <w:t xml:space="preserve"> </w:t>
      </w:r>
      <w:bookmarkStart w:id="69" w:name="eq_csc"/>
      <w:bookmarkEnd w:id="69"/>
    </w:p>
    <w:p>
      <w:pPr>
        <w:pStyle w:val="BodyText"/>
        <w:keepNext/>
      </w:pPr>
      <m:oMathPara>
        <m:oMathParaPr>
          <m:jc m:val="center"/>
        </m:oMathParaPr>
        <m:oMath>
          <m:sSub>
            <m:e>
              <m:r>
                <m:rPr>
                  <m:sty m:val="p"/>
                </m:rPr>
                <m:t>C</m:t>
              </m:r>
              <m:r>
                <m:rPr>
                  <m:sty m:val="p"/>
                </m:rPr>
                <m:t>S</m:t>
              </m:r>
              <m:r>
                <m:rPr>
                  <m:sty m:val="p"/>
                </m:rPr>
                <m:t>C</m:t>
              </m:r>
            </m:e>
            <m:sub>
              <m:r>
                <m:t>t</m:t>
              </m:r>
            </m:sub>
          </m:sSub>
          <m:r>
            <m:rPr>
              <m:sty m:val="p"/>
            </m:rPr>
            <m:t>≡</m:t>
          </m:r>
          <m:r>
            <m:rPr>
              <m:sty m:val="p"/>
            </m:rPr>
            <m:t>−</m:t>
          </m:r>
          <m:f>
            <m:fPr>
              <m:type m:val="bar"/>
            </m:fPr>
            <m:num>
              <m:r>
                <m:rPr>
                  <m:sty m:val="p"/>
                </m:rPr>
                <m:t>∂</m:t>
              </m:r>
              <m:r>
                <m:t>W</m:t>
              </m:r>
              <m:r>
                <m:rPr>
                  <m:sty m:val="p"/>
                </m:rPr>
                <m:t>/</m:t>
              </m:r>
              <m:r>
                <m:rPr>
                  <m:sty m:val="p"/>
                </m:rPr>
                <m:t>∂</m:t>
              </m:r>
              <m:sSub>
                <m:e>
                  <m:r>
                    <m:t>E</m:t>
                  </m:r>
                </m:e>
                <m:sub>
                  <m:r>
                    <m:t>t</m:t>
                  </m:r>
                </m:sub>
              </m:sSub>
            </m:num>
            <m:den>
              <m:r>
                <m:rPr>
                  <m:sty m:val="p"/>
                </m:rPr>
                <m:t>∂</m:t>
              </m:r>
              <m:r>
                <m:t>W</m:t>
              </m:r>
              <m:r>
                <m:rPr>
                  <m:sty m:val="p"/>
                </m:rPr>
                <m:t>/</m:t>
              </m:r>
              <m:r>
                <m:rPr>
                  <m:sty m:val="p"/>
                </m:rPr>
                <m:t>∂</m:t>
              </m:r>
              <m:sSub>
                <m:e>
                  <m:r>
                    <m:t>C</m:t>
                  </m:r>
                </m:e>
                <m:sub>
                  <m:r>
                    <m:t>t</m:t>
                  </m:r>
                </m:sub>
              </m:sSub>
            </m:den>
          </m:f>
          <m:r>
            <m:rPr>
              <m:sty m:val="p"/>
            </m:rPr>
            <m:t>≃</m:t>
          </m:r>
          <m:nary>
            <m:naryPr>
              <m:chr m:val="∑"/>
              <m:limLoc m:val="undOvr"/>
              <m:subHide m:val="off"/>
              <m:supHide m:val="off"/>
            </m:naryPr>
            <m:sub>
              <m:r>
                <m:t>j</m:t>
              </m:r>
              <m:r>
                <m:rPr>
                  <m:sty m:val="p"/>
                </m:rPr>
                <m:t>=</m:t>
              </m:r>
              <m:r>
                <m:t>0</m:t>
              </m:r>
            </m:sub>
            <m:sup>
              <m:r>
                <m:rPr>
                  <m:sty m:val="p"/>
                </m:rPr>
                <m:t>∞</m:t>
              </m:r>
            </m:sup>
            <m:e>
              <m:f>
                <m:fPr>
                  <m:type m:val="bar"/>
                </m:fPr>
                <m:num>
                  <m:r>
                    <m:t>1</m:t>
                  </m:r>
                </m:num>
                <m:den>
                  <m:sSup>
                    <m:e>
                      <m:d>
                        <m:dPr>
                          <m:begChr m:val="("/>
                          <m:sepChr m:val=""/>
                          <m:endChr m:val=")"/>
                          <m:grow/>
                        </m:dPr>
                        <m:e>
                          <m:r>
                            <m:t>1</m:t>
                          </m:r>
                          <m:r>
                            <m:rPr>
                              <m:sty m:val="p"/>
                            </m:rPr>
                            <m:t>+</m:t>
                          </m:r>
                          <m:sSub>
                            <m:e>
                              <m:r>
                                <m:t>r</m:t>
                              </m:r>
                            </m:e>
                            <m:sub>
                              <m:r>
                                <m:t>s</m:t>
                              </m:r>
                            </m:sub>
                          </m:sSub>
                        </m:e>
                      </m:d>
                    </m:e>
                    <m:sup>
                      <m:r>
                        <m:t>j</m:t>
                      </m:r>
                    </m:sup>
                  </m:sSup>
                </m:den>
              </m:f>
            </m:e>
          </m:nary>
          <m:r>
            <m:t> </m:t>
          </m:r>
          <m:f>
            <m:fPr>
              <m:type m:val="bar"/>
            </m:fPr>
            <m:num>
              <m:r>
                <m:rPr>
                  <m:sty m:val="p"/>
                </m:rPr>
                <m:t>∂</m:t>
              </m:r>
              <m:d>
                <m:dPr>
                  <m:begChr m:val="["/>
                  <m:sepChr m:val=""/>
                  <m:endChr m:val="]"/>
                  <m:grow/>
                </m:dPr>
                <m:e>
                  <m:r>
                    <m:t>Ω</m:t>
                  </m:r>
                  <m:d>
                    <m:dPr>
                      <m:begChr m:val="("/>
                      <m:sepChr m:val=""/>
                      <m:endChr m:val=")"/>
                      <m:grow/>
                    </m:dPr>
                    <m:e>
                      <m:sSub>
                        <m:e>
                          <m:r>
                            <m:t>T</m:t>
                          </m:r>
                        </m:e>
                        <m:sub>
                          <m:r>
                            <m:t>t</m:t>
                          </m:r>
                          <m:r>
                            <m:rPr>
                              <m:sty m:val="p"/>
                            </m:rPr>
                            <m:t>+</m:t>
                          </m:r>
                          <m:r>
                            <m:t>j</m:t>
                          </m:r>
                        </m:sub>
                      </m:sSub>
                    </m:e>
                  </m:d>
                  <m:r>
                    <m:t> </m:t>
                  </m:r>
                  <m:sSub>
                    <m:e>
                      <m:r>
                        <m:t>Y</m:t>
                      </m:r>
                    </m:e>
                    <m:sub>
                      <m:r>
                        <m:t>t</m:t>
                      </m:r>
                      <m:r>
                        <m:rPr>
                          <m:sty m:val="p"/>
                        </m:rPr>
                        <m:t>+</m:t>
                      </m:r>
                      <m:r>
                        <m:t>j</m:t>
                      </m:r>
                    </m:sub>
                  </m:sSub>
                </m:e>
              </m:d>
            </m:num>
            <m:den>
              <m:r>
                <m:rPr>
                  <m:sty m:val="p"/>
                </m:rPr>
                <m:t>∂</m:t>
              </m:r>
              <m:sSub>
                <m:e>
                  <m:r>
                    <m:t>E</m:t>
                  </m:r>
                </m:e>
                <m:sub>
                  <m:r>
                    <m:t>t</m:t>
                  </m:r>
                </m:sub>
              </m:sSub>
            </m:den>
          </m:f>
          <m:r>
            <m:rPr>
              <m:sty m:val="p"/>
            </m:rPr>
            <m:t>,</m:t>
          </m:r>
        </m:oMath>
      </m:oMathPara>
    </w:p>
    <w:p>
      <w:pPr>
        <w:keepNext/>
        <w:numPr>
          <w:ilvl w:val="0"/>
          <w:numId w:val="1000"/>
        </w:numPr>
      </w:pPr>
      <w:r>
        <w:t xml:space="preserve">con</w:t>
      </w:r>
      <w:r>
        <w:t xml:space="preserve"> </w:t>
      </w:r>
      <m:oMath>
        <m:r>
          <m:t>W</m:t>
        </m:r>
      </m:oMath>
      <w:r>
        <w:t xml:space="preserve"> </w:t>
      </w:r>
      <w:r>
        <w:t xml:space="preserve">el bienestar social,</w:t>
      </w:r>
      <w:r>
        <w:t xml:space="preserve"> </w:t>
      </w:r>
      <m:oMath>
        <m:r>
          <m:t>Ω</m:t>
        </m:r>
        <m:d>
          <m:dPr>
            <m:begChr m:val="("/>
            <m:sepChr m:val=""/>
            <m:endChr m:val=")"/>
            <m:grow/>
          </m:dPr>
          <m:e>
            <m:r>
              <m:t>T</m:t>
            </m:r>
          </m:e>
        </m:d>
        <m:r>
          <m:t> </m:t>
        </m:r>
        <m:r>
          <m:t>Y</m:t>
        </m:r>
      </m:oMath>
      <w:r>
        <w:t xml:space="preserve"> </w:t>
      </w:r>
      <w:r>
        <w:t xml:space="preserve">el daño en bienes y</w:t>
      </w:r>
      <w:r>
        <w:t xml:space="preserve"> </w:t>
      </w:r>
      <m:oMath>
        <m:sSub>
          <m:e>
            <m:r>
              <m:t>r</m:t>
            </m:r>
          </m:e>
          <m:sub>
            <m:r>
              <m:t>s</m:t>
            </m:r>
          </m:sub>
        </m:sSub>
      </m:oMath>
      <w:r>
        <w:t xml:space="preserve"> </w:t>
      </w:r>
      <w:r>
        <w:t xml:space="preserve">la tasa social de descuento. Es el</w:t>
      </w:r>
      <w:r>
        <w:t xml:space="preserve"> </w:t>
      </w:r>
      <m:oMath>
        <m:r>
          <m:rPr>
            <m:sty m:val="p"/>
          </m:rPr>
          <m:t>C</m:t>
        </m:r>
        <m:r>
          <m:rPr>
            <m:sty m:val="p"/>
          </m:rPr>
          <m:t>M</m:t>
        </m:r>
        <m:r>
          <m:rPr>
            <m:sty m:val="p"/>
          </m:rPr>
          <m:t>g</m:t>
        </m:r>
        <m:r>
          <m:rPr>
            <m:sty m:val="p"/>
          </m:rPr>
          <m:t>E</m:t>
        </m:r>
      </m:oMath>
      <w:r>
        <w:t xml:space="preserve"> </w:t>
      </w:r>
      <w:r>
        <w:t xml:space="preserve">de una tonelada, el daño marginal mundial del gráfico </w:t>
      </w:r>
      <w:hyperlink w:anchor="fig_emisiones_optimas">
        <w:r>
          <w:rPr>
            <w:rStyle w:val="Hyperlink"/>
          </w:rPr>
          <w:t xml:space="preserve">3</w:t>
        </w:r>
      </w:hyperlink>
      <w:r>
        <w:t xml:space="preserve">.</w:t>
      </w:r>
    </w:p>
    <w:p>
      <w:pPr>
        <w:numPr>
          <w:ilvl w:val="1"/>
          <w:numId w:val="1050"/>
        </w:numPr>
      </w:pPr>
      <w:r>
        <w:rPr>
          <w:i/>
          <w:iCs/>
        </w:rPr>
        <w:t xml:space="preserve">Para qué sirve</w:t>
      </w:r>
      <w:r>
        <w:t xml:space="preserve">: en el óptimo es el impuesto pigouviano por tonelada,</w:t>
      </w:r>
      <w:r>
        <w:t xml:space="preserve"> </w:t>
      </w:r>
      <m:oMath>
        <m:sSubSup>
          <m:e>
            <m:r>
              <m:t>t</m:t>
            </m:r>
          </m:e>
          <m:sub>
            <m:r>
              <m:t>t</m:t>
            </m:r>
          </m:sub>
          <m:sup>
            <m:r>
              <m:rPr>
                <m:sty m:val="p"/>
              </m:rPr>
              <m:t>*</m:t>
            </m:r>
          </m:sup>
        </m:sSubSup>
        <m:r>
          <m:rPr>
            <m:sty m:val="p"/>
          </m:rPr>
          <m:t>=</m:t>
        </m:r>
        <m:sSub>
          <m:e>
            <m:r>
              <m:rPr>
                <m:sty m:val="p"/>
              </m:rPr>
              <m:t>C</m:t>
            </m:r>
            <m:r>
              <m:rPr>
                <m:sty m:val="p"/>
              </m:rPr>
              <m:t>S</m:t>
            </m:r>
            <m:r>
              <m:rPr>
                <m:sty m:val="p"/>
              </m:rPr>
              <m:t>C</m:t>
            </m:r>
          </m:e>
          <m:sub>
            <m:r>
              <m:t>t</m:t>
            </m:r>
          </m:sub>
        </m:sSub>
      </m:oMath>
      <w:r>
        <w:t xml:space="preserve">; y sirve para el análisis coste-beneficio de cualquier regulación o inversión que cambie las emisiones</w:t>
      </w:r>
      <w:r>
        <w:t xml:space="preserve"> </w:t>
      </w:r>
      <w:hyperlink r:id="rId70">
        <w:r>
          <w:rPr>
            <w:rStyle w:val="Referenciaatema"/>
          </w:rPr>
          <w:t xml:space="preserve">[ver tema 4.B.6]</w:t>
        </w:r>
      </w:hyperlink>
      <w:r>
        <w:t xml:space="preserve">.</w:t>
      </w:r>
    </w:p>
    <w:p>
      <w:pPr>
        <w:keepNext/>
        <w:numPr>
          <w:ilvl w:val="1"/>
          <w:numId w:val="1050"/>
        </w:numPr>
      </w:pPr>
      <w:r>
        <w:rPr>
          <w:i/>
          <w:iCs/>
        </w:rPr>
        <w:t xml:space="preserve">Cuánto vale</w:t>
      </w:r>
      <w:r>
        <w:t xml:space="preserve">:</w:t>
      </w:r>
    </w:p>
    <w:p>
      <w:pPr>
        <w:numPr>
          <w:ilvl w:val="2"/>
          <w:numId w:val="1051"/>
        </w:numPr>
      </w:pPr>
      <w:r>
        <w:t xml:space="preserve">el DICE-2023 lo estima en 66 $ por tonelada para las emisiones de 2020 con las políticas actuales, y en 50 $ en la senda óptima, en dólares de 2019</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w:t>
      </w:r>
    </w:p>
    <w:p>
      <w:pPr>
        <w:numPr>
          <w:ilvl w:val="2"/>
          <w:numId w:val="1051"/>
        </w:numPr>
      </w:pPr>
      <w:r>
        <w:t xml:space="preserve">la Agencia de Protección del Medio Ambiente de Estados Unidos (EPA) lo elevó en 2023 a 190 $, con un descuento del 2 % y la nueva literatura de daños</w:t>
      </w:r>
      <w:r>
        <w:t xml:space="preserve"> </w:t>
      </w:r>
      <w:r>
        <w:t xml:space="preserve">(</w:t>
      </w:r>
      <w:hyperlink w:anchor="ref_EPA2023SCGHG">
        <w:r>
          <w:rPr>
            <w:rStyle w:val="Hyperlink"/>
            <w:smallCaps/>
          </w:rPr>
          <w:t xml:space="preserve">U.S. Environmental Protection Agency</w:t>
        </w:r>
        <w:r>
          <w:rPr>
            <w:rStyle w:val="Hyperlink"/>
          </w:rPr>
          <w:t xml:space="preserve">, 2023</w:t>
        </w:r>
      </w:hyperlink>
      <w:r>
        <w:t xml:space="preserve">;</w:t>
      </w:r>
      <w:r>
        <w:t xml:space="preserve"> </w:t>
      </w:r>
      <w:hyperlink w:anchor="ref_Rennert2022Comprehensive">
        <w:r>
          <w:rPr>
            <w:rStyle w:val="Hyperlink"/>
            <w:smallCaps/>
          </w:rPr>
          <w:t xml:space="preserve">Rennert</w:t>
        </w:r>
        <w:r>
          <w:rPr>
            <w:rStyle w:val="Hyperlink"/>
          </w:rPr>
          <w:t xml:space="preserve"> </w:t>
        </w:r>
        <w:r>
          <w:rPr>
            <w:rStyle w:val="Hyperlink"/>
          </w:rPr>
          <w:t xml:space="preserve">et al., 2022</w:t>
        </w:r>
      </w:hyperlink>
      <w:r>
        <w:t xml:space="preserve">)</w:t>
      </w:r>
      <w:r>
        <w:t xml:space="preserve">;</w:t>
      </w:r>
    </w:p>
    <w:p>
      <w:pPr>
        <w:numPr>
          <w:ilvl w:val="2"/>
          <w:numId w:val="1051"/>
        </w:numPr>
      </w:pPr>
      <w:r>
        <w:t xml:space="preserve">en 2025, la nueva Administración dejó de usar una cifra oficial y limitó el análisis de las emisiones a lo que exija la ley</w:t>
      </w:r>
      <w:r>
        <w:t xml:space="preserve"> </w:t>
      </w:r>
      <w:r>
        <w:t xml:space="preserve">(</w:t>
      </w:r>
      <w:hyperlink w:anchor="ref_OMB2025M2527">
        <w:r>
          <w:rPr>
            <w:rStyle w:val="Hyperlink"/>
            <w:smallCaps/>
          </w:rPr>
          <w:t xml:space="preserve">Office of Management and Budget</w:t>
        </w:r>
        <w:r>
          <w:rPr>
            <w:rStyle w:val="Hyperlink"/>
          </w:rPr>
          <w:t xml:space="preserve">, 2025</w:t>
        </w:r>
      </w:hyperlink>
      <w:r>
        <w:t xml:space="preserve">)</w:t>
      </w:r>
      <w:r>
        <w:t xml:space="preserve">: el coste social del carbono es también una decisión política.</w:t>
      </w:r>
    </w:p>
    <w:p>
      <w:pPr>
        <w:numPr>
          <w:ilvl w:val="1"/>
          <w:numId w:val="1052"/>
        </w:numPr>
      </w:pPr>
      <w:r>
        <w:t xml:space="preserve">Volvamos a la tonelada de la acería: según el modelo y el descuento, el daño que causa vale entre 50 y 190 $. Si nadie lo paga, el acero sale barato para la acería y caro para el mundo.</w:t>
      </w:r>
    </w:p>
    <w:p>
      <w:pPr>
        <w:numPr>
          <w:ilvl w:val="0"/>
          <w:numId w:val="1048"/>
        </w:numPr>
      </w:pPr>
      <w:r>
        <w:rPr>
          <w:i/>
          <w:iCs/>
        </w:rPr>
        <w:t xml:space="preserve">El informe</w:t>
      </w:r>
      <w:r>
        <w:rPr>
          <w:i/>
          <w:iCs/>
        </w:rPr>
        <w:t xml:space="preserve"> </w:t>
      </w:r>
      <w:r>
        <w:rPr>
          <w:i/>
          <w:iCs/>
          <w:smallCaps/>
        </w:rPr>
        <w:t xml:space="preserve">Stern</w:t>
      </w:r>
      <w:r>
        <w:t xml:space="preserve">, encargado por el Gobierno británico y basado en el PAGE, concluyó que no actuar costaría el equivalente a perder al menos un 5 % del PIB mundial cada año, ahora y siempre, y hasta un 20 % o más con una visión amplia de los riesgos, mientras que actuar costaría en torno a un 1 % del PIB al año</w:t>
      </w:r>
      <w:r>
        <w:t xml:space="preserve"> </w:t>
      </w:r>
      <w:r>
        <w:t xml:space="preserve">(</w:t>
      </w:r>
      <w:hyperlink w:anchor="ref_Stern2007Economics">
        <w:r>
          <w:rPr>
            <w:rStyle w:val="Hyperlink"/>
            <w:smallCaps/>
          </w:rPr>
          <w:t xml:space="preserve">Stern</w:t>
        </w:r>
        <w:r>
          <w:rPr>
            <w:rStyle w:val="Hyperlink"/>
          </w:rPr>
          <w:t xml:space="preserve">, 2007</w:t>
        </w:r>
      </w:hyperlink>
      <w:r>
        <w:t xml:space="preserve">)</w:t>
      </w:r>
      <w:r>
        <w:t xml:space="preserve">. Pedía actuar fuerte y pronto, al contrario que</w:t>
      </w:r>
      <w:r>
        <w:t xml:space="preserve"> </w:t>
      </w:r>
      <w:r>
        <w:rPr>
          <w:smallCaps/>
        </w:rPr>
        <w:t xml:space="preserve">Nordhaus</w:t>
      </w:r>
      <w:r>
        <w:t xml:space="preserve">. Por qué discrepaban es la pregunta del modelo que sigue.</w:t>
      </w:r>
    </w:p>
    <w:bookmarkEnd w:id="71"/>
    <w:bookmarkStart w:id="94" w:name="sec_dice"/>
    <w:p>
      <w:pPr>
        <w:pStyle w:val="Heading2"/>
      </w:pPr>
      <w:r>
        <w:t xml:space="preserve">II.3.</w:t>
      </w:r>
      <w:r>
        <w:t xml:space="preserve"> </w:t>
      </w:r>
      <w:r>
        <w:t xml:space="preserve">El modelo DICE de</w:t>
      </w:r>
      <w:r>
        <w:t xml:space="preserve"> </w:t>
      </w:r>
      <w:r>
        <w:rPr>
          <w:smallCaps/>
        </w:rPr>
        <w:t xml:space="preserve">Nordhaus</w:t>
      </w:r>
    </w:p>
    <w:bookmarkStart w:id="72" w:name="a_idea"/>
    <w:p>
      <w:pPr>
        <w:pStyle w:val="Heading4"/>
      </w:pPr>
      <w:r>
        <w:t xml:space="preserve">a) Idea</w:t>
      </w:r>
    </w:p>
    <w:p>
      <w:pPr>
        <w:numPr>
          <w:ilvl w:val="0"/>
          <w:numId w:val="1053"/>
        </w:numPr>
      </w:pPr>
      <w:r>
        <w:t xml:space="preserve">El</w:t>
      </w:r>
      <w:r>
        <w:t xml:space="preserve"> </w:t>
      </w:r>
      <w:r>
        <w:rPr>
          <w:b/>
          <w:bCs/>
        </w:rPr>
        <w:t xml:space="preserve">modelo DICE</w:t>
      </w:r>
      <w:r>
        <w:t xml:space="preserve"> </w:t>
      </w:r>
      <w:r>
        <w:t xml:space="preserve">(</w:t>
      </w:r>
      <w:r>
        <w:rPr>
          <w:i/>
          <w:iCs/>
        </w:rPr>
        <w:t xml:space="preserve">Dynamic Integrated model of Climate and the Economy</w:t>
      </w:r>
      <w:r>
        <w:t xml:space="preserve">) de William</w:t>
      </w:r>
      <w:r>
        <w:t xml:space="preserve"> </w:t>
      </w:r>
      <w:r>
        <w:t xml:space="preserve">W. D.</w:t>
      </w:r>
      <w:r>
        <w:t xml:space="preserve"> </w:t>
      </w:r>
      <w:r>
        <w:rPr>
          <w:smallCaps/>
        </w:rPr>
        <w:t xml:space="preserve">Nordhaus</w:t>
      </w:r>
      <w:r>
        <w:t xml:space="preserve"> </w:t>
      </w:r>
      <w:r>
        <w:t xml:space="preserve">(</w:t>
      </w:r>
      <w:hyperlink w:anchor="ref_Nordhaus1992Optimal">
        <w:r>
          <w:rPr>
            <w:rStyle w:val="Hyperlink"/>
          </w:rPr>
          <w:t xml:space="preserve">1992</w:t>
        </w:r>
      </w:hyperlink>
      <w:r>
        <w:t xml:space="preserve">)</w:t>
      </w:r>
      <w:r>
        <w:t xml:space="preserve"> </w:t>
      </w:r>
      <w:r>
        <w:t xml:space="preserve">es el modelo de crecimiento óptimo de</w:t>
      </w:r>
      <w:r>
        <w:t xml:space="preserve"> </w:t>
      </w:r>
      <w:r>
        <w:rPr>
          <w:smallCaps/>
        </w:rPr>
        <w:t xml:space="preserve">Ramsey</w:t>
      </w:r>
      <w:r>
        <w:t xml:space="preserve">,</w:t>
      </w:r>
      <w:r>
        <w:t xml:space="preserve"> </w:t>
      </w:r>
      <w:r>
        <w:rPr>
          <w:smallCaps/>
        </w:rPr>
        <w:t xml:space="preserve">Cass</w:t>
      </w:r>
      <w:r>
        <w:t xml:space="preserve"> </w:t>
      </w:r>
      <w:r>
        <w:t xml:space="preserve">y</w:t>
      </w:r>
      <w:r>
        <w:t xml:space="preserve"> </w:t>
      </w:r>
      <w:r>
        <w:rPr>
          <w:smallCaps/>
        </w:rPr>
        <w:t xml:space="preserve">Koopmans</w:t>
      </w:r>
      <w:r>
        <w:t xml:space="preserve"> </w:t>
      </w:r>
      <w:r>
        <w:t xml:space="preserve">con 2 añadidos: los daños del clima y la posibilidad de reducir emisiones</w:t>
      </w:r>
      <w:r>
        <w:t xml:space="preserve"> </w:t>
      </w:r>
      <w:hyperlink r:id="rId24">
        <w:r>
          <w:rPr>
            <w:rStyle w:val="Referenciaatema"/>
          </w:rPr>
          <w:t xml:space="preserve">[ver tema 3.A.43]</w:t>
        </w:r>
      </w:hyperlink>
      <w:r>
        <w:t xml:space="preserve">.</w:t>
      </w:r>
    </w:p>
    <w:p>
      <w:pPr>
        <w:keepNext/>
        <w:numPr>
          <w:ilvl w:val="0"/>
          <w:numId w:val="1053"/>
        </w:numPr>
      </w:pPr>
      <w:r>
        <w:t xml:space="preserve">La intuición: la sociedad puede renunciar a consumo hoy para tener más mañana de 2 maneras:</w:t>
      </w:r>
    </w:p>
    <w:p>
      <w:pPr>
        <w:numPr>
          <w:ilvl w:val="1"/>
          <w:numId w:val="1054"/>
        </w:numPr>
      </w:pPr>
      <w:r>
        <w:t xml:space="preserve">invirtiendo en</w:t>
      </w:r>
      <w:r>
        <w:t xml:space="preserve"> </w:t>
      </w:r>
      <w:r>
        <w:rPr>
          <w:i/>
          <w:iCs/>
        </w:rPr>
        <w:t xml:space="preserve">capital físico</w:t>
      </w:r>
      <w:r>
        <w:t xml:space="preserve">;</w:t>
      </w:r>
    </w:p>
    <w:p>
      <w:pPr>
        <w:numPr>
          <w:ilvl w:val="1"/>
          <w:numId w:val="1054"/>
        </w:numPr>
      </w:pPr>
      <w:r>
        <w:t xml:space="preserve">invirtiendo en</w:t>
      </w:r>
      <w:r>
        <w:t xml:space="preserve"> </w:t>
      </w:r>
      <w:r>
        <w:rPr>
          <w:i/>
          <w:iCs/>
        </w:rPr>
        <w:t xml:space="preserve">capital natural</w:t>
      </w:r>
      <w:r>
        <w:t xml:space="preserve">, es decir, reduciendo emisiones hoy para tener menos daños mañana.</w:t>
      </w:r>
    </w:p>
    <w:p>
      <w:pPr>
        <w:numPr>
          <w:ilvl w:val="0"/>
          <w:numId w:val="1000"/>
        </w:numPr>
      </w:pPr>
      <w:r>
        <w:t xml:space="preserve">El modelo elige la mejor combinación de las 2.</w:t>
      </w:r>
    </w:p>
    <w:p>
      <w:pPr>
        <w:numPr>
          <w:ilvl w:val="0"/>
          <w:numId w:val="1053"/>
        </w:numPr>
      </w:pPr>
      <w:r>
        <w:t xml:space="preserve">La versión actual es la DICE-2023</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 que usamos en lo que sigue.</w:t>
      </w:r>
    </w:p>
    <w:bookmarkEnd w:id="72"/>
    <w:bookmarkStart w:id="83" w:name="b_modelo"/>
    <w:p>
      <w:pPr>
        <w:pStyle w:val="Heading4"/>
      </w:pPr>
      <w:r>
        <w:t xml:space="preserve">b) Modelo</w:t>
      </w:r>
    </w:p>
    <w:bookmarkStart w:id="77" w:name="i_supuestos"/>
    <w:p>
      <w:pPr>
        <w:pStyle w:val="Heading5"/>
      </w:pPr>
      <w:r>
        <w:t xml:space="preserve">i) Supuestos</w:t>
      </w:r>
    </w:p>
    <w:p>
      <w:pPr>
        <w:numPr>
          <w:ilvl w:val="0"/>
          <w:numId w:val="1055"/>
        </w:numPr>
      </w:pPr>
      <w:r>
        <w:t xml:space="preserve">Un</w:t>
      </w:r>
      <w:r>
        <w:t xml:space="preserve"> </w:t>
      </w:r>
      <w:r>
        <w:rPr>
          <w:i/>
          <w:iCs/>
        </w:rPr>
        <w:t xml:space="preserve">planificador mundial</w:t>
      </w:r>
      <w:r>
        <w:t xml:space="preserve"> </w:t>
      </w:r>
      <w:r>
        <w:t xml:space="preserve">con un solo bien, que se consume o se invierte, en periodos de 5 años; población</w:t>
      </w:r>
      <w:r>
        <w:t xml:space="preserve"> </w:t>
      </w:r>
      <m:oMath>
        <m:sSub>
          <m:e>
            <m:r>
              <m:t>L</m:t>
            </m:r>
          </m:e>
          <m:sub>
            <m:r>
              <m:t>t</m:t>
            </m:r>
          </m:sub>
        </m:sSub>
      </m:oMath>
      <w:r>
        <w:t xml:space="preserve"> </w:t>
      </w:r>
      <w:r>
        <w:t xml:space="preserve">y productividad total de los factores</w:t>
      </w:r>
      <w:r>
        <w:t xml:space="preserve"> </w:t>
      </w:r>
      <m:oMath>
        <m:sSub>
          <m:e>
            <m:r>
              <m:t>A</m:t>
            </m:r>
          </m:e>
          <m:sub>
            <m:r>
              <m:t>t</m:t>
            </m:r>
          </m:sub>
        </m:sSub>
      </m:oMath>
      <w:r>
        <w:t xml:space="preserve"> </w:t>
      </w:r>
      <w:r>
        <w:t xml:space="preserve">exógenas, crecientes y que se frenan con el tiempo.</w:t>
      </w:r>
    </w:p>
    <w:p>
      <w:pPr>
        <w:numPr>
          <w:ilvl w:val="0"/>
          <w:numId w:val="1055"/>
        </w:numPr>
      </w:pPr>
      <w:r>
        <w:rPr>
          <w:i/>
          <w:iCs/>
        </w:rPr>
        <w:t xml:space="preserve">Producción bruta</w:t>
      </w:r>
      <w:r>
        <w:t xml:space="preserve"> </w:t>
      </w:r>
      <w:r>
        <w:t xml:space="preserve">Cobb-Douglas,</w:t>
      </w:r>
      <w:r>
        <w:t xml:space="preserve"> </w:t>
      </w:r>
      <m:oMath>
        <m:sSub>
          <m:e>
            <m:r>
              <m:t>Y</m:t>
            </m:r>
          </m:e>
          <m:sub>
            <m:r>
              <m:t>t</m:t>
            </m:r>
          </m:sub>
        </m:sSub>
        <m:r>
          <m:rPr>
            <m:sty m:val="p"/>
          </m:rPr>
          <m:t>=</m:t>
        </m:r>
        <m:sSub>
          <m:e>
            <m:r>
              <m:t>A</m:t>
            </m:r>
          </m:e>
          <m:sub>
            <m:r>
              <m:t>t</m:t>
            </m:r>
          </m:sub>
        </m:sSub>
        <m:sSubSup>
          <m:e>
            <m:r>
              <m:t>K</m:t>
            </m:r>
          </m:e>
          <m:sub>
            <m:r>
              <m:t>t</m:t>
            </m:r>
          </m:sub>
          <m:sup>
            <m:r>
              <m:t>α</m:t>
            </m:r>
          </m:sup>
        </m:sSubSup>
        <m:sSubSup>
          <m:e>
            <m:r>
              <m:t>L</m:t>
            </m:r>
          </m:e>
          <m:sub>
            <m:r>
              <m:t>t</m:t>
            </m:r>
          </m:sub>
          <m:sup>
            <m:r>
              <m:t>1</m:t>
            </m:r>
            <m:r>
              <m:rPr>
                <m:sty m:val="p"/>
              </m:rPr>
              <m:t>−</m:t>
            </m:r>
            <m:r>
              <m:t>α</m:t>
            </m:r>
          </m:sup>
        </m:sSubSup>
      </m:oMath>
      <w:r>
        <w:t xml:space="preserve">, con una participación del capital</w:t>
      </w:r>
      <w:r>
        <w:t xml:space="preserve"> </w:t>
      </w:r>
      <m:oMath>
        <m:r>
          <m:t>α</m:t>
        </m:r>
        <m:r>
          <m:rPr>
            <m:sty m:val="p"/>
          </m:rPr>
          <m:t>=</m:t>
        </m:r>
        <m:r>
          <m:t>0</m:t>
        </m:r>
        <m:r>
          <m:rPr>
            <m:sty m:val="p"/>
          </m:rPr>
          <m:t>,</m:t>
        </m:r>
        <m:r>
          <m:t>3</m:t>
        </m:r>
      </m:oMath>
      <w:r>
        <w:t xml:space="preserve">, y depreciación</w:t>
      </w:r>
      <w:r>
        <w:t xml:space="preserve"> </w:t>
      </w:r>
      <m:oMath>
        <m:r>
          <m:t>δ</m:t>
        </m:r>
      </m:oMath>
      <w:r>
        <w:t xml:space="preserve"> </w:t>
      </w:r>
      <w:r>
        <w:t xml:space="preserve">(</w:t>
      </w:r>
      <w:hyperlink w:anchor="ref_BarrageNordhaus2023DICEwp">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2023</w:t>
        </w:r>
      </w:hyperlink>
      <w:r>
        <w:t xml:space="preserve">)</w:t>
      </w:r>
      <w:r>
        <w:t xml:space="preserve">.</w:t>
      </w:r>
    </w:p>
    <w:p>
      <w:pPr>
        <w:numPr>
          <w:ilvl w:val="0"/>
          <w:numId w:val="1055"/>
        </w:numPr>
      </w:pPr>
      <w:r>
        <w:rPr>
          <w:i/>
          <w:iCs/>
        </w:rPr>
        <w:t xml:space="preserve">Daños</w:t>
      </w:r>
      <w:r>
        <w:t xml:space="preserve">: una fracción</w:t>
      </w:r>
      <w:r>
        <w:t xml:space="preserve"> </w:t>
      </w:r>
      <m:oMath>
        <m:r>
          <m:t>Ω</m:t>
        </m:r>
        <m:d>
          <m:dPr>
            <m:begChr m:val="("/>
            <m:sepChr m:val=""/>
            <m:endChr m:val=")"/>
            <m:grow/>
          </m:dPr>
          <m:e>
            <m:sSub>
              <m:e>
                <m:r>
                  <m:t>T</m:t>
                </m:r>
              </m:e>
              <m:sub>
                <m:r>
                  <m:t>t</m:t>
                </m:r>
              </m:sub>
            </m:sSub>
          </m:e>
        </m:d>
      </m:oMath>
      <w:r>
        <w:t xml:space="preserve"> </w:t>
      </w:r>
      <w:r>
        <w:t xml:space="preserve">de la producción, creciente y convexa en el aumento de la temperatura respecto a la era preindustrial,</w:t>
      </w:r>
      <w:r>
        <w:t xml:space="preserve"> </w:t>
      </w:r>
      <m:oMath>
        <m:sSub>
          <m:e>
            <m:r>
              <m:t>T</m:t>
            </m:r>
          </m:e>
          <m:sub>
            <m:r>
              <m:t>t</m:t>
            </m:r>
          </m:sub>
        </m:sSub>
      </m:oMath>
      <w:r>
        <w:t xml:space="preserve">. En DICE-2023 es cuadrática,</w:t>
      </w:r>
      <w:r>
        <w:t xml:space="preserve"> </w:t>
      </w:r>
      <m:oMath>
        <m:r>
          <m:t>Ω</m:t>
        </m:r>
        <m:d>
          <m:dPr>
            <m:begChr m:val="("/>
            <m:sepChr m:val=""/>
            <m:endChr m:val=")"/>
            <m:grow/>
          </m:dPr>
          <m:e>
            <m:sSub>
              <m:e>
                <m:r>
                  <m:t>T</m:t>
                </m:r>
              </m:e>
              <m:sub>
                <m:r>
                  <m:t>t</m:t>
                </m:r>
              </m:sub>
            </m:sSub>
          </m:e>
        </m:d>
        <m:r>
          <m:rPr>
            <m:sty m:val="p"/>
          </m:rPr>
          <m:t>≃</m:t>
        </m:r>
        <m:r>
          <m:t>0</m:t>
        </m:r>
        <m:r>
          <m:rPr>
            <m:sty m:val="p"/>
          </m:rPr>
          <m:t>,</m:t>
        </m:r>
        <m:r>
          <m:t>0035</m:t>
        </m:r>
        <m:r>
          <m:t> </m:t>
        </m:r>
        <m:sSubSup>
          <m:e>
            <m:r>
              <m:t>T</m:t>
            </m:r>
          </m:e>
          <m:sub>
            <m:r>
              <m:t>t</m:t>
            </m:r>
          </m:sub>
          <m:sup>
            <m:r>
              <m:t>2</m:t>
            </m:r>
          </m:sup>
        </m:sSubSup>
      </m:oMath>
      <w:r>
        <w:t xml:space="preserve">: un 3,1 % del producto con 3 °C y un 7 % con 4,5 °C</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w:t>
      </w:r>
    </w:p>
    <w:p>
      <w:pPr>
        <w:numPr>
          <w:ilvl w:val="0"/>
          <w:numId w:val="1055"/>
        </w:numPr>
      </w:pPr>
      <w:r>
        <w:rPr>
          <w:i/>
          <w:iCs/>
        </w:rPr>
        <w:t xml:space="preserve">Reducción de emisiones</w:t>
      </w:r>
      <w:r>
        <w:t xml:space="preserve">: la sociedad elige la</w:t>
      </w:r>
      <w:r>
        <w:t xml:space="preserve"> </w:t>
      </w:r>
      <w:r>
        <w:rPr>
          <w:b/>
          <w:bCs/>
        </w:rPr>
        <w:t xml:space="preserve">tasa de control</w:t>
      </w:r>
      <w:r>
        <w:t xml:space="preserve"> </w:t>
      </w:r>
      <m:oMath>
        <m:sSub>
          <m:e>
            <m:r>
              <m:t>μ</m:t>
            </m:r>
          </m:e>
          <m:sub>
            <m:r>
              <m:t>t</m:t>
            </m:r>
          </m:sub>
        </m:sSub>
        <m:r>
          <m:rPr>
            <m:sty m:val="p"/>
          </m:rPr>
          <m:t>∈</m:t>
        </m:r>
        <m:d>
          <m:dPr>
            <m:begChr m:val="["/>
            <m:sepChr m:val=""/>
            <m:endChr m:val="]"/>
            <m:grow/>
          </m:dPr>
          <m:e>
            <m:r>
              <m:t>0</m:t>
            </m:r>
            <m:r>
              <m:rPr>
                <m:sty m:val="p"/>
              </m:rPr>
              <m:t>,</m:t>
            </m:r>
            <m:r>
              <m:t>1</m:t>
            </m:r>
          </m:e>
        </m:d>
      </m:oMath>
      <w:r>
        <w:t xml:space="preserve">, la fracción de las emisiones que evita, y paga por ello una fracción</w:t>
      </w:r>
      <w:r>
        <w:t xml:space="preserve"> </w:t>
      </w:r>
      <m:oMath>
        <m:r>
          <m:t>Λ</m:t>
        </m:r>
        <m:d>
          <m:dPr>
            <m:begChr m:val="("/>
            <m:sepChr m:val=""/>
            <m:endChr m:val=")"/>
            <m:grow/>
          </m:dPr>
          <m:e>
            <m:sSub>
              <m:e>
                <m:r>
                  <m:t>μ</m:t>
                </m:r>
              </m:e>
              <m:sub>
                <m:r>
                  <m:t>t</m:t>
                </m:r>
              </m:sub>
            </m:sSub>
          </m:e>
        </m:d>
        <m:r>
          <m:rPr>
            <m:sty m:val="p"/>
          </m:rPr>
          <m:t>=</m:t>
        </m:r>
        <m:sSub>
          <m:e>
            <m:r>
              <m:t>ϑ</m:t>
            </m:r>
          </m:e>
          <m:sub>
            <m:r>
              <m:t>1</m:t>
            </m:r>
            <m:r>
              <m:rPr>
                <m:sty m:val="p"/>
              </m:rPr>
              <m:t>,</m:t>
            </m:r>
            <m:r>
              <m:t>t</m:t>
            </m:r>
          </m:sub>
        </m:sSub>
        <m:r>
          <m:t> </m:t>
        </m:r>
        <m:sSubSup>
          <m:e>
            <m:r>
              <m:t>μ</m:t>
            </m:r>
          </m:e>
          <m:sub>
            <m:r>
              <m:t>t</m:t>
            </m:r>
          </m:sub>
          <m:sup>
            <m:sSub>
              <m:e>
                <m:r>
                  <m:t>ϑ</m:t>
                </m:r>
              </m:e>
              <m:sub>
                <m:r>
                  <m:t>2</m:t>
                </m:r>
              </m:sub>
            </m:sSub>
          </m:sup>
        </m:sSubSup>
      </m:oMath>
      <w:r>
        <w:t xml:space="preserve"> </w:t>
      </w:r>
      <w:r>
        <w:t xml:space="preserve">de la producción, creciente y muy convexa (</w:t>
      </w:r>
      <m:oMath>
        <m:sSub>
          <m:e>
            <m:r>
              <m:t>ϑ</m:t>
            </m:r>
          </m:e>
          <m:sub>
            <m:r>
              <m:t>2</m:t>
            </m:r>
          </m:sub>
        </m:sSub>
        <m:r>
          <m:rPr>
            <m:sty m:val="p"/>
          </m:rPr>
          <m:t>=</m:t>
        </m:r>
        <m:r>
          <m:t>2</m:t>
        </m:r>
        <m:r>
          <m:rPr>
            <m:sty m:val="p"/>
          </m:rPr>
          <m:t>,</m:t>
        </m:r>
        <m:r>
          <m:t>6</m:t>
        </m:r>
      </m:oMath>
      <w:r>
        <w:t xml:space="preserve">).</w:t>
      </w:r>
    </w:p>
    <w:p>
      <w:pPr>
        <w:numPr>
          <w:ilvl w:val="0"/>
          <w:numId w:val="1055"/>
        </w:numPr>
      </w:pPr>
      <w:r>
        <w:rPr>
          <w:i/>
          <w:iCs/>
        </w:rPr>
        <w:t xml:space="preserve">Emisiones</w:t>
      </w:r>
      <w:r>
        <w:t xml:space="preserve">: proporcionales a la producción, con una intensidad</w:t>
      </w:r>
      <w:r>
        <w:t xml:space="preserve"> </w:t>
      </w:r>
      <m:oMath>
        <m:sSub>
          <m:e>
            <m:r>
              <m:t>σ</m:t>
            </m:r>
          </m:e>
          <m:sub>
            <m:r>
              <m:t>t</m:t>
            </m:r>
          </m:sub>
        </m:sSub>
      </m:oMath>
      <w:r>
        <w:t xml:space="preserve"> </w:t>
      </w:r>
      <w:r>
        <w:t xml:space="preserve">que baja con el tiempo,</w:t>
      </w:r>
      <w:r>
        <w:t xml:space="preserve"> </w:t>
      </w:r>
      <m:oMath>
        <m:sSub>
          <m:e>
            <m:r>
              <m:t>E</m:t>
            </m:r>
          </m:e>
          <m:sub>
            <m:r>
              <m:t>t</m:t>
            </m:r>
          </m:sub>
        </m:sSub>
        <m:r>
          <m:rPr>
            <m:sty m:val="p"/>
          </m:rPr>
          <m:t>=</m:t>
        </m:r>
        <m:sSub>
          <m:e>
            <m:r>
              <m:t>σ</m:t>
            </m:r>
          </m:e>
          <m:sub>
            <m:r>
              <m:t>t</m:t>
            </m:r>
          </m:sub>
        </m:sSub>
        <m:d>
          <m:dPr>
            <m:begChr m:val="("/>
            <m:sepChr m:val=""/>
            <m:endChr m:val=")"/>
            <m:grow/>
          </m:dPr>
          <m:e>
            <m:r>
              <m:t>1</m:t>
            </m:r>
            <m:r>
              <m:rPr>
                <m:sty m:val="p"/>
              </m:rPr>
              <m:t>−</m:t>
            </m:r>
            <m:sSub>
              <m:e>
                <m:r>
                  <m:t>μ</m:t>
                </m:r>
              </m:e>
              <m:sub>
                <m:r>
                  <m:t>t</m:t>
                </m:r>
              </m:sub>
            </m:sSub>
          </m:e>
        </m:d>
        <m:sSub>
          <m:e>
            <m:r>
              <m:t>Y</m:t>
            </m:r>
          </m:e>
          <m:sub>
            <m:r>
              <m:t>t</m:t>
            </m:r>
          </m:sub>
        </m:sSub>
      </m:oMath>
      <w:r>
        <w:t xml:space="preserve">, más las de los usos del suelo.</w:t>
      </w:r>
    </w:p>
    <w:p>
      <w:pPr>
        <w:numPr>
          <w:ilvl w:val="0"/>
          <w:numId w:val="1055"/>
        </w:numPr>
      </w:pPr>
      <w:r>
        <w:rPr>
          <w:i/>
          <w:iCs/>
        </w:rPr>
        <w:t xml:space="preserve">Módulo climático</w:t>
      </w:r>
      <w:r>
        <w:t xml:space="preserve">: las emisiones se acumulan en la atmósfera, aumentan el forzamiento radiativo y, con retraso, la temperatura,</w:t>
      </w:r>
      <w:r>
        <w:t xml:space="preserve"> </w:t>
      </w:r>
      <m:oMath>
        <m:sSub>
          <m:e>
            <m:r>
              <m:t>T</m:t>
            </m:r>
          </m:e>
          <m:sub>
            <m:r>
              <m:t>t</m:t>
            </m:r>
          </m:sub>
        </m:sSub>
      </m:oMath>
      <w:r>
        <w:t xml:space="preserve">. Sus ecuaciones están en el anexo </w:t>
      </w:r>
      <w:hyperlink w:anchor="anexo_dice">
        <w:r>
          <w:rPr>
            <w:rStyle w:val="Hyperlink"/>
          </w:rPr>
          <w:t xml:space="preserve">A</w:t>
        </w:r>
      </w:hyperlink>
      <w:r>
        <w:t xml:space="preserve">.</w:t>
      </w:r>
    </w:p>
    <w:p>
      <w:pPr>
        <w:numPr>
          <w:ilvl w:val="0"/>
          <w:numId w:val="1055"/>
        </w:numPr>
      </w:pPr>
      <w:r>
        <w:rPr>
          <w:i/>
          <w:iCs/>
        </w:rPr>
        <w:t xml:space="preserve">Preferencias</w:t>
      </w:r>
      <w:r>
        <w:t xml:space="preserve">: utilidad isoelástica del consumo por habitante,</w:t>
      </w:r>
      <w:r>
        <w:t xml:space="preserve"> </w:t>
      </w:r>
      <m:oMath>
        <m:sSub>
          <m:e>
            <m:r>
              <m:t>c</m:t>
            </m:r>
          </m:e>
          <m:sub>
            <m:r>
              <m:t>t</m:t>
            </m:r>
          </m:sub>
        </m:sSub>
        <m:r>
          <m:rPr>
            <m:sty m:val="p"/>
          </m:rPr>
          <m:t>≡</m:t>
        </m:r>
        <m:sSub>
          <m:e>
            <m:r>
              <m:t>C</m:t>
            </m:r>
          </m:e>
          <m:sub>
            <m:r>
              <m:t>t</m:t>
            </m:r>
          </m:sub>
        </m:sSub>
        <m:r>
          <m:rPr>
            <m:sty m:val="p"/>
          </m:rPr>
          <m:t>/</m:t>
        </m:r>
        <m:sSub>
          <m:e>
            <m:r>
              <m:t>L</m:t>
            </m:r>
          </m:e>
          <m:sub>
            <m:r>
              <m:t>t</m:t>
            </m:r>
          </m:sub>
        </m:sSub>
      </m:oMath>
      <w:r>
        <w:t xml:space="preserve">, con elasticidad de la utilidad marginal</w:t>
      </w:r>
      <w:r>
        <w:t xml:space="preserve"> </w:t>
      </w:r>
      <m:oMath>
        <m:r>
          <m:t>θ</m:t>
        </m:r>
      </m:oMath>
      <w:r>
        <w:t xml:space="preserve">, ponderada por la población y descontada con el factor</w:t>
      </w:r>
      <w:r>
        <w:t xml:space="preserve"> </w:t>
      </w:r>
      <m:oMath>
        <m:r>
          <m:t>β</m:t>
        </m:r>
        <m:r>
          <m:rPr>
            <m:sty m:val="p"/>
          </m:rPr>
          <m:t>≡</m:t>
        </m:r>
        <m:r>
          <m:t>1</m:t>
        </m:r>
        <m:r>
          <m:rPr>
            <m:sty m:val="p"/>
          </m:rPr>
          <m:t>/</m:t>
        </m:r>
        <m:d>
          <m:dPr>
            <m:begChr m:val="("/>
            <m:sepChr m:val=""/>
            <m:endChr m:val=")"/>
            <m:grow/>
          </m:dPr>
          <m:e>
            <m:r>
              <m:t>1</m:t>
            </m:r>
            <m:r>
              <m:rPr>
                <m:sty m:val="p"/>
              </m:rPr>
              <m:t>+</m:t>
            </m:r>
            <m:r>
              <m:t>ρ</m:t>
            </m:r>
          </m:e>
        </m:d>
      </m:oMath>
      <w:r>
        <w:t xml:space="preserve">, donde</w:t>
      </w:r>
      <w:r>
        <w:t xml:space="preserve"> </w:t>
      </w:r>
      <m:oMath>
        <m:r>
          <m:t>ρ</m:t>
        </m:r>
      </m:oMath>
      <w:r>
        <w:t xml:space="preserve"> </w:t>
      </w:r>
      <w:r>
        <w:t xml:space="preserve">es la tasa de</w:t>
      </w:r>
      <w:r>
        <w:t xml:space="preserve"> </w:t>
      </w:r>
      <w:r>
        <w:rPr>
          <w:b/>
          <w:bCs/>
        </w:rPr>
        <w:t xml:space="preserve">preferencia temporal pura</w:t>
      </w:r>
      <w:r>
        <w:t xml:space="preserve">.</w:t>
      </w:r>
    </w:p>
    <w:p>
      <w:pPr>
        <w:numPr>
          <w:ilvl w:val="0"/>
          <w:numId w:val="1055"/>
        </w:numPr>
      </w:pPr>
      <w:r>
        <w:rPr>
          <w:i/>
          <w:iCs/>
        </w:rPr>
        <w:t xml:space="preserve">Letras locales</w:t>
      </w:r>
      <w:r>
        <w:t xml:space="preserve">: aquí</w:t>
      </w:r>
      <w:r>
        <w:t xml:space="preserve"> </w:t>
      </w:r>
      <m:oMath>
        <m:sSub>
          <m:e>
            <m:r>
              <m:t>T</m:t>
            </m:r>
          </m:e>
          <m:sub>
            <m:r>
              <m:t>t</m:t>
            </m:r>
          </m:sub>
        </m:sSub>
      </m:oMath>
      <w:r>
        <w:t xml:space="preserve"> </w:t>
      </w:r>
      <w:r>
        <w:t xml:space="preserve">es la temperatura (no la recaudación),</w:t>
      </w:r>
      <w:r>
        <w:t xml:space="preserve"> </w:t>
      </w:r>
      <m:oMath>
        <m:sSub>
          <m:e>
            <m:r>
              <m:t>σ</m:t>
            </m:r>
          </m:e>
          <m:sub>
            <m:r>
              <m:t>t</m:t>
            </m:r>
          </m:sub>
        </m:sSub>
      </m:oMath>
      <w:r>
        <w:t xml:space="preserve"> </w:t>
      </w:r>
      <w:r>
        <w:t xml:space="preserve">la intensidad de emisiones (no la elasticidad de sustitución) y</w:t>
      </w:r>
      <w:r>
        <w:t xml:space="preserve"> </w:t>
      </w:r>
      <m:oMath>
        <m:sSub>
          <m:e>
            <m:r>
              <m:t>μ</m:t>
            </m:r>
          </m:e>
          <m:sub>
            <m:r>
              <m:t>t</m:t>
            </m:r>
          </m:sub>
        </m:sSub>
      </m:oMath>
      <w:r>
        <w:t xml:space="preserve"> </w:t>
      </w:r>
      <w:r>
        <w:t xml:space="preserve">la tasa de control (no el margen);</w:t>
      </w:r>
      <w:r>
        <w:t xml:space="preserve"> </w:t>
      </w:r>
      <m:oMath>
        <m:r>
          <m:t>Ω</m:t>
        </m:r>
      </m:oMath>
      <w:r>
        <w:t xml:space="preserve"> </w:t>
      </w:r>
      <w:r>
        <w:t xml:space="preserve">y</w:t>
      </w:r>
      <w:r>
        <w:t xml:space="preserve"> </w:t>
      </w:r>
      <m:oMath>
        <m:r>
          <m:t>Λ</m:t>
        </m:r>
      </m:oMath>
      <w:r>
        <w:t xml:space="preserve"> </w:t>
      </w:r>
      <w:r>
        <w:t xml:space="preserve">son los daños y el coste de reducir, y</w:t>
      </w:r>
      <w:r>
        <w:t xml:space="preserve"> </w:t>
      </w:r>
      <m:oMath>
        <m:sSub>
          <m:e>
            <m:r>
              <m:t>ϑ</m:t>
            </m:r>
          </m:e>
          <m:sub>
            <m:r>
              <m:t>1</m:t>
            </m:r>
          </m:sub>
        </m:sSub>
      </m:oMath>
      <w:r>
        <w:t xml:space="preserve">,</w:t>
      </w:r>
      <w:r>
        <w:t xml:space="preserve"> </w:t>
      </w:r>
      <m:oMath>
        <m:sSub>
          <m:e>
            <m:r>
              <m:t>ϑ</m:t>
            </m:r>
          </m:e>
          <m:sub>
            <m:r>
              <m:t>2</m:t>
            </m:r>
          </m:sub>
        </m:sSub>
      </m:oMath>
      <w:r>
        <w:t xml:space="preserve">, los parámetros de ese coste, que en el artículo original llevan otra letra.</w:t>
      </w:r>
    </w:p>
    <w:bookmarkStart w:id="76" w:name="fig_dice_esquema"/>
    <w:p>
      <w:pPr>
        <w:pStyle w:val="ImageCaption"/>
      </w:pPr>
      <w:r>
        <w:t xml:space="preserve">Gráfico 5.–</w:t>
      </w:r>
      <w:r>
        <w:t xml:space="preserve"> </w:t>
      </w:r>
      <w:r>
        <w:t xml:space="preserve">El modelo DICE: de la producción a las emisiones, el clima y los daños</w:t>
      </w:r>
    </w:p>
    <w:p>
      <w:pPr>
        <w:pStyle w:val="CaptionedFigure"/>
      </w:pPr>
      <w:r>
        <w:drawing>
          <wp:inline>
            <wp:extent cx="4520010" cy="3097950"/>
            <wp:effectExtent b="0" l="0" r="0" t="0"/>
            <wp:docPr descr="Gráfico 5.– El modelo DICE: de la producción a las emisiones, el clima y los daños" title="" id="74" name="Picture"/>
            <a:graphic>
              <a:graphicData uri="http://schemas.openxmlformats.org/drawingml/2006/picture">
                <pic:pic>
                  <pic:nvPicPr>
                    <pic:cNvPr descr="C:\Users\vgutierrez\Documents\src\victorgutierrezmarcos.github.io-revision\oposicion\temario\fuentes\3B31\graficos/dice-esquema.png" id="75" name="Picture"/>
                    <pic:cNvPicPr>
                      <a:picLocks noChangeArrowheads="1" noChangeAspect="1"/>
                    </pic:cNvPicPr>
                  </pic:nvPicPr>
                  <pic:blipFill>
                    <a:blip r:embed="rId73"/>
                    <a:stretch>
                      <a:fillRect/>
                    </a:stretch>
                  </pic:blipFill>
                  <pic:spPr bwMode="auto">
                    <a:xfrm>
                      <a:off x="0" y="0"/>
                      <a:ext cx="4520010" cy="3097950"/>
                    </a:xfrm>
                    <a:prstGeom prst="rect">
                      <a:avLst/>
                    </a:prstGeom>
                    <a:noFill/>
                    <a:ln w="9525">
                      <a:noFill/>
                      <a:headEnd/>
                      <a:tailEnd/>
                    </a:ln>
                  </pic:spPr>
                </pic:pic>
              </a:graphicData>
            </a:graphic>
          </wp:inline>
        </w:drawing>
      </w:r>
    </w:p>
    <w:bookmarkEnd w:id="76"/>
    <w:p>
      <w:pPr>
        <w:pStyle w:val="Piedeimagen"/>
      </w:pPr>
      <w:r>
        <w:t xml:space="preserve">Fuente: elaboración propia a partir de</w:t>
      </w:r>
      <w:r>
        <w:t xml:space="preserve"> </w:t>
      </w:r>
      <w:r>
        <w:rPr>
          <w:smallCaps/>
        </w:rPr>
        <w:t xml:space="preserve">Barrage</w:t>
      </w:r>
      <w:r>
        <w:t xml:space="preserve"> </w:t>
      </w:r>
      <w:r>
        <w:t xml:space="preserve">y</w:t>
      </w:r>
      <w:r>
        <w:t xml:space="preserve"> </w:t>
      </w:r>
      <w:r>
        <w:rPr>
          <w:smallCaps/>
        </w:rPr>
        <w:t xml:space="preserve">Nordhaus</w:t>
      </w:r>
      <w:r>
        <w:t xml:space="preserve"> </w:t>
      </w:r>
      <w:r>
        <w:t xml:space="preserve">(</w:t>
      </w:r>
      <w:hyperlink w:anchor="ref_BarrageNordhaus2024DICE">
        <w:r>
          <w:rPr>
            <w:rStyle w:val="Hyperlink"/>
          </w:rPr>
          <w:t xml:space="preserve">2024</w:t>
        </w:r>
      </w:hyperlink>
      <w:r>
        <w:t xml:space="preserve">)</w:t>
      </w:r>
      <w:r>
        <w:t xml:space="preserve">.</w:t>
      </w:r>
    </w:p>
    <w:bookmarkEnd w:id="77"/>
    <w:bookmarkStart w:id="81" w:name="ii_desarrollo"/>
    <w:p>
      <w:pPr>
        <w:pStyle w:val="Heading5"/>
      </w:pPr>
      <w:r>
        <w:t xml:space="preserve">ii) Desarrollo</w:t>
      </w:r>
    </w:p>
    <w:p>
      <w:pPr>
        <w:numPr>
          <w:ilvl w:val="0"/>
          <w:numId w:val="1056"/>
        </w:numPr>
      </w:pPr>
      <w:r>
        <w:t xml:space="preserve">El planificador elige en cada periodo la inversión y la tasa de control;</w:t>
      </w:r>
      <w:r>
        <w:t xml:space="preserve"> </w:t>
      </w:r>
      <m:oMath>
        <m:r>
          <m:t>Φ</m:t>
        </m:r>
      </m:oMath>
      <w:r>
        <w:t xml:space="preserve"> </w:t>
      </w:r>
      <w:r>
        <w:t xml:space="preserve">resume el módulo climático, que hace depender la temperatura de todas las emisiones pasadas:</w:t>
      </w:r>
    </w:p>
    <w:bookmarkStart w:id="78" w:name="eq_dice"/>
    <w:bookmarkEnd w:id="78"/>
    <w:p>
      <w:pPr>
        <w:pStyle w:val="Funcionclave"/>
        <w:keepLines/>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rPr>
                        <m:sty m:val="p"/>
                      </m:rPr>
                      <m:t>{</m:t>
                    </m:r>
                    <m:sSub>
                      <m:e>
                        <m:r>
                          <m:t>I</m:t>
                        </m:r>
                      </m:e>
                      <m:sub>
                        <m:r>
                          <m:t>t</m:t>
                        </m:r>
                      </m:sub>
                    </m:sSub>
                    <m:r>
                      <m:rPr>
                        <m:sty m:val="p"/>
                      </m:rPr>
                      <m:t>,</m:t>
                    </m:r>
                    <m:r>
                      <m:t> </m:t>
                    </m:r>
                    <m:sSub>
                      <m:e>
                        <m:r>
                          <m:t>μ</m:t>
                        </m:r>
                      </m:e>
                      <m:sub>
                        <m:r>
                          <m:t>t</m:t>
                        </m:r>
                      </m:sub>
                    </m:sSub>
                    <m:r>
                      <m:rPr>
                        <m:sty m:val="p"/>
                      </m:rPr>
                      <m:t>}</m:t>
                    </m:r>
                  </m:lim>
                </m:limLow>
              </m:e>
              <m:e>
                <m:r>
                  <m:t>W</m:t>
                </m:r>
                <m:r>
                  <m:rPr>
                    <m:sty m:val="p"/>
                  </m:rPr>
                  <m:t>=</m:t>
                </m:r>
                <m:nary>
                  <m:naryPr>
                    <m:chr m:val="∑"/>
                    <m:limLoc m:val="undOvr"/>
                    <m:subHide m:val="off"/>
                    <m:supHide m:val="off"/>
                  </m:naryPr>
                  <m:sub>
                    <m:r>
                      <m:t>t</m:t>
                    </m:r>
                    <m:r>
                      <m:rPr>
                        <m:sty m:val="p"/>
                      </m:rPr>
                      <m:t>=</m:t>
                    </m:r>
                    <m:r>
                      <m:t>0</m:t>
                    </m:r>
                  </m:sub>
                  <m:sup>
                    <m:r>
                      <m:rPr>
                        <m:sty m:val="p"/>
                      </m:rPr>
                      <m:t>∞</m:t>
                    </m:r>
                  </m:sup>
                  <m:e>
                    <m:sSup>
                      <m:e>
                        <m:r>
                          <m:t>β</m:t>
                        </m:r>
                      </m:e>
                      <m:sup>
                        <m:r>
                          <m:t>t</m:t>
                        </m:r>
                      </m:sup>
                    </m:sSup>
                  </m:e>
                </m:nary>
                <m:r>
                  <m:t> </m:t>
                </m:r>
                <m:sSub>
                  <m:e>
                    <m:r>
                      <m:t>L</m:t>
                    </m:r>
                  </m:e>
                  <m:sub>
                    <m:r>
                      <m:t>t</m:t>
                    </m:r>
                  </m:sub>
                </m:sSub>
                <m:r>
                  <m:t> </m:t>
                </m:r>
                <m:f>
                  <m:fPr>
                    <m:type m:val="bar"/>
                  </m:fPr>
                  <m:num>
                    <m:sSubSup>
                      <m:e>
                        <m:r>
                          <m:t>c</m:t>
                        </m:r>
                      </m:e>
                      <m:sub>
                        <m:r>
                          <m:t>t</m:t>
                        </m:r>
                      </m:sub>
                      <m:sup>
                        <m:r>
                          <m:t>1</m:t>
                        </m:r>
                        <m:r>
                          <m:rPr>
                            <m:sty m:val="p"/>
                          </m:rPr>
                          <m:t>−</m:t>
                        </m:r>
                        <m:r>
                          <m:t>θ</m:t>
                        </m:r>
                      </m:sup>
                    </m:sSubSup>
                  </m:num>
                  <m:den>
                    <m:r>
                      <m:t>1</m:t>
                    </m:r>
                    <m:r>
                      <m:rPr>
                        <m:sty m:val="p"/>
                      </m:rPr>
                      <m:t>−</m:t>
                    </m:r>
                    <m:r>
                      <m:t>θ</m:t>
                    </m:r>
                  </m:den>
                </m:f>
              </m:e>
            </m:mr>
            <m:mr>
              <m:e>
                <m:r>
                  <m:rPr>
                    <m:nor/>
                    <m:sty m:val="p"/>
                  </m:rPr>
                  <m:t>s.a.</m:t>
                </m:r>
              </m:e>
              <m:e>
                <m:sSub>
                  <m:e>
                    <m:r>
                      <m:t>Q</m:t>
                    </m:r>
                  </m:e>
                  <m:sub>
                    <m:r>
                      <m:t>t</m:t>
                    </m:r>
                  </m:sub>
                </m:sSub>
                <m:r>
                  <m:rPr>
                    <m:sty m:val="p"/>
                  </m:rPr>
                  <m:t>≡</m:t>
                </m:r>
                <m:d>
                  <m:dPr>
                    <m:begChr m:val="["/>
                    <m:sepChr m:val=""/>
                    <m:endChr m:val="]"/>
                    <m:grow/>
                  </m:dPr>
                  <m:e>
                    <m:r>
                      <m:t>1</m:t>
                    </m:r>
                    <m:r>
                      <m:rPr>
                        <m:sty m:val="p"/>
                      </m:rPr>
                      <m:t>−</m:t>
                    </m:r>
                    <m:r>
                      <m:t>Λ</m:t>
                    </m:r>
                    <m:d>
                      <m:dPr>
                        <m:begChr m:val="("/>
                        <m:sepChr m:val=""/>
                        <m:endChr m:val=")"/>
                        <m:grow/>
                      </m:dPr>
                      <m:e>
                        <m:sSub>
                          <m:e>
                            <m:r>
                              <m:t>μ</m:t>
                            </m:r>
                          </m:e>
                          <m:sub>
                            <m:r>
                              <m:t>t</m:t>
                            </m:r>
                          </m:sub>
                        </m:sSub>
                      </m:e>
                    </m:d>
                  </m:e>
                </m:d>
                <m:d>
                  <m:dPr>
                    <m:begChr m:val="["/>
                    <m:sepChr m:val=""/>
                    <m:endChr m:val="]"/>
                    <m:grow/>
                  </m:dPr>
                  <m:e>
                    <m:r>
                      <m:t>1</m:t>
                    </m:r>
                    <m:r>
                      <m:rPr>
                        <m:sty m:val="p"/>
                      </m:rPr>
                      <m:t>−</m:t>
                    </m:r>
                    <m:r>
                      <m:t>Ω</m:t>
                    </m:r>
                    <m:d>
                      <m:dPr>
                        <m:begChr m:val="("/>
                        <m:sepChr m:val=""/>
                        <m:endChr m:val=")"/>
                        <m:grow/>
                      </m:dPr>
                      <m:e>
                        <m:sSub>
                          <m:e>
                            <m:r>
                              <m:t>T</m:t>
                            </m:r>
                          </m:e>
                          <m:sub>
                            <m:r>
                              <m:t>t</m:t>
                            </m:r>
                          </m:sub>
                        </m:sSub>
                      </m:e>
                    </m:d>
                  </m:e>
                </m:d>
                <m:sSub>
                  <m:e>
                    <m:r>
                      <m:t>Y</m:t>
                    </m:r>
                  </m:e>
                  <m:sub>
                    <m:r>
                      <m:t>t</m:t>
                    </m:r>
                  </m:sub>
                </m:sSub>
                <m:r>
                  <m:rPr>
                    <m:sty m:val="p"/>
                  </m:rPr>
                  <m:t>=</m:t>
                </m:r>
                <m:sSub>
                  <m:e>
                    <m:r>
                      <m:t>C</m:t>
                    </m:r>
                  </m:e>
                  <m:sub>
                    <m:r>
                      <m:t>t</m:t>
                    </m:r>
                  </m:sub>
                </m:sSub>
                <m:r>
                  <m:rPr>
                    <m:sty m:val="p"/>
                  </m:rPr>
                  <m:t>+</m:t>
                </m:r>
                <m:sSub>
                  <m:e>
                    <m:r>
                      <m:t>I</m:t>
                    </m:r>
                  </m:e>
                  <m:sub>
                    <m:r>
                      <m:t>t</m:t>
                    </m:r>
                  </m:sub>
                </m:sSub>
              </m:e>
            </m:mr>
            <m:mr>
              <m:e/>
              <m:e>
                <m:sSub>
                  <m:e>
                    <m:r>
                      <m:t>K</m:t>
                    </m:r>
                  </m:e>
                  <m:sub>
                    <m:r>
                      <m:t>t</m:t>
                    </m:r>
                    <m:r>
                      <m:rPr>
                        <m:sty m:val="p"/>
                      </m:rPr>
                      <m:t>+</m:t>
                    </m:r>
                    <m:r>
                      <m:t>1</m:t>
                    </m:r>
                  </m:sub>
                </m:sSub>
                <m:r>
                  <m:rPr>
                    <m:sty m:val="p"/>
                  </m:rPr>
                  <m:t>=</m:t>
                </m:r>
                <m:d>
                  <m:dPr>
                    <m:begChr m:val="("/>
                    <m:sepChr m:val=""/>
                    <m:endChr m:val=")"/>
                    <m:grow/>
                  </m:dPr>
                  <m:e>
                    <m:r>
                      <m:t>1</m:t>
                    </m:r>
                    <m:r>
                      <m:rPr>
                        <m:sty m:val="p"/>
                      </m:rPr>
                      <m:t>−</m:t>
                    </m:r>
                    <m:r>
                      <m:t>δ</m:t>
                    </m:r>
                  </m:e>
                </m:d>
                <m:sSub>
                  <m:e>
                    <m:r>
                      <m:t>K</m:t>
                    </m:r>
                  </m:e>
                  <m:sub>
                    <m:r>
                      <m:t>t</m:t>
                    </m:r>
                  </m:sub>
                </m:sSub>
                <m:r>
                  <m:rPr>
                    <m:sty m:val="p"/>
                  </m:rPr>
                  <m:t>+</m:t>
                </m:r>
                <m:sSub>
                  <m:e>
                    <m:r>
                      <m:t>I</m:t>
                    </m:r>
                  </m:e>
                  <m:sub>
                    <m:r>
                      <m:t>t</m:t>
                    </m:r>
                  </m:sub>
                </m:sSub>
              </m:e>
            </m:mr>
            <m:mr>
              <m:e/>
              <m:e>
                <m:sSub>
                  <m:e>
                    <m:r>
                      <m:t>E</m:t>
                    </m:r>
                  </m:e>
                  <m:sub>
                    <m:r>
                      <m:t>t</m:t>
                    </m:r>
                  </m:sub>
                </m:sSub>
                <m:r>
                  <m:rPr>
                    <m:sty m:val="p"/>
                  </m:rPr>
                  <m:t>=</m:t>
                </m:r>
                <m:sSub>
                  <m:e>
                    <m:r>
                      <m:t>σ</m:t>
                    </m:r>
                  </m:e>
                  <m:sub>
                    <m:r>
                      <m:t>t</m:t>
                    </m:r>
                  </m:sub>
                </m:sSub>
                <m:d>
                  <m:dPr>
                    <m:begChr m:val="("/>
                    <m:sepChr m:val=""/>
                    <m:endChr m:val=")"/>
                    <m:grow/>
                  </m:dPr>
                  <m:e>
                    <m:r>
                      <m:t>1</m:t>
                    </m:r>
                    <m:r>
                      <m:rPr>
                        <m:sty m:val="p"/>
                      </m:rPr>
                      <m:t>−</m:t>
                    </m:r>
                    <m:sSub>
                      <m:e>
                        <m:r>
                          <m:t>μ</m:t>
                        </m:r>
                      </m:e>
                      <m:sub>
                        <m:r>
                          <m:t>t</m:t>
                        </m:r>
                      </m:sub>
                    </m:sSub>
                  </m:e>
                </m:d>
                <m:sSub>
                  <m:e>
                    <m:r>
                      <m:t>Y</m:t>
                    </m:r>
                  </m:e>
                  <m:sub>
                    <m:r>
                      <m:t>t</m:t>
                    </m:r>
                  </m:sub>
                </m:sSub>
              </m:e>
            </m:mr>
            <m:mr>
              <m:e/>
              <m:e>
                <m:sSub>
                  <m:e>
                    <m:r>
                      <m:t>T</m:t>
                    </m:r>
                  </m:e>
                  <m:sub>
                    <m:r>
                      <m:t>t</m:t>
                    </m:r>
                  </m:sub>
                </m:sSub>
                <m:r>
                  <m:rPr>
                    <m:sty m:val="p"/>
                  </m:rPr>
                  <m:t>=</m:t>
                </m:r>
                <m:r>
                  <m:t>Φ</m:t>
                </m:r>
                <m:d>
                  <m:dPr>
                    <m:begChr m:val="("/>
                    <m:sepChr m:val=""/>
                    <m:endChr m:val=")"/>
                    <m:grow/>
                  </m:dPr>
                  <m:e>
                    <m:sSub>
                      <m:e>
                        <m:r>
                          <m:t>E</m:t>
                        </m:r>
                      </m:e>
                      <m:sub>
                        <m:r>
                          <m:t>0</m:t>
                        </m:r>
                      </m:sub>
                    </m:sSub>
                    <m:r>
                      <m:rPr>
                        <m:sty m:val="p"/>
                      </m:rPr>
                      <m:t>,</m:t>
                    </m:r>
                    <m:sSub>
                      <m:e>
                        <m:r>
                          <m:t>E</m:t>
                        </m:r>
                      </m:e>
                      <m:sub>
                        <m:r>
                          <m:t>1</m:t>
                        </m:r>
                      </m:sub>
                    </m:sSub>
                    <m:r>
                      <m:rPr>
                        <m:sty m:val="p"/>
                      </m:rPr>
                      <m:t>,</m:t>
                    </m:r>
                    <m:r>
                      <m:rPr>
                        <m:sty m:val="p"/>
                      </m:rPr>
                      <m:t>…</m:t>
                    </m:r>
                    <m:r>
                      <m:rPr>
                        <m:sty m:val="p"/>
                      </m:rPr>
                      <m:t>,</m:t>
                    </m:r>
                    <m:sSub>
                      <m:e>
                        <m:r>
                          <m:t>E</m:t>
                        </m:r>
                      </m:e>
                      <m:sub>
                        <m:r>
                          <m:t>t</m:t>
                        </m:r>
                      </m:sub>
                    </m:sSub>
                  </m:e>
                </m:d>
              </m:e>
            </m:mr>
          </m:m>
        </m:oMath>
      </m:oMathPara>
    </w:p>
    <w:p>
      <w:pPr>
        <w:numPr>
          <w:ilvl w:val="0"/>
          <w:numId w:val="1056"/>
        </w:numPr>
      </w:pPr>
      <w:r>
        <w:rPr>
          <w:i/>
          <w:iCs/>
        </w:rPr>
        <w:t xml:space="preserve">El dilema central</w:t>
      </w:r>
      <w:r>
        <w:t xml:space="preserve">: cada euro que se gasta en reducir (</w:t>
      </w:r>
      <m:oMath>
        <m:r>
          <m:t>Λ</m:t>
        </m:r>
      </m:oMath>
      <w:r>
        <w:t xml:space="preserve">) baja hoy la producción neta</w:t>
      </w:r>
      <w:r>
        <w:t xml:space="preserve"> </w:t>
      </w:r>
      <m:oMath>
        <m:sSub>
          <m:e>
            <m:r>
              <m:t>Q</m:t>
            </m:r>
          </m:e>
          <m:sub>
            <m:r>
              <m:t>t</m:t>
            </m:r>
          </m:sub>
        </m:sSub>
      </m:oMath>
      <w:r>
        <w:t xml:space="preserve">; cada tonelada que se emite sube la temperatura y los daños (</w:t>
      </w:r>
      <m:oMath>
        <m:r>
          <m:t>Ω</m:t>
        </m:r>
      </m:oMath>
      <w:r>
        <w:t xml:space="preserve">) en todos los periodos siguientes. La producción neta se reparte entre consumo e inversión, como en el modelo de</w:t>
      </w:r>
      <w:r>
        <w:t xml:space="preserve"> </w:t>
      </w:r>
      <w:r>
        <w:rPr>
          <w:smallCaps/>
        </w:rPr>
        <w:t xml:space="preserve">Ramsey</w:t>
      </w:r>
      <w:r>
        <w:t xml:space="preserve">,</w:t>
      </w:r>
      <w:r>
        <w:t xml:space="preserve"> </w:t>
      </w:r>
      <w:r>
        <w:rPr>
          <w:smallCaps/>
        </w:rPr>
        <w:t xml:space="preserve">Cass</w:t>
      </w:r>
      <w:r>
        <w:t xml:space="preserve"> </w:t>
      </w:r>
      <w:r>
        <w:t xml:space="preserve">y</w:t>
      </w:r>
      <w:r>
        <w:t xml:space="preserve"> </w:t>
      </w:r>
      <w:r>
        <w:rPr>
          <w:smallCaps/>
        </w:rPr>
        <w:t xml:space="preserve">Koopmans</w:t>
      </w:r>
      <w:r>
        <w:t xml:space="preserve">.</w:t>
      </w:r>
    </w:p>
    <w:p>
      <w:pPr>
        <w:numPr>
          <w:ilvl w:val="0"/>
          <w:numId w:val="1056"/>
        </w:numPr>
      </w:pPr>
      <w:r>
        <w:rPr>
          <w:i/>
          <w:iCs/>
        </w:rPr>
        <w:t xml:space="preserve">Condición de óptimo</w:t>
      </w:r>
      <w:r>
        <w:t xml:space="preserve">: se reduce hasta que el coste marginal de evitar la última tonelada iguala el daño que causa, el coste social del carbono (</w:t>
      </w:r>
      <w:hyperlink w:anchor="eq_csc">
        <w:r>
          <w:rPr>
            <w:rStyle w:val="Hyperlink"/>
          </w:rPr>
          <w:t xml:space="preserve">1</w:t>
        </w:r>
      </w:hyperlink>
      <w:r>
        <w:t xml:space="preserve">). Con el coste de reducción del DICE,</w:t>
      </w:r>
      <w:r>
        <w:t xml:space="preserve"> </w:t>
      </w:r>
      <w:bookmarkStart w:id="79" w:name="eq_csc_impuesto"/>
      <w:bookmarkEnd w:id="79"/>
    </w:p>
    <w:p>
      <w:pPr>
        <w:pStyle w:val="BodyText"/>
        <w:keepNext/>
      </w:pPr>
      <m:oMathPara>
        <m:oMathParaPr>
          <m:jc m:val="center"/>
        </m:oMathParaPr>
        <m:oMath>
          <m:limLow>
            <m:e>
              <m:limLow>
                <m:e>
                  <m:f>
                    <m:fPr>
                      <m:type m:val="bar"/>
                    </m:fPr>
                    <m:num>
                      <m:sSub>
                        <m:e>
                          <m:r>
                            <m:t>ϑ</m:t>
                          </m:r>
                        </m:e>
                        <m:sub>
                          <m:r>
                            <m:t>1</m:t>
                          </m:r>
                          <m:r>
                            <m:rPr>
                              <m:sty m:val="p"/>
                            </m:rPr>
                            <m:t>,</m:t>
                          </m:r>
                          <m:r>
                            <m:t>t</m:t>
                          </m:r>
                        </m:sub>
                      </m:sSub>
                      <m:r>
                        <m:t> </m:t>
                      </m:r>
                      <m:sSub>
                        <m:e>
                          <m:r>
                            <m:t>ϑ</m:t>
                          </m:r>
                        </m:e>
                        <m:sub>
                          <m:r>
                            <m:t>2</m:t>
                          </m:r>
                        </m:sub>
                      </m:sSub>
                      <m:r>
                        <m:t> </m:t>
                      </m:r>
                      <m:sSubSup>
                        <m:e>
                          <m:r>
                            <m:t>μ</m:t>
                          </m:r>
                        </m:e>
                        <m:sub>
                          <m:r>
                            <m:t>t</m:t>
                          </m:r>
                        </m:sub>
                        <m:sup>
                          <m:sSub>
                            <m:e>
                              <m:r>
                                <m:t>ϑ</m:t>
                              </m:r>
                            </m:e>
                            <m:sub>
                              <m:r>
                                <m:t>2</m:t>
                              </m:r>
                            </m:sub>
                          </m:sSub>
                          <m:r>
                            <m:rPr>
                              <m:sty m:val="p"/>
                            </m:rPr>
                            <m:t>−</m:t>
                          </m:r>
                          <m:r>
                            <m:t>1</m:t>
                          </m:r>
                        </m:sup>
                      </m:sSubSup>
                    </m:num>
                    <m:den>
                      <m:sSub>
                        <m:e>
                          <m:r>
                            <m:t>σ</m:t>
                          </m:r>
                        </m:e>
                        <m:sub>
                          <m:r>
                            <m:t>t</m:t>
                          </m:r>
                        </m:sub>
                      </m:sSub>
                    </m:den>
                  </m:f>
                </m:e>
                <m:lim>
                  <m:r>
                    <m:rPr>
                      <m:sty m:val="p"/>
                    </m:rPr>
                    <m:t>⏟</m:t>
                  </m:r>
                </m:lim>
              </m:limLow>
            </m:e>
            <m:lim>
              <m:r>
                <m:rPr>
                  <m:nor/>
                  <m:sty m:val="p"/>
                </m:rPr>
                <m:t>coste marginal de reducir</m:t>
              </m:r>
            </m:lim>
          </m:limLow>
          <m:r>
            <m:rPr>
              <m:sty m:val="p"/>
            </m:rPr>
            <m:t>=</m:t>
          </m:r>
          <m:sSub>
            <m:e>
              <m:r>
                <m:rPr>
                  <m:sty m:val="p"/>
                </m:rPr>
                <m:t>C</m:t>
              </m:r>
              <m:r>
                <m:rPr>
                  <m:sty m:val="p"/>
                </m:rPr>
                <m:t>S</m:t>
              </m:r>
              <m:r>
                <m:rPr>
                  <m:sty m:val="p"/>
                </m:rPr>
                <m:t>C</m:t>
              </m:r>
            </m:e>
            <m:sub>
              <m:r>
                <m:t>t</m:t>
              </m:r>
            </m:sub>
          </m:sSub>
          <m:r>
            <m:rPr>
              <m:sty m:val="p"/>
            </m:rPr>
            <m:t>=</m:t>
          </m:r>
          <m:sSubSup>
            <m:e>
              <m:r>
                <m:t>t</m:t>
              </m:r>
            </m:e>
            <m:sub>
              <m:r>
                <m:t>t</m:t>
              </m:r>
            </m:sub>
            <m:sup>
              <m:r>
                <m:rPr>
                  <m:sty m:val="p"/>
                </m:rPr>
                <m:t>*</m:t>
              </m:r>
            </m:sup>
          </m:sSubSup>
          <m:r>
            <m:rPr>
              <m:sty m:val="p"/>
            </m:rPr>
            <m:t>,</m:t>
          </m:r>
        </m:oMath>
      </m:oMathPara>
    </w:p>
    <w:p>
      <w:pPr>
        <w:numPr>
          <w:ilvl w:val="0"/>
          <w:numId w:val="1000"/>
        </w:numPr>
      </w:pPr>
      <w:r>
        <w:t xml:space="preserve">y el</w:t>
      </w:r>
      <w:r>
        <w:t xml:space="preserve"> </w:t>
      </w:r>
      <w:r>
        <w:rPr>
          <w:b/>
          <w:bCs/>
        </w:rPr>
        <w:t xml:space="preserve">precio del carbono</w:t>
      </w:r>
      <w:r>
        <w:t xml:space="preserve"> </w:t>
      </w:r>
      <w:r>
        <w:t xml:space="preserve">óptimo</w:t>
      </w:r>
      <w:r>
        <w:t xml:space="preserve"> </w:t>
      </w:r>
      <m:oMath>
        <m:sSubSup>
          <m:e>
            <m:r>
              <m:t>t</m:t>
            </m:r>
          </m:e>
          <m:sub>
            <m:r>
              <m:t>t</m:t>
            </m:r>
          </m:sub>
          <m:sup>
            <m:r>
              <m:rPr>
                <m:sty m:val="p"/>
              </m:rPr>
              <m:t>*</m:t>
            </m:r>
          </m:sup>
        </m:sSubSup>
      </m:oMath>
      <w:r>
        <w:t xml:space="preserve"> </w:t>
      </w:r>
      <w:r>
        <w:t xml:space="preserve">es ese CSC. Es la regla de</w:t>
      </w:r>
      <w:r>
        <w:t xml:space="preserve"> </w:t>
      </w:r>
      <w:r>
        <w:rPr>
          <w:smallCaps/>
        </w:rPr>
        <w:t xml:space="preserve">Pigou</w:t>
      </w:r>
      <w:r>
        <w:t xml:space="preserve">,</w:t>
      </w:r>
      <w:r>
        <w:t xml:space="preserve"> </w:t>
      </w:r>
      <m:oMath>
        <m:sSup>
          <m:e>
            <m:r>
              <m:t>t</m:t>
            </m:r>
          </m:e>
          <m:sup>
            <m:r>
              <m:rPr>
                <m:sty m:val="p"/>
              </m:rPr>
              <m:t>*</m:t>
            </m:r>
          </m:sup>
        </m:sSup>
        <m:r>
          <m:rPr>
            <m:sty m:val="p"/>
          </m:rPr>
          <m:t>=</m:t>
        </m:r>
        <m:r>
          <m:rPr>
            <m:sty m:val="p"/>
          </m:rPr>
          <m:t>C</m:t>
        </m:r>
        <m:r>
          <m:rPr>
            <m:sty m:val="p"/>
          </m:rPr>
          <m:t>M</m:t>
        </m:r>
        <m:r>
          <m:rPr>
            <m:sty m:val="p"/>
          </m:rPr>
          <m:t>g</m:t>
        </m:r>
        <m:r>
          <m:rPr>
            <m:sty m:val="p"/>
          </m:rPr>
          <m:t>E</m:t>
        </m:r>
        <m:d>
          <m:dPr>
            <m:begChr m:val="("/>
            <m:sepChr m:val=""/>
            <m:endChr m:val=")"/>
            <m:grow/>
          </m:dPr>
          <m:e>
            <m:sSup>
              <m:e>
                <m:r>
                  <m:t>q</m:t>
                </m:r>
              </m:e>
              <m:sup>
                <m:r>
                  <m:rPr>
                    <m:sty m:val="p"/>
                  </m:rPr>
                  <m:t>*</m:t>
                </m:r>
              </m:sup>
            </m:sSup>
          </m:e>
        </m:d>
      </m:oMath>
      <w:r>
        <w:t xml:space="preserve">, y la condición del mercado de derechos,</w:t>
      </w:r>
      <w:r>
        <w:t xml:space="preserve"> </w:t>
      </w:r>
      <m:oMath>
        <m:sSub>
          <m:e>
            <m:r>
              <m:rPr>
                <m:sty m:val="p"/>
              </m:rPr>
              <m:t>C</m:t>
            </m:r>
            <m:r>
              <m:rPr>
                <m:sty m:val="p"/>
              </m:rPr>
              <m:t>M</m:t>
            </m:r>
            <m:r>
              <m:rPr>
                <m:sty m:val="p"/>
              </m:rPr>
              <m:t>g</m:t>
            </m:r>
            <m:r>
              <m:rPr>
                <m:sty m:val="p"/>
              </m:rPr>
              <m:t>R</m:t>
            </m:r>
          </m:e>
          <m:sub>
            <m:r>
              <m:t>j</m:t>
            </m:r>
          </m:sub>
        </m:sSub>
        <m:r>
          <m:rPr>
            <m:sty m:val="p"/>
          </m:rPr>
          <m:t>=</m:t>
        </m:r>
        <m:sSub>
          <m:e>
            <m:r>
              <m:t>p</m:t>
            </m:r>
          </m:e>
          <m:sub>
            <m:r>
              <m:t>E</m:t>
            </m:r>
          </m:sub>
        </m:sSub>
      </m:oMath>
      <w:r>
        <w:t xml:space="preserve"> </w:t>
      </w:r>
      <w:hyperlink r:id="rId35">
        <w:r>
          <w:rPr>
            <w:rStyle w:val="Referenciaatema"/>
          </w:rPr>
          <w:t xml:space="preserve">[ver tema 3.A.23]</w:t>
        </w:r>
      </w:hyperlink>
      <w:r>
        <w:t xml:space="preserve">; en el gráfico </w:t>
      </w:r>
      <w:hyperlink w:anchor="fig_emisiones_optimas">
        <w:r>
          <w:rPr>
            <w:rStyle w:val="Hyperlink"/>
          </w:rPr>
          <w:t xml:space="preserve">3</w:t>
        </w:r>
      </w:hyperlink>
      <w:r>
        <w:t xml:space="preserve">, el corte de</w:t>
      </w:r>
      <w:r>
        <w:t xml:space="preserve"> </w:t>
      </w:r>
      <m:oMath>
        <m:r>
          <m:rPr>
            <m:sty m:val="p"/>
          </m:rPr>
          <m:t>C</m:t>
        </m:r>
        <m:r>
          <m:rPr>
            <m:sty m:val="p"/>
          </m:rPr>
          <m:t>M</m:t>
        </m:r>
        <m:r>
          <m:rPr>
            <m:sty m:val="p"/>
          </m:rPr>
          <m:t>g</m:t>
        </m:r>
        <m:r>
          <m:rPr>
            <m:sty m:val="p"/>
          </m:rPr>
          <m:t>R</m:t>
        </m:r>
      </m:oMath>
      <w:r>
        <w:t xml:space="preserve"> </w:t>
      </w:r>
      <w:r>
        <w:t xml:space="preserve">con</w:t>
      </w:r>
      <w:r>
        <w:t xml:space="preserve"> </w:t>
      </w:r>
      <m:oMath>
        <m:r>
          <m:rPr>
            <m:sty m:val="p"/>
          </m:rPr>
          <m:t>D</m:t>
        </m:r>
        <m:r>
          <m:rPr>
            <m:sty m:val="p"/>
          </m:rPr>
          <m:t>M</m:t>
        </m:r>
        <m:r>
          <m:rPr>
            <m:sty m:val="p"/>
          </m:rPr>
          <m:t>g</m:t>
        </m:r>
      </m:oMath>
      <w:r>
        <w:t xml:space="preserve">.</w:t>
      </w:r>
    </w:p>
    <w:p>
      <w:pPr>
        <w:numPr>
          <w:ilvl w:val="0"/>
          <w:numId w:val="1056"/>
        </w:numPr>
      </w:pPr>
      <w:r>
        <w:rPr>
          <w:i/>
          <w:iCs/>
        </w:rPr>
        <w:t xml:space="preserve">El descuento</w:t>
      </w:r>
      <w:r>
        <w:t xml:space="preserve">: el CSC suma daños futuros descontados a la tasa de los bienes,</w:t>
      </w:r>
      <w:r>
        <w:t xml:space="preserve"> </w:t>
      </w:r>
      <m:oMath>
        <m:sSub>
          <m:e>
            <m:r>
              <m:t>r</m:t>
            </m:r>
          </m:e>
          <m:sub>
            <m:r>
              <m:t>s</m:t>
            </m:r>
          </m:sub>
        </m:sSub>
      </m:oMath>
      <w:r>
        <w:t xml:space="preserve">. Por la ecuación de</w:t>
      </w:r>
      <w:r>
        <w:t xml:space="preserve"> </w:t>
      </w:r>
      <w:r>
        <w:rPr>
          <w:smallCaps/>
        </w:rPr>
        <w:t xml:space="preserve">Euler</w:t>
      </w:r>
      <w:r>
        <w:t xml:space="preserve"> </w:t>
      </w:r>
      <w:r>
        <w:t xml:space="preserve">con utilidad isoelástica, a lo largo de la senda óptima se cumple la</w:t>
      </w:r>
      <w:r>
        <w:t xml:space="preserve"> </w:t>
      </w:r>
      <w:r>
        <w:rPr>
          <w:b/>
          <w:bCs/>
        </w:rPr>
        <w:t xml:space="preserve">fórmula de</w:t>
      </w:r>
      <w:r>
        <w:rPr>
          <w:b/>
          <w:bCs/>
        </w:rPr>
        <w:t xml:space="preserve"> </w:t>
      </w:r>
      <w:r>
        <w:rPr>
          <w:b/>
          <w:bCs/>
          <w:smallCaps/>
        </w:rPr>
        <w:t xml:space="preserve">Ramsey</w:t>
      </w:r>
      <w:r>
        <w:rPr>
          <w:b/>
          <w:bCs/>
        </w:rPr>
        <w:t xml:space="preserve"> </w:t>
      </w:r>
      <w:r>
        <w:rPr>
          <w:b/>
          <w:bCs/>
        </w:rPr>
        <w:t xml:space="preserve">del descuento</w:t>
      </w:r>
      <w:r>
        <w:t xml:space="preserve"> </w:t>
      </w:r>
      <w:r>
        <w:t xml:space="preserve">(</w:t>
      </w:r>
      <w:hyperlink w:anchor="ref_Ramsey1928Mathematical">
        <w:r>
          <w:rPr>
            <w:rStyle w:val="Hyperlink"/>
            <w:smallCaps/>
          </w:rPr>
          <w:t xml:space="preserve">Ramsey</w:t>
        </w:r>
        <w:r>
          <w:rPr>
            <w:rStyle w:val="Hyperlink"/>
          </w:rPr>
          <w:t xml:space="preserve">, 1928</w:t>
        </w:r>
      </w:hyperlink>
      <w:r>
        <w:t xml:space="preserve">)</w:t>
      </w:r>
      <w:r>
        <w:t xml:space="preserve">:</w:t>
      </w:r>
    </w:p>
    <w:bookmarkStart w:id="80" w:name="eq_ramsey_descuento"/>
    <w:bookmarkEnd w:id="80"/>
    <w:p>
      <w:pPr>
        <w:pStyle w:val="Funcionclave"/>
        <w:keepLines/>
      </w:pPr>
      <m:oMathPara>
        <m:oMathParaPr>
          <m:jc m:val="center"/>
        </m:oMathParaPr>
        <m:oMath>
          <m:sSub>
            <m:e>
              <m:r>
                <m:t>r</m:t>
              </m:r>
            </m:e>
            <m:sub>
              <m:r>
                <m:t>s</m:t>
              </m:r>
            </m:sub>
          </m:sSub>
          <m:r>
            <m:rPr>
              <m:sty m:val="p"/>
            </m:rPr>
            <m:t>=</m:t>
          </m:r>
          <m:r>
            <m:t>ρ</m:t>
          </m:r>
          <m:r>
            <m:rPr>
              <m:sty m:val="p"/>
            </m:rPr>
            <m:t>+</m:t>
          </m:r>
          <m:r>
            <m:t>θ</m:t>
          </m:r>
          <m:r>
            <m:t> </m:t>
          </m:r>
          <m:sSub>
            <m:e>
              <m:r>
                <m:t>γ</m:t>
              </m:r>
            </m:e>
            <m:sub>
              <m:r>
                <m:t>c</m:t>
              </m:r>
            </m:sub>
          </m:sSub>
        </m:oMath>
      </m:oMathPara>
    </w:p>
    <w:p>
      <w:pPr>
        <w:keepNext/>
        <w:numPr>
          <w:ilvl w:val="0"/>
          <w:numId w:val="1000"/>
        </w:numPr>
      </w:pPr>
      <w:r>
        <w:t xml:space="preserve">donde</w:t>
      </w:r>
      <w:r>
        <w:t xml:space="preserve"> </w:t>
      </w:r>
      <m:oMath>
        <m:sSub>
          <m:e>
            <m:r>
              <m:t>γ</m:t>
            </m:r>
          </m:e>
          <m:sub>
            <m:r>
              <m:t>c</m:t>
            </m:r>
          </m:sub>
        </m:sSub>
      </m:oMath>
      <w:r>
        <w:t xml:space="preserve"> </w:t>
      </w:r>
      <w:r>
        <w:t xml:space="preserve">es el crecimiento del consumo por habitante. Se descuenta el futuro por 2 motivos:</w:t>
      </w:r>
    </w:p>
    <w:p>
      <w:pPr>
        <w:numPr>
          <w:ilvl w:val="1"/>
          <w:numId w:val="1057"/>
        </w:numPr>
      </w:pPr>
      <w:r>
        <w:t xml:space="preserve">por</w:t>
      </w:r>
      <w:r>
        <w:t xml:space="preserve"> </w:t>
      </w:r>
      <w:r>
        <w:rPr>
          <w:i/>
          <w:iCs/>
        </w:rPr>
        <w:t xml:space="preserve">impaciencia</w:t>
      </w:r>
      <w:r>
        <w:t xml:space="preserve">,</w:t>
      </w:r>
      <w:r>
        <w:t xml:space="preserve"> </w:t>
      </w:r>
      <m:oMath>
        <m:r>
          <m:t>ρ</m:t>
        </m:r>
      </m:oMath>
      <w:r>
        <w:t xml:space="preserve">;</w:t>
      </w:r>
    </w:p>
    <w:p>
      <w:pPr>
        <w:numPr>
          <w:ilvl w:val="1"/>
          <w:numId w:val="1057"/>
        </w:numPr>
      </w:pPr>
      <w:r>
        <w:t xml:space="preserve">porque las generaciones futuras serán más ricas (</w:t>
      </w:r>
      <m:oMath>
        <m:sSub>
          <m:e>
            <m:r>
              <m:t>γ</m:t>
            </m:r>
          </m:e>
          <m:sub>
            <m:r>
              <m:t>c</m:t>
            </m:r>
          </m:sub>
        </m:sSub>
        <m:r>
          <m:rPr>
            <m:sty m:val="p"/>
          </m:rPr>
          <m:t>&gt;</m:t>
        </m:r>
        <m:r>
          <m:t>0</m:t>
        </m:r>
      </m:oMath>
      <w:r>
        <w:t xml:space="preserve">) y un euro les dará menos utilidad que a nosotros, tanto menos cuanto mayor sea la aversión a la desigualdad entre generaciones,</w:t>
      </w:r>
      <w:r>
        <w:t xml:space="preserve"> </w:t>
      </w:r>
      <m:oMath>
        <m:r>
          <m:t>θ</m:t>
        </m:r>
      </m:oMath>
      <w:r>
        <w:t xml:space="preserve">.</w:t>
      </w:r>
    </w:p>
    <w:p>
      <w:pPr>
        <w:pStyle w:val="Cajadeanotaciones"/>
        <w:keepNext/>
        <w:keepLines/>
      </w:pPr>
      <w:r>
        <w:rPr>
          <w:b/>
          <w:bCs/>
        </w:rPr>
        <w:t xml:space="preserve">De la ecuación de</w:t>
      </w:r>
      <w:r>
        <w:rPr>
          <w:b/>
          <w:bCs/>
        </w:rPr>
        <w:t xml:space="preserve"> </w:t>
      </w:r>
      <w:r>
        <w:rPr>
          <w:b/>
          <w:bCs/>
          <w:smallCaps/>
        </w:rPr>
        <w:t xml:space="preserve">Euler</w:t>
      </w:r>
      <w:r>
        <w:rPr>
          <w:b/>
          <w:bCs/>
        </w:rPr>
        <w:t xml:space="preserve"> </w:t>
      </w:r>
      <w:r>
        <w:rPr>
          <w:b/>
          <w:bCs/>
        </w:rPr>
        <w:t xml:space="preserve">a la fórmula de</w:t>
      </w:r>
      <w:r>
        <w:rPr>
          <w:b/>
          <w:bCs/>
        </w:rPr>
        <w:t xml:space="preserve"> </w:t>
      </w:r>
      <w:r>
        <w:rPr>
          <w:b/>
          <w:bCs/>
          <w:smallCaps/>
        </w:rPr>
        <w:t xml:space="preserve">Ramsey</w:t>
      </w:r>
      <w:r>
        <w:rPr>
          <w:b/>
          <w:bCs/>
        </w:rPr>
        <w:t xml:space="preserve"> </w:t>
      </w:r>
      <w:r>
        <w:rPr>
          <w:b/>
          <w:bCs/>
        </w:rPr>
        <w:t xml:space="preserve">del descuento</w:t>
      </w:r>
      <w:r>
        <w:t xml:space="preserve">. Con</w:t>
      </w:r>
      <w:r>
        <w:t xml:space="preserve"> </w:t>
      </w:r>
      <m:oMath>
        <m:r>
          <m:t>u</m:t>
        </m:r>
        <m:d>
          <m:dPr>
            <m:begChr m:val="("/>
            <m:sepChr m:val=""/>
            <m:endChr m:val=")"/>
            <m:grow/>
          </m:dPr>
          <m:e>
            <m:r>
              <m:t>c</m:t>
            </m:r>
          </m:e>
        </m:d>
        <m:r>
          <m:rPr>
            <m:sty m:val="p"/>
          </m:rPr>
          <m:t>=</m:t>
        </m:r>
        <m:sSup>
          <m:e>
            <m:r>
              <m:t>c</m:t>
            </m:r>
          </m:e>
          <m:sup>
            <m:r>
              <m:t>1</m:t>
            </m:r>
            <m:r>
              <m:rPr>
                <m:sty m:val="p"/>
              </m:rPr>
              <m:t>−</m:t>
            </m:r>
            <m:r>
              <m:t>θ</m:t>
            </m:r>
          </m:sup>
        </m:sSup>
        <m:r>
          <m:rPr>
            <m:sty m:val="p"/>
          </m:rPr>
          <m:t>/</m:t>
        </m:r>
        <m:d>
          <m:dPr>
            <m:begChr m:val="("/>
            <m:sepChr m:val=""/>
            <m:endChr m:val=")"/>
            <m:grow/>
          </m:dPr>
          <m:e>
            <m:r>
              <m:t>1</m:t>
            </m:r>
            <m:r>
              <m:rPr>
                <m:sty m:val="p"/>
              </m:rPr>
              <m:t>−</m:t>
            </m:r>
            <m:r>
              <m:t>θ</m:t>
            </m:r>
          </m:e>
        </m:d>
      </m:oMath>
      <w:r>
        <w:t xml:space="preserve">, en el óptimo da igual consumir una unidad hoy o invertirla al tipo</w:t>
      </w:r>
      <w:r>
        <w:t xml:space="preserve"> </w:t>
      </w:r>
      <m:oMath>
        <m:r>
          <m:t>r</m:t>
        </m:r>
      </m:oMath>
      <w:r>
        <w:t xml:space="preserve"> </w:t>
      </w:r>
      <w:r>
        <w:t xml:space="preserve">y consumirla mañana:</w:t>
      </w:r>
    </w:p>
    <w:p>
      <w:pPr>
        <w:pStyle w:val="Cajadeanotaciones"/>
        <w:keepNext/>
        <w:keepLines/>
      </w:pPr>
      <m:oMathPara>
        <m:oMathParaPr>
          <m:jc m:val="center"/>
        </m:oMathParaPr>
        <m:oMath>
          <m:r>
            <m:t>u</m:t>
          </m:r>
          <m:r>
            <m:rPr>
              <m:sty m:val="p"/>
            </m:rPr>
            <m:t>′</m:t>
          </m:r>
          <m:d>
            <m:dPr>
              <m:begChr m:val="("/>
              <m:sepChr m:val=""/>
              <m:endChr m:val=")"/>
              <m:grow/>
            </m:dPr>
            <m:e>
              <m:sSub>
                <m:e>
                  <m:r>
                    <m:t>c</m:t>
                  </m:r>
                </m:e>
                <m:sub>
                  <m:r>
                    <m:t>t</m:t>
                  </m:r>
                </m:sub>
              </m:sSub>
            </m:e>
          </m:d>
          <m:r>
            <m:rPr>
              <m:sty m:val="p"/>
            </m:rPr>
            <m:t>=</m:t>
          </m:r>
          <m:f>
            <m:fPr>
              <m:type m:val="bar"/>
            </m:fPr>
            <m:num>
              <m:r>
                <m:t>1</m:t>
              </m:r>
              <m:r>
                <m:rPr>
                  <m:sty m:val="p"/>
                </m:rPr>
                <m:t>+</m:t>
              </m:r>
              <m:r>
                <m:t>r</m:t>
              </m:r>
            </m:num>
            <m:den>
              <m:r>
                <m:t>1</m:t>
              </m:r>
              <m:r>
                <m:rPr>
                  <m:sty m:val="p"/>
                </m:rPr>
                <m:t>+</m:t>
              </m:r>
              <m:r>
                <m:t>ρ</m:t>
              </m:r>
            </m:den>
          </m:f>
          <m:r>
            <m:t> </m:t>
          </m:r>
          <m:r>
            <m:t>u</m:t>
          </m:r>
          <m:r>
            <m:rPr>
              <m:sty m:val="p"/>
            </m:rPr>
            <m:t>′</m:t>
          </m:r>
          <m:d>
            <m:dPr>
              <m:begChr m:val="("/>
              <m:sepChr m:val=""/>
              <m:endChr m:val=")"/>
              <m:grow/>
            </m:dPr>
            <m:e>
              <m:sSub>
                <m:e>
                  <m:r>
                    <m:t>c</m:t>
                  </m:r>
                </m:e>
                <m:sub>
                  <m:r>
                    <m:t>t</m:t>
                  </m:r>
                  <m:r>
                    <m:rPr>
                      <m:sty m:val="p"/>
                    </m:rPr>
                    <m:t>+</m:t>
                  </m:r>
                  <m:r>
                    <m:t>1</m:t>
                  </m:r>
                </m:sub>
              </m:sSub>
            </m:e>
          </m:d>
          <m:r>
            <m:t> </m:t>
          </m:r>
          <m:r>
            <m:rPr>
              <m:sty m:val="p"/>
            </m:rPr>
            <m:t>⇒</m:t>
          </m:r>
          <m:r>
            <m:t> </m:t>
          </m:r>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t>θ</m:t>
              </m:r>
            </m:sup>
          </m:sSup>
          <m:r>
            <m:rPr>
              <m:sty m:val="p"/>
            </m:rPr>
            <m:t>=</m:t>
          </m:r>
          <m:f>
            <m:fPr>
              <m:type m:val="bar"/>
            </m:fPr>
            <m:num>
              <m:r>
                <m:t>1</m:t>
              </m:r>
              <m:r>
                <m:rPr>
                  <m:sty m:val="p"/>
                </m:rPr>
                <m:t>+</m:t>
              </m:r>
              <m:r>
                <m:t>r</m:t>
              </m:r>
            </m:num>
            <m:den>
              <m:r>
                <m:t>1</m:t>
              </m:r>
              <m:r>
                <m:rPr>
                  <m:sty m:val="p"/>
                </m:rPr>
                <m:t>+</m:t>
              </m:r>
              <m:r>
                <m:t>ρ</m:t>
              </m:r>
            </m:den>
          </m:f>
          <m:r>
            <m:t> </m:t>
          </m:r>
          <m:r>
            <m:rPr>
              <m:sty m:val="p"/>
            </m:rPr>
            <m:t>⇒</m:t>
          </m:r>
          <m:r>
            <m:t> </m:t>
          </m:r>
          <m:r>
            <m:t>θ</m:t>
          </m:r>
          <m:r>
            <m:rPr>
              <m:sty m:val="p"/>
            </m:rPr>
            <m:t>ln</m:t>
          </m:r>
          <m:d>
            <m:dPr>
              <m:begChr m:val="("/>
              <m:sepChr m:val=""/>
              <m:endChr m:val=")"/>
              <m:grow/>
            </m:dPr>
            <m:e>
              <m:r>
                <m:t>1</m:t>
              </m:r>
              <m:r>
                <m:rPr>
                  <m:sty m:val="p"/>
                </m:rPr>
                <m:t>+</m:t>
              </m:r>
              <m:sSub>
                <m:e>
                  <m:r>
                    <m:t>γ</m:t>
                  </m:r>
                </m:e>
                <m:sub>
                  <m:r>
                    <m:t>c</m:t>
                  </m:r>
                </m:sub>
              </m:sSub>
            </m:e>
          </m:d>
          <m:r>
            <m:rPr>
              <m:sty m:val="p"/>
            </m:rPr>
            <m:t>=</m:t>
          </m:r>
          <m:r>
            <m:rPr>
              <m:sty m:val="p"/>
            </m:rPr>
            <m:t>ln</m:t>
          </m:r>
          <m:d>
            <m:dPr>
              <m:begChr m:val="("/>
              <m:sepChr m:val=""/>
              <m:endChr m:val=")"/>
              <m:grow/>
            </m:dPr>
            <m:e>
              <m:r>
                <m:t>1</m:t>
              </m:r>
              <m:r>
                <m:rPr>
                  <m:sty m:val="p"/>
                </m:rPr>
                <m:t>+</m:t>
              </m:r>
              <m:r>
                <m:t>r</m:t>
              </m:r>
            </m:e>
          </m:d>
          <m:r>
            <m:rPr>
              <m:sty m:val="p"/>
            </m:rPr>
            <m:t>−</m:t>
          </m:r>
          <m:r>
            <m:rPr>
              <m:sty m:val="p"/>
            </m:rPr>
            <m:t>ln</m:t>
          </m:r>
          <m:d>
            <m:dPr>
              <m:begChr m:val="("/>
              <m:sepChr m:val=""/>
              <m:endChr m:val=")"/>
              <m:grow/>
            </m:dPr>
            <m:e>
              <m:r>
                <m:t>1</m:t>
              </m:r>
              <m:r>
                <m:rPr>
                  <m:sty m:val="p"/>
                </m:rPr>
                <m:t>+</m:t>
              </m:r>
              <m:r>
                <m:t>ρ</m:t>
              </m:r>
            </m:e>
          </m:d>
          <m:r>
            <m:rPr>
              <m:sty m:val="p"/>
            </m:rPr>
            <m:t>,</m:t>
          </m:r>
        </m:oMath>
      </m:oMathPara>
    </w:p>
    <w:p>
      <w:pPr>
        <w:pStyle w:val="Cajadeanotaciones"/>
        <w:keepLines/>
      </w:pPr>
      <w:r>
        <w:t xml:space="preserve">y, con tasas pequeñas,</w:t>
      </w:r>
      <w:r>
        <w:t xml:space="preserve"> </w:t>
      </w:r>
      <m:oMath>
        <m:r>
          <m:t>r</m:t>
        </m:r>
        <m:r>
          <m:rPr>
            <m:sty m:val="p"/>
          </m:rPr>
          <m:t>≃</m:t>
        </m:r>
        <m:r>
          <m:t>ρ</m:t>
        </m:r>
        <m:r>
          <m:rPr>
            <m:sty m:val="p"/>
          </m:rPr>
          <m:t>+</m:t>
        </m:r>
        <m:r>
          <m:t>θ</m:t>
        </m:r>
        <m:sSub>
          <m:e>
            <m:r>
              <m:t>γ</m:t>
            </m:r>
          </m:e>
          <m:sub>
            <m:r>
              <m:t>c</m:t>
            </m:r>
          </m:sub>
        </m:sSub>
      </m:oMath>
      <w:r>
        <w:t xml:space="preserve">. Leída al revés, es la ecuación de</w:t>
      </w:r>
      <w:r>
        <w:t xml:space="preserve"> </w:t>
      </w:r>
      <w:r>
        <w:rPr>
          <w:smallCaps/>
        </w:rPr>
        <w:t xml:space="preserve">Euler</w:t>
      </w:r>
      <w:r>
        <w:t xml:space="preserve"> </w:t>
      </w:r>
      <w:r>
        <w:t xml:space="preserve">del modelo de</w:t>
      </w:r>
      <w:r>
        <w:t xml:space="preserve"> </w:t>
      </w:r>
      <w:r>
        <w:rPr>
          <w:smallCaps/>
        </w:rPr>
        <w:t xml:space="preserve">Ramsey</w:t>
      </w:r>
      <w:r>
        <w:t xml:space="preserve">,</w:t>
      </w:r>
      <w:r>
        <w:t xml:space="preserve"> </w:t>
      </w:r>
      <w:r>
        <w:rPr>
          <w:smallCaps/>
        </w:rPr>
        <w:t xml:space="preserve">Cass</w:t>
      </w:r>
      <w:r>
        <w:t xml:space="preserve"> </w:t>
      </w:r>
      <w:r>
        <w:t xml:space="preserve">y</w:t>
      </w:r>
      <w:r>
        <w:t xml:space="preserve"> </w:t>
      </w:r>
      <w:r>
        <w:rPr>
          <w:smallCaps/>
        </w:rPr>
        <w:t xml:space="preserve">Koopmans</w:t>
      </w:r>
      <w:r>
        <w:t xml:space="preserve">,</w:t>
      </w:r>
      <w:r>
        <w:t xml:space="preserve"> </w:t>
      </w:r>
      <m:oMath>
        <m:sSub>
          <m:e>
            <m:r>
              <m:t>γ</m:t>
            </m:r>
          </m:e>
          <m:sub>
            <m:r>
              <m:t>c</m:t>
            </m:r>
          </m:sub>
        </m:sSub>
        <m:r>
          <m:rPr>
            <m:sty m:val="p"/>
          </m:rPr>
          <m:t>≃</m:t>
        </m:r>
        <m:d>
          <m:dPr>
            <m:begChr m:val="("/>
            <m:sepChr m:val=""/>
            <m:endChr m:val=")"/>
            <m:grow/>
          </m:dPr>
          <m:e>
            <m:r>
              <m:t>r</m:t>
            </m:r>
            <m:r>
              <m:rPr>
                <m:sty m:val="p"/>
              </m:rPr>
              <m:t>−</m:t>
            </m:r>
            <m:r>
              <m:t>ρ</m:t>
            </m:r>
          </m:e>
        </m:d>
        <m:r>
          <m:rPr>
            <m:sty m:val="p"/>
          </m:rPr>
          <m:t>/</m:t>
        </m:r>
        <m:r>
          <m:t>θ</m:t>
        </m:r>
      </m:oMath>
      <w:r>
        <w:t xml:space="preserve"> </w:t>
      </w:r>
      <w:hyperlink r:id="rId24">
        <w:r>
          <w:rPr>
            <w:rStyle w:val="Referenciaatema"/>
          </w:rPr>
          <w:t xml:space="preserve">[ver tema 3.A.43]</w:t>
        </w:r>
      </w:hyperlink>
      <w:r>
        <w:t xml:space="preserve">. En la senda óptima, el rendimiento del capital neto de depreciación es esa tasa: por eso el DICE calibra sus parámetros para que</w:t>
      </w:r>
      <w:r>
        <w:t xml:space="preserve"> </w:t>
      </w:r>
      <m:oMath>
        <m:sSub>
          <m:e>
            <m:r>
              <m:t>r</m:t>
            </m:r>
          </m:e>
          <m:sub>
            <m:r>
              <m:t>s</m:t>
            </m:r>
          </m:sub>
        </m:sSub>
      </m:oMath>
      <w:r>
        <w:t xml:space="preserve"> </w:t>
      </w:r>
      <w:r>
        <w:t xml:space="preserve">se parezca a los tipos de interés reales observados. No se llama «regla de</w:t>
      </w:r>
      <w:r>
        <w:t xml:space="preserve"> </w:t>
      </w:r>
      <w:r>
        <w:rPr>
          <w:smallCaps/>
        </w:rPr>
        <w:t xml:space="preserve">Ramsey</w:t>
      </w:r>
      <w:r>
        <w:t xml:space="preserve">» para no confundirla con la regla de la imposición óptima del mismo autor.</w:t>
      </w:r>
    </w:p>
    <w:bookmarkEnd w:id="81"/>
    <w:bookmarkStart w:id="82" w:name="iii_implicaciones_los_resultados_d_10389"/>
    <w:p>
      <w:pPr>
        <w:pStyle w:val="Heading5"/>
      </w:pPr>
      <w:r>
        <w:t xml:space="preserve">iii) Implicaciones: los resultados de DICE-2023</w:t>
      </w:r>
    </w:p>
    <w:p>
      <w:pPr>
        <w:pStyle w:val="FirstParagraph"/>
        <w:keepNext/>
      </w:pPr>
      <w:r>
        <w:t xml:space="preserve">Según</w:t>
      </w:r>
      <w:r>
        <w:t xml:space="preserve"> </w:t>
      </w:r>
      <w:r>
        <w:rPr>
          <w:smallCaps/>
        </w:rPr>
        <w:t xml:space="preserve">Barrage</w:t>
      </w:r>
      <w:r>
        <w:t xml:space="preserve"> </w:t>
      </w:r>
      <w:r>
        <w:t xml:space="preserve">y</w:t>
      </w:r>
      <w:r>
        <w:t xml:space="preserve"> </w:t>
      </w:r>
      <w:r>
        <w:rPr>
          <w:smallCaps/>
        </w:rPr>
        <w:t xml:space="preserve">Nordhaus</w:t>
      </w:r>
      <w:r>
        <w:t xml:space="preserve"> </w:t>
      </w:r>
      <w:r>
        <w:t xml:space="preserve">(</w:t>
      </w:r>
      <w:hyperlink w:anchor="ref_BarrageNordhaus2024DICE">
        <w:r>
          <w:rPr>
            <w:rStyle w:val="Hyperlink"/>
          </w:rPr>
          <w:t xml:space="preserve">2024</w:t>
        </w:r>
      </w:hyperlink>
      <w:r>
        <w:t xml:space="preserve">)</w:t>
      </w:r>
      <w:r>
        <w:t xml:space="preserve">:</w:t>
      </w:r>
    </w:p>
    <w:p>
      <w:pPr>
        <w:numPr>
          <w:ilvl w:val="0"/>
          <w:numId w:val="1058"/>
        </w:numPr>
      </w:pPr>
      <w:r>
        <w:rPr>
          <w:i/>
          <w:iCs/>
        </w:rPr>
        <w:t xml:space="preserve">Sin nuevas políticas</w:t>
      </w:r>
      <w:r>
        <w:t xml:space="preserve">, la temperatura sube 3,6 °C en 2100 respecto a la era preindustrial y los daños llegan al 4,4 % del producto.</w:t>
      </w:r>
    </w:p>
    <w:p>
      <w:pPr>
        <w:numPr>
          <w:ilvl w:val="0"/>
          <w:numId w:val="1058"/>
        </w:numPr>
      </w:pPr>
      <w:r>
        <w:rPr>
          <w:i/>
          <w:iCs/>
        </w:rPr>
        <w:t xml:space="preserve">La política óptima</w:t>
      </w:r>
      <w:r>
        <w:t xml:space="preserve"> </w:t>
      </w:r>
      <w:r>
        <w:t xml:space="preserve">no lleva las emisiones a cero de golpe, sino que sigue una</w:t>
      </w:r>
      <w:r>
        <w:t xml:space="preserve"> </w:t>
      </w:r>
      <w:r>
        <w:rPr>
          <w:b/>
          <w:bCs/>
        </w:rPr>
        <w:t xml:space="preserve">rampa</w:t>
      </w:r>
      <w:r>
        <w:t xml:space="preserve">: un precio del carbono que empieza moderado y sube con el tiempo, de 50 $ por tonelada en 2020 a 115 $ en 2050, con una tasa de control del 39 % en 2050 y del 84 % en 2100. La temperatura sube 2,6 °C en 2100 y los daños se quedan en el 2,3 %. La ganancia, unos 120 billones de dólares en valor actual, es algo menos que la producción mundial de un año.</w:t>
      </w:r>
    </w:p>
    <w:p>
      <w:pPr>
        <w:numPr>
          <w:ilvl w:val="0"/>
          <w:numId w:val="1058"/>
        </w:numPr>
      </w:pPr>
      <w:r>
        <w:rPr>
          <w:i/>
          <w:iCs/>
        </w:rPr>
        <w:t xml:space="preserve">El CSC no es el impuesto de cualquier senda</w:t>
      </w:r>
      <w:r>
        <w:t xml:space="preserve">: calculado con las políticas actuales vale 66 $, y en la senda óptima, 50 $, porque con menos emisiones el daño marginal es menor. El impuesto óptimo es el CSC</w:t>
      </w:r>
      <w:r>
        <w:t xml:space="preserve"> </w:t>
      </w:r>
      <w:r>
        <w:rPr>
          <w:i/>
          <w:iCs/>
        </w:rPr>
        <w:t xml:space="preserve">de la senda óptima</w:t>
      </w:r>
      <w:r>
        <w:t xml:space="preserve">.</w:t>
      </w:r>
    </w:p>
    <w:p>
      <w:pPr>
        <w:numPr>
          <w:ilvl w:val="0"/>
          <w:numId w:val="1058"/>
        </w:numPr>
      </w:pPr>
      <w:r>
        <w:rPr>
          <w:i/>
          <w:iCs/>
        </w:rPr>
        <w:t xml:space="preserve">Los objetivos de París</w:t>
      </w:r>
      <w:r>
        <w:t xml:space="preserve">: limitar el calentamiento a 2 °C pasa el test de coste-beneficio solo con un descuento bajo o con daños más severos, y su CSC de 2020 es de 76 $; 1,5 °C ya no es alcanzable en el modelo.</w:t>
      </w:r>
    </w:p>
    <w:p>
      <w:pPr>
        <w:keepNext/>
        <w:numPr>
          <w:ilvl w:val="0"/>
          <w:numId w:val="1058"/>
        </w:numPr>
      </w:pPr>
      <w:r>
        <w:rPr>
          <w:i/>
          <w:iCs/>
        </w:rPr>
        <w:t xml:space="preserve">El descuento lo decide casi todo</w:t>
      </w:r>
      <w:r>
        <w:t xml:space="preserve">: con una tasa constante del 5 %, el CSC de 2020 es de 32 $; con el 3 %, de 87 $; con el 2 %, de 176 $, y con el 1 %, de 485 $</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 Los resultados completos están en el anexo </w:t>
      </w:r>
      <w:hyperlink w:anchor="anexo_dice">
        <w:r>
          <w:rPr>
            <w:rStyle w:val="Hyperlink"/>
          </w:rPr>
          <w:t xml:space="preserve">A</w:t>
        </w:r>
      </w:hyperlink>
      <w:r>
        <w:t xml:space="preserve">.</w:t>
      </w:r>
    </w:p>
    <w:p>
      <w:pPr>
        <w:numPr>
          <w:ilvl w:val="1"/>
          <w:numId w:val="1059"/>
        </w:numPr>
      </w:pPr>
      <w:r>
        <w:t xml:space="preserve">Volvamos a la tonelada de la acería: el DICE le pone hoy un precio de unos 50 $, que sube con el tiempo. Es lo que la acería debería pagar por ella, como impuesto o comprando un derecho de emisión.</w:t>
      </w:r>
    </w:p>
    <w:bookmarkEnd w:id="82"/>
    <w:bookmarkEnd w:id="83"/>
    <w:bookmarkStart w:id="85" w:name="c_extensiones"/>
    <w:p>
      <w:pPr>
        <w:pStyle w:val="Heading4"/>
      </w:pPr>
      <w:r>
        <w:t xml:space="preserve">c) Extensiones</w:t>
      </w:r>
    </w:p>
    <w:p>
      <w:pPr>
        <w:numPr>
          <w:ilvl w:val="0"/>
          <w:numId w:val="1060"/>
        </w:numPr>
      </w:pPr>
      <w:r>
        <w:rPr>
          <w:i/>
          <w:iCs/>
        </w:rPr>
        <w:t xml:space="preserve">Por regiones</w:t>
      </w:r>
      <w:r>
        <w:t xml:space="preserve">: el RICE divide el mundo en regiones con daños y costes distintos</w:t>
      </w:r>
      <w:r>
        <w:t xml:space="preserve"> </w:t>
      </w:r>
      <w:r>
        <w:t xml:space="preserve">(</w:t>
      </w:r>
      <w:hyperlink w:anchor="ref_NordhausYang1996Regional">
        <w:r>
          <w:rPr>
            <w:rStyle w:val="Hyperlink"/>
          </w:rPr>
          <w:t xml:space="preserve">W. D.</w:t>
        </w:r>
        <w:r>
          <w:rPr>
            <w:rStyle w:val="Hyperlink"/>
          </w:rPr>
          <w:t xml:space="preserve"> </w:t>
        </w:r>
        <w:r>
          <w:rPr>
            <w:rStyle w:val="Hyperlink"/>
            <w:smallCaps/>
          </w:rPr>
          <w:t xml:space="preserve">Nordhaus</w:t>
        </w:r>
        <w:r>
          <w:rPr>
            <w:rStyle w:val="Hyperlink"/>
          </w:rPr>
          <w:t xml:space="preserve"> </w:t>
        </w:r>
        <w:r>
          <w:rPr>
            <w:rStyle w:val="Hyperlink"/>
          </w:rPr>
          <w:t xml:space="preserve">y</w:t>
        </w:r>
        <w:r>
          <w:rPr>
            <w:rStyle w:val="Hyperlink"/>
          </w:rPr>
          <w:t xml:space="preserve"> </w:t>
        </w:r>
        <w:r>
          <w:rPr>
            <w:rStyle w:val="Hyperlink"/>
            <w:smallCaps/>
          </w:rPr>
          <w:t xml:space="preserve">Yang</w:t>
        </w:r>
        <w:r>
          <w:rPr>
            <w:rStyle w:val="Hyperlink"/>
          </w:rPr>
          <w:t xml:space="preserve">, 1996</w:t>
        </w:r>
      </w:hyperlink>
      <w:r>
        <w:t xml:space="preserve">)</w:t>
      </w:r>
      <w:r>
        <w:t xml:space="preserve"> </w:t>
      </w:r>
      <w:r>
        <w:t xml:space="preserve">y muestra que los incentivos a reducir difieren mucho entre países, la raíz del problema de la cooperación.</w:t>
      </w:r>
    </w:p>
    <w:p>
      <w:pPr>
        <w:numPr>
          <w:ilvl w:val="0"/>
          <w:numId w:val="1060"/>
        </w:numPr>
      </w:pPr>
      <w:r>
        <w:rPr>
          <w:i/>
          <w:iCs/>
        </w:rPr>
        <w:t xml:space="preserve">Innovación endógena</w:t>
      </w:r>
      <w:r>
        <w:t xml:space="preserve">: en R&amp;DICE</w:t>
      </w:r>
      <w:r>
        <w:t xml:space="preserve"> </w:t>
      </w:r>
      <w:r>
        <w:t xml:space="preserve">(</w:t>
      </w:r>
      <w:hyperlink w:anchor="ref_Nordhaus2002Modeling">
        <w:r>
          <w:rPr>
            <w:rStyle w:val="Hyperlink"/>
          </w:rPr>
          <w:t xml:space="preserve">W. D.</w:t>
        </w:r>
        <w:r>
          <w:rPr>
            <w:rStyle w:val="Hyperlink"/>
          </w:rPr>
          <w:t xml:space="preserve"> </w:t>
        </w:r>
        <w:r>
          <w:rPr>
            <w:rStyle w:val="Hyperlink"/>
            <w:smallCaps/>
          </w:rPr>
          <w:t xml:space="preserve">Nordhaus</w:t>
        </w:r>
        <w:r>
          <w:rPr>
            <w:rStyle w:val="Hyperlink"/>
          </w:rPr>
          <w:t xml:space="preserve">, 2002</w:t>
        </w:r>
      </w:hyperlink>
      <w:r>
        <w:t xml:space="preserve">)</w:t>
      </w:r>
      <w:r>
        <w:t xml:space="preserve"> </w:t>
      </w:r>
      <w:r>
        <w:t xml:space="preserve">y ENTICE</w:t>
      </w:r>
      <w:r>
        <w:t xml:space="preserve"> </w:t>
      </w:r>
      <w:r>
        <w:t xml:space="preserve">(</w:t>
      </w:r>
      <w:hyperlink w:anchor="ref_Popp2004ENTICE">
        <w:r>
          <w:rPr>
            <w:rStyle w:val="Hyperlink"/>
            <w:smallCaps/>
          </w:rPr>
          <w:t xml:space="preserve">Popp</w:t>
        </w:r>
        <w:r>
          <w:rPr>
            <w:rStyle w:val="Hyperlink"/>
          </w:rPr>
          <w:t xml:space="preserve">, 2004</w:t>
        </w:r>
      </w:hyperlink>
      <w:r>
        <w:t xml:space="preserve">)</w:t>
      </w:r>
      <w:r>
        <w:t xml:space="preserve">, el precio del carbono induce innovación en tecnologías limpias.</w:t>
      </w:r>
    </w:p>
    <w:p>
      <w:pPr>
        <w:numPr>
          <w:ilvl w:val="0"/>
          <w:numId w:val="1060"/>
        </w:numPr>
      </w:pPr>
      <w:r>
        <w:rPr>
          <w:i/>
          <w:iCs/>
        </w:rPr>
        <w:t xml:space="preserve">Cambio técnico dirigido</w:t>
      </w:r>
      <w:r>
        <w:t xml:space="preserve">:</w:t>
      </w:r>
      <w:r>
        <w:t xml:space="preserve"> </w:t>
      </w:r>
      <w:r>
        <w:rPr>
          <w:smallCaps/>
        </w:rPr>
        <w:t xml:space="preserve">Acemoglu</w:t>
      </w:r>
      <w:r>
        <w:t xml:space="preserve"> </w:t>
      </w:r>
      <w:r>
        <w:t xml:space="preserve">et al. (</w:t>
      </w:r>
      <w:hyperlink w:anchor="ref_Acemoglu2012Environment">
        <w:r>
          <w:rPr>
            <w:rStyle w:val="Hyperlink"/>
          </w:rPr>
          <w:t xml:space="preserve">2012</w:t>
        </w:r>
      </w:hyperlink>
      <w:r>
        <w:t xml:space="preserve">)</w:t>
      </w:r>
      <w:r>
        <w:t xml:space="preserve"> </w:t>
      </w:r>
      <w:r>
        <w:t xml:space="preserve">muestran que, si las tecnologías limpias y sucias son buenas sustitutas, la innovación se dirige a la que ya es mayor, la sucia. El óptimo combina un impuesto sobre el carbono con</w:t>
      </w:r>
      <w:r>
        <w:t xml:space="preserve"> </w:t>
      </w:r>
      <w:r>
        <w:rPr>
          <w:i/>
          <w:iCs/>
        </w:rPr>
        <w:t xml:space="preserve">subvenciones a la investigación limpia</w:t>
      </w:r>
      <w:r>
        <w:t xml:space="preserve">; si la intervención es temprana, puede ser temporal, y retrasarla sale caro</w:t>
      </w:r>
      <w:r>
        <w:t xml:space="preserve"> </w:t>
      </w:r>
      <w:hyperlink r:id="rId84">
        <w:r>
          <w:rPr>
            <w:rStyle w:val="Referenciaatema"/>
          </w:rPr>
          <w:t xml:space="preserve">[ver tema 3.A.44]</w:t>
        </w:r>
      </w:hyperlink>
      <w:r>
        <w:t xml:space="preserve">.</w:t>
      </w:r>
    </w:p>
    <w:p>
      <w:pPr>
        <w:numPr>
          <w:ilvl w:val="0"/>
          <w:numId w:val="1060"/>
        </w:numPr>
      </w:pPr>
      <w:r>
        <w:rPr>
          <w:i/>
          <w:iCs/>
        </w:rPr>
        <w:t xml:space="preserve">Un impuesto óptimo sencillo</w:t>
      </w:r>
      <w:r>
        <w:t xml:space="preserve">:</w:t>
      </w:r>
      <w:r>
        <w:t xml:space="preserve"> </w:t>
      </w:r>
      <w:r>
        <w:rPr>
          <w:smallCaps/>
        </w:rPr>
        <w:t xml:space="preserve">Golosov</w:t>
      </w:r>
      <w:r>
        <w:t xml:space="preserve"> </w:t>
      </w:r>
      <w:r>
        <w:t xml:space="preserve">et al. (</w:t>
      </w:r>
      <w:hyperlink w:anchor="ref_Golosov2014Optimal">
        <w:r>
          <w:rPr>
            <w:rStyle w:val="Hyperlink"/>
          </w:rPr>
          <w:t xml:space="preserve">2014</w:t>
        </w:r>
      </w:hyperlink>
      <w:r>
        <w:t xml:space="preserve">)</w:t>
      </w:r>
      <w:r>
        <w:t xml:space="preserve"> </w:t>
      </w:r>
      <w:r>
        <w:t xml:space="preserve">llegan, en un modelo de equilibrio general dinámico y estocástico, a una fórmula cerrada (caja gris).</w:t>
      </w:r>
    </w:p>
    <w:p>
      <w:pPr>
        <w:numPr>
          <w:ilvl w:val="0"/>
          <w:numId w:val="1060"/>
        </w:numPr>
      </w:pPr>
      <w:r>
        <w:rPr>
          <w:i/>
          <w:iCs/>
        </w:rPr>
        <w:t xml:space="preserve">Coaliciones</w:t>
      </w:r>
      <w:r>
        <w:t xml:space="preserve">: el C-DICE, que</w:t>
      </w:r>
      <w:r>
        <w:t xml:space="preserve"> </w:t>
      </w:r>
      <w:r>
        <w:t xml:space="preserve">W.</w:t>
      </w:r>
      <w:r>
        <w:t xml:space="preserve"> </w:t>
      </w:r>
      <w:r>
        <w:rPr>
          <w:smallCaps/>
        </w:rPr>
        <w:t xml:space="preserve">Nordhaus</w:t>
      </w:r>
      <w:r>
        <w:t xml:space="preserve"> </w:t>
      </w:r>
      <w:r>
        <w:t xml:space="preserve">(</w:t>
      </w:r>
      <w:hyperlink w:anchor="ref_Nordhaus2015Climate">
        <w:r>
          <w:rPr>
            <w:rStyle w:val="Hyperlink"/>
          </w:rPr>
          <w:t xml:space="preserve">2015</w:t>
        </w:r>
      </w:hyperlink>
      <w:r>
        <w:t xml:space="preserve">)</w:t>
      </w:r>
      <w:r>
        <w:t xml:space="preserve"> </w:t>
      </w:r>
      <w:r>
        <w:t xml:space="preserve">usa para estudiar los clubes climáticos (apartado </w:t>
      </w:r>
      <w:hyperlink w:anchor="sec_cooperacion">
        <w:r>
          <w:rPr>
            <w:rStyle w:val="Hyperlink"/>
          </w:rPr>
          <w:t xml:space="preserve">III.2</w:t>
        </w:r>
      </w:hyperlink>
      <w:r>
        <w:t xml:space="preserve">).</w:t>
      </w:r>
    </w:p>
    <w:p>
      <w:pPr>
        <w:pStyle w:val="Cajadeanotaciones"/>
        <w:keepNext/>
        <w:keepLines/>
      </w:pPr>
      <w:r>
        <w:rPr>
          <w:b/>
          <w:bCs/>
        </w:rPr>
        <w:t xml:space="preserve">El impuesto óptimo de</w:t>
      </w:r>
      <w:r>
        <w:rPr>
          <w:b/>
          <w:bCs/>
        </w:rPr>
        <w:t xml:space="preserve"> </w:t>
      </w:r>
      <w:r>
        <w:rPr>
          <w:b/>
          <w:bCs/>
          <w:smallCaps/>
        </w:rPr>
        <w:t xml:space="preserve">Golosov</w:t>
      </w:r>
      <w:r>
        <w:rPr>
          <w:b/>
          <w:bCs/>
        </w:rPr>
        <w:t xml:space="preserve">,</w:t>
      </w:r>
      <w:r>
        <w:rPr>
          <w:b/>
          <w:bCs/>
        </w:rPr>
        <w:t xml:space="preserve"> </w:t>
      </w:r>
      <w:r>
        <w:rPr>
          <w:b/>
          <w:bCs/>
          <w:smallCaps/>
        </w:rPr>
        <w:t xml:space="preserve">Hassler</w:t>
      </w:r>
      <w:r>
        <w:rPr>
          <w:b/>
          <w:bCs/>
        </w:rPr>
        <w:t xml:space="preserve">,</w:t>
      </w:r>
      <w:r>
        <w:rPr>
          <w:b/>
          <w:bCs/>
        </w:rPr>
        <w:t xml:space="preserve"> </w:t>
      </w:r>
      <w:r>
        <w:rPr>
          <w:b/>
          <w:bCs/>
          <w:smallCaps/>
        </w:rPr>
        <w:t xml:space="preserve">Krusell</w:t>
      </w:r>
      <w:r>
        <w:rPr>
          <w:b/>
          <w:bCs/>
        </w:rPr>
        <w:t xml:space="preserve"> </w:t>
      </w:r>
      <w:r>
        <w:rPr>
          <w:b/>
          <w:bCs/>
        </w:rPr>
        <w:t xml:space="preserve">y</w:t>
      </w:r>
      <w:r>
        <w:rPr>
          <w:b/>
          <w:bCs/>
        </w:rPr>
        <w:t xml:space="preserve"> </w:t>
      </w:r>
      <w:r>
        <w:rPr>
          <w:b/>
          <w:bCs/>
          <w:smallCaps/>
        </w:rPr>
        <w:t xml:space="preserve">Tsyvinski</w:t>
      </w:r>
      <w:r>
        <w:rPr>
          <w:b/>
          <w:bCs/>
        </w:rPr>
        <w:t xml:space="preserve"> </w:t>
      </w:r>
      <w:r>
        <w:rPr>
          <w:b/>
          <w:bCs/>
        </w:rPr>
        <w:t xml:space="preserve">(2014)</w:t>
      </w:r>
      <w:r>
        <w:t xml:space="preserve">. Con utilidad logarítmica, daños proporcionales a la producción y una tasa de ahorro constante, el coste externo marginal de una tonelada de carbono, y por tanto el impuesto óptimo, es</w:t>
      </w:r>
      <w:r>
        <w:t xml:space="preserve"> </w:t>
      </w:r>
      <w:r>
        <w:rPr>
          <w:i/>
          <w:iCs/>
        </w:rPr>
        <w:t xml:space="preserve">proporcional al PIB</w:t>
      </w:r>
      <w:r>
        <w:t xml:space="preserve">:</w:t>
      </w:r>
    </w:p>
    <w:p>
      <w:pPr>
        <w:pStyle w:val="Cajadeanotaciones"/>
        <w:keepNext/>
        <w:keepLines/>
      </w:pPr>
      <m:oMathPara>
        <m:oMathParaPr>
          <m:jc m:val="center"/>
        </m:oMathParaPr>
        <m:oMath>
          <m:f>
            <m:fPr>
              <m:type m:val="bar"/>
            </m:fPr>
            <m:num>
              <m:sSubSup>
                <m:e>
                  <m:r>
                    <m:t>t</m:t>
                  </m:r>
                </m:e>
                <m:sub>
                  <m:r>
                    <m:t>t</m:t>
                  </m:r>
                </m:sub>
                <m:sup>
                  <m:r>
                    <m:rPr>
                      <m:sty m:val="p"/>
                    </m:rPr>
                    <m:t>*</m:t>
                  </m:r>
                </m:sup>
              </m:sSubSup>
            </m:num>
            <m:den>
              <m:sSub>
                <m:e>
                  <m:r>
                    <m:t>Y</m:t>
                  </m:r>
                </m:e>
                <m:sub>
                  <m:r>
                    <m:t>t</m:t>
                  </m:r>
                </m:sub>
              </m:sSub>
            </m:den>
          </m:f>
          <m:r>
            <m:rPr>
              <m:sty m:val="p"/>
            </m:rPr>
            <m:t>=</m:t>
          </m:r>
          <m:acc>
            <m:accPr>
              <m:chr m:val="‾"/>
            </m:accPr>
            <m:e>
              <m:r>
                <m:t>γ</m:t>
              </m:r>
            </m:e>
          </m:acc>
          <m:d>
            <m:dPr>
              <m:begChr m:val="["/>
              <m:sepChr m:val=""/>
              <m:endChr m:val="]"/>
              <m:grow/>
            </m:dPr>
            <m:e>
              <m:f>
                <m:fPr>
                  <m:type m:val="bar"/>
                </m:fPr>
                <m:num>
                  <m:sSub>
                    <m:e>
                      <m:r>
                        <m:t>φ</m:t>
                      </m:r>
                    </m:e>
                    <m:sub>
                      <m:r>
                        <m:t>L</m:t>
                      </m:r>
                    </m:sub>
                  </m:sSub>
                </m:num>
                <m:den>
                  <m:r>
                    <m:t>1</m:t>
                  </m:r>
                  <m:r>
                    <m:rPr>
                      <m:sty m:val="p"/>
                    </m:rPr>
                    <m:t>−</m:t>
                  </m:r>
                  <m:r>
                    <m:t>β</m:t>
                  </m:r>
                </m:den>
              </m:f>
              <m:r>
                <m:rPr>
                  <m:sty m:val="p"/>
                </m:rPr>
                <m:t>+</m:t>
              </m:r>
              <m:f>
                <m:fPr>
                  <m:type m:val="bar"/>
                </m:fPr>
                <m:num>
                  <m:d>
                    <m:dPr>
                      <m:begChr m:val="("/>
                      <m:sepChr m:val=""/>
                      <m:endChr m:val=")"/>
                      <m:grow/>
                    </m:dPr>
                    <m:e>
                      <m:r>
                        <m:t>1</m:t>
                      </m:r>
                      <m:r>
                        <m:rPr>
                          <m:sty m:val="p"/>
                        </m:rPr>
                        <m:t>−</m:t>
                      </m:r>
                      <m:sSub>
                        <m:e>
                          <m:r>
                            <m:t>φ</m:t>
                          </m:r>
                        </m:e>
                        <m:sub>
                          <m:r>
                            <m:t>L</m:t>
                          </m:r>
                        </m:sub>
                      </m:sSub>
                    </m:e>
                  </m:d>
                  <m:r>
                    <m:t> </m:t>
                  </m:r>
                  <m:sSub>
                    <m:e>
                      <m:r>
                        <m:t>φ</m:t>
                      </m:r>
                    </m:e>
                    <m:sub>
                      <m:r>
                        <m:t>0</m:t>
                      </m:r>
                    </m:sub>
                  </m:sSub>
                </m:num>
                <m:den>
                  <m:r>
                    <m:t>1</m:t>
                  </m:r>
                  <m:r>
                    <m:rPr>
                      <m:sty m:val="p"/>
                    </m:rPr>
                    <m:t>−</m:t>
                  </m:r>
                  <m:d>
                    <m:dPr>
                      <m:begChr m:val="("/>
                      <m:sepChr m:val=""/>
                      <m:endChr m:val=")"/>
                      <m:grow/>
                    </m:dPr>
                    <m:e>
                      <m:r>
                        <m:t>1</m:t>
                      </m:r>
                      <m:r>
                        <m:rPr>
                          <m:sty m:val="p"/>
                        </m:rPr>
                        <m:t>−</m:t>
                      </m:r>
                      <m:r>
                        <m:t>φ</m:t>
                      </m:r>
                    </m:e>
                  </m:d>
                  <m:r>
                    <m:t>β</m:t>
                  </m:r>
                </m:den>
              </m:f>
            </m:e>
          </m:d>
          <m:r>
            <m:rPr>
              <m:sty m:val="p"/>
            </m:rPr>
            <m:t>,</m:t>
          </m:r>
        </m:oMath>
      </m:oMathPara>
    </w:p>
    <w:p>
      <w:pPr>
        <w:pStyle w:val="Cajadeanotaciones"/>
        <w:keepLines/>
      </w:pPr>
      <w:r>
        <w:t xml:space="preserve">donde</w:t>
      </w:r>
      <w:r>
        <w:t xml:space="preserve"> </w:t>
      </w:r>
      <m:oMath>
        <m:acc>
          <m:accPr>
            <m:chr m:val="‾"/>
          </m:accPr>
          <m:e>
            <m:r>
              <m:t>γ</m:t>
            </m:r>
          </m:e>
        </m:acc>
      </m:oMath>
      <w:r>
        <w:t xml:space="preserve"> </w:t>
      </w:r>
      <w:r>
        <w:t xml:space="preserve">es la elasticidad esperada de los daños a la concentración de carbono,</w:t>
      </w:r>
      <w:r>
        <w:t xml:space="preserve"> </w:t>
      </w:r>
      <m:oMath>
        <m:r>
          <m:t>β</m:t>
        </m:r>
      </m:oMath>
      <w:r>
        <w:t xml:space="preserve"> </w:t>
      </w:r>
      <w:r>
        <w:t xml:space="preserve">el factor de descuento,</w:t>
      </w:r>
      <w:r>
        <w:t xml:space="preserve"> </w:t>
      </w:r>
      <m:oMath>
        <m:sSub>
          <m:e>
            <m:r>
              <m:t>φ</m:t>
            </m:r>
          </m:e>
          <m:sub>
            <m:r>
              <m:t>L</m:t>
            </m:r>
          </m:sub>
        </m:sSub>
      </m:oMath>
      <w:r>
        <w:t xml:space="preserve"> </w:t>
      </w:r>
      <w:r>
        <w:t xml:space="preserve">la fracción del carbono emitido que se queda para siempre en la atmósfera,</w:t>
      </w:r>
      <w:r>
        <w:t xml:space="preserve"> </w:t>
      </w:r>
      <m:oMath>
        <m:r>
          <m:t>1</m:t>
        </m:r>
        <m:r>
          <m:rPr>
            <m:sty m:val="p"/>
          </m:rPr>
          <m:t>−</m:t>
        </m:r>
        <m:sSub>
          <m:e>
            <m:r>
              <m:t>φ</m:t>
            </m:r>
          </m:e>
          <m:sub>
            <m:r>
              <m:t>0</m:t>
            </m:r>
          </m:sub>
        </m:sSub>
      </m:oMath>
      <w:r>
        <w:t xml:space="preserve"> </w:t>
      </w:r>
      <w:r>
        <w:t xml:space="preserve">la que sale enseguida y</w:t>
      </w:r>
      <w:r>
        <w:t xml:space="preserve"> </w:t>
      </w:r>
      <m:oMath>
        <m:r>
          <m:t>φ</m:t>
        </m:r>
      </m:oMath>
      <w:r>
        <w:t xml:space="preserve"> </w:t>
      </w:r>
      <w:r>
        <w:t xml:space="preserve">la tasa a la que se va el resto. Desaparecen la producción, el consumo y el carbono futuros: solo importan el descuento, los daños y la física del carbono. Con un descuento anual del 1,5 %, el impuesto es de unos 57 $ por tonelada de carbono (unos 15 $ por tonelada de CO</w:t>
      </w:r>
      <w:r>
        <w:rPr>
          <w:vertAlign w:val="subscript"/>
        </w:rPr>
        <w:t xml:space="preserve">2</w:t>
      </w:r>
      <w:r>
        <w:t xml:space="preserve">); con el 0,1 % de</w:t>
      </w:r>
      <w:r>
        <w:t xml:space="preserve"> </w:t>
      </w:r>
      <w:r>
        <w:rPr>
          <w:smallCaps/>
        </w:rPr>
        <w:t xml:space="preserve">Stern</w:t>
      </w:r>
      <w:r>
        <w:t xml:space="preserve">, de 496 $</w:t>
      </w:r>
      <w:r>
        <w:t xml:space="preserve"> </w:t>
      </w:r>
      <w:r>
        <w:t xml:space="preserve">(</w:t>
      </w:r>
      <w:hyperlink w:anchor="ref_Golosov2014Optimal">
        <w:r>
          <w:rPr>
            <w:rStyle w:val="Hyperlink"/>
            <w:smallCaps/>
          </w:rPr>
          <w:t xml:space="preserve">Golosov</w:t>
        </w:r>
        <w:r>
          <w:rPr>
            <w:rStyle w:val="Hyperlink"/>
          </w:rPr>
          <w:t xml:space="preserve"> </w:t>
        </w:r>
        <w:r>
          <w:rPr>
            <w:rStyle w:val="Hyperlink"/>
          </w:rPr>
          <w:t xml:space="preserve">et al., 2014</w:t>
        </w:r>
      </w:hyperlink>
      <w:r>
        <w:t xml:space="preserve">)</w:t>
      </w:r>
      <w:r>
        <w:t xml:space="preserve">. Aquí</w:t>
      </w:r>
      <w:r>
        <w:t xml:space="preserve"> </w:t>
      </w:r>
      <m:oMath>
        <m:acc>
          <m:accPr>
            <m:chr m:val="‾"/>
          </m:accPr>
          <m:e>
            <m:r>
              <m:t>γ</m:t>
            </m:r>
          </m:e>
        </m:acc>
      </m:oMath>
      <w:r>
        <w:t xml:space="preserve">,</w:t>
      </w:r>
      <w:r>
        <w:t xml:space="preserve"> </w:t>
      </w:r>
      <m:oMath>
        <m:r>
          <m:t>φ</m:t>
        </m:r>
      </m:oMath>
      <w:r>
        <w:t xml:space="preserve">,</w:t>
      </w:r>
      <w:r>
        <w:t xml:space="preserve"> </w:t>
      </w:r>
      <m:oMath>
        <m:sSub>
          <m:e>
            <m:r>
              <m:t>φ</m:t>
            </m:r>
          </m:e>
          <m:sub>
            <m:r>
              <m:t>0</m:t>
            </m:r>
          </m:sub>
        </m:sSub>
      </m:oMath>
      <w:r>
        <w:t xml:space="preserve"> </w:t>
      </w:r>
      <w:r>
        <w:t xml:space="preserve">y</w:t>
      </w:r>
      <w:r>
        <w:t xml:space="preserve"> </w:t>
      </w:r>
      <m:oMath>
        <m:sSub>
          <m:e>
            <m:r>
              <m:t>φ</m:t>
            </m:r>
          </m:e>
          <m:sub>
            <m:r>
              <m:t>L</m:t>
            </m:r>
          </m:sub>
        </m:sSub>
      </m:oMath>
      <w:r>
        <w:t xml:space="preserve"> </w:t>
      </w:r>
      <w:r>
        <w:t xml:space="preserve">son letras locales del artículo:</w:t>
      </w:r>
      <w:r>
        <w:t xml:space="preserve"> </w:t>
      </w:r>
      <m:oMath>
        <m:r>
          <m:t>φ</m:t>
        </m:r>
      </m:oMath>
      <w:r>
        <w:t xml:space="preserve"> </w:t>
      </w:r>
      <w:r>
        <w:t xml:space="preserve">no es la inversa de la elasticidad de</w:t>
      </w:r>
      <w:r>
        <w:t xml:space="preserve"> </w:t>
      </w:r>
      <w:r>
        <w:rPr>
          <w:smallCaps/>
        </w:rPr>
        <w:t xml:space="preserve">Frisch</w:t>
      </w:r>
      <w:r>
        <w:t xml:space="preserve">, ni</w:t>
      </w:r>
      <w:r>
        <w:t xml:space="preserve"> </w:t>
      </w:r>
      <m:oMath>
        <m:acc>
          <m:accPr>
            <m:chr m:val="‾"/>
          </m:accPr>
          <m:e>
            <m:r>
              <m:t>γ</m:t>
            </m:r>
          </m:e>
        </m:acc>
      </m:oMath>
      <w:r>
        <w:t xml:space="preserve"> </w:t>
      </w:r>
      <w:r>
        <w:t xml:space="preserve">una tasa de crecimiento.</w:t>
      </w:r>
    </w:p>
    <w:bookmarkEnd w:id="85"/>
    <w:bookmarkStart w:id="86" w:name="d_evidencia_emp__rica"/>
    <w:p>
      <w:pPr>
        <w:pStyle w:val="Heading4"/>
      </w:pPr>
      <w:r>
        <w:t xml:space="preserve">d) Evidencia empírica</w:t>
      </w:r>
    </w:p>
    <w:p>
      <w:pPr>
        <w:numPr>
          <w:ilvl w:val="0"/>
          <w:numId w:val="1061"/>
        </w:numPr>
      </w:pPr>
      <w:r>
        <w:t xml:space="preserve">La función de daños de DICE-2023 se calibra con la literatura de daños, que da un 1,6 % del producto con 3 °C, más un 1 % por los puntos de inflexión y un 0,5 % por los efectos omitidos: en total, un 3,1 % con 3 °C. Es casi el doble que en DICE-2016, y por eso el CSC ha subido</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w:t>
      </w:r>
    </w:p>
    <w:p>
      <w:pPr>
        <w:numPr>
          <w:ilvl w:val="0"/>
          <w:numId w:val="1061"/>
        </w:numPr>
      </w:pPr>
      <w:r>
        <w:t xml:space="preserve">Comparando modelos, las estimaciones del CSC son muy parecidas</w:t>
      </w:r>
      <w:r>
        <w:t xml:space="preserve"> </w:t>
      </w:r>
      <w:r>
        <w:rPr>
          <w:i/>
          <w:iCs/>
        </w:rPr>
        <w:t xml:space="preserve">para un mismo descuento</w:t>
      </w:r>
      <w:r>
        <w:t xml:space="preserve">: la discrepancia viene sobre todo del descuento y de los daños, no de la estructura del modelo</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w:t>
      </w:r>
    </w:p>
    <w:p>
      <w:pPr>
        <w:numPr>
          <w:ilvl w:val="0"/>
          <w:numId w:val="1061"/>
        </w:numPr>
      </w:pPr>
      <w:r>
        <w:t xml:space="preserve">La evidencia de panel reciente (apartado </w:t>
      </w:r>
      <w:hyperlink w:anchor="sec_evidencia">
        <w:r>
          <w:rPr>
            <w:rStyle w:val="Hyperlink"/>
          </w:rPr>
          <w:t xml:space="preserve">II.1</w:t>
        </w:r>
      </w:hyperlink>
      <w:r>
        <w:t xml:space="preserve">) sugiere daños sobre el crecimiento, mayores que los de la función cuadrática; con ella, el CSC de</w:t>
      </w:r>
      <w:r>
        <w:t xml:space="preserve"> </w:t>
      </w:r>
      <w:r>
        <w:rPr>
          <w:smallCaps/>
        </w:rPr>
        <w:t xml:space="preserve">Bilal</w:t>
      </w:r>
      <w:r>
        <w:t xml:space="preserve"> </w:t>
      </w:r>
      <w:r>
        <w:t xml:space="preserve">y</w:t>
      </w:r>
      <w:r>
        <w:t xml:space="preserve"> </w:t>
      </w:r>
      <w:r>
        <w:rPr>
          <w:smallCaps/>
        </w:rPr>
        <w:t xml:space="preserve">Känzig</w:t>
      </w:r>
      <w:r>
        <w:t xml:space="preserve"> </w:t>
      </w:r>
      <w:r>
        <w:t xml:space="preserve">(</w:t>
      </w:r>
      <w:hyperlink w:anchor="ref_BilalKanzig2026Macroeconomic">
        <w:r>
          <w:rPr>
            <w:rStyle w:val="Hyperlink"/>
          </w:rPr>
          <w:t xml:space="preserve">2026</w:t>
        </w:r>
      </w:hyperlink>
      <w:r>
        <w:t xml:space="preserve">)</w:t>
      </w:r>
      <w:r>
        <w:t xml:space="preserve"> </w:t>
      </w:r>
      <w:r>
        <w:t xml:space="preserve">es del orden de 20 veces el del DICE.</w:t>
      </w:r>
    </w:p>
    <w:bookmarkEnd w:id="86"/>
    <w:bookmarkStart w:id="93" w:name="e_valoraci__n"/>
    <w:p>
      <w:pPr>
        <w:pStyle w:val="Heading4"/>
      </w:pPr>
      <w:r>
        <w:t xml:space="preserve">e) Valoración</w:t>
      </w:r>
    </w:p>
    <w:bookmarkStart w:id="89" w:name="el_descuento_stern_frente_a_nordhaus"/>
    <w:p>
      <w:pPr>
        <w:pStyle w:val="Heading5"/>
      </w:pPr>
      <w:r>
        <w:t xml:space="preserve">El descuento:</w:t>
      </w:r>
      <w:r>
        <w:t xml:space="preserve"> </w:t>
      </w:r>
      <w:r>
        <w:rPr>
          <w:smallCaps/>
        </w:rPr>
        <w:t xml:space="preserve">Stern</w:t>
      </w:r>
      <w:r>
        <w:t xml:space="preserve"> </w:t>
      </w:r>
      <w:r>
        <w:t xml:space="preserve">frente a</w:t>
      </w:r>
      <w:r>
        <w:t xml:space="preserve"> </w:t>
      </w:r>
      <w:r>
        <w:rPr>
          <w:smallCaps/>
        </w:rPr>
        <w:t xml:space="preserve">Nordhaus</w:t>
      </w:r>
    </w:p>
    <w:p>
      <w:pPr>
        <w:numPr>
          <w:ilvl w:val="0"/>
          <w:numId w:val="1062"/>
        </w:numPr>
      </w:pPr>
      <w:r>
        <w:t xml:space="preserve">«Pan para hoy, hambre para mañana», dice el refrán: es lo que</w:t>
      </w:r>
      <w:r>
        <w:t xml:space="preserve"> </w:t>
      </w:r>
      <w:r>
        <w:rPr>
          <w:smallCaps/>
        </w:rPr>
        <w:t xml:space="preserve">Stern</w:t>
      </w:r>
      <w:r>
        <w:t xml:space="preserve"> </w:t>
      </w:r>
      <w:r>
        <w:t xml:space="preserve">reprocha a un descuento alto.</w:t>
      </w:r>
    </w:p>
    <w:p>
      <w:pPr>
        <w:keepNext/>
        <w:numPr>
          <w:ilvl w:val="0"/>
          <w:numId w:val="1062"/>
        </w:numPr>
      </w:pPr>
      <w:r>
        <w:t xml:space="preserve">2 enfoques:</w:t>
      </w:r>
    </w:p>
    <w:p>
      <w:pPr>
        <w:numPr>
          <w:ilvl w:val="1"/>
          <w:numId w:val="1063"/>
        </w:numPr>
      </w:pPr>
      <w:r>
        <w:rPr>
          <w:smallCaps/>
        </w:rPr>
        <w:t xml:space="preserve">Stern</w:t>
      </w:r>
      <w:r>
        <w:t xml:space="preserve"> </w:t>
      </w:r>
      <w:r>
        <w:t xml:space="preserve">defiende un enfoque</w:t>
      </w:r>
      <w:r>
        <w:t xml:space="preserve"> </w:t>
      </w:r>
      <w:r>
        <w:rPr>
          <w:i/>
          <w:iCs/>
        </w:rPr>
        <w:t xml:space="preserve">prescriptivo</w:t>
      </w:r>
      <w:r>
        <w:t xml:space="preserve">: por ética, todas las generaciones valen lo mismo, así que</w:t>
      </w:r>
      <w:r>
        <w:t xml:space="preserve"> </w:t>
      </w:r>
      <m:oMath>
        <m:r>
          <m:t>ρ</m:t>
        </m:r>
      </m:oMath>
      <w:r>
        <w:t xml:space="preserve"> </w:t>
      </w:r>
      <w:r>
        <w:t xml:space="preserve">debe ser casi 0 y solo recoger el riesgo de que la humanidad desaparezca</w:t>
      </w:r>
      <w:r>
        <w:t xml:space="preserve"> </w:t>
      </w:r>
      <w:r>
        <w:t xml:space="preserve">(</w:t>
      </w:r>
      <w:hyperlink w:anchor="ref_Stern2007Economics">
        <w:r>
          <w:rPr>
            <w:rStyle w:val="Hyperlink"/>
            <w:smallCaps/>
          </w:rPr>
          <w:t xml:space="preserve">Stern</w:t>
        </w:r>
        <w:r>
          <w:rPr>
            <w:rStyle w:val="Hyperlink"/>
          </w:rPr>
          <w:t xml:space="preserve">, 2007</w:t>
        </w:r>
      </w:hyperlink>
      <w:r>
        <w:t xml:space="preserve">)</w:t>
      </w:r>
      <w:r>
        <w:t xml:space="preserve">;</w:t>
      </w:r>
    </w:p>
    <w:p>
      <w:pPr>
        <w:numPr>
          <w:ilvl w:val="1"/>
          <w:numId w:val="1063"/>
        </w:numPr>
      </w:pPr>
      <w:r>
        <w:rPr>
          <w:smallCaps/>
        </w:rPr>
        <w:t xml:space="preserve">Nordhaus</w:t>
      </w:r>
      <w:r>
        <w:t xml:space="preserve"> </w:t>
      </w:r>
      <w:r>
        <w:t xml:space="preserve">defiende un enfoque</w:t>
      </w:r>
      <w:r>
        <w:t xml:space="preserve"> </w:t>
      </w:r>
      <w:r>
        <w:rPr>
          <w:i/>
          <w:iCs/>
        </w:rPr>
        <w:t xml:space="preserve">descriptivo</w:t>
      </w:r>
      <w:r>
        <w:t xml:space="preserve">:</w:t>
      </w:r>
      <w:r>
        <w:t xml:space="preserve"> </w:t>
      </w:r>
      <m:oMath>
        <m:r>
          <m:t>ρ</m:t>
        </m:r>
      </m:oMath>
      <w:r>
        <w:t xml:space="preserve"> </w:t>
      </w:r>
      <w:r>
        <w:t xml:space="preserve">y</w:t>
      </w:r>
      <w:r>
        <w:t xml:space="preserve"> </w:t>
      </w:r>
      <m:oMath>
        <m:r>
          <m:t>θ</m:t>
        </m:r>
      </m:oMath>
      <w:r>
        <w:t xml:space="preserve"> </w:t>
      </w:r>
      <w:r>
        <w:t xml:space="preserve">deben reproducir los tipos de interés reales que observamos; si no, la inversión climática rendiría menos que otras inversiones que también benefician a las generaciones futuras</w:t>
      </w:r>
      <w:r>
        <w:t xml:space="preserve"> </w:t>
      </w:r>
      <w:r>
        <w:t xml:space="preserve">(</w:t>
      </w:r>
      <w:hyperlink w:anchor="ref_Nordhaus2007Review">
        <w:r>
          <w:rPr>
            <w:rStyle w:val="Hyperlink"/>
          </w:rPr>
          <w:t xml:space="preserve">W. D.</w:t>
        </w:r>
        <w:r>
          <w:rPr>
            <w:rStyle w:val="Hyperlink"/>
          </w:rPr>
          <w:t xml:space="preserve"> </w:t>
        </w:r>
        <w:r>
          <w:rPr>
            <w:rStyle w:val="Hyperlink"/>
            <w:smallCaps/>
          </w:rPr>
          <w:t xml:space="preserve">Nordhaus</w:t>
        </w:r>
        <w:r>
          <w:rPr>
            <w:rStyle w:val="Hyperlink"/>
          </w:rPr>
          <w:t xml:space="preserve">, 2007</w:t>
        </w:r>
      </w:hyperlink>
      <w:r>
        <w:t xml:space="preserve">)</w:t>
      </w:r>
      <w:r>
        <w:t xml:space="preserve">.</w:t>
      </w:r>
    </w:p>
    <w:p>
      <w:pPr>
        <w:numPr>
          <w:ilvl w:val="0"/>
          <w:numId w:val="1062"/>
        </w:numPr>
      </w:pPr>
      <w:r>
        <w:t xml:space="preserve">La diferencia es enorme (tabla </w:t>
      </w:r>
      <w:hyperlink w:anchor="tab_descuento">
        <w:r>
          <w:rPr>
            <w:rStyle w:val="Hyperlink"/>
          </w:rPr>
          <w:t xml:space="preserve">2</w:t>
        </w:r>
      </w:hyperlink>
      <w:r>
        <w:t xml:space="preserve">): 100 $ de daño dentro de 100 años valen hoy unos 25 $ con el descuento de</w:t>
      </w:r>
      <w:r>
        <w:t xml:space="preserve"> </w:t>
      </w:r>
      <w:r>
        <w:rPr>
          <w:smallCaps/>
        </w:rPr>
        <w:t xml:space="preserve">Stern</w:t>
      </w:r>
      <w:r>
        <w:t xml:space="preserve"> </w:t>
      </w:r>
      <w:r>
        <w:t xml:space="preserve">(1,4 %) y menos de 50 céntimos con el de</w:t>
      </w:r>
      <w:r>
        <w:t xml:space="preserve"> </w:t>
      </w:r>
      <w:r>
        <w:rPr>
          <w:smallCaps/>
        </w:rPr>
        <w:t xml:space="preserve">Nordhaus</w:t>
      </w:r>
      <w:r>
        <w:t xml:space="preserve"> </w:t>
      </w:r>
      <w:r>
        <w:t xml:space="preserve">(5,5 %).</w:t>
      </w:r>
    </w:p>
    <w:p>
      <w:pPr>
        <w:numPr>
          <w:ilvl w:val="0"/>
          <w:numId w:val="1062"/>
        </w:numPr>
      </w:pPr>
      <m:oMath>
        <m:r>
          <m:t>θ</m:t>
        </m:r>
      </m:oMath>
      <w:r>
        <w:t xml:space="preserve"> </w:t>
      </w:r>
      <w:r>
        <w:t xml:space="preserve">es a la vez la curvatura de la utilidad del consumidor representativo y la</w:t>
      </w:r>
      <w:r>
        <w:t xml:space="preserve"> </w:t>
      </w:r>
      <w:r>
        <w:rPr>
          <w:i/>
          <w:iCs/>
        </w:rPr>
        <w:t xml:space="preserve">aversión a la desigualdad entre generaciones</w:t>
      </w:r>
      <w:r>
        <w:t xml:space="preserve">: la misma idea que el parámetro de aversión a la desigualdad de la función de bienestar social isoelástica y del índice de</w:t>
      </w:r>
      <w:r>
        <w:t xml:space="preserve"> </w:t>
      </w:r>
      <w:r>
        <w:rPr>
          <w:smallCaps/>
        </w:rPr>
        <w:t xml:space="preserve">Atkinson</w:t>
      </w:r>
      <w:r>
        <w:t xml:space="preserve"> </w:t>
      </w:r>
      <w:hyperlink r:id="rId87">
        <w:r>
          <w:rPr>
            <w:rStyle w:val="Referenciaatema"/>
          </w:rPr>
          <w:t xml:space="preserve">[ver tema 3.A.24]</w:t>
        </w:r>
      </w:hyperlink>
      <w:r>
        <w:t xml:space="preserve">. Con</w:t>
      </w:r>
      <w:r>
        <w:t xml:space="preserve"> </w:t>
      </w:r>
      <m:oMath>
        <m:r>
          <m:t>θ</m:t>
        </m:r>
      </m:oMath>
      <w:r>
        <w:t xml:space="preserve"> </w:t>
      </w:r>
      <w:r>
        <w:t xml:space="preserve">alto, la sociedad pide más a las generaciones futuras, más ricas, que a la actual.</w:t>
      </w:r>
    </w:p>
    <w:p>
      <w:pPr>
        <w:numPr>
          <w:ilvl w:val="0"/>
          <w:numId w:val="1062"/>
        </w:numPr>
      </w:pPr>
      <w:r>
        <w:t xml:space="preserve">En una encuesta a más de 200 expertos, la tasa social de descuento a largo plazo recomendada tiene una mediana del 2 % y la mayoría acepta tasas entre el 1 y el 3 %</w:t>
      </w:r>
      <w:r>
        <w:t xml:space="preserve"> </w:t>
      </w:r>
      <w:r>
        <w:t xml:space="preserve">(</w:t>
      </w:r>
      <w:hyperlink w:anchor="ref_Drupp2018Discounting">
        <w:r>
          <w:rPr>
            <w:rStyle w:val="Hyperlink"/>
            <w:smallCaps/>
          </w:rPr>
          <w:t xml:space="preserve">Drupp</w:t>
        </w:r>
        <w:r>
          <w:rPr>
            <w:rStyle w:val="Hyperlink"/>
          </w:rPr>
          <w:t xml:space="preserve"> </w:t>
        </w:r>
        <w:r>
          <w:rPr>
            <w:rStyle w:val="Hyperlink"/>
          </w:rPr>
          <w:t xml:space="preserve">et al., 2018</w:t>
        </w:r>
      </w:hyperlink>
      <w:r>
        <w:t xml:space="preserve">)</w:t>
      </w:r>
      <w:r>
        <w:t xml:space="preserve">; con esos valores y la evidencia reciente sobre daños, el óptimo del DICE se acerca a los objetivos de París</w:t>
      </w:r>
      <w:r>
        <w:t xml:space="preserve"> </w:t>
      </w:r>
      <w:r>
        <w:t xml:space="preserve">(</w:t>
      </w:r>
      <w:hyperlink w:anchor="ref_Hansel2020Climate">
        <w:r>
          <w:rPr>
            <w:rStyle w:val="Hyperlink"/>
            <w:smallCaps/>
          </w:rPr>
          <w:t xml:space="preserve">Hänsel</w:t>
        </w:r>
        <w:r>
          <w:rPr>
            <w:rStyle w:val="Hyperlink"/>
          </w:rPr>
          <w:t xml:space="preserve"> </w:t>
        </w:r>
        <w:r>
          <w:rPr>
            <w:rStyle w:val="Hyperlink"/>
          </w:rPr>
          <w:t xml:space="preserve">et al., 2020</w:t>
        </w:r>
      </w:hyperlink>
      <w:r>
        <w:t xml:space="preserve">)</w:t>
      </w:r>
      <w:r>
        <w:t xml:space="preserve">. Las guías oficiales de evaluación usan tasas decrecientes con el plazo</w:t>
      </w:r>
      <w:r>
        <w:t xml:space="preserve"> </w:t>
      </w:r>
      <w:hyperlink r:id="rId70">
        <w:r>
          <w:rPr>
            <w:rStyle w:val="Referenciaatema"/>
          </w:rPr>
          <w:t xml:space="preserve">[ver tema 4.B.6]</w:t>
        </w:r>
      </w:hyperlink>
      <w:r>
        <w:t xml:space="preserve">.</w:t>
      </w:r>
    </w:p>
    <w:bookmarkStart w:id="88" w:name="tab_descuento"/>
    <w:p>
      <w:pPr>
        <w:pStyle w:val="TableCaption"/>
      </w:pPr>
      <w:r>
        <w:t xml:space="preserve">Tabla 2.–</w:t>
      </w:r>
      <w:r>
        <w:t xml:space="preserve"> </w:t>
      </w:r>
      <w:r>
        <w:t xml:space="preserve">La fórmula de</w:t>
      </w:r>
      <w:r>
        <w:t xml:space="preserve"> </w:t>
      </w:r>
      <w:r>
        <w:rPr>
          <w:smallCaps/>
        </w:rPr>
        <w:t xml:space="preserve">Ramsey</w:t>
      </w:r>
      <w:r>
        <w:t xml:space="preserve"> </w:t>
      </w:r>
      <w:r>
        <w:t xml:space="preserve">del descuento,</w:t>
      </w:r>
      <w:r>
        <w:t xml:space="preserve"> </w:t>
      </w:r>
      <m:oMath>
        <m:sSub>
          <m:e>
            <m:r>
              <m:t>r</m:t>
            </m:r>
          </m:e>
          <m:sub>
            <m:r>
              <m:t>s</m:t>
            </m:r>
          </m:sub>
        </m:sSub>
        <m:r>
          <m:rPr>
            <m:sty m:val="p"/>
          </m:rPr>
          <m:t>=</m:t>
        </m:r>
        <m:r>
          <m:t>ρ</m:t>
        </m:r>
        <m:r>
          <m:rPr>
            <m:sty m:val="p"/>
          </m:rPr>
          <m:t>+</m:t>
        </m:r>
        <m:r>
          <m:t>θ</m:t>
        </m:r>
        <m:sSub>
          <m:e>
            <m:r>
              <m:t>γ</m:t>
            </m:r>
          </m:e>
          <m:sub>
            <m:r>
              <m:t>c</m:t>
            </m:r>
          </m:sub>
        </m:sSub>
      </m:oMath>
      <w:r>
        <w:t xml:space="preserve">, con distintas calibraciones</w:t>
      </w:r>
    </w:p>
    <w:tbl>
      <w:tblPr>
        <w:tblStyle w:val="Table"/>
        <w:tblW w:type="auto" w:w="0"/>
        <w:tblLook w:firstRow="1" w:lastRow="0" w:firstColumn="0" w:lastColumn="0" w:noHBand="0" w:noVBand="0" w:val="0020"/>
        <w:tblCaption w:val="Tabla 2.– La fórmula de Ramsey del descuento, r_s=\rho+\theta\gamma_c, con distintas calibraciones"/>
      </w:tblPr>
      <w:tblGrid>
        <w:gridCol w:w="1320"/>
        <w:gridCol w:w="1320"/>
        <w:gridCol w:w="1320"/>
        <w:gridCol w:w="1320"/>
        <w:gridCol w:w="1320"/>
        <w:gridCol w:w="1320"/>
      </w:tblGrid>
      <w:tr>
        <w:trPr>
          <w:cantSplit/>
          <w:tblHeader w:val="on"/>
        </w:trPr>
        <w:tc>
          <w:tcPr>
            <w:shd w:val="clear" w:color="auto" w:fill="DDEBF7"/>
            <w:vAlign w:val="center"/>
          </w:tcPr>
          <w:p>
            <w:pPr>
              <w:pStyle w:val="Celdatceeazulpalido"/>
              <w:keepNext/>
              <w:jc w:val="left"/>
            </w:pPr>
            <w:r>
              <w:t/>
            </w:r>
          </w:p>
        </w:tc>
        <w:tc>
          <w:tcPr>
            <w:shd w:val="clear" w:color="auto" w:fill="DDEBF7"/>
            <w:vAlign w:val="center"/>
          </w:tcPr>
          <w:p>
            <w:pPr>
              <w:pStyle w:val="Celdatceeazulpalido"/>
              <w:keepNext/>
              <w:jc w:val="center"/>
            </w:pPr>
            <m:oMath>
              <m:r>
                <m:t>ρ</m:t>
              </m:r>
            </m:oMath>
          </w:p>
        </w:tc>
        <w:tc>
          <w:tcPr>
            <w:shd w:val="clear" w:color="auto" w:fill="DDEBF7"/>
            <w:vAlign w:val="center"/>
          </w:tcPr>
          <w:p>
            <w:pPr>
              <w:pStyle w:val="Celdatceeazulpalido"/>
              <w:keepNext/>
              <w:jc w:val="center"/>
            </w:pPr>
            <m:oMath>
              <m:r>
                <m:t>θ</m:t>
              </m:r>
            </m:oMath>
          </w:p>
        </w:tc>
        <w:tc>
          <w:tcPr>
            <w:shd w:val="clear" w:color="auto" w:fill="DDEBF7"/>
            <w:vAlign w:val="center"/>
          </w:tcPr>
          <w:p>
            <w:pPr>
              <w:pStyle w:val="Celdatceeazulpalido"/>
              <w:keepNext/>
              <w:jc w:val="center"/>
            </w:pPr>
            <m:oMath>
              <m:sSub>
                <m:e>
                  <m:r>
                    <m:t>γ</m:t>
                  </m:r>
                </m:e>
                <m:sub>
                  <m:r>
                    <m:t>c</m:t>
                  </m:r>
                </m:sub>
              </m:sSub>
            </m:oMath>
          </w:p>
        </w:tc>
        <w:tc>
          <w:tcPr>
            <w:shd w:val="clear" w:color="auto" w:fill="DDEBF7"/>
            <w:vAlign w:val="center"/>
          </w:tcPr>
          <w:p>
            <w:pPr>
              <w:pStyle w:val="Celdatceeazulpalido"/>
              <w:keepNext/>
              <w:jc w:val="center"/>
            </w:pPr>
            <m:oMath>
              <m:sSub>
                <m:e>
                  <m:r>
                    <m:t>r</m:t>
                  </m:r>
                </m:e>
                <m:sub>
                  <m:r>
                    <m:t>s</m:t>
                  </m:r>
                </m:sub>
              </m:sSub>
            </m:oMath>
          </w:p>
        </w:tc>
        <w:tc>
          <w:tcPr>
            <w:shd w:val="clear" w:color="auto" w:fill="DDEBF7"/>
            <w:vAlign w:val="center"/>
          </w:tcPr>
          <w:p>
            <w:pPr>
              <w:pStyle w:val="Celdatceeazulpalido"/>
              <w:keepNext/>
              <w:jc w:val="center"/>
            </w:pPr>
            <w:r>
              <w:rPr>
                <w:b/>
                <w:bCs/>
              </w:rPr>
              <w:t xml:space="preserve">Valor hoy de 100 $ dentro de 100 años</w:t>
            </w:r>
          </w:p>
        </w:tc>
      </w:tr>
      <w:tr>
        <w:trPr>
          <w:cantSplit/>
        </w:trPr>
        <w:tc>
          <w:tcPr>
            <w:vAlign w:val="center"/>
          </w:tcPr>
          <w:p>
            <w:pPr>
              <w:pStyle w:val="Compact"/>
              <w:jc w:val="left"/>
            </w:pPr>
            <w:r>
              <w:rPr>
                <w:smallCaps/>
              </w:rPr>
              <w:t xml:space="preserve">Stern</w:t>
            </w:r>
            <w:r>
              <w:t xml:space="preserve"> </w:t>
            </w:r>
            <w:r>
              <w:t xml:space="preserve">(2007)</w:t>
            </w:r>
          </w:p>
        </w:tc>
        <w:tc>
          <w:tcPr>
            <w:vAlign w:val="center"/>
          </w:tcPr>
          <w:p>
            <w:pPr>
              <w:pStyle w:val="Compact"/>
              <w:jc w:val="center"/>
            </w:pPr>
            <w:r>
              <w:t xml:space="preserve">0,1 %</w:t>
            </w:r>
          </w:p>
        </w:tc>
        <w:tc>
          <w:tcPr>
            <w:vAlign w:val="center"/>
          </w:tcPr>
          <w:p>
            <w:pPr>
              <w:pStyle w:val="Compact"/>
              <w:jc w:val="center"/>
            </w:pPr>
            <w:r>
              <w:t xml:space="preserve">1</w:t>
            </w:r>
          </w:p>
        </w:tc>
        <w:tc>
          <w:tcPr>
            <w:vAlign w:val="center"/>
          </w:tcPr>
          <w:p>
            <w:pPr>
              <w:pStyle w:val="Compact"/>
              <w:jc w:val="center"/>
            </w:pPr>
            <w:r>
              <w:t xml:space="preserve">1,3 %</w:t>
            </w:r>
          </w:p>
        </w:tc>
        <w:tc>
          <w:tcPr>
            <w:shd w:val="clear" w:color="auto" w:fill="E2EFD9"/>
            <w:vAlign w:val="center"/>
          </w:tcPr>
          <w:p>
            <w:pPr>
              <w:pStyle w:val="Celdatceesalvia"/>
              <w:jc w:val="center"/>
            </w:pPr>
            <w:r>
              <w:t xml:space="preserve">1,4 %</w:t>
            </w:r>
          </w:p>
        </w:tc>
        <w:tc>
          <w:tcPr>
            <w:vAlign w:val="center"/>
          </w:tcPr>
          <w:p>
            <w:pPr>
              <w:pStyle w:val="Compact"/>
              <w:jc w:val="center"/>
            </w:pPr>
            <w:r>
              <w:t xml:space="preserve">24,9 $</w:t>
            </w:r>
          </w:p>
        </w:tc>
      </w:tr>
      <w:tr>
        <w:trPr>
          <w:cantSplit/>
        </w:trPr>
        <w:tc>
          <w:tcPr>
            <w:vAlign w:val="center"/>
          </w:tcPr>
          <w:p>
            <w:pPr>
              <w:pStyle w:val="Compact"/>
              <w:jc w:val="left"/>
            </w:pPr>
            <w:r>
              <w:t xml:space="preserve">Mediana de los expertos (2018)</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shd w:val="clear" w:color="auto" w:fill="E2EFD9"/>
            <w:vAlign w:val="center"/>
          </w:tcPr>
          <w:p>
            <w:pPr>
              <w:pStyle w:val="Celdatceesalvia"/>
              <w:jc w:val="center"/>
            </w:pPr>
            <w:r>
              <w:t xml:space="preserve">2 %</w:t>
            </w:r>
          </w:p>
        </w:tc>
        <w:tc>
          <w:tcPr>
            <w:vAlign w:val="center"/>
          </w:tcPr>
          <w:p>
            <w:pPr>
              <w:pStyle w:val="Compact"/>
              <w:jc w:val="center"/>
            </w:pPr>
            <w:r>
              <w:t xml:space="preserve">13,8 $</w:t>
            </w:r>
          </w:p>
        </w:tc>
      </w:tr>
      <w:tr>
        <w:trPr>
          <w:cantSplit/>
        </w:trPr>
        <w:tc>
          <w:tcPr>
            <w:vAlign w:val="center"/>
          </w:tcPr>
          <w:p>
            <w:pPr>
              <w:pStyle w:val="Compact"/>
              <w:jc w:val="left"/>
            </w:pPr>
            <w:r>
              <w:t xml:space="preserve">DICE-2023 (rendimiento de 2020, ajustado por riesgo)</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shd w:val="clear" w:color="auto" w:fill="E2EFD9"/>
            <w:vAlign w:val="center"/>
          </w:tcPr>
          <w:p>
            <w:pPr>
              <w:pStyle w:val="Celdatceesalvia"/>
              <w:jc w:val="center"/>
            </w:pPr>
            <w:r>
              <w:t xml:space="preserve">4,5 %</w:t>
            </w:r>
          </w:p>
        </w:tc>
        <w:tc>
          <w:tcPr>
            <w:vAlign w:val="center"/>
          </w:tcPr>
          <w:p>
            <w:pPr>
              <w:pStyle w:val="Compact"/>
              <w:jc w:val="center"/>
            </w:pPr>
            <w:r>
              <w:t xml:space="preserve">1,2 $</w:t>
            </w:r>
          </w:p>
        </w:tc>
      </w:tr>
      <w:tr>
        <w:trPr>
          <w:cantSplit/>
        </w:trPr>
        <w:tc>
          <w:tcPr>
            <w:vAlign w:val="center"/>
          </w:tcPr>
          <w:p>
            <w:pPr>
              <w:pStyle w:val="Compact"/>
              <w:jc w:val="left"/>
            </w:pPr>
            <w:r>
              <w:rPr>
                <w:smallCaps/>
              </w:rPr>
              <w:t xml:space="preserve">Nordhaus</w:t>
            </w:r>
            <w:r>
              <w:t xml:space="preserve"> </w:t>
            </w:r>
            <w:r>
              <w:t xml:space="preserve">(2007)</w:t>
            </w:r>
          </w:p>
        </w:tc>
        <w:tc>
          <w:tcPr>
            <w:vAlign w:val="center"/>
          </w:tcPr>
          <w:p>
            <w:pPr>
              <w:pStyle w:val="Compact"/>
              <w:jc w:val="center"/>
            </w:pPr>
            <w:r>
              <w:t xml:space="preserve">1,5 %</w:t>
            </w:r>
          </w:p>
        </w:tc>
        <w:tc>
          <w:tcPr>
            <w:vAlign w:val="center"/>
          </w:tcPr>
          <w:p>
            <w:pPr>
              <w:pStyle w:val="Compact"/>
              <w:jc w:val="center"/>
            </w:pPr>
            <w:r>
              <w:t xml:space="preserve">2</w:t>
            </w:r>
          </w:p>
        </w:tc>
        <w:tc>
          <w:tcPr>
            <w:vAlign w:val="center"/>
          </w:tcPr>
          <w:p>
            <w:pPr>
              <w:pStyle w:val="Compact"/>
              <w:jc w:val="center"/>
            </w:pPr>
            <m:oMath>
              <m:r>
                <m:rPr>
                  <m:sty m:val="p"/>
                </m:rPr>
                <m:t>≈</m:t>
              </m:r>
              <m:r>
                <m:t>2</m:t>
              </m:r>
            </m:oMath>
            <w:r>
              <w:t xml:space="preserve"> %</w:t>
            </w:r>
          </w:p>
        </w:tc>
        <w:tc>
          <w:tcPr>
            <w:shd w:val="clear" w:color="auto" w:fill="E2EFD9"/>
            <w:vAlign w:val="center"/>
          </w:tcPr>
          <w:p>
            <w:pPr>
              <w:pStyle w:val="Celdatceesalvia"/>
              <w:jc w:val="center"/>
            </w:pPr>
            <w:r>
              <w:t xml:space="preserve">5,5 %</w:t>
            </w:r>
          </w:p>
        </w:tc>
        <w:tc>
          <w:tcPr>
            <w:vAlign w:val="center"/>
          </w:tcPr>
          <w:p>
            <w:pPr>
              <w:pStyle w:val="Compact"/>
              <w:jc w:val="center"/>
            </w:pPr>
            <w:r>
              <w:t xml:space="preserve">0,5 $</w:t>
            </w:r>
          </w:p>
        </w:tc>
      </w:tr>
    </w:tbl>
    <w:bookmarkEnd w:id="88"/>
    <w:p>
      <w:pPr>
        <w:pStyle w:val="BodyText"/>
      </w:pPr>
      <w:r>
        <w:rPr>
          <w:i/>
          <w:iCs/>
        </w:rPr>
        <w:t xml:space="preserve">Fuente: elaboración propia a partir de</w:t>
      </w:r>
      <w:r>
        <w:rPr>
          <w:i/>
          <w:iCs/>
        </w:rPr>
        <w:t xml:space="preserve"> </w:t>
      </w:r>
      <w:r>
        <w:rPr>
          <w:i/>
          <w:iCs/>
          <w:smallCaps/>
        </w:rPr>
        <w:t xml:space="preserve">Stern</w:t>
      </w:r>
      <w:r>
        <w:rPr>
          <w:i/>
          <w:iCs/>
        </w:rPr>
        <w:t xml:space="preserve"> </w:t>
      </w:r>
      <w:r>
        <w:rPr>
          <w:i/>
          <w:iCs/>
        </w:rPr>
        <w:t xml:space="preserve">(</w:t>
      </w:r>
      <w:hyperlink w:anchor="ref_Stern2007Economics">
        <w:r>
          <w:rPr>
            <w:rStyle w:val="Hyperlink"/>
            <w:i/>
            <w:iCs/>
          </w:rPr>
          <w:t xml:space="preserve">2007</w:t>
        </w:r>
      </w:hyperlink>
      <w:r>
        <w:rPr>
          <w:i/>
          <w:iCs/>
        </w:rPr>
        <w:t xml:space="preserve">)</w:t>
      </w:r>
      <w:r>
        <w:rPr>
          <w:i/>
          <w:iCs/>
        </w:rPr>
        <w:t xml:space="preserve">,</w:t>
      </w:r>
      <w:r>
        <w:rPr>
          <w:i/>
          <w:iCs/>
        </w:rPr>
        <w:t xml:space="preserve"> </w:t>
      </w:r>
      <w:r>
        <w:rPr>
          <w:i/>
          <w:iCs/>
          <w:smallCaps/>
        </w:rPr>
        <w:t xml:space="preserve">Drupp</w:t>
      </w:r>
      <w:r>
        <w:rPr>
          <w:i/>
          <w:iCs/>
        </w:rPr>
        <w:t xml:space="preserve"> </w:t>
      </w:r>
      <w:r>
        <w:rPr>
          <w:i/>
          <w:iCs/>
        </w:rPr>
        <w:t xml:space="preserve">et al. (</w:t>
      </w:r>
      <w:hyperlink w:anchor="ref_Drupp2018Discounting">
        <w:r>
          <w:rPr>
            <w:rStyle w:val="Hyperlink"/>
            <w:i/>
            <w:iCs/>
          </w:rPr>
          <w:t xml:space="preserve">2018</w:t>
        </w:r>
      </w:hyperlink>
      <w:r>
        <w:rPr>
          <w:i/>
          <w:iCs/>
        </w:rPr>
        <w:t xml:space="preserve">)</w:t>
      </w:r>
      <w:r>
        <w:rPr>
          <w:i/>
          <w:iCs/>
        </w:rPr>
        <w:t xml:space="preserve">,</w:t>
      </w:r>
      <w:r>
        <w:rPr>
          <w:i/>
          <w:iCs/>
        </w:rPr>
        <w:t xml:space="preserve"> </w:t>
      </w:r>
      <w:r>
        <w:rPr>
          <w:i/>
          <w:iCs/>
          <w:smallCaps/>
        </w:rPr>
        <w:t xml:space="preserve">Barrage</w:t>
      </w:r>
      <w:r>
        <w:rPr>
          <w:i/>
          <w:iCs/>
        </w:rPr>
        <w:t xml:space="preserve"> </w:t>
      </w:r>
      <w:r>
        <w:rPr>
          <w:i/>
          <w:iCs/>
        </w:rPr>
        <w:t xml:space="preserve">y</w:t>
      </w:r>
      <w:r>
        <w:rPr>
          <w:i/>
          <w:iCs/>
        </w:rPr>
        <w:t xml:space="preserve"> </w:t>
      </w:r>
      <w:r>
        <w:rPr>
          <w:i/>
          <w:iCs/>
          <w:smallCaps/>
        </w:rPr>
        <w:t xml:space="preserve">Nordhaus</w:t>
      </w:r>
      <w:r>
        <w:rPr>
          <w:i/>
          <w:iCs/>
        </w:rPr>
        <w:t xml:space="preserve"> </w:t>
      </w:r>
      <w:r>
        <w:rPr>
          <w:i/>
          <w:iCs/>
        </w:rPr>
        <w:t xml:space="preserve">(</w:t>
      </w:r>
      <w:hyperlink w:anchor="ref_BarrageNordhaus2024DICE">
        <w:r>
          <w:rPr>
            <w:rStyle w:val="Hyperlink"/>
            <w:i/>
            <w:iCs/>
          </w:rPr>
          <w:t xml:space="preserve">2024</w:t>
        </w:r>
      </w:hyperlink>
      <w:r>
        <w:rPr>
          <w:i/>
          <w:iCs/>
        </w:rPr>
        <w:t xml:space="preserve">)</w:t>
      </w:r>
      <w:r>
        <w:rPr>
          <w:i/>
          <w:iCs/>
        </w:rPr>
        <w:t xml:space="preserve">,</w:t>
      </w:r>
      <w:r>
        <w:rPr>
          <w:i/>
          <w:iCs/>
        </w:rPr>
        <w:t xml:space="preserve"> </w:t>
      </w:r>
      <w:r>
        <w:rPr>
          <w:i/>
          <w:iCs/>
        </w:rPr>
        <w:t xml:space="preserve">W. D.</w:t>
      </w:r>
      <w:r>
        <w:rPr>
          <w:i/>
          <w:iCs/>
        </w:rPr>
        <w:t xml:space="preserve"> </w:t>
      </w:r>
      <w:r>
        <w:rPr>
          <w:i/>
          <w:iCs/>
          <w:smallCaps/>
        </w:rPr>
        <w:t xml:space="preserve">Nordhaus</w:t>
      </w:r>
      <w:r>
        <w:rPr>
          <w:i/>
          <w:iCs/>
        </w:rPr>
        <w:t xml:space="preserve"> </w:t>
      </w:r>
      <w:r>
        <w:rPr>
          <w:i/>
          <w:iCs/>
        </w:rPr>
        <w:t xml:space="preserve">(</w:t>
      </w:r>
      <w:hyperlink w:anchor="ref_Nordhaus2007Review">
        <w:r>
          <w:rPr>
            <w:rStyle w:val="Hyperlink"/>
            <w:i/>
            <w:iCs/>
          </w:rPr>
          <w:t xml:space="preserve">2007</w:t>
        </w:r>
      </w:hyperlink>
      <w:r>
        <w:rPr>
          <w:i/>
          <w:iCs/>
        </w:rPr>
        <w:t xml:space="preserve">)</w:t>
      </w:r>
      <w:r>
        <w:rPr>
          <w:i/>
          <w:iCs/>
        </w:rPr>
        <w:t xml:space="preserve"> </w:t>
      </w:r>
      <w:r>
        <w:rPr>
          <w:i/>
          <w:iCs/>
        </w:rPr>
        <w:t xml:space="preserve">y</w:t>
      </w:r>
      <w:r>
        <w:rPr>
          <w:i/>
          <w:iCs/>
        </w:rPr>
        <w:t xml:space="preserve"> </w:t>
      </w:r>
      <w:r>
        <w:rPr>
          <w:i/>
          <w:iCs/>
          <w:smallCaps/>
        </w:rPr>
        <w:t xml:space="preserve">Golosov</w:t>
      </w:r>
      <w:r>
        <w:rPr>
          <w:i/>
          <w:iCs/>
        </w:rPr>
        <w:t xml:space="preserve"> </w:t>
      </w:r>
      <w:r>
        <w:rPr>
          <w:i/>
          <w:iCs/>
        </w:rPr>
        <w:t xml:space="preserve">et al. (</w:t>
      </w:r>
      <w:hyperlink w:anchor="ref_Golosov2014Optimal">
        <w:r>
          <w:rPr>
            <w:rStyle w:val="Hyperlink"/>
            <w:i/>
            <w:iCs/>
          </w:rPr>
          <w:t xml:space="preserve">2014</w:t>
        </w:r>
      </w:hyperlink>
      <w:r>
        <w:rPr>
          <w:i/>
          <w:iCs/>
        </w:rPr>
        <w:t xml:space="preserve">)</w:t>
      </w:r>
      <w:r>
        <w:rPr>
          <w:i/>
          <w:iCs/>
        </w:rPr>
        <w:t xml:space="preserve">. Valor hoy:</w:t>
      </w:r>
      <w:r>
        <w:rPr>
          <w:i/>
          <w:iCs/>
        </w:rPr>
        <w:t xml:space="preserve"> </w:t>
      </w:r>
      <m:oMath>
        <m:r>
          <m:t>100</m:t>
        </m:r>
        <m:r>
          <m:rPr>
            <m:sty m:val="p"/>
          </m:rPr>
          <m:t>/</m:t>
        </m:r>
        <m:sSup>
          <m:e>
            <m:d>
              <m:dPr>
                <m:begChr m:val="("/>
                <m:sepChr m:val=""/>
                <m:endChr m:val=")"/>
                <m:grow/>
              </m:dPr>
              <m:e>
                <m:r>
                  <m:t>1</m:t>
                </m:r>
                <m:r>
                  <m:rPr>
                    <m:sty m:val="p"/>
                  </m:rPr>
                  <m:t>+</m:t>
                </m:r>
                <m:sSub>
                  <m:e>
                    <m:r>
                      <m:t>r</m:t>
                    </m:r>
                  </m:e>
                  <m:sub>
                    <m:r>
                      <m:t>s</m:t>
                    </m:r>
                  </m:sub>
                </m:sSub>
              </m:e>
            </m:d>
          </m:e>
          <m:sup>
            <m:r>
              <m:t>100</m:t>
            </m:r>
          </m:sup>
        </m:sSup>
      </m:oMath>
      <w:r>
        <w:rPr>
          <w:i/>
          <w:iCs/>
        </w:rPr>
        <w:t xml:space="preserve">. DICE-2023 usa un descuento ajustado por riesgo que baja con el tiempo.</w:t>
      </w:r>
    </w:p>
    <w:bookmarkEnd w:id="89"/>
    <w:bookmarkStart w:id="91" w:name="la_incertidumbre_y_las_cat__strofe_07939"/>
    <w:p>
      <w:pPr>
        <w:pStyle w:val="Heading5"/>
      </w:pPr>
      <w:r>
        <w:t xml:space="preserve">La incertidumbre y las catástrofes:</w:t>
      </w:r>
      <w:r>
        <w:t xml:space="preserve"> </w:t>
      </w:r>
      <w:r>
        <w:rPr>
          <w:smallCaps/>
        </w:rPr>
        <w:t xml:space="preserve">Weitzman</w:t>
      </w:r>
    </w:p>
    <w:p>
      <w:pPr>
        <w:numPr>
          <w:ilvl w:val="0"/>
          <w:numId w:val="1064"/>
        </w:numPr>
      </w:pPr>
      <w:r>
        <w:t xml:space="preserve">Martin</w:t>
      </w:r>
      <w:r>
        <w:t xml:space="preserve"> </w:t>
      </w:r>
      <w:r>
        <w:rPr>
          <w:smallCaps/>
        </w:rPr>
        <w:t xml:space="preserve">Weitzman</w:t>
      </w:r>
      <w:r>
        <w:t xml:space="preserve"> </w:t>
      </w:r>
      <w:r>
        <w:t xml:space="preserve">(</w:t>
      </w:r>
      <w:hyperlink w:anchor="ref_Weitzman2009Modeling">
        <w:r>
          <w:rPr>
            <w:rStyle w:val="Hyperlink"/>
          </w:rPr>
          <w:t xml:space="preserve">2009</w:t>
        </w:r>
      </w:hyperlink>
      <w:r>
        <w:t xml:space="preserve">)</w:t>
      </w:r>
      <w:r>
        <w:t xml:space="preserve"> </w:t>
      </w:r>
      <w:r>
        <w:t xml:space="preserve">formula el</w:t>
      </w:r>
      <w:r>
        <w:t xml:space="preserve"> </w:t>
      </w:r>
      <w:r>
        <w:rPr>
          <w:b/>
          <w:bCs/>
        </w:rPr>
        <w:t xml:space="preserve">teorema lúgubre</w:t>
      </w:r>
      <w:r>
        <w:t xml:space="preserve"> </w:t>
      </w:r>
      <w:r>
        <w:t xml:space="preserve">(</w:t>
      </w:r>
      <w:r>
        <w:rPr>
          <w:i/>
          <w:iCs/>
        </w:rPr>
        <w:t xml:space="preserve">dismal theorem</w:t>
      </w:r>
      <w:r>
        <w:t xml:space="preserve">): si no sabemos bien cuánto calentará el CO</w:t>
      </w:r>
      <w:r>
        <w:rPr>
          <w:vertAlign w:val="subscript"/>
        </w:rPr>
        <w:t xml:space="preserve">2</w:t>
      </w:r>
      <w:r>
        <w:t xml:space="preserve"> </w:t>
      </w:r>
      <w:r>
        <w:t xml:space="preserve">y lo aprendemos de pocos datos, la distribución de los daños tiene</w:t>
      </w:r>
      <w:r>
        <w:t xml:space="preserve"> </w:t>
      </w:r>
      <w:r>
        <w:rPr>
          <w:i/>
          <w:iCs/>
        </w:rPr>
        <w:t xml:space="preserve">colas gruesas</w:t>
      </w:r>
      <w:r>
        <w:t xml:space="preserve">; con aversión al riesgo</w:t>
      </w:r>
      <w:r>
        <w:t xml:space="preserve"> </w:t>
      </w:r>
      <w:hyperlink r:id="rId90">
        <w:r>
          <w:rPr>
            <w:rStyle w:val="Referenciaatema"/>
          </w:rPr>
          <w:t xml:space="preserve">[ver tema 3.A.10]</w:t>
        </w:r>
      </w:hyperlink>
      <w:r>
        <w:t xml:space="preserve">, lo que estaríamos dispuestos a pagar por evitar la catástrofe no tiene límite, y el análisis coste-beneficio con valores esperados deja de servir.</w:t>
      </w:r>
    </w:p>
    <w:p>
      <w:pPr>
        <w:numPr>
          <w:ilvl w:val="0"/>
          <w:numId w:val="1064"/>
        </w:numPr>
      </w:pPr>
      <w:r>
        <w:rPr>
          <w:i/>
          <w:iCs/>
        </w:rPr>
        <w:t xml:space="preserve">Implicación</w:t>
      </w:r>
      <w:r>
        <w:t xml:space="preserve">: la política climática es, sobre todo, un</w:t>
      </w:r>
      <w:r>
        <w:t xml:space="preserve"> </w:t>
      </w:r>
      <w:r>
        <w:rPr>
          <w:i/>
          <w:iCs/>
        </w:rPr>
        <w:t xml:space="preserve">seguro</w:t>
      </w:r>
      <w:r>
        <w:t xml:space="preserve"> </w:t>
      </w:r>
      <w:r>
        <w:t xml:space="preserve">contra las catástrofes, no una inversión con un rendimiento esperado.</w:t>
      </w:r>
    </w:p>
    <w:p>
      <w:pPr>
        <w:numPr>
          <w:ilvl w:val="0"/>
          <w:numId w:val="1064"/>
        </w:numPr>
      </w:pPr>
      <w:r>
        <w:rPr>
          <w:smallCaps/>
        </w:rPr>
        <w:t xml:space="preserve">Nordhaus</w:t>
      </w:r>
      <w:r>
        <w:t xml:space="preserve"> </w:t>
      </w:r>
      <w:r>
        <w:t xml:space="preserve">responde que el resultado depende de supuestos extremos, como una utilidad sin cota o la imposibilidad de aprender y reaccionar</w:t>
      </w:r>
      <w:r>
        <w:t xml:space="preserve"> </w:t>
      </w:r>
      <w:r>
        <w:t xml:space="preserve">(</w:t>
      </w:r>
      <w:hyperlink w:anchor="ref_Nordhaus2011Economics">
        <w:r>
          <w:rPr>
            <w:rStyle w:val="Hyperlink"/>
          </w:rPr>
          <w:t xml:space="preserve">W. D.</w:t>
        </w:r>
        <w:r>
          <w:rPr>
            <w:rStyle w:val="Hyperlink"/>
          </w:rPr>
          <w:t xml:space="preserve"> </w:t>
        </w:r>
        <w:r>
          <w:rPr>
            <w:rStyle w:val="Hyperlink"/>
            <w:smallCaps/>
          </w:rPr>
          <w:t xml:space="preserve">Nordhaus</w:t>
        </w:r>
        <w:r>
          <w:rPr>
            <w:rStyle w:val="Hyperlink"/>
          </w:rPr>
          <w:t xml:space="preserve">, 2011</w:t>
        </w:r>
      </w:hyperlink>
      <w:r>
        <w:t xml:space="preserve">)</w:t>
      </w:r>
      <w:r>
        <w:t xml:space="preserve">; pero acepta que las colas importan, y DICE-2023 añade a los daños un término por los puntos de inflexión.</w:t>
      </w:r>
    </w:p>
    <w:bookmarkEnd w:id="91"/>
    <w:bookmarkStart w:id="92" w:name="la_cr__tica_de_pindyck"/>
    <w:p>
      <w:pPr>
        <w:pStyle w:val="Heading5"/>
      </w:pPr>
      <w:r>
        <w:t xml:space="preserve">La crítica de</w:t>
      </w:r>
      <w:r>
        <w:t xml:space="preserve"> </w:t>
      </w:r>
      <w:r>
        <w:rPr>
          <w:smallCaps/>
        </w:rPr>
        <w:t xml:space="preserve">Pindyck</w:t>
      </w:r>
    </w:p>
    <w:p>
      <w:pPr>
        <w:numPr>
          <w:ilvl w:val="0"/>
          <w:numId w:val="1065"/>
        </w:numPr>
      </w:pPr>
      <w:r>
        <w:t xml:space="preserve">Robert</w:t>
      </w:r>
      <w:r>
        <w:t xml:space="preserve"> </w:t>
      </w:r>
      <w:r>
        <w:rPr>
          <w:smallCaps/>
        </w:rPr>
        <w:t xml:space="preserve">Pindyck</w:t>
      </w:r>
      <w:r>
        <w:t xml:space="preserve"> </w:t>
      </w:r>
      <w:r>
        <w:t xml:space="preserve">(</w:t>
      </w:r>
      <w:hyperlink w:anchor="ref_Pindyck2013Climate">
        <w:r>
          <w:rPr>
            <w:rStyle w:val="Hyperlink"/>
          </w:rPr>
          <w:t xml:space="preserve">2013</w:t>
        </w:r>
      </w:hyperlink>
      <w:r>
        <w:t xml:space="preserve">)</w:t>
      </w:r>
      <w:r>
        <w:t xml:space="preserve"> </w:t>
      </w:r>
      <w:r>
        <w:t xml:space="preserve">sostiene que los MIE son «casi inútiles» para decidir la política: la función de daños y el descuento se eligen de forma arbitraria y deciden el resultado, y su apariencia de precisión engaña. Propone preguntar directamente a los expertos por la probabilidad y el coste de los resultados catastróficos.</w:t>
      </w:r>
    </w:p>
    <w:p>
      <w:pPr>
        <w:keepNext/>
        <w:numPr>
          <w:ilvl w:val="0"/>
          <w:numId w:val="1065"/>
        </w:numPr>
      </w:pPr>
      <w:r>
        <w:t xml:space="preserve">Otros límites:</w:t>
      </w:r>
    </w:p>
    <w:p>
      <w:pPr>
        <w:numPr>
          <w:ilvl w:val="1"/>
          <w:numId w:val="1066"/>
        </w:numPr>
      </w:pPr>
      <w:r>
        <w:t xml:space="preserve">daños sobre el</w:t>
      </w:r>
      <w:r>
        <w:t xml:space="preserve"> </w:t>
      </w:r>
      <w:r>
        <w:rPr>
          <w:i/>
          <w:iCs/>
        </w:rPr>
        <w:t xml:space="preserve">nivel</w:t>
      </w:r>
      <w:r>
        <w:t xml:space="preserve"> </w:t>
      </w:r>
      <w:r>
        <w:t xml:space="preserve">del producto y no sobre su crecimiento, en contra de la evidencia de panel (apartado </w:t>
      </w:r>
      <w:hyperlink w:anchor="sec_evidencia">
        <w:r>
          <w:rPr>
            <w:rStyle w:val="Hyperlink"/>
          </w:rPr>
          <w:t xml:space="preserve">II.1</w:t>
        </w:r>
      </w:hyperlink>
      <w:r>
        <w:t xml:space="preserve">);</w:t>
      </w:r>
    </w:p>
    <w:p>
      <w:pPr>
        <w:numPr>
          <w:ilvl w:val="1"/>
          <w:numId w:val="1066"/>
        </w:numPr>
      </w:pPr>
      <w:r>
        <w:t xml:space="preserve">un solo bien, que no recoge que los bienes ambientales se encarecerán respecto a los demás;</w:t>
      </w:r>
    </w:p>
    <w:p>
      <w:pPr>
        <w:numPr>
          <w:ilvl w:val="1"/>
          <w:numId w:val="1066"/>
        </w:numPr>
      </w:pPr>
      <w:r>
        <w:t xml:space="preserve">y un planificador mundial que no existe.</w:t>
      </w:r>
    </w:p>
    <w:p>
      <w:pPr>
        <w:numPr>
          <w:ilvl w:val="0"/>
          <w:numId w:val="1067"/>
        </w:numPr>
      </w:pPr>
      <w:r>
        <w:rPr>
          <w:i/>
          <w:iCs/>
        </w:rPr>
        <w:t xml:space="preserve">Recapitulación</w:t>
      </w:r>
      <w:r>
        <w:t xml:space="preserve">: con cualquier calibración razonable, el CSC es positivo y creciente, y la política óptima es un precio del carbono en rampa; el desacuerdo es sobre su nivel, y lo decide sobre todo el descuento.</w:t>
      </w:r>
    </w:p>
    <w:p>
      <w:pPr>
        <w:numPr>
          <w:ilvl w:val="0"/>
          <w:numId w:val="1067"/>
        </w:numPr>
      </w:pPr>
      <w:r>
        <w:t xml:space="preserve">Pero el DICE supone un planificador mundial, y no lo hay. Una vez visto cuánto vale reducir, pasamos a analizar quién reduce, con qué instrumentos y cómo se consigue que lo hagan todos los países.</w:t>
      </w:r>
    </w:p>
    <w:bookmarkEnd w:id="92"/>
    <w:bookmarkEnd w:id="93"/>
    <w:bookmarkEnd w:id="94"/>
    <w:bookmarkEnd w:id="95"/>
    <w:bookmarkStart w:id="141" w:name="sec_acuerdos_medidas"/>
    <w:p>
      <w:pPr>
        <w:pStyle w:val="Heading1"/>
      </w:pPr>
      <w:r>
        <w:t xml:space="preserve">III.</w:t>
      </w:r>
      <w:r>
        <w:t xml:space="preserve"> </w:t>
      </w:r>
      <w:r>
        <w:t xml:space="preserve">Acuerdos internacionales y principales medidas</w:t>
      </w:r>
      <w:r>
        <w:br/>
      </w:r>
      <w:r>
        <w:t xml:space="preserve">frente al cambio climático</w:t>
      </w:r>
      <w:r>
        <w:t xml:space="preserve"> </w:t>
      </w:r>
      <w:r>
        <w:rPr>
          <w:rStyle w:val="Minutos"/>
        </w:rPr>
        <w:t xml:space="preserve">9′30″</w:t>
      </w:r>
    </w:p>
    <w:p>
      <w:pPr>
        <w:pStyle w:val="Notaalopositor"/>
        <w:keepLines/>
      </w:pPr>
      <w:r>
        <w:rPr>
          <w:b/>
          <w:bCs/>
        </w:rPr>
        <w:t xml:space="preserve">Nota al opositor. </w:t>
      </w:r>
      <w:r>
        <w:t xml:space="preserve">En el cante: los instrumentos, de palabra y sobre el gráfico de las emisiones óptimas, que sigue en la pizarra: se marcan el impuesto</w:t>
      </w:r>
      <w:r>
        <w:t xml:space="preserve"> </w:t>
      </w:r>
      <m:oMath>
        <m:sSup>
          <m:e>
            <m:r>
              <m:t>t</m:t>
            </m:r>
          </m:e>
          <m:sup>
            <m:r>
              <m:rPr>
                <m:sty m:val="p"/>
              </m:rPr>
              <m:t>*</m:t>
            </m:r>
          </m:sup>
        </m:sSup>
      </m:oMath>
      <w:r>
        <w:t xml:space="preserve"> </w:t>
      </w:r>
      <w:r>
        <w:t xml:space="preserve">en el eje vertical y el tope</w:t>
      </w:r>
      <w:r>
        <w:t xml:space="preserve"> </w:t>
      </w:r>
      <m:oMath>
        <m:bar>
          <m:barPr>
            <m:pos m:val="top"/>
          </m:barPr>
          <m:e>
            <m:r>
              <m:t>E</m:t>
            </m:r>
          </m:e>
        </m:bar>
        <m:r>
          <m:rPr>
            <m:sty m:val="p"/>
          </m:rPr>
          <m:t>=</m:t>
        </m:r>
        <m:sSup>
          <m:e>
            <m:r>
              <m:t>E</m:t>
            </m:r>
          </m:e>
          <m:sup>
            <m:r>
              <m:rPr>
                <m:sty m:val="p"/>
              </m:rPr>
              <m:t>*</m:t>
            </m:r>
          </m:sup>
        </m:sSup>
      </m:oMath>
      <w:r>
        <w:t xml:space="preserve"> </w:t>
      </w:r>
      <w:r>
        <w:t xml:space="preserve">en el horizontal; la tabla de instrumentos no se dibuja (1′30″). La cooperación, con la matriz del dilema entre 2 países a la derecha; para el club se tachan las 2 celdas de fuera de la diagonal y se reescriben con el arancel (1′30″). Los acuerdos, en una línea de tiempo con 5 hitos en la franja de abajo: 1992, 1997, 2015, 2023 y 2024-2025 (2′30″). Las medidas: el RCDE de palabra, con su precio; el Mecanismo de Ajuste en Frontera por Carbono con su gráfico por capas, la fórmula del ajuste y el calendario 2023-2026-2034 debajo (unos 2′ de los 4′ de este apartado). El gráfico del precio del RCDE es de apoyo y no se dibuja. Las pegatinas: «Más vale prevenir que curar», junto a la mitigación, y «Allá donde fueres, haz lo que vieres», junto al gráfico del ajuste.</w:t>
      </w:r>
    </w:p>
    <w:p>
      <w:pPr>
        <w:numPr>
          <w:ilvl w:val="0"/>
          <w:numId w:val="1068"/>
        </w:numPr>
      </w:pPr>
      <w:r>
        <w:t xml:space="preserve">Sabemos ya que la tonelada de CO</w:t>
      </w:r>
      <w:r>
        <w:rPr>
          <w:vertAlign w:val="subscript"/>
        </w:rPr>
        <w:t xml:space="preserve">2</w:t>
      </w:r>
      <w:r>
        <w:t xml:space="preserve"> </w:t>
      </w:r>
      <w:r>
        <w:t xml:space="preserve">debería tener un precio y, más o menos, cuál. Pasamos ahora al tercer bloque: quién lo pone, con qué instrumento y cómo se consigue que lo pongan todos los países, si nadie puede obligarlos.</w:t>
      </w:r>
    </w:p>
    <w:p>
      <w:pPr>
        <w:numPr>
          <w:ilvl w:val="0"/>
          <w:numId w:val="1068"/>
        </w:numPr>
      </w:pPr>
      <w:r>
        <w:rPr>
          <w:i/>
          <w:iCs/>
        </w:rPr>
        <w:t xml:space="preserve">Conclusión anticipada</w:t>
      </w:r>
      <w:r>
        <w:t xml:space="preserve">: los instrumentos son conocidos y funcionan donde se aplican; lo difícil es la cooperación, porque reducir emisiones es un bien público global. Los acuerdos han pasado de objetivos obligatorios para unos pocos (Kioto) a compromisos voluntarios de casi todos (París), y la UE, el área con el precio del carbono más ambicioso, ha empezado a cobrarlo también en su frontera.</w:t>
      </w:r>
    </w:p>
    <w:bookmarkStart w:id="97" w:name="sec_instrumentos"/>
    <w:p>
      <w:pPr>
        <w:pStyle w:val="Heading2"/>
      </w:pPr>
      <w:r>
        <w:t xml:space="preserve">III.1.</w:t>
      </w:r>
      <w:r>
        <w:t xml:space="preserve"> </w:t>
      </w:r>
      <w:r>
        <w:t xml:space="preserve">Los instrumentos: mitigación y adaptación</w:t>
      </w:r>
    </w:p>
    <w:p>
      <w:pPr>
        <w:keepNext/>
        <w:numPr>
          <w:ilvl w:val="0"/>
          <w:numId w:val="1069"/>
        </w:numPr>
      </w:pPr>
      <w:r>
        <w:t xml:space="preserve">«Más vale prevenir que curar», dice el refrán. Frente al cambio climático se puede hacer las 2 cosas, y conviene distinguirlas:</w:t>
      </w:r>
    </w:p>
    <w:p>
      <w:pPr>
        <w:numPr>
          <w:ilvl w:val="1"/>
          <w:numId w:val="1070"/>
        </w:numPr>
      </w:pPr>
      <w:r>
        <w:rPr>
          <w:b/>
          <w:bCs/>
        </w:rPr>
        <w:t xml:space="preserve">mitigación</w:t>
      </w:r>
      <w:r>
        <w:t xml:space="preserve">: reducir las emisiones, o retirar CO</w:t>
      </w:r>
      <w:r>
        <w:rPr>
          <w:vertAlign w:val="subscript"/>
        </w:rPr>
        <w:t xml:space="preserve">2</w:t>
      </w:r>
      <w:r>
        <w:t xml:space="preserve"> </w:t>
      </w:r>
      <w:r>
        <w:t xml:space="preserve">del aire, para que el clima cambie menos. Ataca la causa y sus frutos son un</w:t>
      </w:r>
      <w:r>
        <w:t xml:space="preserve"> </w:t>
      </w:r>
      <w:r>
        <w:rPr>
          <w:i/>
          <w:iCs/>
        </w:rPr>
        <w:t xml:space="preserve">bien público global</w:t>
      </w:r>
      <w:r>
        <w:t xml:space="preserve">: los disfruta cualquier país, haya pagado o no;</w:t>
      </w:r>
    </w:p>
    <w:p>
      <w:pPr>
        <w:numPr>
          <w:ilvl w:val="1"/>
          <w:numId w:val="1070"/>
        </w:numPr>
      </w:pPr>
      <w:r>
        <w:rPr>
          <w:b/>
          <w:bCs/>
        </w:rPr>
        <w:t xml:space="preserve">adaptación</w:t>
      </w:r>
      <w:r>
        <w:t xml:space="preserve">: limitar los daños de un clima que ya está cambiando (diques, regadíos eficientes, cultivos resistentes a la sequía, normas de construcción, alertas tempranas, seguros). Sus beneficios son sobre todo</w:t>
      </w:r>
      <w:r>
        <w:t xml:space="preserve"> </w:t>
      </w:r>
      <w:r>
        <w:rPr>
          <w:i/>
          <w:iCs/>
        </w:rPr>
        <w:t xml:space="preserve">locales</w:t>
      </w:r>
      <w:r>
        <w:t xml:space="preserve"> </w:t>
      </w:r>
      <w:r>
        <w:t xml:space="preserve">o privados, así que apenas hay polizones; pero no sustituye a la mitigación, porque lo ya emitido seguirá calentando durante décadas.</w:t>
      </w:r>
    </w:p>
    <w:p>
      <w:pPr>
        <w:keepNext/>
        <w:numPr>
          <w:ilvl w:val="0"/>
          <w:numId w:val="1069"/>
        </w:numPr>
      </w:pPr>
      <w:r>
        <w:rPr>
          <w:i/>
          <w:iCs/>
        </w:rPr>
        <w:t xml:space="preserve">El precio del carbono</w:t>
      </w:r>
      <w:r>
        <w:t xml:space="preserve"> </w:t>
      </w:r>
      <w:r>
        <w:t xml:space="preserve">es el instrumento central. Volvamos al gráfico </w:t>
      </w:r>
      <w:hyperlink w:anchor="fig_emisiones_optimas">
        <w:r>
          <w:rPr>
            <w:rStyle w:val="Hyperlink"/>
          </w:rPr>
          <w:t xml:space="preserve">3</w:t>
        </w:r>
      </w:hyperlink>
      <w:r>
        <w:t xml:space="preserve">: al óptimo</w:t>
      </w:r>
      <w:r>
        <w:t xml:space="preserve"> </w:t>
      </w:r>
      <m:oMath>
        <m:sSup>
          <m:e>
            <m:r>
              <m:t>E</m:t>
            </m:r>
          </m:e>
          <m:sup>
            <m:r>
              <m:rPr>
                <m:sty m:val="p"/>
              </m:rPr>
              <m:t>*</m:t>
            </m:r>
          </m:sup>
        </m:sSup>
      </m:oMath>
      <w:r>
        <w:t xml:space="preserve"> </w:t>
      </w:r>
      <w:r>
        <w:t xml:space="preserve">se llega por 2 caminos</w:t>
      </w:r>
      <w:r>
        <w:t xml:space="preserve"> </w:t>
      </w:r>
      <w:hyperlink r:id="rId35">
        <w:r>
          <w:rPr>
            <w:rStyle w:val="Referenciaatema"/>
          </w:rPr>
          <w:t xml:space="preserve">[ver tema 3.A.23]</w:t>
        </w:r>
      </w:hyperlink>
      <w:r>
        <w:t xml:space="preserve">:</w:t>
      </w:r>
    </w:p>
    <w:p>
      <w:pPr>
        <w:numPr>
          <w:ilvl w:val="1"/>
          <w:numId w:val="1071"/>
        </w:numPr>
      </w:pPr>
      <w:r>
        <w:t xml:space="preserve">un</w:t>
      </w:r>
      <w:r>
        <w:t xml:space="preserve"> </w:t>
      </w:r>
      <w:r>
        <w:rPr>
          <w:i/>
          <w:iCs/>
        </w:rPr>
        <w:t xml:space="preserve">impuesto</w:t>
      </w:r>
      <w:r>
        <w:t xml:space="preserve"> </w:t>
      </w:r>
      <w:r>
        <w:t xml:space="preserve">por tonelada</w:t>
      </w:r>
      <w:r>
        <w:t xml:space="preserve"> </w:t>
      </w:r>
      <m:oMath>
        <m:sSup>
          <m:e>
            <m:r>
              <m:t>t</m:t>
            </m:r>
          </m:e>
          <m:sup>
            <m:r>
              <m:rPr>
                <m:sty m:val="p"/>
              </m:rPr>
              <m:t>*</m:t>
            </m:r>
          </m:sup>
        </m:sSup>
        <m:r>
          <m:rPr>
            <m:sty m:val="p"/>
          </m:rPr>
          <m:t>=</m:t>
        </m:r>
        <m:r>
          <m:rPr>
            <m:sty m:val="p"/>
          </m:rPr>
          <m:t>D</m:t>
        </m:r>
        <m:r>
          <m:rPr>
            <m:sty m:val="p"/>
          </m:rPr>
          <m:t>M</m:t>
        </m:r>
        <m:r>
          <m:rPr>
            <m:sty m:val="p"/>
          </m:rPr>
          <m:t>g</m:t>
        </m:r>
        <m:d>
          <m:dPr>
            <m:begChr m:val="("/>
            <m:sepChr m:val=""/>
            <m:endChr m:val=")"/>
            <m:grow/>
          </m:dPr>
          <m:e>
            <m:sSup>
              <m:e>
                <m:r>
                  <m:t>E</m:t>
                </m:r>
              </m:e>
              <m:sup>
                <m:r>
                  <m:rPr>
                    <m:sty m:val="p"/>
                  </m:rPr>
                  <m:t>*</m:t>
                </m:r>
              </m:sup>
            </m:sSup>
          </m:e>
        </m:d>
      </m:oMath>
      <w:r>
        <w:t xml:space="preserve">, es decir, igual al coste social del carbono: fija el precio y deja que el mercado decida cuánto se emite</w:t>
      </w:r>
      <w:r>
        <w:t xml:space="preserve"> </w:t>
      </w:r>
      <w:r>
        <w:t xml:space="preserve">(</w:t>
      </w:r>
      <w:hyperlink w:anchor="ref_Pigou1920Economics">
        <w:r>
          <w:rPr>
            <w:rStyle w:val="Hyperlink"/>
            <w:smallCaps/>
          </w:rPr>
          <w:t xml:space="preserve">Pigou</w:t>
        </w:r>
        <w:r>
          <w:rPr>
            <w:rStyle w:val="Hyperlink"/>
          </w:rPr>
          <w:t xml:space="preserve">, 1920</w:t>
        </w:r>
      </w:hyperlink>
      <w:r>
        <w:t xml:space="preserve">)</w:t>
      </w:r>
      <w:r>
        <w:t xml:space="preserve">;</w:t>
      </w:r>
    </w:p>
    <w:p>
      <w:pPr>
        <w:numPr>
          <w:ilvl w:val="1"/>
          <w:numId w:val="1071"/>
        </w:numPr>
      </w:pPr>
      <w:r>
        <w:t xml:space="preserve">un</w:t>
      </w:r>
      <w:r>
        <w:t xml:space="preserve"> </w:t>
      </w:r>
      <w:r>
        <w:rPr>
          <w:i/>
          <w:iCs/>
        </w:rPr>
        <w:t xml:space="preserve">mercado de derechos de emisión</w:t>
      </w:r>
      <w:r>
        <w:t xml:space="preserve"> </w:t>
      </w:r>
      <w:r>
        <w:t xml:space="preserve">(</w:t>
      </w:r>
      <w:r>
        <w:rPr>
          <w:i/>
          <w:iCs/>
        </w:rPr>
        <w:t xml:space="preserve">cap and trade</w:t>
      </w:r>
      <w:r>
        <w:t xml:space="preserve">) con un tope</w:t>
      </w:r>
      <w:r>
        <w:t xml:space="preserve"> </w:t>
      </w:r>
      <m:oMath>
        <m:bar>
          <m:barPr>
            <m:pos m:val="top"/>
          </m:barPr>
          <m:e>
            <m:r>
              <m:t>E</m:t>
            </m:r>
          </m:e>
        </m:bar>
        <m:r>
          <m:rPr>
            <m:sty m:val="p"/>
          </m:rPr>
          <m:t>=</m:t>
        </m:r>
        <m:sSup>
          <m:e>
            <m:r>
              <m:t>E</m:t>
            </m:r>
          </m:e>
          <m:sup>
            <m:r>
              <m:rPr>
                <m:sty m:val="p"/>
              </m:rPr>
              <m:t>*</m:t>
            </m:r>
          </m:sup>
        </m:sSup>
      </m:oMath>
      <w:r>
        <w:t xml:space="preserve">: fija la cantidad y deja que el mercado decida el precio del derecho,</w:t>
      </w:r>
      <w:r>
        <w:t xml:space="preserve"> </w:t>
      </w:r>
      <m:oMath>
        <m:sSub>
          <m:e>
            <m:r>
              <m:t>p</m:t>
            </m:r>
          </m:e>
          <m:sub>
            <m:r>
              <m:t>E</m:t>
            </m:r>
          </m:sub>
        </m:sSub>
      </m:oMath>
      <w:r>
        <w:t xml:space="preserve"> </w:t>
      </w:r>
      <w:r>
        <w:t xml:space="preserve">(</w:t>
      </w:r>
      <w:hyperlink w:anchor="ref_Dales1968Pollution">
        <w:r>
          <w:rPr>
            <w:rStyle w:val="Hyperlink"/>
            <w:smallCaps/>
          </w:rPr>
          <w:t xml:space="preserve">Dales</w:t>
        </w:r>
        <w:r>
          <w:rPr>
            <w:rStyle w:val="Hyperlink"/>
          </w:rPr>
          <w:t xml:space="preserve">, 1968</w:t>
        </w:r>
      </w:hyperlink>
      <w:r>
        <w:t xml:space="preserve">;</w:t>
      </w:r>
      <w:r>
        <w:t xml:space="preserve"> </w:t>
      </w:r>
      <w:hyperlink w:anchor="ref_Montgomery1972Markets">
        <w:r>
          <w:rPr>
            <w:rStyle w:val="Hyperlink"/>
            <w:smallCaps/>
          </w:rPr>
          <w:t xml:space="preserve">Montgomery</w:t>
        </w:r>
        <w:r>
          <w:rPr>
            <w:rStyle w:val="Hyperlink"/>
          </w:rPr>
          <w:t xml:space="preserve">, 1972</w:t>
        </w:r>
      </w:hyperlink>
      <w:r>
        <w:t xml:space="preserve">)</w:t>
      </w:r>
      <w:r>
        <w:t xml:space="preserve">.</w:t>
      </w:r>
    </w:p>
    <w:p>
      <w:pPr>
        <w:keepNext/>
        <w:numPr>
          <w:ilvl w:val="0"/>
          <w:numId w:val="1000"/>
        </w:numPr>
      </w:pPr>
      <w:r>
        <w:t xml:space="preserve">En los 2 casos cada emisor reduce hasta que su coste marginal de reducción iguala el precio,</w:t>
      </w:r>
      <w:r>
        <w:t xml:space="preserve"> </w:t>
      </w:r>
      <m:oMath>
        <m:sSub>
          <m:e>
            <m:r>
              <m:rPr>
                <m:sty m:val="p"/>
              </m:rPr>
              <m:t>C</m:t>
            </m:r>
            <m:r>
              <m:rPr>
                <m:sty m:val="p"/>
              </m:rPr>
              <m:t>M</m:t>
            </m:r>
            <m:r>
              <m:rPr>
                <m:sty m:val="p"/>
              </m:rPr>
              <m:t>g</m:t>
            </m:r>
            <m:r>
              <m:rPr>
                <m:sty m:val="p"/>
              </m:rPr>
              <m:t>R</m:t>
            </m:r>
          </m:e>
          <m:sub>
            <m:r>
              <m:t>j</m:t>
            </m:r>
          </m:sub>
        </m:sSub>
        <m:r>
          <m:rPr>
            <m:sty m:val="p"/>
          </m:rPr>
          <m:t>=</m:t>
        </m:r>
        <m:sSub>
          <m:e>
            <m:r>
              <m:t>p</m:t>
            </m:r>
          </m:e>
          <m:sub>
            <m:r>
              <m:t>E</m:t>
            </m:r>
          </m:sub>
        </m:sSub>
      </m:oMath>
      <w:r>
        <w:t xml:space="preserve"> </w:t>
      </w:r>
      <w:r>
        <w:t xml:space="preserve">(o</w:t>
      </w:r>
      <w:r>
        <w:t xml:space="preserve"> </w:t>
      </w:r>
      <m:oMath>
        <m:sSup>
          <m:e>
            <m:r>
              <m:t>t</m:t>
            </m:r>
          </m:e>
          <m:sup>
            <m:r>
              <m:rPr>
                <m:sty m:val="p"/>
              </m:rPr>
              <m:t>*</m:t>
            </m:r>
          </m:sup>
        </m:sSup>
      </m:oMath>
      <w:r>
        <w:t xml:space="preserve">). Así la reducción se hace donde es más barata, sin que el Estado necesite conocer los costes de cada empresa, y queda un incentivo permanente a innovar para emitir menos.</w:t>
      </w:r>
    </w:p>
    <w:p>
      <w:pPr>
        <w:numPr>
          <w:ilvl w:val="1"/>
          <w:numId w:val="1072"/>
        </w:numPr>
      </w:pPr>
      <w:r>
        <w:t xml:space="preserve">Volvamos a nuestra acería. Con un derecho a unos 85 €, compara ese precio con lo que le cuesta evitar la tonelada (un horno eléctrico, chatarra en vez de mineral, hidrógeno). Si evitarla le sale más barato, la evita; si no, compra el derecho. En los 2 casos la tonelada ya no es gratis.</w:t>
      </w:r>
    </w:p>
    <w:p>
      <w:pPr>
        <w:keepNext/>
        <w:numPr>
          <w:ilvl w:val="0"/>
          <w:numId w:val="1069"/>
        </w:numPr>
      </w:pPr>
      <w:r>
        <w:rPr>
          <w:i/>
          <w:iCs/>
        </w:rPr>
        <w:t xml:space="preserve">¿Precio o cantidad?</w:t>
      </w:r>
      <w:r>
        <w:t xml:space="preserve"> </w:t>
      </w:r>
      <w:r>
        <w:t xml:space="preserve">Si el Estado no conoce bien los costes de reducir, los 2 instrumentos ya no son equivalentes. Conviene fijar la cantidad cuando el daño marginal crece más deprisa que el coste marginal de reducción, y el precio en el caso contrario</w:t>
      </w:r>
      <w:r>
        <w:t xml:space="preserve"> </w:t>
      </w:r>
      <w:r>
        <w:t xml:space="preserve">(</w:t>
      </w:r>
      <w:hyperlink w:anchor="ref_Weitzman1974Prices">
        <w:r>
          <w:rPr>
            <w:rStyle w:val="Hyperlink"/>
            <w:smallCaps/>
          </w:rPr>
          <w:t xml:space="preserve">Weitzman</w:t>
        </w:r>
        <w:r>
          <w:rPr>
            <w:rStyle w:val="Hyperlink"/>
          </w:rPr>
          <w:t xml:space="preserve">, 1974</w:t>
        </w:r>
      </w:hyperlink>
      <w:r>
        <w:t xml:space="preserve">)</w:t>
      </w:r>
      <w:r>
        <w:t xml:space="preserve">.</w:t>
      </w:r>
    </w:p>
    <w:p>
      <w:pPr>
        <w:numPr>
          <w:ilvl w:val="1"/>
          <w:numId w:val="1073"/>
        </w:numPr>
      </w:pPr>
      <w:r>
        <w:t xml:space="preserve">Con el clima, el daño depende del</w:t>
      </w:r>
      <w:r>
        <w:t xml:space="preserve"> </w:t>
      </w:r>
      <w:r>
        <w:rPr>
          <w:i/>
          <w:iCs/>
        </w:rPr>
        <w:t xml:space="preserve">stock</w:t>
      </w:r>
      <w:r>
        <w:t xml:space="preserve"> </w:t>
      </w:r>
      <w:r>
        <w:t xml:space="preserve">de CO</w:t>
      </w:r>
      <w:r>
        <w:rPr>
          <w:vertAlign w:val="subscript"/>
        </w:rPr>
        <w:t xml:space="preserve">2</w:t>
      </w:r>
      <w:r>
        <w:t xml:space="preserve"> </w:t>
      </w:r>
      <w:r>
        <w:t xml:space="preserve">acumulado durante siglos, y lo que se emite en un año apenas lo mueve: el daño marginal de las emisiones de un año es casi plano. El argumento favorece al impuesto</w:t>
      </w:r>
      <w:r>
        <w:t xml:space="preserve"> </w:t>
      </w:r>
      <w:r>
        <w:t xml:space="preserve">(</w:t>
      </w:r>
      <w:hyperlink w:anchor="ref_Pizer2002Combining">
        <w:r>
          <w:rPr>
            <w:rStyle w:val="Hyperlink"/>
            <w:smallCaps/>
          </w:rPr>
          <w:t xml:space="preserve">Pizer</w:t>
        </w:r>
        <w:r>
          <w:rPr>
            <w:rStyle w:val="Hyperlink"/>
          </w:rPr>
          <w:t xml:space="preserve">, 2002</w:t>
        </w:r>
      </w:hyperlink>
      <w:r>
        <w:t xml:space="preserve">)</w:t>
      </w:r>
      <w:r>
        <w:t xml:space="preserve">.</w:t>
      </w:r>
    </w:p>
    <w:p>
      <w:pPr>
        <w:numPr>
          <w:ilvl w:val="1"/>
          <w:numId w:val="1073"/>
        </w:numPr>
      </w:pPr>
      <w:r>
        <w:t xml:space="preserve">En sentido contrario pesan los puntos de inflexión y el presupuesto de carbono, que son límites de cantidad.</w:t>
      </w:r>
    </w:p>
    <w:p>
      <w:pPr>
        <w:numPr>
          <w:ilvl w:val="1"/>
          <w:numId w:val="1073"/>
        </w:numPr>
      </w:pPr>
      <w:r>
        <w:t xml:space="preserve">En la práctica se combinan: mercados con un suelo o un techo de precios o, en el RCDE europeo, una reserva de estabilidad que retira derechos cuando sobran</w:t>
      </w:r>
      <w:r>
        <w:t xml:space="preserve"> </w:t>
      </w:r>
      <w:r>
        <w:t xml:space="preserve">(</w:t>
      </w:r>
      <w:hyperlink w:anchor="ref_CE2026TNAC">
        <w:r>
          <w:rPr>
            <w:rStyle w:val="Hyperlink"/>
            <w:smallCaps/>
          </w:rPr>
          <w:t xml:space="preserve">Comisión Europea</w:t>
        </w:r>
        <w:r>
          <w:rPr>
            <w:rStyle w:val="Hyperlink"/>
          </w:rPr>
          <w:t xml:space="preserve">, 2026e</w:t>
        </w:r>
      </w:hyperlink>
      <w:r>
        <w:t xml:space="preserve">)</w:t>
      </w:r>
      <w:r>
        <w:t xml:space="preserve">.</w:t>
      </w:r>
    </w:p>
    <w:p>
      <w:pPr>
        <w:numPr>
          <w:ilvl w:val="0"/>
          <w:numId w:val="1069"/>
        </w:numPr>
      </w:pPr>
      <w:r>
        <w:rPr>
          <w:i/>
          <w:iCs/>
        </w:rPr>
        <w:t xml:space="preserve">Credibilidad</w:t>
      </w:r>
      <w:r>
        <w:t xml:space="preserve">: las inversiones en energía duran décadas, así que importa tanto el precio de hoy como el que se espera para dentro de 20 años. Un precio que un Gobierno futuro puede bajar no mueve la inversión; por eso se proponen compromisos institucionales que lo blinden</w:t>
      </w:r>
      <w:r>
        <w:t xml:space="preserve"> </w:t>
      </w:r>
      <w:r>
        <w:t xml:space="preserve">(</w:t>
      </w:r>
      <w:hyperlink w:anchor="ref_HelmHepburnMash2003Credible">
        <w:r>
          <w:rPr>
            <w:rStyle w:val="Hyperlink"/>
            <w:smallCaps/>
          </w:rPr>
          <w:t xml:space="preserve">Helm</w:t>
        </w:r>
        <w:r>
          <w:rPr>
            <w:rStyle w:val="Hyperlink"/>
          </w:rPr>
          <w:t xml:space="preserve">,</w:t>
        </w:r>
        <w:r>
          <w:rPr>
            <w:rStyle w:val="Hyperlink"/>
          </w:rPr>
          <w:t xml:space="preserve"> </w:t>
        </w:r>
        <w:r>
          <w:rPr>
            <w:rStyle w:val="Hyperlink"/>
            <w:smallCaps/>
          </w:rPr>
          <w:t xml:space="preserve">Hepburn</w:t>
        </w:r>
        <w:r>
          <w:rPr>
            <w:rStyle w:val="Hyperlink"/>
          </w:rPr>
          <w:t xml:space="preserve"> </w:t>
        </w:r>
        <w:r>
          <w:rPr>
            <w:rStyle w:val="Hyperlink"/>
          </w:rPr>
          <w:t xml:space="preserve">y</w:t>
        </w:r>
        <w:r>
          <w:rPr>
            <w:rStyle w:val="Hyperlink"/>
          </w:rPr>
          <w:t xml:space="preserve"> </w:t>
        </w:r>
        <w:r>
          <w:rPr>
            <w:rStyle w:val="Hyperlink"/>
            <w:smallCaps/>
          </w:rPr>
          <w:t xml:space="preserve">Mash</w:t>
        </w:r>
        <w:r>
          <w:rPr>
            <w:rStyle w:val="Hyperlink"/>
          </w:rPr>
          <w:t xml:space="preserve">, 2003</w:t>
        </w:r>
      </w:hyperlink>
      <w:r>
        <w:t xml:space="preserve">)</w:t>
      </w:r>
      <w:r>
        <w:t xml:space="preserve"> </w:t>
      </w:r>
      <w:hyperlink r:id="rId35">
        <w:r>
          <w:rPr>
            <w:rStyle w:val="Referenciaatema"/>
          </w:rPr>
          <w:t xml:space="preserve">[ver tema 3.A.23]</w:t>
        </w:r>
      </w:hyperlink>
      <w:r>
        <w:t xml:space="preserve">.</w:t>
      </w:r>
    </w:p>
    <w:p>
      <w:pPr>
        <w:keepNext/>
        <w:numPr>
          <w:ilvl w:val="0"/>
          <w:numId w:val="1069"/>
        </w:numPr>
      </w:pPr>
      <w:r>
        <w:rPr>
          <w:i/>
          <w:iCs/>
        </w:rPr>
        <w:t xml:space="preserve">Otros instrumentos</w:t>
      </w:r>
      <w:r>
        <w:t xml:space="preserve">, que complementan al precio cuando hay otros fallos de mercado:</w:t>
      </w:r>
    </w:p>
    <w:p>
      <w:pPr>
        <w:numPr>
          <w:ilvl w:val="1"/>
          <w:numId w:val="1074"/>
        </w:numPr>
      </w:pPr>
      <w:r>
        <w:t xml:space="preserve">subvenciones a la investigación y al despliegue de tecnologías limpias, porque el conocimiento es a su vez una externalidad positiva (el cambio técnico dirigido de</w:t>
      </w:r>
      <w:r>
        <w:t xml:space="preserve"> </w:t>
      </w:r>
      <w:r>
        <w:rPr>
          <w:smallCaps/>
        </w:rPr>
        <w:t xml:space="preserve">Acemoglu</w:t>
      </w:r>
      <w:r>
        <w:t xml:space="preserve"> </w:t>
      </w:r>
      <w:r>
        <w:t xml:space="preserve">et al. (</w:t>
      </w:r>
      <w:hyperlink w:anchor="ref_Acemoglu2012Environment">
        <w:r>
          <w:rPr>
            <w:rStyle w:val="Hyperlink"/>
          </w:rPr>
          <w:t xml:space="preserve">2012</w:t>
        </w:r>
      </w:hyperlink>
      <w:r>
        <w:t xml:space="preserve">)</w:t>
      </w:r>
      <w:r>
        <w:t xml:space="preserve">, apartado </w:t>
      </w:r>
      <w:hyperlink w:anchor="sec_dice">
        <w:r>
          <w:rPr>
            <w:rStyle w:val="Hyperlink"/>
          </w:rPr>
          <w:t xml:space="preserve">II.3</w:t>
        </w:r>
      </w:hyperlink>
      <w:r>
        <w:t xml:space="preserve">);</w:t>
      </w:r>
    </w:p>
    <w:p>
      <w:pPr>
        <w:numPr>
          <w:ilvl w:val="1"/>
          <w:numId w:val="1074"/>
        </w:numPr>
      </w:pPr>
      <w:r>
        <w:t xml:space="preserve">normas técnicas (emisiones de los coches nuevos, eficiencia de los edificios), útiles cuando los consumidores reaccionan poco a los precios;</w:t>
      </w:r>
    </w:p>
    <w:p>
      <w:pPr>
        <w:numPr>
          <w:ilvl w:val="1"/>
          <w:numId w:val="1074"/>
        </w:numPr>
      </w:pPr>
      <w:r>
        <w:t xml:space="preserve">información y finanzas sostenibles: divulgación de los riesgos climáticos y clasificación de las actividades verdes;</w:t>
      </w:r>
    </w:p>
    <w:p>
      <w:pPr>
        <w:numPr>
          <w:ilvl w:val="1"/>
          <w:numId w:val="1074"/>
        </w:numPr>
      </w:pPr>
      <w:r>
        <w:t xml:space="preserve">y la fiscalidad verde, que recauda y permite bajar otros impuestos más distorsionadores, el llamado</w:t>
      </w:r>
      <w:r>
        <w:t xml:space="preserve"> </w:t>
      </w:r>
      <w:r>
        <w:rPr>
          <w:i/>
          <w:iCs/>
        </w:rPr>
        <w:t xml:space="preserve">doble dividendo</w:t>
      </w:r>
      <w:r>
        <w:t xml:space="preserve"> </w:t>
      </w:r>
      <w:hyperlink r:id="rId20">
        <w:r>
          <w:rPr>
            <w:rStyle w:val="Referenciaatema"/>
          </w:rPr>
          <w:t xml:space="preserve">[ver tema 4.B.13]</w:t>
        </w:r>
      </w:hyperlink>
      <w:r>
        <w:t xml:space="preserve">.</w:t>
      </w:r>
    </w:p>
    <w:p>
      <w:pPr>
        <w:keepNext/>
        <w:numPr>
          <w:ilvl w:val="0"/>
          <w:numId w:val="1069"/>
        </w:numPr>
      </w:pPr>
      <w:r>
        <w:rPr>
          <w:i/>
          <w:iCs/>
        </w:rPr>
        <w:t xml:space="preserve">2 advertencias</w:t>
      </w:r>
      <w:r>
        <w:t xml:space="preserve">:</w:t>
      </w:r>
    </w:p>
    <w:p>
      <w:pPr>
        <w:numPr>
          <w:ilvl w:val="1"/>
          <w:numId w:val="1075"/>
        </w:numPr>
      </w:pPr>
      <w:r>
        <w:t xml:space="preserve">la</w:t>
      </w:r>
      <w:r>
        <w:t xml:space="preserve"> </w:t>
      </w:r>
      <w:r>
        <w:rPr>
          <w:b/>
          <w:bCs/>
        </w:rPr>
        <w:t xml:space="preserve">paradoja verde</w:t>
      </w:r>
      <w:r>
        <w:t xml:space="preserve"> </w:t>
      </w:r>
      <w:r>
        <w:t xml:space="preserve">(</w:t>
      </w:r>
      <w:hyperlink w:anchor="ref_Sinn2008Public">
        <w:r>
          <w:rPr>
            <w:rStyle w:val="Hyperlink"/>
            <w:smallCaps/>
          </w:rPr>
          <w:t xml:space="preserve">Sinn</w:t>
        </w:r>
        <w:r>
          <w:rPr>
            <w:rStyle w:val="Hyperlink"/>
          </w:rPr>
          <w:t xml:space="preserve">, 2008</w:t>
        </w:r>
      </w:hyperlink>
      <w:r>
        <w:t xml:space="preserve">)</w:t>
      </w:r>
      <w:r>
        <w:t xml:space="preserve">. Según la regla de</w:t>
      </w:r>
      <w:r>
        <w:t xml:space="preserve"> </w:t>
      </w:r>
      <w:r>
        <w:rPr>
          <w:smallCaps/>
        </w:rPr>
        <w:t xml:space="preserve">Hotelling</w:t>
      </w:r>
      <w:r>
        <w:t xml:space="preserve"> </w:t>
      </w:r>
      <w:r>
        <w:t xml:space="preserve">(</w:t>
      </w:r>
      <w:hyperlink w:anchor="ref_Hotelling1931Economics">
        <w:r>
          <w:rPr>
            <w:rStyle w:val="Hyperlink"/>
          </w:rPr>
          <w:t xml:space="preserve">1931</w:t>
        </w:r>
      </w:hyperlink>
      <w:r>
        <w:t xml:space="preserve">)</w:t>
      </w:r>
      <w:r>
        <w:t xml:space="preserve">, el dueño de un recurso agotable lo extrae de modo que su precio neto crezca al ritmo del tipo de interés: dejarlo bajo tierra es su forma de ahorrar. Si espera impuestos sobre el carbono cada vez más altos, el petróleo y el carbón valdrán menos mañana y le conviene adelantar la extracción, así que las emisiones de hoy</w:t>
      </w:r>
      <w:r>
        <w:t xml:space="preserve"> </w:t>
      </w:r>
      <w:r>
        <w:rPr>
          <w:i/>
          <w:iCs/>
        </w:rPr>
        <w:t xml:space="preserve">aumentan</w:t>
      </w:r>
      <w:r>
        <w:t xml:space="preserve">. Una política mal anunciada puede empeorar las cosas;</w:t>
      </w:r>
    </w:p>
    <w:p>
      <w:pPr>
        <w:numPr>
          <w:ilvl w:val="1"/>
          <w:numId w:val="1075"/>
        </w:numPr>
      </w:pPr>
      <w:r>
        <w:t xml:space="preserve">el</w:t>
      </w:r>
      <w:r>
        <w:t xml:space="preserve"> </w:t>
      </w:r>
      <w:r>
        <w:rPr>
          <w:b/>
          <w:bCs/>
        </w:rPr>
        <w:t xml:space="preserve">efecto rebote</w:t>
      </w:r>
      <w:r>
        <w:t xml:space="preserve">: una mejora de la eficiencia abarata el uso de la energía y puede hacer que se consuma más. William Stanley</w:t>
      </w:r>
      <w:r>
        <w:t xml:space="preserve"> </w:t>
      </w:r>
      <w:r>
        <w:rPr>
          <w:smallCaps/>
        </w:rPr>
        <w:t xml:space="preserve">Jevons</w:t>
      </w:r>
      <w:r>
        <w:t xml:space="preserve"> </w:t>
      </w:r>
      <w:r>
        <w:t xml:space="preserve">(</w:t>
      </w:r>
      <w:hyperlink w:anchor="ref_Jevons1865Coal">
        <w:r>
          <w:rPr>
            <w:rStyle w:val="Hyperlink"/>
          </w:rPr>
          <w:t xml:space="preserve">1865</w:t>
        </w:r>
      </w:hyperlink>
      <w:r>
        <w:t xml:space="preserve">)</w:t>
      </w:r>
      <w:r>
        <w:t xml:space="preserve"> </w:t>
      </w:r>
      <w:r>
        <w:t xml:space="preserve">ya observó que las máquinas de vapor más eficientes habían aumentado el consumo de carbón.</w:t>
      </w:r>
    </w:p>
    <w:bookmarkStart w:id="96" w:name="tab_instrumentos_clima"/>
    <w:p>
      <w:pPr>
        <w:pStyle w:val="TableCaption"/>
      </w:pPr>
      <w:r>
        <w:t xml:space="preserve">Tabla 3.–</w:t>
      </w:r>
      <w:r>
        <w:t xml:space="preserve"> </w:t>
      </w:r>
      <w:r>
        <w:t xml:space="preserve">Los instrumentos de la política climática</w:t>
      </w:r>
    </w:p>
    <w:tbl>
      <w:tblPr>
        <w:tblStyle w:val="Table"/>
        <w:tblW w:type="auto" w:w="0"/>
        <w:tblLook w:firstRow="1" w:lastRow="0" w:firstColumn="0" w:lastColumn="0" w:noHBand="0" w:noVBand="0" w:val="0020"/>
        <w:tblCaption w:val="Tabla 3.– Los instrumentos de la política climática"/>
      </w:tblPr>
      <w:tblGrid>
        <w:gridCol w:w="1980"/>
        <w:gridCol w:w="1980"/>
        <w:gridCol w:w="1980"/>
        <w:gridCol w:w="1980"/>
      </w:tblGrid>
      <w:tr>
        <w:trPr>
          <w:cantSplit/>
          <w:tblHeader w:val="on"/>
        </w:trPr>
        <w:tc>
          <w:tcPr>
            <w:shd w:val="clear" w:color="auto" w:fill="DDEBF7"/>
          </w:tcPr>
          <w:tcPr/>
          <w:p>
            <w:pPr>
              <w:pStyle w:val="Celdatceeazulpalido"/>
              <w:keepNext/>
              <w:jc w:val="left"/>
            </w:pPr>
            <w:r>
              <w:rPr>
                <w:b/>
                <w:bCs/>
              </w:rPr>
              <w:t xml:space="preserve">Instrumento</w:t>
            </w:r>
          </w:p>
        </w:tc>
        <w:tc>
          <w:tcPr>
            <w:shd w:val="clear" w:color="auto" w:fill="DDEBF7"/>
          </w:tcPr>
          <w:tcPr/>
          <w:p>
            <w:pPr>
              <w:pStyle w:val="Celdatceeazulpalido"/>
              <w:keepNext/>
              <w:jc w:val="left"/>
            </w:pPr>
            <w:r>
              <w:rPr>
                <w:b/>
                <w:bCs/>
              </w:rPr>
              <w:t xml:space="preserve">Qué fija el Estado</w:t>
            </w:r>
          </w:p>
        </w:tc>
        <w:tc>
          <w:tcPr>
            <w:shd w:val="clear" w:color="auto" w:fill="DDEBF7"/>
          </w:tcPr>
          <w:tcPr/>
          <w:p>
            <w:pPr>
              <w:pStyle w:val="Celdatceeazulpalido"/>
              <w:keepNext/>
              <w:jc w:val="left"/>
            </w:pPr>
            <w:r>
              <w:rPr>
                <w:b/>
                <w:bCs/>
              </w:rPr>
              <w:t xml:space="preserve">Qué información necesita</w:t>
            </w:r>
          </w:p>
        </w:tc>
        <w:tc>
          <w:tcPr>
            <w:shd w:val="clear" w:color="auto" w:fill="DDEBF7"/>
          </w:tcPr>
          <w:tcPr/>
          <w:p>
            <w:pPr>
              <w:pStyle w:val="Celdatceeazulpalido"/>
              <w:keepNext/>
              <w:jc w:val="left"/>
            </w:pPr>
            <w:r>
              <w:rPr>
                <w:b/>
                <w:bCs/>
              </w:rPr>
              <w:t xml:space="preserve">Quién se queda la renta</w:t>
            </w:r>
          </w:p>
        </w:tc>
      </w:tr>
      <w:tr>
        <w:trPr>
          <w:cantSplit/>
        </w:trPr>
        <w:tc>
          <w:tcPr/>
          <w:p>
            <w:pPr>
              <w:pStyle w:val="Compact"/>
              <w:jc w:val="left"/>
            </w:pPr>
            <w:r>
              <w:rPr>
                <w:rStyle w:val="Textomorado"/>
                <w:b/>
                <w:bCs/>
              </w:rPr>
              <w:t xml:space="preserve">Impuesto sobre el carbono</w:t>
            </w:r>
            <w:r>
              <w:br/>
            </w:r>
            <w:r>
              <w:t xml:space="preserve">(Suecia, Suiza)</w:t>
            </w:r>
          </w:p>
        </w:tc>
        <w:tc>
          <w:tcPr/>
          <w:p>
            <w:pPr>
              <w:pStyle w:val="Compact"/>
              <w:jc w:val="left"/>
            </w:pPr>
            <w:r>
              <w:t xml:space="preserve">el precio (</w:t>
            </w:r>
            <m:oMath>
              <m:sSup>
                <m:e>
                  <m:r>
                    <m:t>t</m:t>
                  </m:r>
                </m:e>
                <m:sup>
                  <m:r>
                    <m:rPr>
                      <m:sty m:val="p"/>
                    </m:rPr>
                    <m:t>*</m:t>
                  </m:r>
                </m:sup>
              </m:sSup>
            </m:oMath>
            <w:r>
              <w:t xml:space="preserve">)</w:t>
            </w:r>
          </w:p>
        </w:tc>
        <w:tc>
          <w:tcPr/>
          <w:p>
            <w:pPr>
              <w:pStyle w:val="Compact"/>
              <w:jc w:val="left"/>
            </w:pPr>
            <w:r>
              <w:t xml:space="preserve">el daño marginal en el óptimo, el coste social del carbono</w:t>
            </w:r>
          </w:p>
        </w:tc>
        <w:tc>
          <w:tcPr/>
          <w:p>
            <w:pPr>
              <w:pStyle w:val="Compact"/>
              <w:jc w:val="left"/>
            </w:pPr>
            <w:r>
              <w:t xml:space="preserve">el Estado (recaudación)</w:t>
            </w:r>
          </w:p>
        </w:tc>
      </w:tr>
      <w:tr>
        <w:trPr>
          <w:cantSplit/>
        </w:trPr>
        <w:tc>
          <w:tcPr/>
          <w:p>
            <w:pPr>
              <w:pStyle w:val="Compact"/>
              <w:jc w:val="left"/>
            </w:pPr>
            <w:r>
              <w:rPr>
                <w:rStyle w:val="Textomorado"/>
                <w:b/>
                <w:bCs/>
              </w:rPr>
              <w:t xml:space="preserve">Derechos de emisión</w:t>
            </w:r>
            <w:r>
              <w:br/>
            </w:r>
            <w:r>
              <w:t xml:space="preserve">(RCDE de la UE, China)</w:t>
            </w:r>
          </w:p>
        </w:tc>
        <w:tc>
          <w:tcPr/>
          <w:p>
            <w:pPr>
              <w:pStyle w:val="Compact"/>
              <w:jc w:val="left"/>
            </w:pPr>
            <w:r>
              <w:t xml:space="preserve">la cantidad total (</w:t>
            </w:r>
            <m:oMath>
              <m:bar>
                <m:barPr>
                  <m:pos m:val="top"/>
                </m:barPr>
                <m:e>
                  <m:r>
                    <m:t>E</m:t>
                  </m:r>
                </m:e>
              </m:bar>
            </m:oMath>
            <w:r>
              <w:t xml:space="preserve">)</w:t>
            </w:r>
          </w:p>
        </w:tc>
        <w:tc>
          <w:tcPr/>
          <w:p>
            <w:pPr>
              <w:pStyle w:val="Compact"/>
              <w:jc w:val="left"/>
            </w:pPr>
            <w:r>
              <w:t xml:space="preserve">el tope compatible con el objetivo, no los costes de cada empresa</w:t>
            </w:r>
          </w:p>
        </w:tc>
        <w:tc>
          <w:tcPr/>
          <w:p>
            <w:pPr>
              <w:pStyle w:val="Compact"/>
              <w:jc w:val="left"/>
            </w:pPr>
            <w:r>
              <w:t xml:space="preserve">el Estado si subasta; las empresas si los regala</w:t>
            </w:r>
          </w:p>
        </w:tc>
      </w:tr>
      <w:tr>
        <w:trPr>
          <w:cantSplit/>
        </w:trPr>
        <w:tc>
          <w:tcPr/>
          <w:p>
            <w:pPr>
              <w:pStyle w:val="Compact"/>
              <w:jc w:val="left"/>
            </w:pPr>
            <w:r>
              <w:rPr>
                <w:rStyle w:val="Textomorado"/>
                <w:b/>
                <w:bCs/>
              </w:rPr>
              <w:t xml:space="preserve">Normas técnicas</w:t>
            </w:r>
            <w:r>
              <w:br/>
            </w:r>
            <w:r>
              <w:t xml:space="preserve">(coches nuevos)</w:t>
            </w:r>
          </w:p>
        </w:tc>
        <w:tc>
          <w:tcPr/>
          <w:p>
            <w:pPr>
              <w:pStyle w:val="Compact"/>
              <w:jc w:val="left"/>
            </w:pPr>
            <w:r>
              <w:t xml:space="preserve">la tecnología o las emisiones por unidad</w:t>
            </w:r>
          </w:p>
        </w:tc>
        <w:tc>
          <w:tcPr/>
          <w:p>
            <w:pPr>
              <w:pStyle w:val="Compact"/>
              <w:jc w:val="left"/>
            </w:pPr>
            <w:r>
              <w:t xml:space="preserve">los costes de cada tecnología</w:t>
            </w:r>
          </w:p>
        </w:tc>
        <w:tc>
          <w:tcPr/>
          <w:p>
            <w:pPr>
              <w:pStyle w:val="Compact"/>
              <w:jc w:val="left"/>
            </w:pPr>
            <w:r>
              <w:t xml:space="preserve">las empresas reguladas</w:t>
            </w:r>
          </w:p>
        </w:tc>
      </w:tr>
      <w:tr>
        <w:trPr>
          <w:cantSplit/>
        </w:trPr>
        <w:tc>
          <w:tcPr/>
          <w:p>
            <w:pPr>
              <w:pStyle w:val="Compact"/>
              <w:jc w:val="left"/>
            </w:pPr>
            <w:r>
              <w:rPr>
                <w:rStyle w:val="Textomorado"/>
                <w:b/>
                <w:bCs/>
              </w:rPr>
              <w:t xml:space="preserve">Subvenciones e I+D</w:t>
            </w:r>
            <w:r>
              <w:br/>
            </w:r>
            <w:r>
              <w:t xml:space="preserve">(Ley de Reducción de la Inflación de EE. UU.)</w:t>
            </w:r>
          </w:p>
        </w:tc>
        <w:tc>
          <w:tcPr/>
          <w:p>
            <w:pPr>
              <w:pStyle w:val="Compact"/>
              <w:jc w:val="left"/>
            </w:pPr>
            <w:r>
              <w:t xml:space="preserve">el apoyo a la alternativa limpia</w:t>
            </w:r>
          </w:p>
        </w:tc>
        <w:tc>
          <w:tcPr/>
          <w:p>
            <w:pPr>
              <w:pStyle w:val="Compact"/>
              <w:jc w:val="left"/>
            </w:pPr>
            <w:r>
              <w:t xml:space="preserve">qué tecnologías prometen más</w:t>
            </w:r>
          </w:p>
        </w:tc>
        <w:tc>
          <w:tcPr/>
          <w:p>
            <w:pPr>
              <w:pStyle w:val="Compact"/>
              <w:jc w:val="left"/>
            </w:pPr>
            <w:r>
              <w:t xml:space="preserve">quien recibe la ayuda (la paga el contribuyente)</w:t>
            </w:r>
          </w:p>
        </w:tc>
      </w:tr>
      <w:tr>
        <w:trPr>
          <w:cantSplit/>
        </w:trPr>
        <w:tc>
          <w:tcPr/>
          <w:p>
            <w:pPr>
              <w:pStyle w:val="Compact"/>
              <w:jc w:val="left"/>
            </w:pPr>
            <w:r>
              <w:rPr>
                <w:rStyle w:val="Textomorado"/>
                <w:b/>
                <w:bCs/>
              </w:rPr>
              <w:t xml:space="preserve">Ajuste en frontera</w:t>
            </w:r>
            <w:r>
              <w:br/>
            </w:r>
            <w:r>
              <w:t xml:space="preserve">(MAFC de la UE)</w:t>
            </w:r>
          </w:p>
        </w:tc>
        <w:tc>
          <w:tcPr/>
          <w:p>
            <w:pPr>
              <w:pStyle w:val="Compact"/>
              <w:jc w:val="left"/>
            </w:pPr>
            <w:r>
              <w:t xml:space="preserve">el precio del carbono de las importaciones</w:t>
            </w:r>
          </w:p>
        </w:tc>
        <w:tc>
          <w:tcPr/>
          <w:p>
            <w:pPr>
              <w:pStyle w:val="Compact"/>
              <w:jc w:val="left"/>
            </w:pPr>
            <w:r>
              <w:t xml:space="preserve">las emisiones incorporadas en lo que se importa</w:t>
            </w:r>
          </w:p>
        </w:tc>
        <w:tc>
          <w:tcPr/>
          <w:p>
            <w:pPr>
              <w:pStyle w:val="Compact"/>
              <w:jc w:val="left"/>
            </w:pPr>
            <w:r>
              <w:t xml:space="preserve">el importador, o el país de origen si ya cobra su propio precio</w:t>
            </w:r>
          </w:p>
        </w:tc>
      </w:tr>
    </w:tbl>
    <w:bookmarkEnd w:id="96"/>
    <w:p>
      <w:pPr>
        <w:pStyle w:val="BodyText"/>
        <w:keepNext/>
      </w:pPr>
      <w:r>
        <w:rPr>
          <w:i/>
          <w:iCs/>
        </w:rPr>
        <w:t xml:space="preserve">Fuente: elaboración propia a partir de</w:t>
      </w:r>
      <w:r>
        <w:rPr>
          <w:i/>
          <w:iCs/>
        </w:rPr>
        <w:t xml:space="preserve"> </w:t>
      </w:r>
      <w:r>
        <w:rPr>
          <w:i/>
          <w:iCs/>
          <w:smallCaps/>
        </w:rPr>
        <w:t xml:space="preserve">Baumol</w:t>
      </w:r>
      <w:r>
        <w:rPr>
          <w:i/>
          <w:iCs/>
        </w:rPr>
        <w:t xml:space="preserve"> </w:t>
      </w:r>
      <w:r>
        <w:rPr>
          <w:i/>
          <w:iCs/>
        </w:rPr>
        <w:t xml:space="preserve">y</w:t>
      </w:r>
      <w:r>
        <w:rPr>
          <w:i/>
          <w:iCs/>
        </w:rPr>
        <w:t xml:space="preserve"> </w:t>
      </w:r>
      <w:r>
        <w:rPr>
          <w:i/>
          <w:iCs/>
          <w:smallCaps/>
        </w:rPr>
        <w:t xml:space="preserve">Oates</w:t>
      </w:r>
      <w:r>
        <w:rPr>
          <w:i/>
          <w:iCs/>
        </w:rPr>
        <w:t xml:space="preserve"> </w:t>
      </w:r>
      <w:r>
        <w:rPr>
          <w:i/>
          <w:iCs/>
        </w:rPr>
        <w:t xml:space="preserve">(</w:t>
      </w:r>
      <w:hyperlink w:anchor="ref_BaumolOates1988Theory">
        <w:r>
          <w:rPr>
            <w:rStyle w:val="Hyperlink"/>
            <w:i/>
            <w:iCs/>
          </w:rPr>
          <w:t xml:space="preserve">1988</w:t>
        </w:r>
      </w:hyperlink>
      <w:r>
        <w:rPr>
          <w:i/>
          <w:iCs/>
        </w:rPr>
        <w:t xml:space="preserve">)</w:t>
      </w:r>
      <w:r>
        <w:rPr>
          <w:i/>
          <w:iCs/>
        </w:rPr>
        <w:t xml:space="preserve">,</w:t>
      </w:r>
      <w:r>
        <w:rPr>
          <w:i/>
          <w:iCs/>
        </w:rPr>
        <w:t xml:space="preserve"> </w:t>
      </w:r>
      <w:r>
        <w:rPr>
          <w:i/>
          <w:iCs/>
          <w:smallCaps/>
        </w:rPr>
        <w:t xml:space="preserve">Weitzman</w:t>
      </w:r>
      <w:r>
        <w:rPr>
          <w:i/>
          <w:iCs/>
        </w:rPr>
        <w:t xml:space="preserve"> </w:t>
      </w:r>
      <w:r>
        <w:rPr>
          <w:i/>
          <w:iCs/>
        </w:rPr>
        <w:t xml:space="preserve">(</w:t>
      </w:r>
      <w:hyperlink w:anchor="ref_Weitzman1974Prices">
        <w:r>
          <w:rPr>
            <w:rStyle w:val="Hyperlink"/>
            <w:i/>
            <w:iCs/>
          </w:rPr>
          <w:t xml:space="preserve">1974</w:t>
        </w:r>
      </w:hyperlink>
      <w:r>
        <w:rPr>
          <w:i/>
          <w:iCs/>
        </w:rPr>
        <w:t xml:space="preserve">)</w:t>
      </w:r>
      <w:r>
        <w:rPr>
          <w:i/>
          <w:iCs/>
        </w:rPr>
        <w:t xml:space="preserve"> </w:t>
      </w:r>
      <w:r>
        <w:rPr>
          <w:i/>
          <w:iCs/>
        </w:rPr>
        <w:t xml:space="preserve">y la tabla de los mecanismos frente a una externalidad de</w:t>
      </w:r>
      <w:r>
        <w:rPr>
          <w:i/>
          <w:iCs/>
        </w:rPr>
        <w:t xml:space="preserve"> </w:t>
      </w:r>
      <w:hyperlink r:id="rId35">
        <w:r>
          <w:rPr>
            <w:rStyle w:val="Referenciaatema"/>
            <w:i/>
            <w:iCs/>
          </w:rPr>
          <w:t xml:space="preserve">[ver tema 3.A.23]</w:t>
        </w:r>
      </w:hyperlink>
      <w:r>
        <w:rPr>
          <w:i/>
          <w:iCs/>
        </w:rPr>
        <w:t xml:space="preserve">.</w:t>
      </w:r>
    </w:p>
    <w:p>
      <w:pPr>
        <w:numPr>
          <w:ilvl w:val="0"/>
          <w:numId w:val="1076"/>
        </w:numPr>
      </w:pPr>
      <w:r>
        <w:rPr>
          <w:i/>
          <w:iCs/>
        </w:rPr>
        <w:t xml:space="preserve">Conclusión</w:t>
      </w:r>
      <w:r>
        <w:t xml:space="preserve">: el instrumento existe y se sabe cómo diseñarlo. El problema es otro: el impuesto o el tope tiene que ponerlo cada país, y cada país carga con el coste de su reducción mientras el beneficio se reparte por todo el mundo. Una vez vistos los instrumentos, pasamos a analizar por qué cuesta tanto que los países los apliquen a la vez.</w:t>
      </w:r>
    </w:p>
    <w:bookmarkEnd w:id="97"/>
    <w:bookmarkStart w:id="112" w:name="sec_cooperacion"/>
    <w:p>
      <w:pPr>
        <w:pStyle w:val="Heading2"/>
      </w:pPr>
      <w:r>
        <w:t xml:space="preserve">III.2.</w:t>
      </w:r>
      <w:r>
        <w:t xml:space="preserve"> </w:t>
      </w:r>
      <w:r>
        <w:t xml:space="preserve">El problema de la cooperación internacional</w:t>
      </w:r>
    </w:p>
    <w:bookmarkStart w:id="100" w:name="el_dilema_del_prisionero_entre_pa__ses"/>
    <w:p>
      <w:pPr>
        <w:pStyle w:val="Heading4"/>
      </w:pPr>
      <w:r>
        <w:t xml:space="preserve">El dilema del prisionero entre países</w:t>
      </w:r>
    </w:p>
    <w:p>
      <w:pPr>
        <w:keepNext/>
        <w:numPr>
          <w:ilvl w:val="0"/>
          <w:numId w:val="1077"/>
        </w:numPr>
      </w:pPr>
      <w:r>
        <w:t xml:space="preserve">Pensemos en 2 países que deciden a la vez si reducen sus emisiones o siguen emitiendo, con los mismos pagos que la guerra de precios con la que se presenta el dilema en teoría de juegos</w:t>
      </w:r>
      <w:r>
        <w:t xml:space="preserve"> </w:t>
      </w:r>
      <w:hyperlink r:id="rId98">
        <w:r>
          <w:rPr>
            <w:rStyle w:val="Referenciaatema"/>
          </w:rPr>
          <w:t xml:space="preserve">[ver tema 3.A.14]</w:t>
        </w:r>
      </w:hyperlink>
      <w:r>
        <w:t xml:space="preserve"> </w:t>
      </w:r>
      <w:r>
        <w:t xml:space="preserve">(tabla </w:t>
      </w:r>
      <w:hyperlink w:anchor="tab_dilema_clima">
        <w:r>
          <w:rPr>
            <w:rStyle w:val="Hyperlink"/>
          </w:rPr>
          <w:t xml:space="preserve">4</w:t>
        </w:r>
      </w:hyperlink>
      <w:r>
        <w:t xml:space="preserve">):</w:t>
      </w:r>
    </w:p>
    <w:p>
      <w:pPr>
        <w:numPr>
          <w:ilvl w:val="1"/>
          <w:numId w:val="1078"/>
        </w:numPr>
      </w:pPr>
      <w:r>
        <w:t xml:space="preserve">si los 2 reducen, cada uno obtiene 5: el clima mejora para ambos;</w:t>
      </w:r>
    </w:p>
    <w:p>
      <w:pPr>
        <w:numPr>
          <w:ilvl w:val="1"/>
          <w:numId w:val="1078"/>
        </w:numPr>
      </w:pPr>
      <w:r>
        <w:t xml:space="preserve">si uno reduce y el otro no, el que reduce paga el coste y comparte el beneficio (0), y el que emite disfruta del clima que paga el otro sin perder nada (6);</w:t>
      </w:r>
    </w:p>
    <w:p>
      <w:pPr>
        <w:numPr>
          <w:ilvl w:val="1"/>
          <w:numId w:val="1078"/>
        </w:numPr>
      </w:pPr>
      <w:r>
        <w:t xml:space="preserve">si ninguno reduce, los 2 se quedan con 1.</w:t>
      </w:r>
    </w:p>
    <w:p>
      <w:pPr>
        <w:numPr>
          <w:ilvl w:val="0"/>
          <w:numId w:val="1077"/>
        </w:numPr>
      </w:pPr>
      <w:r>
        <w:rPr>
          <w:i/>
          <w:iCs/>
        </w:rPr>
        <w:t xml:space="preserve">Emitir</w:t>
      </w:r>
      <w:r>
        <w:t xml:space="preserve"> </w:t>
      </w:r>
      <w:r>
        <w:t xml:space="preserve">es una</w:t>
      </w:r>
      <w:r>
        <w:t xml:space="preserve"> </w:t>
      </w:r>
      <w:r>
        <w:rPr>
          <w:b/>
          <w:bCs/>
        </w:rPr>
        <w:t xml:space="preserve">estrategia dominante</w:t>
      </w:r>
      <w:r>
        <w:t xml:space="preserve"> </w:t>
      </w:r>
      <w:r>
        <w:t xml:space="preserve">para cada país: es su mejor respuesta tanto si el otro reduce (</w:t>
      </w:r>
      <m:oMath>
        <m:r>
          <m:t>6</m:t>
        </m:r>
        <m:r>
          <m:rPr>
            <m:sty m:val="p"/>
          </m:rPr>
          <m:t>&gt;</m:t>
        </m:r>
        <m:r>
          <m:t>5</m:t>
        </m:r>
      </m:oMath>
      <w:r>
        <w:t xml:space="preserve">) como si no (</w:t>
      </w:r>
      <m:oMath>
        <m:r>
          <m:t>1</m:t>
        </m:r>
        <m:r>
          <m:rPr>
            <m:sty m:val="p"/>
          </m:rPr>
          <m:t>&gt;</m:t>
        </m:r>
        <m:r>
          <m:t>0</m:t>
        </m:r>
      </m:oMath>
      <w:r>
        <w:t xml:space="preserve">). El único</w:t>
      </w:r>
      <w:r>
        <w:t xml:space="preserve"> </w:t>
      </w:r>
      <w:r>
        <w:rPr>
          <w:b/>
          <w:bCs/>
        </w:rPr>
        <w:t xml:space="preserve">equilibrio de</w:t>
      </w:r>
      <w:r>
        <w:rPr>
          <w:b/>
          <w:bCs/>
        </w:rPr>
        <w:t xml:space="preserve"> </w:t>
      </w:r>
      <w:r>
        <w:rPr>
          <w:b/>
          <w:bCs/>
          <w:smallCaps/>
        </w:rPr>
        <w:t xml:space="preserve">Nash</w:t>
      </w:r>
      <w:r>
        <w:t xml:space="preserve"> </w:t>
      </w:r>
      <w:r>
        <w:t xml:space="preserve">es (Emitir, Emitir), con</w:t>
      </w:r>
      <w:r>
        <w:t xml:space="preserve"> </w:t>
      </w:r>
      <m:oMath>
        <m:d>
          <m:dPr>
            <m:begChr m:val="("/>
            <m:sepChr m:val=""/>
            <m:endChr m:val=")"/>
            <m:grow/>
          </m:dPr>
          <m:e>
            <m:r>
              <m:t>1</m:t>
            </m:r>
            <m:r>
              <m:rPr>
                <m:sty m:val="p"/>
              </m:rPr>
              <m:t>,</m:t>
            </m:r>
            <m:r>
              <m:t>1</m:t>
            </m:r>
          </m:e>
        </m:d>
      </m:oMath>
      <w:r>
        <w:t xml:space="preserve">, aunque los 2 estarían mejor reduciendo, con</w:t>
      </w:r>
      <w:r>
        <w:t xml:space="preserve"> </w:t>
      </w:r>
      <m:oMath>
        <m:d>
          <m:dPr>
            <m:begChr m:val="("/>
            <m:sepChr m:val=""/>
            <m:endChr m:val=")"/>
            <m:grow/>
          </m:dPr>
          <m:e>
            <m:r>
              <m:t>5</m:t>
            </m:r>
            <m:r>
              <m:rPr>
                <m:sty m:val="p"/>
              </m:rPr>
              <m:t>,</m:t>
            </m:r>
            <m:r>
              <m:t>5</m:t>
            </m:r>
          </m:e>
        </m:d>
      </m:oMath>
      <w:r>
        <w:t xml:space="preserve">: es un</w:t>
      </w:r>
      <w:r>
        <w:t xml:space="preserve"> </w:t>
      </w:r>
      <w:r>
        <w:rPr>
          <w:b/>
          <w:bCs/>
        </w:rPr>
        <w:t xml:space="preserve">dilema del prisionero</w:t>
      </w:r>
      <w:r>
        <w:t xml:space="preserve">. Lo que es racional para cada país es malo para todos, y es la versión de 2 países del equilibrio</w:t>
      </w:r>
      <w:r>
        <w:t xml:space="preserve"> </w:t>
      </w:r>
      <m:oMath>
        <m:sSup>
          <m:e>
            <m:r>
              <m:t>E</m:t>
            </m:r>
          </m:e>
          <m:sup>
            <m:r>
              <m:rPr>
                <m:sty m:val="p"/>
              </m:rPr>
              <m:t>N</m:t>
            </m:r>
          </m:sup>
        </m:sSup>
      </m:oMath>
      <w:r>
        <w:t xml:space="preserve"> </w:t>
      </w:r>
      <w:r>
        <w:t xml:space="preserve">del gráfico </w:t>
      </w:r>
      <w:hyperlink w:anchor="fig_emisiones_optimas">
        <w:r>
          <w:rPr>
            <w:rStyle w:val="Hyperlink"/>
          </w:rPr>
          <w:t xml:space="preserve">3</w:t>
        </w:r>
      </w:hyperlink>
      <w:r>
        <w:t xml:space="preserve">.</w:t>
      </w:r>
    </w:p>
    <w:bookmarkStart w:id="99" w:name="tab_dilema_clima"/>
    <w:p>
      <w:pPr>
        <w:pStyle w:val="TableCaption"/>
      </w:pPr>
      <w:r>
        <w:t xml:space="preserve">Tabla 4.–</w:t>
      </w:r>
      <w:r>
        <w:t xml:space="preserve"> </w:t>
      </w:r>
      <w:r>
        <w:t xml:space="preserve">Reducir emisiones entre 2 países, un dilema del prisionero (país 1, filas; país 2, columnas; pagos: bienestar)</w:t>
      </w:r>
    </w:p>
    <w:tbl>
      <w:tblPr>
        <w:tblStyle w:val="Table"/>
        <w:tblW w:type="auto" w:w="0"/>
        <w:tblLook w:firstRow="0" w:lastRow="0" w:firstColumn="0" w:lastColumn="0" w:noHBand="0" w:noVBand="0" w:val="0000"/>
        <w:tblCaption w:val="Tabla 4.– Reducir emisiones entre 2 países, un dilema del prisionero (país 1, filas; país 2, columnas; pagos: bienestar)"/>
      </w:tblPr>
      <w:tblGrid>
        <w:gridCol w:w="2640"/>
        <w:gridCol w:w="2640"/>
        <w:gridCol w:w="2640"/>
      </w:tblGrid>
      <w:tr>
        <w:trPr>
          <w:cantSplit/>
        </w:trPr>
        <w:tc>
          <w:tcPr>
            <w:vAlign w:val="center"/>
          </w:tcPr>
          <w:p>
            <w:pPr>
              <w:pStyle w:val="Compact"/>
            </w:pPr>
          </w:p>
        </w:tc>
        <w:tc>
          <w:tcPr>
            <w:vAlign w:val="center"/>
          </w:tcPr>
          <w:p>
            <w:pPr>
              <w:pStyle w:val="Compact"/>
              <w:jc w:val="center"/>
            </w:pPr>
            <w:r>
              <w:rPr>
                <w:b/>
                <w:bCs/>
              </w:rPr>
              <w:t xml:space="preserve">Reducir</w:t>
            </w:r>
          </w:p>
        </w:tc>
        <w:tc>
          <w:tcPr>
            <w:vAlign w:val="center"/>
          </w:tcPr>
          <w:p>
            <w:pPr>
              <w:pStyle w:val="Compact"/>
              <w:jc w:val="center"/>
            </w:pPr>
            <w:r>
              <w:rPr>
                <w:b/>
                <w:bCs/>
              </w:rPr>
              <w:t xml:space="preserve">Emitir</w:t>
            </w:r>
          </w:p>
        </w:tc>
      </w:tr>
      <w:tr>
        <w:trPr>
          <w:cantSplit/>
        </w:trPr>
        <w:tc>
          <w:tcPr>
            <w:vAlign w:val="center"/>
          </w:tcPr>
          <w:p>
            <w:pPr>
              <w:pStyle w:val="Compact"/>
              <w:jc w:val="center"/>
            </w:pPr>
            <w:r>
              <w:rPr>
                <w:b/>
                <w:bCs/>
              </w:rPr>
              <w:t xml:space="preserve">Reducir</w:t>
            </w:r>
          </w:p>
        </w:tc>
        <w:tc>
          <w:tcPr>
            <w:vAlign w:val="center"/>
          </w:tcPr>
          <w:p>
            <w:pPr>
              <w:pStyle w:val="Compact"/>
              <w:jc w:val="center"/>
            </w:pPr>
            <m:oMath>
              <m:d>
                <m:dPr>
                  <m:begChr m:val="("/>
                  <m:sepChr m:val=""/>
                  <m:endChr m:val=")"/>
                  <m:grow/>
                </m:dPr>
                <m:e>
                  <m:r>
                    <m:t>5</m:t>
                  </m:r>
                  <m:r>
                    <m:rPr>
                      <m:sty m:val="p"/>
                    </m:rPr>
                    <m:t>,</m:t>
                  </m:r>
                  <m:r>
                    <m:t>5</m:t>
                  </m:r>
                </m:e>
              </m:d>
            </m:oMath>
          </w:p>
        </w:tc>
        <w:tc>
          <w:tcPr>
            <w:vAlign w:val="center"/>
          </w:tcPr>
          <w:p>
            <w:pPr>
              <w:pStyle w:val="Compact"/>
              <w:jc w:val="center"/>
            </w:pPr>
            <m:oMath>
              <m:d>
                <m:dPr>
                  <m:begChr m:val="("/>
                  <m:sepChr m:val=""/>
                  <m:endChr m:val=")"/>
                  <m:grow/>
                </m:dPr>
                <m:e>
                  <m:r>
                    <m:t>0</m:t>
                  </m:r>
                  <m:r>
                    <m:rPr>
                      <m:sty m:val="p"/>
                    </m:rPr>
                    <m:t>,</m:t>
                  </m:r>
                  <m:bar>
                    <m:barPr>
                      <m:pos m:val="bot"/>
                    </m:barPr>
                    <m:e>
                      <m:r>
                        <m:t>6</m:t>
                      </m:r>
                    </m:e>
                  </m:bar>
                </m:e>
              </m:d>
            </m:oMath>
          </w:p>
        </w:tc>
      </w:tr>
      <w:tr>
        <w:trPr>
          <w:cantSplit/>
        </w:trPr>
        <w:tc>
          <w:tcPr>
            <w:vAlign w:val="center"/>
          </w:tcPr>
          <w:p>
            <w:pPr>
              <w:pStyle w:val="Compact"/>
              <w:jc w:val="center"/>
            </w:pPr>
            <w:r>
              <w:rPr>
                <w:b/>
                <w:bCs/>
              </w:rPr>
              <w:t xml:space="preserve">Emitir</w:t>
            </w:r>
          </w:p>
        </w:tc>
        <w:tc>
          <w:tcPr>
            <w:vAlign w:val="center"/>
          </w:tcPr>
          <w:p>
            <w:pPr>
              <w:pStyle w:val="Compact"/>
              <w:jc w:val="center"/>
            </w:pPr>
            <m:oMath>
              <m:d>
                <m:dPr>
                  <m:begChr m:val="("/>
                  <m:sepChr m:val=""/>
                  <m:endChr m:val=")"/>
                  <m:grow/>
                </m:dPr>
                <m:e>
                  <m:bar>
                    <m:barPr>
                      <m:pos m:val="bot"/>
                    </m:barPr>
                    <m:e>
                      <m:r>
                        <m:t>6</m:t>
                      </m:r>
                    </m:e>
                  </m:bar>
                  <m:r>
                    <m:rPr>
                      <m:sty m:val="p"/>
                    </m:rPr>
                    <m:t>,</m:t>
                  </m:r>
                  <m:r>
                    <m:t>0</m:t>
                  </m:r>
                </m:e>
              </m:d>
            </m:oMath>
          </w:p>
        </w:tc>
        <w:tc>
          <w:tcPr>
            <w:shd w:val="clear" w:color="auto" w:fill="E2EFD9"/>
            <w:vAlign w:val="center"/>
          </w:tcPr>
          <w:p>
            <w:pPr>
              <w:pStyle w:val="Celdatceesalvia"/>
              <w:jc w:val="center"/>
            </w:pPr>
            <m:oMath>
              <m:d>
                <m:dPr>
                  <m:begChr m:val="("/>
                  <m:sepChr m:val=""/>
                  <m:endChr m:val=")"/>
                  <m:grow/>
                </m:dPr>
                <m:e>
                  <m:bar>
                    <m:barPr>
                      <m:pos m:val="bot"/>
                    </m:barPr>
                    <m:e>
                      <m:r>
                        <m:t>1</m:t>
                      </m:r>
                    </m:e>
                  </m:bar>
                  <m:r>
                    <m:rPr>
                      <m:sty m:val="p"/>
                    </m:rPr>
                    <m:t>,</m:t>
                  </m:r>
                  <m:bar>
                    <m:barPr>
                      <m:pos m:val="bot"/>
                    </m:barPr>
                    <m:e>
                      <m:r>
                        <m:t>1</m:t>
                      </m:r>
                    </m:e>
                  </m:bar>
                </m:e>
              </m:d>
            </m:oMath>
          </w:p>
        </w:tc>
      </w:tr>
    </w:tbl>
    <w:bookmarkEnd w:id="99"/>
    <w:p>
      <w:pPr>
        <w:pStyle w:val="BodyText"/>
        <w:keepNext/>
      </w:pPr>
      <w:r>
        <w:rPr>
          <w:i/>
          <w:iCs/>
        </w:rPr>
        <w:t xml:space="preserve">Fuente: elaboración propia a partir de</w:t>
      </w:r>
      <w:r>
        <w:rPr>
          <w:i/>
          <w:iCs/>
        </w:rPr>
        <w:t xml:space="preserve"> </w:t>
      </w:r>
      <w:r>
        <w:rPr>
          <w:i/>
          <w:iCs/>
          <w:smallCaps/>
        </w:rPr>
        <w:t xml:space="preserve">Barrett</w:t>
      </w:r>
      <w:r>
        <w:rPr>
          <w:i/>
          <w:iCs/>
        </w:rPr>
        <w:t xml:space="preserve"> </w:t>
      </w:r>
      <w:r>
        <w:rPr>
          <w:i/>
          <w:iCs/>
        </w:rPr>
        <w:t xml:space="preserve">(</w:t>
      </w:r>
      <w:hyperlink w:anchor="ref_Barrett1994Self">
        <w:r>
          <w:rPr>
            <w:rStyle w:val="Hyperlink"/>
            <w:i/>
            <w:iCs/>
          </w:rPr>
          <w:t xml:space="preserve">1994</w:t>
        </w:r>
      </w:hyperlink>
      <w:r>
        <w:rPr>
          <w:i/>
          <w:iCs/>
        </w:rPr>
        <w:t xml:space="preserve">)</w:t>
      </w:r>
      <w:r>
        <w:rPr>
          <w:i/>
          <w:iCs/>
        </w:rPr>
        <w:t xml:space="preserve"> </w:t>
      </w:r>
      <w:r>
        <w:rPr>
          <w:i/>
          <w:iCs/>
        </w:rPr>
        <w:t xml:space="preserve">y, para los pagos, de la guerra de precios de</w:t>
      </w:r>
      <w:r>
        <w:rPr>
          <w:i/>
          <w:iCs/>
        </w:rPr>
        <w:t xml:space="preserve"> </w:t>
      </w:r>
      <w:hyperlink r:id="rId98">
        <w:r>
          <w:rPr>
            <w:rStyle w:val="Referenciaatema"/>
            <w:i/>
            <w:iCs/>
          </w:rPr>
          <w:t xml:space="preserve">[ver tema 3.A.14]</w:t>
        </w:r>
      </w:hyperlink>
      <w:r>
        <w:rPr>
          <w:i/>
          <w:iCs/>
        </w:rPr>
        <w:t xml:space="preserve"> </w:t>
      </w:r>
      <w:r>
        <w:rPr>
          <w:i/>
          <w:iCs/>
        </w:rPr>
        <w:t xml:space="preserve">(</w:t>
      </w:r>
      <w:hyperlink w:anchor="ref_Gibbons1992Game">
        <w:r>
          <w:rPr>
            <w:rStyle w:val="Hyperlink"/>
            <w:i/>
            <w:iCs/>
            <w:smallCaps/>
          </w:rPr>
          <w:t xml:space="preserve">Gibbons</w:t>
        </w:r>
        <w:r>
          <w:rPr>
            <w:rStyle w:val="Hyperlink"/>
            <w:i/>
            <w:iCs/>
          </w:rPr>
          <w:t xml:space="preserve">, 1992, cap. 1</w:t>
        </w:r>
      </w:hyperlink>
      <w:r>
        <w:rPr>
          <w:i/>
          <w:iCs/>
        </w:rPr>
        <w:t xml:space="preserve">)</w:t>
      </w:r>
      <w:r>
        <w:rPr>
          <w:i/>
          <w:iCs/>
        </w:rPr>
        <w:t xml:space="preserve">. Subrayadas, las mejores respuestas; sombreado, el equilibrio.</w:t>
      </w:r>
    </w:p>
    <w:p>
      <w:pPr>
        <w:numPr>
          <w:ilvl w:val="0"/>
          <w:numId w:val="1079"/>
        </w:numPr>
      </w:pPr>
      <w:r>
        <w:rPr>
          <w:i/>
          <w:iCs/>
        </w:rPr>
        <w:t xml:space="preserve">¿Y si el juego se repite?</w:t>
      </w:r>
      <w:r>
        <w:t xml:space="preserve"> </w:t>
      </w:r>
      <w:r>
        <w:t xml:space="preserve">Los países negocian cada año, y en un juego repetido sin fin la cooperación puede sostenerse con la</w:t>
      </w:r>
      <w:r>
        <w:t xml:space="preserve"> </w:t>
      </w:r>
      <w:r>
        <w:rPr>
          <w:b/>
          <w:bCs/>
        </w:rPr>
        <w:t xml:space="preserve">estrategia del gatillo</w:t>
      </w:r>
      <w:r>
        <w:t xml:space="preserve">: reducir mientras el otro reduzca y, si alguna vez emite, emitir para siempre. Con los pagos de la tabla, a ningún país le conviene desviarse si valora lo bastante el futuro</w:t>
      </w:r>
      <w:r>
        <w:t xml:space="preserve"> </w:t>
      </w:r>
      <w:hyperlink r:id="rId98">
        <w:r>
          <w:rPr>
            <w:rStyle w:val="Referenciaatema"/>
          </w:rPr>
          <w:t xml:space="preserve">[ver tema 3.A.14]</w:t>
        </w:r>
      </w:hyperlink>
      <w:r>
        <w:t xml:space="preserve">:</w:t>
      </w:r>
    </w:p>
    <w:p>
      <w:pPr>
        <w:pStyle w:val="BodyText"/>
        <w:keepNext/>
      </w:pPr>
      <m:oMathPara>
        <m:oMathParaPr>
          <m:jc m:val="center"/>
        </m:oMathParaPr>
        <m:oMath>
          <m:r>
            <m:t>β</m:t>
          </m:r>
          <m:r>
            <m:t> </m:t>
          </m:r>
          <m:r>
            <m:rPr>
              <m:sty m:val="p"/>
            </m:rPr>
            <m:t>≥</m:t>
          </m:r>
          <m:r>
            <m:t> </m:t>
          </m:r>
          <m:f>
            <m:fPr>
              <m:type m:val="bar"/>
            </m:fPr>
            <m:num>
              <m:sSup>
                <m:e>
                  <m:r>
                    <m:t>u</m:t>
                  </m:r>
                </m:e>
                <m:sup>
                  <m:r>
                    <m:rPr>
                      <m:sty m:val="p"/>
                    </m:rPr>
                    <m:t>D</m:t>
                  </m:r>
                </m:sup>
              </m:sSup>
              <m:r>
                <m:rPr>
                  <m:sty m:val="p"/>
                </m:rPr>
                <m:t>−</m:t>
              </m:r>
              <m:sSup>
                <m:e>
                  <m:r>
                    <m:t>u</m:t>
                  </m:r>
                </m:e>
                <m:sup>
                  <m:r>
                    <m:rPr>
                      <m:sty m:val="p"/>
                    </m:rPr>
                    <m:t>C</m:t>
                  </m:r>
                </m:sup>
              </m:sSup>
            </m:num>
            <m:den>
              <m:sSup>
                <m:e>
                  <m:r>
                    <m:t>u</m:t>
                  </m:r>
                </m:e>
                <m:sup>
                  <m:r>
                    <m:rPr>
                      <m:sty m:val="p"/>
                    </m:rPr>
                    <m:t>D</m:t>
                  </m:r>
                </m:sup>
              </m:sSup>
              <m:r>
                <m:rPr>
                  <m:sty m:val="p"/>
                </m:rPr>
                <m:t>−</m:t>
              </m:r>
              <m:sSup>
                <m:e>
                  <m:r>
                    <m:t>u</m:t>
                  </m:r>
                </m:e>
                <m:sup>
                  <m:r>
                    <m:rPr>
                      <m:sty m:val="p"/>
                    </m:rPr>
                    <m:t>N</m:t>
                  </m:r>
                </m:sup>
              </m:sSup>
            </m:den>
          </m:f>
          <m:r>
            <m:rPr>
              <m:sty m:val="p"/>
            </m:rPr>
            <m:t>=</m:t>
          </m:r>
          <m:f>
            <m:fPr>
              <m:type m:val="bar"/>
            </m:fPr>
            <m:num>
              <m:r>
                <m:t>6</m:t>
              </m:r>
              <m:r>
                <m:rPr>
                  <m:sty m:val="p"/>
                </m:rPr>
                <m:t>−</m:t>
              </m:r>
              <m:r>
                <m:t>5</m:t>
              </m:r>
            </m:num>
            <m:den>
              <m:r>
                <m:t>6</m:t>
              </m:r>
              <m:r>
                <m:rPr>
                  <m:sty m:val="p"/>
                </m:rPr>
                <m:t>−</m:t>
              </m:r>
              <m:r>
                <m:t>1</m:t>
              </m:r>
            </m:den>
          </m:f>
          <m:r>
            <m:rPr>
              <m:sty m:val="p"/>
            </m:rPr>
            <m:t>=</m:t>
          </m:r>
          <m:f>
            <m:fPr>
              <m:type m:val="bar"/>
            </m:fPr>
            <m:num>
              <m:r>
                <m:t>1</m:t>
              </m:r>
            </m:num>
            <m:den>
              <m:r>
                <m:t>5</m:t>
              </m:r>
            </m:den>
          </m:f>
          <m:r>
            <m:rPr>
              <m:sty m:val="p"/>
            </m:rPr>
            <m:t>,</m:t>
          </m:r>
        </m:oMath>
      </m:oMathPara>
    </w:p>
    <w:p>
      <w:pPr>
        <w:numPr>
          <w:ilvl w:val="0"/>
          <w:numId w:val="1000"/>
        </w:numPr>
      </w:pPr>
      <w:r>
        <w:t xml:space="preserve">con</w:t>
      </w:r>
      <w:r>
        <w:t xml:space="preserve"> </w:t>
      </w:r>
      <m:oMath>
        <m:sSup>
          <m:e>
            <m:r>
              <m:t>u</m:t>
            </m:r>
          </m:e>
          <m:sup>
            <m:r>
              <m:rPr>
                <m:sty m:val="p"/>
              </m:rPr>
              <m:t>C</m:t>
            </m:r>
          </m:sup>
        </m:sSup>
        <m:r>
          <m:rPr>
            <m:sty m:val="p"/>
          </m:rPr>
          <m:t>=</m:t>
        </m:r>
        <m:r>
          <m:t>5</m:t>
        </m:r>
      </m:oMath>
      <w:r>
        <w:t xml:space="preserve"> </w:t>
      </w:r>
      <w:r>
        <w:t xml:space="preserve">el pago de cooperar,</w:t>
      </w:r>
      <w:r>
        <w:t xml:space="preserve"> </w:t>
      </w:r>
      <m:oMath>
        <m:sSup>
          <m:e>
            <m:r>
              <m:t>u</m:t>
            </m:r>
          </m:e>
          <m:sup>
            <m:r>
              <m:rPr>
                <m:sty m:val="p"/>
              </m:rPr>
              <m:t>D</m:t>
            </m:r>
          </m:sup>
        </m:sSup>
        <m:r>
          <m:rPr>
            <m:sty m:val="p"/>
          </m:rPr>
          <m:t>=</m:t>
        </m:r>
        <m:r>
          <m:t>6</m:t>
        </m:r>
      </m:oMath>
      <w:r>
        <w:t xml:space="preserve"> </w:t>
      </w:r>
      <w:r>
        <w:t xml:space="preserve">el de desviarse y</w:t>
      </w:r>
      <w:r>
        <w:t xml:space="preserve"> </w:t>
      </w:r>
      <m:oMath>
        <m:sSup>
          <m:e>
            <m:r>
              <m:t>u</m:t>
            </m:r>
          </m:e>
          <m:sup>
            <m:r>
              <m:rPr>
                <m:sty m:val="p"/>
              </m:rPr>
              <m:t>N</m:t>
            </m:r>
          </m:sup>
        </m:sSup>
        <m:r>
          <m:rPr>
            <m:sty m:val="p"/>
          </m:rPr>
          <m:t>=</m:t>
        </m:r>
        <m:r>
          <m:t>1</m:t>
        </m:r>
      </m:oMath>
      <w:r>
        <w:t xml:space="preserve"> </w:t>
      </w:r>
      <w:r>
        <w:t xml:space="preserve">el del castigo.</w:t>
      </w:r>
    </w:p>
    <w:p>
      <w:pPr>
        <w:keepNext/>
        <w:numPr>
          <w:ilvl w:val="0"/>
          <w:numId w:val="1079"/>
        </w:numPr>
      </w:pPr>
      <w:r>
        <w:t xml:space="preserve">Pero con el clima esa amenaza es poco creíble:</w:t>
      </w:r>
    </w:p>
    <w:p>
      <w:pPr>
        <w:numPr>
          <w:ilvl w:val="1"/>
          <w:numId w:val="1080"/>
        </w:numPr>
      </w:pPr>
      <w:r>
        <w:t xml:space="preserve">hay casi 200 países y no 2, y cuesta ver quién ha incumplido;</w:t>
      </w:r>
    </w:p>
    <w:p>
      <w:pPr>
        <w:numPr>
          <w:ilvl w:val="1"/>
          <w:numId w:val="1080"/>
        </w:numPr>
      </w:pPr>
      <w:r>
        <w:t xml:space="preserve">el castigo, dejar de reducir, daña también al que castiga, porque empeora el clima de todos; llegado el momento, le conviene perdonar y renegociar;</w:t>
      </w:r>
    </w:p>
    <w:p>
      <w:pPr>
        <w:numPr>
          <w:ilvl w:val="1"/>
          <w:numId w:val="1080"/>
        </w:numPr>
      </w:pPr>
      <w:r>
        <w:t xml:space="preserve">y quien decide hoy es un Gobierno que no estará cuando lleguen los beneficios.</w:t>
      </w:r>
    </w:p>
    <w:bookmarkEnd w:id="100"/>
    <w:bookmarkStart w:id="101" w:name="los_acuerdos_autoaplicables_la_par_57987"/>
    <w:p>
      <w:pPr>
        <w:pStyle w:val="Heading4"/>
      </w:pPr>
      <w:r>
        <w:t xml:space="preserve">Los acuerdos autoaplicables: la paradoja de</w:t>
      </w:r>
      <w:r>
        <w:t xml:space="preserve"> </w:t>
      </w:r>
      <w:r>
        <w:rPr>
          <w:smallCaps/>
        </w:rPr>
        <w:t xml:space="preserve">Barrett</w:t>
      </w:r>
    </w:p>
    <w:p>
      <w:pPr>
        <w:numPr>
          <w:ilvl w:val="0"/>
          <w:numId w:val="1081"/>
        </w:numPr>
      </w:pPr>
      <w:r>
        <w:t xml:space="preserve">Sin un gobierno mundial, un acuerdo internacional tiene que ser</w:t>
      </w:r>
      <w:r>
        <w:t xml:space="preserve"> </w:t>
      </w:r>
      <w:r>
        <w:rPr>
          <w:b/>
          <w:bCs/>
        </w:rPr>
        <w:t xml:space="preserve">autoaplicable</w:t>
      </w:r>
      <w:r>
        <w:t xml:space="preserve">: a ningún firmante le debe compensar salirse y a ningún país de fuera le debe compensar entrar.</w:t>
      </w:r>
    </w:p>
    <w:p>
      <w:pPr>
        <w:numPr>
          <w:ilvl w:val="0"/>
          <w:numId w:val="1081"/>
        </w:numPr>
      </w:pPr>
      <w:r>
        <w:t xml:space="preserve">Scott</w:t>
      </w:r>
      <w:r>
        <w:t xml:space="preserve"> </w:t>
      </w:r>
      <w:r>
        <w:rPr>
          <w:smallCaps/>
        </w:rPr>
        <w:t xml:space="preserve">Barrett</w:t>
      </w:r>
      <w:r>
        <w:t xml:space="preserve"> </w:t>
      </w:r>
      <w:r>
        <w:t xml:space="preserve">(</w:t>
      </w:r>
      <w:hyperlink w:anchor="ref_Barrett1994Self">
        <w:r>
          <w:rPr>
            <w:rStyle w:val="Hyperlink"/>
          </w:rPr>
          <w:t xml:space="preserve">1994</w:t>
        </w:r>
      </w:hyperlink>
      <w:r>
        <w:t xml:space="preserve">)</w:t>
      </w:r>
      <w:r>
        <w:t xml:space="preserve"> </w:t>
      </w:r>
      <w:r>
        <w:t xml:space="preserve">demuestra que esos acuerdos estables solo reúnen a muchos países cuando lo que se gana cooperando es poco; cuando la ganancia es grande, como con el clima, el acuerdo estable es pequeño (un resultado parecido al de</w:t>
      </w:r>
      <w:r>
        <w:t xml:space="preserve"> </w:t>
      </w:r>
      <w:r>
        <w:rPr>
          <w:smallCaps/>
        </w:rPr>
        <w:t xml:space="preserve">Carraro</w:t>
      </w:r>
      <w:r>
        <w:t xml:space="preserve"> </w:t>
      </w:r>
      <w:r>
        <w:t xml:space="preserve">y</w:t>
      </w:r>
      <w:r>
        <w:t xml:space="preserve"> </w:t>
      </w:r>
      <w:r>
        <w:rPr>
          <w:smallCaps/>
        </w:rPr>
        <w:t xml:space="preserve">Siniscalco</w:t>
      </w:r>
      <w:r>
        <w:t xml:space="preserve"> </w:t>
      </w:r>
      <w:r>
        <w:t xml:space="preserve">(</w:t>
      </w:r>
      <w:hyperlink w:anchor="ref_CarraroSiniscalco1993Strategies">
        <w:r>
          <w:rPr>
            <w:rStyle w:val="Hyperlink"/>
          </w:rPr>
          <w:t xml:space="preserve">1993</w:t>
        </w:r>
      </w:hyperlink>
      <w:r>
        <w:t xml:space="preserve">)</w:t>
      </w:r>
      <w:r>
        <w:t xml:space="preserve">). Es la</w:t>
      </w:r>
      <w:r>
        <w:t xml:space="preserve"> </w:t>
      </w:r>
      <w:r>
        <w:rPr>
          <w:i/>
          <w:iCs/>
        </w:rPr>
        <w:t xml:space="preserve">paradoja de</w:t>
      </w:r>
      <w:r>
        <w:rPr>
          <w:i/>
          <w:iCs/>
        </w:rPr>
        <w:t xml:space="preserve"> </w:t>
      </w:r>
      <w:r>
        <w:rPr>
          <w:i/>
          <w:iCs/>
          <w:smallCaps/>
        </w:rPr>
        <w:t xml:space="preserve">Barrett</w:t>
      </w:r>
      <w:r>
        <w:t xml:space="preserve">: la cooperación funciona donde menos falta hace.</w:t>
      </w:r>
    </w:p>
    <w:p>
      <w:pPr>
        <w:numPr>
          <w:ilvl w:val="0"/>
          <w:numId w:val="1081"/>
        </w:numPr>
      </w:pPr>
      <w:r>
        <w:t xml:space="preserve">El contraejemplo es el</w:t>
      </w:r>
      <w:r>
        <w:t xml:space="preserve"> </w:t>
      </w:r>
      <w:r>
        <w:rPr>
          <w:i/>
          <w:iCs/>
        </w:rPr>
        <w:t xml:space="preserve">Protocolo de Montreal</w:t>
      </w:r>
      <w:r>
        <w:t xml:space="preserve"> </w:t>
      </w:r>
      <w:r>
        <w:t xml:space="preserve">(1987) sobre la capa de ozono, ratificado por los 198 Estados y organizaciones que pueden hacerlo</w:t>
      </w:r>
      <w:r>
        <w:t xml:space="preserve"> </w:t>
      </w:r>
      <w:r>
        <w:t xml:space="preserve">(</w:t>
      </w:r>
      <w:hyperlink w:anchor="ref_ONU1987Montreal">
        <w:r>
          <w:rPr>
            <w:rStyle w:val="Hyperlink"/>
            <w:smallCaps/>
          </w:rPr>
          <w:t xml:space="preserve">Naciones Unidas, Colección de Tratados</w:t>
        </w:r>
        <w:r>
          <w:rPr>
            <w:rStyle w:val="Hyperlink"/>
          </w:rPr>
          <w:t xml:space="preserve">, 2026b</w:t>
        </w:r>
      </w:hyperlink>
      <w:r>
        <w:t xml:space="preserve">)</w:t>
      </w:r>
      <w:r>
        <w:t xml:space="preserve">. Tenía lo que le falta al clima: pocos productores, sustitutos baratos, un fondo para los países en desarrollo y, sobre todo, restricciones al comercio con quien no lo firmara</w:t>
      </w:r>
      <w:r>
        <w:t xml:space="preserve"> </w:t>
      </w:r>
      <w:r>
        <w:t xml:space="preserve">(</w:t>
      </w:r>
      <w:hyperlink w:anchor="ref_Barrett2003Environment">
        <w:r>
          <w:rPr>
            <w:rStyle w:val="Hyperlink"/>
            <w:smallCaps/>
          </w:rPr>
          <w:t xml:space="preserve">Barrett</w:t>
        </w:r>
        <w:r>
          <w:rPr>
            <w:rStyle w:val="Hyperlink"/>
          </w:rPr>
          <w:t xml:space="preserve">, 2003</w:t>
        </w:r>
      </w:hyperlink>
      <w:r>
        <w:t xml:space="preserve">)</w:t>
      </w:r>
      <w:r>
        <w:t xml:space="preserve">.</w:t>
      </w:r>
    </w:p>
    <w:p>
      <w:pPr>
        <w:numPr>
          <w:ilvl w:val="0"/>
          <w:numId w:val="1081"/>
        </w:numPr>
      </w:pPr>
      <w:r>
        <w:rPr>
          <w:i/>
          <w:iCs/>
        </w:rPr>
        <w:t xml:space="preserve">Lección</w:t>
      </w:r>
      <w:r>
        <w:t xml:space="preserve">: hace falta un incentivo para entrar que no dependa de la buena voluntad. Es la idea de los clubes climáticos.</w:t>
      </w:r>
    </w:p>
    <w:bookmarkEnd w:id="101"/>
    <w:bookmarkStart w:id="111" w:name="los_clubes_clim__ticos_de_nordhaus"/>
    <w:p>
      <w:pPr>
        <w:pStyle w:val="Heading4"/>
      </w:pPr>
      <w:r>
        <w:t xml:space="preserve">Los clubes climáticos de</w:t>
      </w:r>
      <w:r>
        <w:t xml:space="preserve"> </w:t>
      </w:r>
      <w:r>
        <w:rPr>
          <w:smallCaps/>
        </w:rPr>
        <w:t xml:space="preserve">Nordhaus</w:t>
      </w:r>
    </w:p>
    <w:bookmarkStart w:id="102" w:name="a_idea_1"/>
    <w:p>
      <w:pPr>
        <w:pStyle w:val="Heading5"/>
      </w:pPr>
      <w:r>
        <w:t xml:space="preserve">a) Idea</w:t>
      </w:r>
    </w:p>
    <w:p>
      <w:pPr>
        <w:numPr>
          <w:ilvl w:val="0"/>
          <w:numId w:val="1082"/>
        </w:numPr>
      </w:pPr>
      <w:r>
        <w:t xml:space="preserve">William</w:t>
      </w:r>
      <w:r>
        <w:t xml:space="preserve"> </w:t>
      </w:r>
      <w:r>
        <w:t xml:space="preserve">W.</w:t>
      </w:r>
      <w:r>
        <w:t xml:space="preserve"> </w:t>
      </w:r>
      <w:r>
        <w:rPr>
          <w:smallCaps/>
        </w:rPr>
        <w:t xml:space="preserve">Nordhaus</w:t>
      </w:r>
      <w:r>
        <w:t xml:space="preserve"> </w:t>
      </w:r>
      <w:r>
        <w:t xml:space="preserve">(</w:t>
      </w:r>
      <w:hyperlink w:anchor="ref_Nordhaus2015Climate">
        <w:r>
          <w:rPr>
            <w:rStyle w:val="Hyperlink"/>
          </w:rPr>
          <w:t xml:space="preserve">2015</w:t>
        </w:r>
      </w:hyperlink>
      <w:r>
        <w:t xml:space="preserve">)</w:t>
      </w:r>
      <w:r>
        <w:t xml:space="preserve"> </w:t>
      </w:r>
      <w:r>
        <w:t xml:space="preserve">parte de la teoría de los clubes de</w:t>
      </w:r>
      <w:r>
        <w:t xml:space="preserve"> </w:t>
      </w:r>
      <w:r>
        <w:rPr>
          <w:smallCaps/>
        </w:rPr>
        <w:t xml:space="preserve">Buchanan</w:t>
      </w:r>
      <w:r>
        <w:t xml:space="preserve"> </w:t>
      </w:r>
      <w:r>
        <w:t xml:space="preserve">(</w:t>
      </w:r>
      <w:hyperlink w:anchor="ref_Buchanan1965Economic">
        <w:r>
          <w:rPr>
            <w:rStyle w:val="Hyperlink"/>
          </w:rPr>
          <w:t xml:space="preserve">1965</w:t>
        </w:r>
      </w:hyperlink>
      <w:r>
        <w:t xml:space="preserve">)</w:t>
      </w:r>
      <w:r>
        <w:t xml:space="preserve">: un club se sostiene si sus ventajas son</w:t>
      </w:r>
      <w:r>
        <w:t xml:space="preserve"> </w:t>
      </w:r>
      <w:r>
        <w:rPr>
          <w:i/>
          <w:iCs/>
        </w:rPr>
        <w:t xml:space="preserve">excluibles</w:t>
      </w:r>
      <w:r>
        <w:t xml:space="preserve">, si solo las disfruta quien paga la cuota.</w:t>
      </w:r>
    </w:p>
    <w:p>
      <w:pPr>
        <w:numPr>
          <w:ilvl w:val="0"/>
          <w:numId w:val="1082"/>
        </w:numPr>
      </w:pPr>
      <w:r>
        <w:t xml:space="preserve">El clima no es excluible, pero el comercio sí. Un</w:t>
      </w:r>
      <w:r>
        <w:t xml:space="preserve"> </w:t>
      </w:r>
      <w:r>
        <w:rPr>
          <w:b/>
          <w:bCs/>
        </w:rPr>
        <w:t xml:space="preserve">club climático</w:t>
      </w:r>
      <w:r>
        <w:t xml:space="preserve"> </w:t>
      </w:r>
      <w:r>
        <w:t xml:space="preserve">ata la ventaja de comerciar sin trabas a la de reducir emisiones.</w:t>
      </w:r>
    </w:p>
    <w:bookmarkEnd w:id="102"/>
    <w:bookmarkStart w:id="105" w:name="b_modelo_1"/>
    <w:p>
      <w:pPr>
        <w:pStyle w:val="Heading5"/>
      </w:pPr>
      <w:r>
        <w:t xml:space="preserve">b) Modelo</w:t>
      </w:r>
    </w:p>
    <w:p>
      <w:pPr>
        <w:pStyle w:val="FirstParagraph"/>
        <w:keepNext/>
      </w:pPr>
      <w:r>
        <w:rPr>
          <w:i/>
          <w:iCs/>
        </w:rPr>
        <w:t xml:space="preserve">i) Supuestos</w:t>
      </w:r>
    </w:p>
    <w:p>
      <w:pPr>
        <w:numPr>
          <w:ilvl w:val="0"/>
          <w:numId w:val="1083"/>
        </w:numPr>
      </w:pPr>
      <w:r>
        <w:t xml:space="preserve">Los miembros del club se comprometen a un</w:t>
      </w:r>
      <w:r>
        <w:t xml:space="preserve"> </w:t>
      </w:r>
      <w:r>
        <w:rPr>
          <w:i/>
          <w:iCs/>
        </w:rPr>
        <w:t xml:space="preserve">precio mínimo del carbono</w:t>
      </w:r>
      <w:r>
        <w:t xml:space="preserve"> </w:t>
      </w:r>
      <w:r>
        <w:t xml:space="preserve">común, el precio objetivo, con el instrumento que cada uno prefiera.</w:t>
      </w:r>
    </w:p>
    <w:p>
      <w:pPr>
        <w:numPr>
          <w:ilvl w:val="0"/>
          <w:numId w:val="1083"/>
        </w:numPr>
      </w:pPr>
      <w:r>
        <w:t xml:space="preserve">Aplican un</w:t>
      </w:r>
      <w:r>
        <w:t xml:space="preserve"> </w:t>
      </w:r>
      <w:r>
        <w:rPr>
          <w:i/>
          <w:iCs/>
        </w:rPr>
        <w:t xml:space="preserve">arancel de castigo uniforme</w:t>
      </w:r>
      <w:r>
        <w:t xml:space="preserve"> </w:t>
      </w:r>
      <w:r>
        <w:t xml:space="preserve">a todas las importaciones de los países que no entran, sin relación con el carbono que contengan.</w:t>
      </w:r>
    </w:p>
    <w:p>
      <w:pPr>
        <w:numPr>
          <w:ilvl w:val="0"/>
          <w:numId w:val="1083"/>
        </w:numPr>
      </w:pPr>
      <w:r>
        <w:t xml:space="preserve">En el ejemplo de 2 países, quien emite paga un arancel de 3 cuando exporta a un país que reduce.</w:t>
      </w:r>
    </w:p>
    <w:p>
      <w:pPr>
        <w:pStyle w:val="FirstParagraph"/>
        <w:keepNext/>
      </w:pPr>
      <w:r>
        <w:rPr>
          <w:i/>
          <w:iCs/>
        </w:rPr>
        <w:t xml:space="preserve">ii) Desarrollo</w:t>
      </w:r>
    </w:p>
    <w:p>
      <w:pPr>
        <w:numPr>
          <w:ilvl w:val="0"/>
          <w:numId w:val="1084"/>
        </w:numPr>
      </w:pPr>
      <w:r>
        <w:t xml:space="preserve">Solo cambian las 2 celdas de fuera de la diagonal: el que emite frente a un país que reduce ya no se queda con 6, sino con</w:t>
      </w:r>
      <w:r>
        <w:t xml:space="preserve"> </w:t>
      </w:r>
      <m:oMath>
        <m:r>
          <m:t>6</m:t>
        </m:r>
        <m:r>
          <m:rPr>
            <m:sty m:val="p"/>
          </m:rPr>
          <m:t>−</m:t>
        </m:r>
        <m:r>
          <m:t>3</m:t>
        </m:r>
        <m:r>
          <m:rPr>
            <m:sty m:val="p"/>
          </m:rPr>
          <m:t>=</m:t>
        </m:r>
        <m:r>
          <m:t>3</m:t>
        </m:r>
      </m:oMath>
      <w:r>
        <w:t xml:space="preserve"> </w:t>
      </w:r>
      <w:r>
        <w:t xml:space="preserve">(tabla </w:t>
      </w:r>
      <w:hyperlink w:anchor="tab_club_clima">
        <w:r>
          <w:rPr>
            <w:rStyle w:val="Hyperlink"/>
          </w:rPr>
          <w:t xml:space="preserve">5</w:t>
        </w:r>
      </w:hyperlink>
      <w:r>
        <w:t xml:space="preserve">).</w:t>
      </w:r>
    </w:p>
    <w:p>
      <w:pPr>
        <w:numPr>
          <w:ilvl w:val="0"/>
          <w:numId w:val="1084"/>
        </w:numPr>
      </w:pPr>
      <w:r>
        <w:t xml:space="preserve">Ahora reducir es la mejor respuesta a que el otro reduzca (</w:t>
      </w:r>
      <m:oMath>
        <m:r>
          <m:t>5</m:t>
        </m:r>
        <m:r>
          <m:rPr>
            <m:sty m:val="p"/>
          </m:rPr>
          <m:t>&gt;</m:t>
        </m:r>
        <m:r>
          <m:t>3</m:t>
        </m:r>
      </m:oMath>
      <w:r>
        <w:t xml:space="preserve">), y emitir sigue siendo la mejor respuesta a que el otro emita (</w:t>
      </w:r>
      <m:oMath>
        <m:r>
          <m:t>1</m:t>
        </m:r>
        <m:r>
          <m:rPr>
            <m:sty m:val="p"/>
          </m:rPr>
          <m:t>&gt;</m:t>
        </m:r>
        <m:r>
          <m:t>0</m:t>
        </m:r>
      </m:oMath>
      <w:r>
        <w:t xml:space="preserve">). Hay 2 equilibrios de</w:t>
      </w:r>
      <w:r>
        <w:t xml:space="preserve"> </w:t>
      </w:r>
      <w:r>
        <w:rPr>
          <w:smallCaps/>
        </w:rPr>
        <w:t xml:space="preserve">Nash</w:t>
      </w:r>
      <w:r>
        <w:t xml:space="preserve">, (Reducir, Reducir) y (Emitir, Emitir), y el primero es mejor para los 2.</w:t>
      </w:r>
      <w:r>
        <w:rPr>
          <w:rStyle w:val="FootnoteReference"/>
        </w:rPr>
        <w:footnoteReference w:id="103"/>
      </w:r>
    </w:p>
    <w:bookmarkStart w:id="104" w:name="tab_club_clima"/>
    <w:p>
      <w:pPr>
        <w:pStyle w:val="TableCaption"/>
      </w:pPr>
      <w:r>
        <w:t xml:space="preserve">Tabla 5.–</w:t>
      </w:r>
      <w:r>
        <w:t xml:space="preserve"> </w:t>
      </w:r>
      <w:r>
        <w:t xml:space="preserve">El mismo juego con un club climático: el que emite paga un arancel de 3 al exportar a quien reduce</w:t>
      </w:r>
    </w:p>
    <w:tbl>
      <w:tblPr>
        <w:tblStyle w:val="Table"/>
        <w:tblW w:type="auto" w:w="0"/>
        <w:tblLook w:firstRow="0" w:lastRow="0" w:firstColumn="0" w:lastColumn="0" w:noHBand="0" w:noVBand="0" w:val="0000"/>
        <w:tblCaption w:val="Tabla 5.– El mismo juego con un club climático: el que emite paga un arancel de 3 al exportar a quien reduce"/>
      </w:tblPr>
      <w:tblGrid>
        <w:gridCol w:w="2640"/>
        <w:gridCol w:w="2640"/>
        <w:gridCol w:w="2640"/>
      </w:tblGrid>
      <w:tr>
        <w:trPr>
          <w:cantSplit/>
        </w:trPr>
        <w:tc>
          <w:tcPr>
            <w:vAlign w:val="center"/>
          </w:tcPr>
          <w:p>
            <w:pPr>
              <w:pStyle w:val="Compact"/>
            </w:pPr>
          </w:p>
        </w:tc>
        <w:tc>
          <w:tcPr>
            <w:vAlign w:val="center"/>
          </w:tcPr>
          <w:p>
            <w:pPr>
              <w:pStyle w:val="Compact"/>
              <w:jc w:val="center"/>
            </w:pPr>
            <w:r>
              <w:rPr>
                <w:b/>
                <w:bCs/>
              </w:rPr>
              <w:t xml:space="preserve">Reducir</w:t>
            </w:r>
          </w:p>
        </w:tc>
        <w:tc>
          <w:tcPr>
            <w:vAlign w:val="center"/>
          </w:tcPr>
          <w:p>
            <w:pPr>
              <w:pStyle w:val="Compact"/>
              <w:jc w:val="center"/>
            </w:pPr>
            <w:r>
              <w:rPr>
                <w:b/>
                <w:bCs/>
              </w:rPr>
              <w:t xml:space="preserve">Emitir</w:t>
            </w:r>
          </w:p>
        </w:tc>
      </w:tr>
      <w:tr>
        <w:trPr>
          <w:cantSplit/>
        </w:trPr>
        <w:tc>
          <w:tcPr>
            <w:vAlign w:val="center"/>
          </w:tcPr>
          <w:p>
            <w:pPr>
              <w:pStyle w:val="Compact"/>
              <w:jc w:val="center"/>
            </w:pPr>
            <w:r>
              <w:rPr>
                <w:b/>
                <w:bCs/>
              </w:rPr>
              <w:t xml:space="preserve">Reducir</w:t>
            </w:r>
          </w:p>
        </w:tc>
        <w:tc>
          <w:tcPr>
            <w:shd w:val="clear" w:color="auto" w:fill="E2EFD9"/>
            <w:vAlign w:val="center"/>
          </w:tcPr>
          <w:p>
            <w:pPr>
              <w:pStyle w:val="Celdatceesalvia"/>
              <w:jc w:val="center"/>
            </w:pPr>
            <m:oMath>
              <m:d>
                <m:dPr>
                  <m:begChr m:val="("/>
                  <m:sepChr m:val=""/>
                  <m:endChr m:val=")"/>
                  <m:grow/>
                </m:dPr>
                <m:e>
                  <m:bar>
                    <m:barPr>
                      <m:pos m:val="bot"/>
                    </m:barPr>
                    <m:e>
                      <m:r>
                        <m:t>5</m:t>
                      </m:r>
                    </m:e>
                  </m:bar>
                  <m:r>
                    <m:rPr>
                      <m:sty m:val="p"/>
                    </m:rPr>
                    <m:t>,</m:t>
                  </m:r>
                  <m:bar>
                    <m:barPr>
                      <m:pos m:val="bot"/>
                    </m:barPr>
                    <m:e>
                      <m:r>
                        <m:t>5</m:t>
                      </m:r>
                    </m:e>
                  </m:bar>
                </m:e>
              </m:d>
            </m:oMath>
          </w:p>
        </w:tc>
        <w:tc>
          <w:tcPr>
            <w:vAlign w:val="center"/>
          </w:tcPr>
          <w:p>
            <w:pPr>
              <w:pStyle w:val="Compact"/>
              <w:jc w:val="center"/>
            </w:pPr>
            <m:oMath>
              <m:d>
                <m:dPr>
                  <m:begChr m:val="("/>
                  <m:sepChr m:val=""/>
                  <m:endChr m:val=")"/>
                  <m:grow/>
                </m:dPr>
                <m:e>
                  <m:r>
                    <m:t>0</m:t>
                  </m:r>
                  <m:r>
                    <m:rPr>
                      <m:sty m:val="p"/>
                    </m:rPr>
                    <m:t>,</m:t>
                  </m:r>
                  <m:r>
                    <m:t>3</m:t>
                  </m:r>
                </m:e>
              </m:d>
            </m:oMath>
          </w:p>
        </w:tc>
      </w:tr>
      <w:tr>
        <w:trPr>
          <w:cantSplit/>
        </w:trPr>
        <w:tc>
          <w:tcPr>
            <w:vAlign w:val="center"/>
          </w:tcPr>
          <w:p>
            <w:pPr>
              <w:pStyle w:val="Compact"/>
              <w:jc w:val="center"/>
            </w:pPr>
            <w:r>
              <w:rPr>
                <w:b/>
                <w:bCs/>
              </w:rPr>
              <w:t xml:space="preserve">Emitir</w:t>
            </w:r>
          </w:p>
        </w:tc>
        <w:tc>
          <w:tcPr>
            <w:vAlign w:val="center"/>
          </w:tcPr>
          <w:p>
            <w:pPr>
              <w:pStyle w:val="Compact"/>
              <w:jc w:val="center"/>
            </w:pPr>
            <m:oMath>
              <m:d>
                <m:dPr>
                  <m:begChr m:val="("/>
                  <m:sepChr m:val=""/>
                  <m:endChr m:val=")"/>
                  <m:grow/>
                </m:dPr>
                <m:e>
                  <m:r>
                    <m:t>3</m:t>
                  </m:r>
                  <m:r>
                    <m:rPr>
                      <m:sty m:val="p"/>
                    </m:rPr>
                    <m:t>,</m:t>
                  </m:r>
                  <m:r>
                    <m:t>0</m:t>
                  </m:r>
                </m:e>
              </m:d>
            </m:oMath>
          </w:p>
        </w:tc>
        <w:tc>
          <w:tcPr>
            <w:shd w:val="clear" w:color="auto" w:fill="E2EFD9"/>
            <w:vAlign w:val="center"/>
          </w:tcPr>
          <w:p>
            <w:pPr>
              <w:pStyle w:val="Celdatceesalvia"/>
              <w:jc w:val="center"/>
            </w:pPr>
            <m:oMath>
              <m:d>
                <m:dPr>
                  <m:begChr m:val="("/>
                  <m:sepChr m:val=""/>
                  <m:endChr m:val=")"/>
                  <m:grow/>
                </m:dPr>
                <m:e>
                  <m:bar>
                    <m:barPr>
                      <m:pos m:val="bot"/>
                    </m:barPr>
                    <m:e>
                      <m:r>
                        <m:t>1</m:t>
                      </m:r>
                    </m:e>
                  </m:bar>
                  <m:r>
                    <m:rPr>
                      <m:sty m:val="p"/>
                    </m:rPr>
                    <m:t>,</m:t>
                  </m:r>
                  <m:bar>
                    <m:barPr>
                      <m:pos m:val="bot"/>
                    </m:barPr>
                    <m:e>
                      <m:r>
                        <m:t>1</m:t>
                      </m:r>
                    </m:e>
                  </m:bar>
                </m:e>
              </m:d>
            </m:oMath>
          </w:p>
        </w:tc>
      </w:tr>
    </w:tbl>
    <w:bookmarkEnd w:id="104"/>
    <w:p>
      <w:pPr>
        <w:pStyle w:val="BodyText"/>
      </w:pPr>
      <w:r>
        <w:rPr>
          <w:i/>
          <w:iCs/>
        </w:rPr>
        <w:t xml:space="preserve">Fuente: elaboración propia a partir de</w:t>
      </w:r>
      <w:r>
        <w:rPr>
          <w:i/>
          <w:iCs/>
        </w:rPr>
        <w:t xml:space="preserve"> </w:t>
      </w:r>
      <w:r>
        <w:rPr>
          <w:i/>
          <w:iCs/>
        </w:rPr>
        <w:t xml:space="preserve">W.</w:t>
      </w:r>
      <w:r>
        <w:rPr>
          <w:i/>
          <w:iCs/>
        </w:rPr>
        <w:t xml:space="preserve"> </w:t>
      </w:r>
      <w:r>
        <w:rPr>
          <w:i/>
          <w:iCs/>
          <w:smallCaps/>
        </w:rPr>
        <w:t xml:space="preserve">Nordhaus</w:t>
      </w:r>
      <w:r>
        <w:rPr>
          <w:i/>
          <w:iCs/>
        </w:rPr>
        <w:t xml:space="preserve"> </w:t>
      </w:r>
      <w:r>
        <w:rPr>
          <w:i/>
          <w:iCs/>
        </w:rPr>
        <w:t xml:space="preserve">(</w:t>
      </w:r>
      <w:hyperlink w:anchor="ref_Nordhaus2015Climate">
        <w:r>
          <w:rPr>
            <w:rStyle w:val="Hyperlink"/>
            <w:i/>
            <w:iCs/>
          </w:rPr>
          <w:t xml:space="preserve">2015</w:t>
        </w:r>
      </w:hyperlink>
      <w:r>
        <w:rPr>
          <w:i/>
          <w:iCs/>
        </w:rPr>
        <w:t xml:space="preserve">)</w:t>
      </w:r>
      <w:r>
        <w:rPr>
          <w:i/>
          <w:iCs/>
        </w:rPr>
        <w:t xml:space="preserve">. Subrayadas, las mejores respuestas; sombreados, los 2 equilibrios.</w:t>
      </w:r>
    </w:p>
    <w:p>
      <w:pPr>
        <w:pStyle w:val="BodyText"/>
        <w:keepNext/>
      </w:pPr>
      <w:r>
        <w:rPr>
          <w:i/>
          <w:iCs/>
        </w:rPr>
        <w:t xml:space="preserve">iii) Implicaciones</w:t>
      </w:r>
    </w:p>
    <w:p>
      <w:pPr>
        <w:numPr>
          <w:ilvl w:val="0"/>
          <w:numId w:val="1085"/>
        </w:numPr>
      </w:pPr>
      <w:r>
        <w:t xml:space="preserve">El arancel convierte el dilema del prisionero en un</w:t>
      </w:r>
      <w:r>
        <w:t xml:space="preserve"> </w:t>
      </w:r>
      <w:r>
        <w:rPr>
          <w:b/>
          <w:bCs/>
        </w:rPr>
        <w:t xml:space="preserve">juego de coordinación</w:t>
      </w:r>
      <w:r>
        <w:t xml:space="preserve">: ya no hace falta convencer a cada país de que actúe contra su interés, basta con que un grupo grande empiece para que a los demás les convenga entrar.</w:t>
      </w:r>
    </w:p>
    <w:p>
      <w:pPr>
        <w:numPr>
          <w:ilvl w:val="0"/>
          <w:numId w:val="1085"/>
        </w:numPr>
      </w:pPr>
      <w:r>
        <w:t xml:space="preserve">El castigo es creíble porque no pasa por el clima: poner un arancel no empeora el clima del que castiga, a diferencia de dejar de reducir.</w:t>
      </w:r>
    </w:p>
    <w:bookmarkEnd w:id="105"/>
    <w:bookmarkStart w:id="106" w:name="c_extensiones_1"/>
    <w:p>
      <w:pPr>
        <w:pStyle w:val="Heading5"/>
      </w:pPr>
      <w:r>
        <w:t xml:space="preserve">c) Extensiones</w:t>
      </w:r>
    </w:p>
    <w:p>
      <w:pPr>
        <w:keepNext/>
        <w:numPr>
          <w:ilvl w:val="0"/>
          <w:numId w:val="1086"/>
        </w:numPr>
      </w:pPr>
      <w:r>
        <w:rPr>
          <w:i/>
          <w:iCs/>
        </w:rPr>
        <w:t xml:space="preserve">Las simulaciones del C-DICE</w:t>
      </w:r>
      <w:r>
        <w:t xml:space="preserve">, la versión del modelo DICE con coaliciones</w:t>
      </w:r>
      <w:r>
        <w:t xml:space="preserve"> </w:t>
      </w:r>
      <w:r>
        <w:t xml:space="preserve">(</w:t>
      </w:r>
      <w:hyperlink w:anchor="ref_Nordhaus2015Climate">
        <w:r>
          <w:rPr>
            <w:rStyle w:val="Hyperlink"/>
          </w:rPr>
          <w:t xml:space="preserve">W.</w:t>
        </w:r>
        <w:r>
          <w:rPr>
            <w:rStyle w:val="Hyperlink"/>
          </w:rPr>
          <w:t xml:space="preserve"> </w:t>
        </w:r>
        <w:r>
          <w:rPr>
            <w:rStyle w:val="Hyperlink"/>
            <w:smallCaps/>
          </w:rPr>
          <w:t xml:space="preserve">Nordhaus</w:t>
        </w:r>
        <w:r>
          <w:rPr>
            <w:rStyle w:val="Hyperlink"/>
          </w:rPr>
          <w:t xml:space="preserve">, 2015</w:t>
        </w:r>
      </w:hyperlink>
      <w:r>
        <w:t xml:space="preserve">)</w:t>
      </w:r>
      <w:r>
        <w:t xml:space="preserve">:</w:t>
      </w:r>
    </w:p>
    <w:p>
      <w:pPr>
        <w:numPr>
          <w:ilvl w:val="1"/>
          <w:numId w:val="1087"/>
        </w:numPr>
      </w:pPr>
      <w:r>
        <w:t xml:space="preserve">sin sanciones, ninguna coalición estable reduce mucho más que sin acuerdo;</w:t>
      </w:r>
    </w:p>
    <w:p>
      <w:pPr>
        <w:numPr>
          <w:ilvl w:val="1"/>
          <w:numId w:val="1087"/>
        </w:numPr>
      </w:pPr>
      <w:r>
        <w:t xml:space="preserve">con un precio objetivo de 12,5 o 25 $ por tonelada, un arancel del 2 % o más basta para que participen todos;</w:t>
      </w:r>
    </w:p>
    <w:p>
      <w:pPr>
        <w:numPr>
          <w:ilvl w:val="1"/>
          <w:numId w:val="1087"/>
        </w:numPr>
      </w:pPr>
      <w:r>
        <w:t xml:space="preserve">con 50 $, un arancel del 5 % o más logra más del 90 % de la ganancia posible;</w:t>
      </w:r>
    </w:p>
    <w:p>
      <w:pPr>
        <w:numPr>
          <w:ilvl w:val="1"/>
          <w:numId w:val="1087"/>
        </w:numPr>
      </w:pPr>
      <w:r>
        <w:t xml:space="preserve">con 100 $, ni con aranceles altos se pasa mucho del nivel sin cooperación.</w:t>
      </w:r>
    </w:p>
    <w:p>
      <w:pPr>
        <w:numPr>
          <w:ilvl w:val="0"/>
          <w:numId w:val="1086"/>
        </w:numPr>
      </w:pPr>
      <w:r>
        <w:t xml:space="preserve">El club funciona, por tanto, con precios del carbono moderados, por debajo de los que recomiendan los modelos con descuento bajo.</w:t>
      </w:r>
    </w:p>
    <w:bookmarkEnd w:id="106"/>
    <w:bookmarkStart w:id="108" w:name="d_evidencia_emp__rica_1"/>
    <w:p>
      <w:pPr>
        <w:pStyle w:val="Heading5"/>
      </w:pPr>
      <w:r>
        <w:t xml:space="preserve">d) Evidencia empírica</w:t>
      </w:r>
    </w:p>
    <w:p>
      <w:pPr>
        <w:numPr>
          <w:ilvl w:val="0"/>
          <w:numId w:val="1088"/>
        </w:numPr>
      </w:pPr>
      <w:r>
        <w:t xml:space="preserve">No hay ningún club con aranceles en funcionamiento. La experiencia más cercana es Montreal, donde las restricciones comerciales a los no firmantes ayudaron a que se sumaran todos</w:t>
      </w:r>
      <w:r>
        <w:t xml:space="preserve"> </w:t>
      </w:r>
      <w:r>
        <w:t xml:space="preserve">(</w:t>
      </w:r>
      <w:hyperlink w:anchor="ref_Barrett2003Environment">
        <w:r>
          <w:rPr>
            <w:rStyle w:val="Hyperlink"/>
            <w:smallCaps/>
          </w:rPr>
          <w:t xml:space="preserve">Barrett</w:t>
        </w:r>
        <w:r>
          <w:rPr>
            <w:rStyle w:val="Hyperlink"/>
          </w:rPr>
          <w:t xml:space="preserve">, 2003</w:t>
        </w:r>
      </w:hyperlink>
      <w:r>
        <w:t xml:space="preserve">)</w:t>
      </w:r>
      <w:r>
        <w:t xml:space="preserve">.</w:t>
      </w:r>
    </w:p>
    <w:p>
      <w:pPr>
        <w:numPr>
          <w:ilvl w:val="0"/>
          <w:numId w:val="1088"/>
        </w:numPr>
      </w:pPr>
      <w:r>
        <w:t xml:space="preserve">El G-7 creó en diciembre de 2022 un «Club del Clima»</w:t>
      </w:r>
      <w:r>
        <w:t xml:space="preserve"> </w:t>
      </w:r>
      <w:r>
        <w:t xml:space="preserve">(</w:t>
      </w:r>
      <w:hyperlink w:anchor="ref_G72022ClimateClub">
        <w:r>
          <w:rPr>
            <w:rStyle w:val="Hyperlink"/>
            <w:smallCaps/>
          </w:rPr>
          <w:t xml:space="preserve">G-7</w:t>
        </w:r>
        <w:r>
          <w:rPr>
            <w:rStyle w:val="Hyperlink"/>
          </w:rPr>
          <w:t xml:space="preserve">, 2022</w:t>
        </w:r>
      </w:hyperlink>
      <w:r>
        <w:t xml:space="preserve">)</w:t>
      </w:r>
      <w:r>
        <w:t xml:space="preserve">, pero sin aranceles: es un foro abierto de cooperación, no un club en el sentido de</w:t>
      </w:r>
      <w:r>
        <w:t xml:space="preserve"> </w:t>
      </w:r>
      <w:r>
        <w:rPr>
          <w:smallCaps/>
        </w:rPr>
        <w:t xml:space="preserve">Nordhaus</w:t>
      </w:r>
      <w:r>
        <w:t xml:space="preserve"> </w:t>
      </w:r>
      <w:hyperlink r:id="rId107">
        <w:r>
          <w:rPr>
            <w:rStyle w:val="Referenciaatema"/>
          </w:rPr>
          <w:t xml:space="preserve">[ver tema 3.B.19]</w:t>
        </w:r>
      </w:hyperlink>
      <w:r>
        <w:t xml:space="preserve">.</w:t>
      </w:r>
    </w:p>
    <w:bookmarkEnd w:id="108"/>
    <w:bookmarkStart w:id="110" w:name="e_valoraci__n_1"/>
    <w:p>
      <w:pPr>
        <w:pStyle w:val="Heading5"/>
      </w:pPr>
      <w:r>
        <w:t xml:space="preserve">e) Valoración</w:t>
      </w:r>
    </w:p>
    <w:p>
      <w:pPr>
        <w:numPr>
          <w:ilvl w:val="0"/>
          <w:numId w:val="1089"/>
        </w:numPr>
      </w:pPr>
      <w:r>
        <w:t xml:space="preserve">Es la propuesta más influyente de la última década y está detrás del debate sobre los ajustes en frontera.</w:t>
      </w:r>
    </w:p>
    <w:p>
      <w:pPr>
        <w:numPr>
          <w:ilvl w:val="0"/>
          <w:numId w:val="1089"/>
        </w:numPr>
      </w:pPr>
      <w:r>
        <w:t xml:space="preserve">Pero un arancel uniforme a todo el comercio de un país choca con la cláusula de nación más favorecida de la Organización Mundial del Comercio (OMC)</w:t>
      </w:r>
      <w:r>
        <w:t xml:space="preserve"> </w:t>
      </w:r>
      <w:hyperlink r:id="rId109">
        <w:r>
          <w:rPr>
            <w:rStyle w:val="Referenciaatema"/>
          </w:rPr>
          <w:t xml:space="preserve">[ver tema 3.B.33]</w:t>
        </w:r>
      </w:hyperlink>
      <w:r>
        <w:t xml:space="preserve"> </w:t>
      </w:r>
      <w:r>
        <w:t xml:space="preserve">y se presta a represalias y a guerras comerciales.</w:t>
      </w:r>
    </w:p>
    <w:p>
      <w:pPr>
        <w:numPr>
          <w:ilvl w:val="0"/>
          <w:numId w:val="1089"/>
        </w:numPr>
      </w:pPr>
      <w:r>
        <w:t xml:space="preserve">Volvamos a nuestra tonelada: si la acería está en un país fuera del club, el castigo no recae sobre su acero, sino sobre todo lo que exporta su país. Por eso la UE ha preferido un instrumento más estrecho, que solo grava el carbono de unos pocos bienes: lo veremos en el apartado </w:t>
      </w:r>
      <w:hyperlink w:anchor="sec_medidas">
        <w:r>
          <w:rPr>
            <w:rStyle w:val="Hyperlink"/>
          </w:rPr>
          <w:t xml:space="preserve">III.4</w:t>
        </w:r>
      </w:hyperlink>
      <w:r>
        <w:t xml:space="preserve">.</w:t>
      </w:r>
    </w:p>
    <w:p>
      <w:pPr>
        <w:numPr>
          <w:ilvl w:val="0"/>
          <w:numId w:val="1089"/>
        </w:numPr>
      </w:pPr>
      <w:r>
        <w:rPr>
          <w:i/>
          <w:iCs/>
        </w:rPr>
        <w:t xml:space="preserve">Conclusión</w:t>
      </w:r>
      <w:r>
        <w:t xml:space="preserve">: la teoría explica por qué los acuerdos climáticos han logrado tan poco y dónde buscar la salida, un incentivo excluible. Con esa lente pasamos a analizar los acuerdos que de verdad se han firmado.</w:t>
      </w:r>
    </w:p>
    <w:bookmarkEnd w:id="110"/>
    <w:bookmarkEnd w:id="111"/>
    <w:bookmarkEnd w:id="112"/>
    <w:bookmarkStart w:id="120" w:name="sec_acuerdos"/>
    <w:p>
      <w:pPr>
        <w:pStyle w:val="Heading2"/>
      </w:pPr>
      <w:r>
        <w:t xml:space="preserve">III.3.</w:t>
      </w:r>
      <w:r>
        <w:t xml:space="preserve"> </w:t>
      </w:r>
      <w:r>
        <w:t xml:space="preserve">Los acuerdos internacionales</w:t>
      </w:r>
    </w:p>
    <w:bookmarkStart w:id="113" w:name="el_marco_la_convenci__n_marco_1992"/>
    <w:p>
      <w:pPr>
        <w:pStyle w:val="Heading4"/>
      </w:pPr>
      <w:r>
        <w:t xml:space="preserve">El marco: la Convención Marco (1992)</w:t>
      </w:r>
    </w:p>
    <w:p>
      <w:pPr>
        <w:numPr>
          <w:ilvl w:val="0"/>
          <w:numId w:val="1090"/>
        </w:numPr>
      </w:pPr>
      <w:r>
        <w:t xml:space="preserve">La CMNUCC se adoptó en Nueva York en mayo de 1992, se abrió a la firma en la Cumbre de la Tierra de Río ese mismo año y está en vigor desde 1994; hoy tiene 198 partes</w:t>
      </w:r>
      <w:r>
        <w:t xml:space="preserve"> </w:t>
      </w:r>
      <w:r>
        <w:t xml:space="preserve">(</w:t>
      </w:r>
      <w:hyperlink w:anchor="ref_CMNUCC1992Convencion">
        <w:r>
          <w:rPr>
            <w:rStyle w:val="Hyperlink"/>
            <w:smallCaps/>
          </w:rPr>
          <w:t xml:space="preserve">Naciones Unidas</w:t>
        </w:r>
        <w:r>
          <w:rPr>
            <w:rStyle w:val="Hyperlink"/>
          </w:rPr>
          <w:t xml:space="preserve">, 1992</w:t>
        </w:r>
      </w:hyperlink>
      <w:r>
        <w:t xml:space="preserve">;</w:t>
      </w:r>
      <w:r>
        <w:t xml:space="preserve"> </w:t>
      </w:r>
      <w:hyperlink w:anchor="ref_ONU2026CMNUCC">
        <w:r>
          <w:rPr>
            <w:rStyle w:val="Hyperlink"/>
            <w:smallCaps/>
          </w:rPr>
          <w:t xml:space="preserve">Naciones Unidas, Colección de Tratados</w:t>
        </w:r>
        <w:r>
          <w:rPr>
            <w:rStyle w:val="Hyperlink"/>
          </w:rPr>
          <w:t xml:space="preserve">, 2026d</w:t>
        </w:r>
      </w:hyperlink>
      <w:r>
        <w:t xml:space="preserve">)</w:t>
      </w:r>
      <w:r>
        <w:t xml:space="preserve">.</w:t>
      </w:r>
    </w:p>
    <w:p>
      <w:pPr>
        <w:numPr>
          <w:ilvl w:val="0"/>
          <w:numId w:val="1090"/>
        </w:numPr>
      </w:pPr>
      <w:r>
        <w:rPr>
          <w:i/>
          <w:iCs/>
        </w:rPr>
        <w:t xml:space="preserve">Objetivo</w:t>
      </w:r>
      <w:r>
        <w:t xml:space="preserve"> </w:t>
      </w:r>
      <w:r>
        <w:t xml:space="preserve">(art. 2): estabilizar las concentraciones de GEI «a un nivel que impida interferencias antropógenas peligrosas en el sistema climático».</w:t>
      </w:r>
    </w:p>
    <w:p>
      <w:pPr>
        <w:numPr>
          <w:ilvl w:val="0"/>
          <w:numId w:val="1090"/>
        </w:numPr>
      </w:pPr>
      <w:r>
        <w:rPr>
          <w:i/>
          <w:iCs/>
        </w:rPr>
        <w:t xml:space="preserve">Principio</w:t>
      </w:r>
      <w:r>
        <w:t xml:space="preserve"> </w:t>
      </w:r>
      <w:r>
        <w:t xml:space="preserve">(art. 3):</w:t>
      </w:r>
      <w:r>
        <w:t xml:space="preserve"> </w:t>
      </w:r>
      <w:r>
        <w:rPr>
          <w:b/>
          <w:bCs/>
        </w:rPr>
        <w:t xml:space="preserve">responsabilidades comunes pero diferenciadas</w:t>
      </w:r>
      <w:r>
        <w:t xml:space="preserve">. Los países desarrollados, del anexo I, deben tomar la iniciativa</w:t>
      </w:r>
      <w:r>
        <w:t xml:space="preserve"> </w:t>
      </w:r>
      <w:hyperlink r:id="rId54">
        <w:r>
          <w:rPr>
            <w:rStyle w:val="Referenciaatema"/>
          </w:rPr>
          <w:t xml:space="preserve">[ver tema 3.B.28]</w:t>
        </w:r>
      </w:hyperlink>
      <w:r>
        <w:t xml:space="preserve">.</w:t>
      </w:r>
    </w:p>
    <w:p>
      <w:pPr>
        <w:numPr>
          <w:ilvl w:val="0"/>
          <w:numId w:val="1090"/>
        </w:numPr>
      </w:pPr>
      <w:r>
        <w:t xml:space="preserve">Su órgano supremo, la Conferencia de las Partes (COP), se reúne cada año desde la de Berlín (COP1, 1995), que encargó negociar compromisos cuantificados solo para los países desarrollados.</w:t>
      </w:r>
    </w:p>
    <w:bookmarkEnd w:id="113"/>
    <w:bookmarkStart w:id="114" w:name="el_protocolo_de_kioto_1997_objetiv_96379"/>
    <w:p>
      <w:pPr>
        <w:pStyle w:val="Heading4"/>
      </w:pPr>
      <w:r>
        <w:t xml:space="preserve">El Protocolo de Kioto (1997): objetivos obligatorios para pocos</w:t>
      </w:r>
    </w:p>
    <w:p>
      <w:pPr>
        <w:numPr>
          <w:ilvl w:val="0"/>
          <w:numId w:val="1091"/>
        </w:numPr>
      </w:pPr>
      <w:r>
        <w:rPr>
          <w:i/>
          <w:iCs/>
        </w:rPr>
        <w:t xml:space="preserve">Contenido</w:t>
      </w:r>
      <w:r>
        <w:t xml:space="preserve">: los países desarrollados y las economías en transición, enumerados en un anexo del Protocolo, se obligaban a reducir sus emisiones en 2008-2012 «al menos un 5 %» por debajo de las de 1990; sumando los compromisos de cada uno, la reducción era de un 5,2 %. La entonces Comunidad Europea se comprometió a un 8 % conjunto, que repartió entre sus miembros. Los países en desarrollo no tenían objetivos</w:t>
      </w:r>
      <w:r>
        <w:t xml:space="preserve"> </w:t>
      </w:r>
      <w:r>
        <w:t xml:space="preserve">(</w:t>
      </w:r>
      <w:hyperlink w:anchor="ref_ONU1997Kioto">
        <w:r>
          <w:rPr>
            <w:rStyle w:val="Hyperlink"/>
            <w:smallCaps/>
          </w:rPr>
          <w:t xml:space="preserve">Naciones Unidas, Colección de Tratados</w:t>
        </w:r>
        <w:r>
          <w:rPr>
            <w:rStyle w:val="Hyperlink"/>
          </w:rPr>
          <w:t xml:space="preserve">, 2026a</w:t>
        </w:r>
      </w:hyperlink>
      <w:r>
        <w:t xml:space="preserve">, art. 3)</w:t>
      </w:r>
      <w:r>
        <w:t xml:space="preserve">.</w:t>
      </w:r>
    </w:p>
    <w:p>
      <w:pPr>
        <w:numPr>
          <w:ilvl w:val="0"/>
          <w:numId w:val="1091"/>
        </w:numPr>
      </w:pPr>
      <w:r>
        <w:rPr>
          <w:i/>
          <w:iCs/>
        </w:rPr>
        <w:t xml:space="preserve">Flexibilidad</w:t>
      </w:r>
      <w:r>
        <w:t xml:space="preserve">: 3 mecanismos de mercado para reducir donde fuera más barato: el comercio internacional de emisiones, el mecanismo de desarrollo limpio (proyectos en países en desarrollo) y la aplicación conjunta (proyectos entre países con objetivos).</w:t>
      </w:r>
    </w:p>
    <w:p>
      <w:pPr>
        <w:numPr>
          <w:ilvl w:val="0"/>
          <w:numId w:val="1091"/>
        </w:numPr>
      </w:pPr>
      <w:r>
        <w:rPr>
          <w:i/>
          <w:iCs/>
        </w:rPr>
        <w:t xml:space="preserve">Vigencia</w:t>
      </w:r>
      <w:r>
        <w:t xml:space="preserve">: entró en vigor el 16 de febrero de 2005, cuando lo ratificó Rusia. Estados Unidos lo firmó pero nunca lo ratificó, y Canadá se retiró en 2012. Un segundo periodo, 2013-2020 (Enmienda de Doha), solo entró en vigor el 31 de diciembre de 2020</w:t>
      </w:r>
      <w:r>
        <w:t xml:space="preserve"> </w:t>
      </w:r>
      <w:r>
        <w:t xml:space="preserve">(</w:t>
      </w:r>
      <w:hyperlink w:anchor="ref_ONU1997Kioto">
        <w:r>
          <w:rPr>
            <w:rStyle w:val="Hyperlink"/>
            <w:smallCaps/>
          </w:rPr>
          <w:t xml:space="preserve">Naciones Unidas, Colección de Tratados</w:t>
        </w:r>
        <w:r>
          <w:rPr>
            <w:rStyle w:val="Hyperlink"/>
          </w:rPr>
          <w:t xml:space="preserve">, 2026a</w:t>
        </w:r>
      </w:hyperlink>
      <w:r>
        <w:t xml:space="preserve">)</w:t>
      </w:r>
      <w:r>
        <w:t xml:space="preserve">.</w:t>
      </w:r>
    </w:p>
    <w:p>
      <w:pPr>
        <w:numPr>
          <w:ilvl w:val="0"/>
          <w:numId w:val="1091"/>
        </w:numPr>
      </w:pPr>
      <w:r>
        <w:rPr>
          <w:i/>
          <w:iCs/>
        </w:rPr>
        <w:t xml:space="preserve">Balance</w:t>
      </w:r>
      <w:r>
        <w:t xml:space="preserve">: los países con objetivos los cumplieron en conjunto, en buena parte por el hundimiento de la industria de las antiguas economías planificadas en los años 90; pero las emisiones mundiales siguieron creciendo, sobre todo en las economías emergentes, que no tenían obligaciones. Era un acuerdo</w:t>
      </w:r>
      <w:r>
        <w:t xml:space="preserve"> </w:t>
      </w:r>
      <w:r>
        <w:rPr>
          <w:i/>
          <w:iCs/>
        </w:rPr>
        <w:t xml:space="preserve">profundo pero estrecho</w:t>
      </w:r>
      <w:r>
        <w:t xml:space="preserve">, de arriba abajo, y cada vez cubría menos emisiones: justo lo que predice</w:t>
      </w:r>
      <w:r>
        <w:t xml:space="preserve"> </w:t>
      </w:r>
      <w:r>
        <w:rPr>
          <w:smallCaps/>
        </w:rPr>
        <w:t xml:space="preserve">Barrett</w:t>
      </w:r>
      <w:r>
        <w:t xml:space="preserve">.</w:t>
      </w:r>
    </w:p>
    <w:bookmarkEnd w:id="114"/>
    <w:bookmarkStart w:id="117" w:name="de_copenhague_a_par__s_compromisos_96231"/>
    <w:p>
      <w:pPr>
        <w:pStyle w:val="Heading4"/>
      </w:pPr>
      <w:r>
        <w:t xml:space="preserve">De Copenhague a París: compromisos voluntarios para todos</w:t>
      </w:r>
    </w:p>
    <w:p>
      <w:pPr>
        <w:numPr>
          <w:ilvl w:val="0"/>
          <w:numId w:val="1092"/>
        </w:numPr>
      </w:pPr>
      <w:r>
        <w:rPr>
          <w:i/>
          <w:iCs/>
        </w:rPr>
        <w:t xml:space="preserve">Copenhague</w:t>
      </w:r>
      <w:r>
        <w:t xml:space="preserve"> </w:t>
      </w:r>
      <w:r>
        <w:t xml:space="preserve">(COP15, 2009) quiso sustituir a Kioto y fracasó: solo dio un acuerdo político, del que la COP «tomó nota», con el objetivo de 2 °C y la promesa de movilizar 100.000 millones de dólares al año en 2020 para los países en desarrollo</w:t>
      </w:r>
      <w:r>
        <w:t xml:space="preserve"> </w:t>
      </w:r>
      <w:r>
        <w:t xml:space="preserve">(</w:t>
      </w:r>
      <w:hyperlink w:anchor="ref_CMNUCC2009Copenhague">
        <w:r>
          <w:rPr>
            <w:rStyle w:val="Hyperlink"/>
            <w:smallCaps/>
          </w:rPr>
          <w:t xml:space="preserve">Conferencia de las Partes de la CMNUCC</w:t>
        </w:r>
        <w:r>
          <w:rPr>
            <w:rStyle w:val="Hyperlink"/>
          </w:rPr>
          <w:t xml:space="preserve">, 2010</w:t>
        </w:r>
      </w:hyperlink>
      <w:r>
        <w:t xml:space="preserve">)</w:t>
      </w:r>
      <w:r>
        <w:t xml:space="preserve">. Un año después, en</w:t>
      </w:r>
      <w:r>
        <w:t xml:space="preserve"> </w:t>
      </w:r>
      <w:r>
        <w:rPr>
          <w:i/>
          <w:iCs/>
        </w:rPr>
        <w:t xml:space="preserve">Cancún</w:t>
      </w:r>
      <w:r>
        <w:t xml:space="preserve"> </w:t>
      </w:r>
      <w:r>
        <w:t xml:space="preserve">(COP16, 2010), se formalizaron el objetivo de 2 °C y la creación del Fondo Verde para el Clima</w:t>
      </w:r>
      <w:r>
        <w:t xml:space="preserve"> </w:t>
      </w:r>
      <w:r>
        <w:t xml:space="preserve">(</w:t>
      </w:r>
      <w:hyperlink w:anchor="ref_CMNUCC2010Cancun">
        <w:r>
          <w:rPr>
            <w:rStyle w:val="Hyperlink"/>
            <w:smallCaps/>
          </w:rPr>
          <w:t xml:space="preserve">Conferencia de las Partes de la CMNUCC</w:t>
        </w:r>
        <w:r>
          <w:rPr>
            <w:rStyle w:val="Hyperlink"/>
          </w:rPr>
          <w:t xml:space="preserve">, 2011</w:t>
        </w:r>
      </w:hyperlink>
      <w:r>
        <w:t xml:space="preserve">)</w:t>
      </w:r>
      <w:r>
        <w:t xml:space="preserve">.</w:t>
      </w:r>
      <w:r>
        <w:rPr>
          <w:rStyle w:val="FootnoteReference"/>
        </w:rPr>
        <w:footnoteReference w:id="115"/>
      </w:r>
    </w:p>
    <w:p>
      <w:pPr>
        <w:keepNext/>
        <w:numPr>
          <w:ilvl w:val="0"/>
          <w:numId w:val="1092"/>
        </w:numPr>
      </w:pPr>
      <w:r>
        <w:t xml:space="preserve">El</w:t>
      </w:r>
      <w:r>
        <w:t xml:space="preserve"> </w:t>
      </w:r>
      <w:r>
        <w:rPr>
          <w:b/>
          <w:bCs/>
        </w:rPr>
        <w:t xml:space="preserve">Acuerdo de París</w:t>
      </w:r>
      <w:r>
        <w:t xml:space="preserve"> </w:t>
      </w:r>
      <w:r>
        <w:t xml:space="preserve">(COP21, 2015; en vigor desde el 4 de noviembre de 2016) tiene hoy 194 partes</w:t>
      </w:r>
      <w:r>
        <w:t xml:space="preserve"> </w:t>
      </w:r>
      <w:r>
        <w:t xml:space="preserve">(</w:t>
      </w:r>
      <w:hyperlink w:anchor="ref_CMNUCC2015Paris">
        <w:r>
          <w:rPr>
            <w:rStyle w:val="Hyperlink"/>
            <w:smallCaps/>
          </w:rPr>
          <w:t xml:space="preserve">Naciones Unidas</w:t>
        </w:r>
        <w:r>
          <w:rPr>
            <w:rStyle w:val="Hyperlink"/>
          </w:rPr>
          <w:t xml:space="preserve">, 2015</w:t>
        </w:r>
      </w:hyperlink>
      <w:r>
        <w:t xml:space="preserve">;</w:t>
      </w:r>
      <w:r>
        <w:t xml:space="preserve"> </w:t>
      </w:r>
      <w:hyperlink w:anchor="ref_ONU2026Paris">
        <w:r>
          <w:rPr>
            <w:rStyle w:val="Hyperlink"/>
            <w:smallCaps/>
          </w:rPr>
          <w:t xml:space="preserve">Naciones Unidas, Colección de Tratados</w:t>
        </w:r>
        <w:r>
          <w:rPr>
            <w:rStyle w:val="Hyperlink"/>
          </w:rPr>
          <w:t xml:space="preserve">, 2026c</w:t>
        </w:r>
      </w:hyperlink>
      <w:r>
        <w:t xml:space="preserve">)</w:t>
      </w:r>
      <w:r>
        <w:t xml:space="preserve">:</w:t>
      </w:r>
    </w:p>
    <w:p>
      <w:pPr>
        <w:numPr>
          <w:ilvl w:val="1"/>
          <w:numId w:val="1093"/>
        </w:numPr>
      </w:pPr>
      <w:r>
        <w:rPr>
          <w:i/>
          <w:iCs/>
        </w:rPr>
        <w:t xml:space="preserve">Objetivos</w:t>
      </w:r>
      <w:r>
        <w:t xml:space="preserve"> </w:t>
      </w:r>
      <w:r>
        <w:t xml:space="preserve">(art. 2): mantener el aumento de la temperatura «muy por debajo de 2 °C» y proseguir los esfuerzos para limitarlo a 1,5 °C; aumentar la capacidad de adaptación, y hacer los flujos financieros compatibles con esas metas. Para ello, equilibrar emisiones y absorciones (neutralidad) en la segunda mitad del siglo (art. 4).</w:t>
      </w:r>
    </w:p>
    <w:p>
      <w:pPr>
        <w:numPr>
          <w:ilvl w:val="1"/>
          <w:numId w:val="1093"/>
        </w:numPr>
      </w:pPr>
      <w:r>
        <w:rPr>
          <w:i/>
          <w:iCs/>
        </w:rPr>
        <w:t xml:space="preserve">De abajo arriba</w:t>
      </w:r>
      <w:r>
        <w:t xml:space="preserve">: cada parte fija su propia</w:t>
      </w:r>
      <w:r>
        <w:t xml:space="preserve"> </w:t>
      </w:r>
      <w:r>
        <w:rPr>
          <w:b/>
          <w:bCs/>
        </w:rPr>
        <w:t xml:space="preserve">contribución determinada a nivel nacional</w:t>
      </w:r>
      <w:r>
        <w:t xml:space="preserve"> </w:t>
      </w:r>
      <w:r>
        <w:t xml:space="preserve">(CDN; NDC en inglés), que debe renovar cada 5 años con más ambición. El contenido de las contribuciones no es vinculante; sí lo es presentarlas e informar de ellas.</w:t>
      </w:r>
    </w:p>
    <w:p>
      <w:pPr>
        <w:numPr>
          <w:ilvl w:val="1"/>
          <w:numId w:val="1093"/>
        </w:numPr>
      </w:pPr>
      <w:r>
        <w:rPr>
          <w:i/>
          <w:iCs/>
        </w:rPr>
        <w:t xml:space="preserve">Transparencia y balance</w:t>
      </w:r>
      <w:r>
        <w:t xml:space="preserve">: un marco común de seguimiento y un</w:t>
      </w:r>
      <w:r>
        <w:t xml:space="preserve"> </w:t>
      </w:r>
      <w:r>
        <w:rPr>
          <w:b/>
          <w:bCs/>
        </w:rPr>
        <w:t xml:space="preserve">balance mundial</w:t>
      </w:r>
      <w:r>
        <w:t xml:space="preserve"> </w:t>
      </w:r>
      <w:r>
        <w:t xml:space="preserve">cada 5 años para medir el avance colectivo. El primero, en la COP28 de Dubái (2023), reconoció que 1,5 °C exige recortar las emisiones un 43 % en 2030 y un 60 % en 2035 respecto a 2019, y pidió por primera vez abandonar los combustibles fósiles en los sistemas energéticos, triplicar la capacidad renovable y duplicar el ritmo de mejora de la eficiencia en 2030</w:t>
      </w:r>
      <w:r>
        <w:t xml:space="preserve"> </w:t>
      </w:r>
      <w:r>
        <w:t xml:space="preserve">(</w:t>
      </w:r>
      <w:hyperlink w:anchor="ref_CMNUCC2023Balance">
        <w:r>
          <w:rPr>
            <w:rStyle w:val="Hyperlink"/>
            <w:smallCaps/>
          </w:rPr>
          <w:t xml:space="preserve">Convención Marco de las Naciones Unidas sobre el Cambio Climático</w:t>
        </w:r>
        <w:r>
          <w:rPr>
            <w:rStyle w:val="Hyperlink"/>
          </w:rPr>
          <w:t xml:space="preserve">, 2023</w:t>
        </w:r>
      </w:hyperlink>
      <w:r>
        <w:t xml:space="preserve">)</w:t>
      </w:r>
      <w:r>
        <w:t xml:space="preserve">.</w:t>
      </w:r>
    </w:p>
    <w:p>
      <w:pPr>
        <w:numPr>
          <w:ilvl w:val="1"/>
          <w:numId w:val="1093"/>
        </w:numPr>
      </w:pPr>
      <w:r>
        <w:rPr>
          <w:i/>
          <w:iCs/>
        </w:rPr>
        <w:t xml:space="preserve">Mercados</w:t>
      </w:r>
      <w:r>
        <w:t xml:space="preserve"> </w:t>
      </w:r>
      <w:r>
        <w:t xml:space="preserve">(art. 6): permite que un país cuente como suyas reducciones logradas en otro.</w:t>
      </w:r>
    </w:p>
    <w:p>
      <w:pPr>
        <w:numPr>
          <w:ilvl w:val="0"/>
          <w:numId w:val="1092"/>
        </w:numPr>
      </w:pPr>
      <w:r>
        <w:t xml:space="preserve">Volvamos a nuestra tonelada. París no le pone precio: lo que le pase depende de la contribución que haya presentado el país de la acería y de cómo decida cumplirla.</w:t>
      </w:r>
    </w:p>
    <w:bookmarkEnd w:id="117"/>
    <w:bookmarkStart w:id="118" w:name="la_financiaci__n_clim__tica"/>
    <w:p>
      <w:pPr>
        <w:pStyle w:val="Heading4"/>
      </w:pPr>
      <w:r>
        <w:t xml:space="preserve">La financiación climática</w:t>
      </w:r>
    </w:p>
    <w:p>
      <w:pPr>
        <w:numPr>
          <w:ilvl w:val="0"/>
          <w:numId w:val="1094"/>
        </w:numPr>
      </w:pPr>
      <w:r>
        <w:t xml:space="preserve">El objetivo de 100.000 millones de dólares anuales, fijado para 2020, solo se alcanzó en 2022, con 115.900 millones</w:t>
      </w:r>
      <w:r>
        <w:t xml:space="preserve"> </w:t>
      </w:r>
      <w:r>
        <w:t xml:space="preserve">(</w:t>
      </w:r>
      <w:hyperlink w:anchor="ref_OCDE2024Financiacion">
        <w:r>
          <w:rPr>
            <w:rStyle w:val="Hyperlink"/>
            <w:smallCaps/>
          </w:rPr>
          <w:t xml:space="preserve">OCDE</w:t>
        </w:r>
        <w:r>
          <w:rPr>
            <w:rStyle w:val="Hyperlink"/>
          </w:rPr>
          <w:t xml:space="preserve">, 2024</w:t>
        </w:r>
      </w:hyperlink>
      <w:r>
        <w:t xml:space="preserve">)</w:t>
      </w:r>
      <w:r>
        <w:t xml:space="preserve">.</w:t>
      </w:r>
    </w:p>
    <w:p>
      <w:pPr>
        <w:numPr>
          <w:ilvl w:val="0"/>
          <w:numId w:val="1094"/>
        </w:numPr>
      </w:pPr>
      <w:r>
        <w:t xml:space="preserve">La COP27 (Sharm el-Sheij, 2022) creó un fondo para las</w:t>
      </w:r>
      <w:r>
        <w:t xml:space="preserve"> </w:t>
      </w:r>
      <w:r>
        <w:rPr>
          <w:b/>
          <w:bCs/>
        </w:rPr>
        <w:t xml:space="preserve">pérdidas y daños</w:t>
      </w:r>
      <w:r>
        <w:t xml:space="preserve"> </w:t>
      </w:r>
      <w:r>
        <w:t xml:space="preserve">de los países más vulnerables, que la COP28 puso en marcha</w:t>
      </w:r>
      <w:r>
        <w:t xml:space="preserve"> </w:t>
      </w:r>
      <w:r>
        <w:t xml:space="preserve">(</w:t>
      </w:r>
      <w:hyperlink w:anchor="ref_CMNUCC2023Balance">
        <w:r>
          <w:rPr>
            <w:rStyle w:val="Hyperlink"/>
            <w:smallCaps/>
          </w:rPr>
          <w:t xml:space="preserve">Convención Marco de las Naciones Unidas sobre el Cambio Climático</w:t>
        </w:r>
        <w:r>
          <w:rPr>
            <w:rStyle w:val="Hyperlink"/>
          </w:rPr>
          <w:t xml:space="preserve">, 2023</w:t>
        </w:r>
      </w:hyperlink>
      <w:r>
        <w:t xml:space="preserve">)</w:t>
      </w:r>
      <w:r>
        <w:t xml:space="preserve">.</w:t>
      </w:r>
    </w:p>
    <w:p>
      <w:pPr>
        <w:numPr>
          <w:ilvl w:val="0"/>
          <w:numId w:val="1094"/>
        </w:numPr>
      </w:pPr>
      <w:r>
        <w:t xml:space="preserve">En Bakú (COP29, 2024) se fijó el nuevo objetivo: los países desarrollados liderarán la movilización de al menos 300.000 millones de dólares al año en 2035, dentro de un llamamiento a llegar a 1,3 billones de todas las fuentes</w:t>
      </w:r>
      <w:r>
        <w:t xml:space="preserve"> </w:t>
      </w:r>
      <w:r>
        <w:t xml:space="preserve">(</w:t>
      </w:r>
      <w:hyperlink w:anchor="ref_CMNUCC2024NCQG">
        <w:r>
          <w:rPr>
            <w:rStyle w:val="Hyperlink"/>
            <w:smallCaps/>
          </w:rPr>
          <w:t xml:space="preserve">Convención Marco de las Naciones Unidas sobre el Cambio Climático</w:t>
        </w:r>
        <w:r>
          <w:rPr>
            <w:rStyle w:val="Hyperlink"/>
          </w:rPr>
          <w:t xml:space="preserve">, 2024</w:t>
        </w:r>
      </w:hyperlink>
      <w:r>
        <w:t xml:space="preserve">)</w:t>
      </w:r>
      <w:r>
        <w:t xml:space="preserve">.</w:t>
      </w:r>
    </w:p>
    <w:p>
      <w:pPr>
        <w:numPr>
          <w:ilvl w:val="0"/>
          <w:numId w:val="1094"/>
        </w:numPr>
      </w:pPr>
      <w:r>
        <w:t xml:space="preserve">En Belém (COP30, 2025) se pidió triplicar la financiación de la adaptación de aquí a 2035 y se abrió un diálogo sobre comercio y clima, en el que los países en desarrollo cuestionan las medidas unilaterales como el ajuste en frontera europeo; no hubo acuerdo para una hoja de ruta de salida de los combustibles fósiles. Fue la primera COP sin delegación de Estados Unidos</w:t>
      </w:r>
      <w:r>
        <w:t xml:space="preserve"> </w:t>
      </w:r>
      <w:r>
        <w:t xml:space="preserve">(</w:t>
      </w:r>
      <w:hyperlink w:anchor="ref_CMNUCC2025Belem">
        <w:r>
          <w:rPr>
            <w:rStyle w:val="Hyperlink"/>
            <w:smallCaps/>
          </w:rPr>
          <w:t xml:space="preserve">Conferencia de las Partes en calidad de reunión de las Partes en el Acuerdo de París</w:t>
        </w:r>
        <w:r>
          <w:rPr>
            <w:rStyle w:val="Hyperlink"/>
          </w:rPr>
          <w:t xml:space="preserve">, 2025</w:t>
        </w:r>
      </w:hyperlink>
      <w:r>
        <w:t xml:space="preserve">;</w:t>
      </w:r>
      <w:r>
        <w:t xml:space="preserve"> </w:t>
      </w:r>
      <w:hyperlink w:anchor="ref_C2ES2026COP30">
        <w:r>
          <w:rPr>
            <w:rStyle w:val="Hyperlink"/>
            <w:smallCaps/>
          </w:rPr>
          <w:t xml:space="preserve">Center for Climate and Energy Solutions</w:t>
        </w:r>
        <w:r>
          <w:rPr>
            <w:rStyle w:val="Hyperlink"/>
          </w:rPr>
          <w:t xml:space="preserve">, 2026</w:t>
        </w:r>
      </w:hyperlink>
      <w:r>
        <w:t xml:space="preserve">)</w:t>
      </w:r>
      <w:r>
        <w:t xml:space="preserve">.</w:t>
      </w:r>
    </w:p>
    <w:p>
      <w:pPr>
        <w:numPr>
          <w:ilvl w:val="0"/>
          <w:numId w:val="1094"/>
        </w:numPr>
      </w:pPr>
      <w:r>
        <w:t xml:space="preserve">La COP31 se celebra en Antalya (Turquía) del 9 al 20 de noviembre de 2026, presidida por Turquía y con Australia al frente de las negociaciones</w:t>
      </w:r>
      <w:r>
        <w:t xml:space="preserve"> </w:t>
      </w:r>
      <w:r>
        <w:t xml:space="preserve">(</w:t>
      </w:r>
      <w:hyperlink w:anchor="ref_CMNUCC2026COP31">
        <w:r>
          <w:rPr>
            <w:rStyle w:val="Hyperlink"/>
            <w:smallCaps/>
          </w:rPr>
          <w:t xml:space="preserve">Convención Marco de las Naciones Unidas sobre el Cambio Climático</w:t>
        </w:r>
        <w:r>
          <w:rPr>
            <w:rStyle w:val="Hyperlink"/>
          </w:rPr>
          <w:t xml:space="preserve">, 2026</w:t>
        </w:r>
      </w:hyperlink>
      <w:r>
        <w:t xml:space="preserve">;</w:t>
      </w:r>
      <w:r>
        <w:t xml:space="preserve"> </w:t>
      </w:r>
      <w:hyperlink w:anchor="ref_C2ES2026COP30">
        <w:r>
          <w:rPr>
            <w:rStyle w:val="Hyperlink"/>
            <w:smallCaps/>
          </w:rPr>
          <w:t xml:space="preserve">Center for Climate and Energy Solutions</w:t>
        </w:r>
        <w:r>
          <w:rPr>
            <w:rStyle w:val="Hyperlink"/>
          </w:rPr>
          <w:t xml:space="preserve">, 2026</w:t>
        </w:r>
      </w:hyperlink>
      <w:r>
        <w:t xml:space="preserve">)</w:t>
      </w:r>
      <w:r>
        <w:t xml:space="preserve">.</w:t>
      </w:r>
    </w:p>
    <w:bookmarkEnd w:id="118"/>
    <w:bookmarkStart w:id="119" w:name="valoraci__n"/>
    <w:p>
      <w:pPr>
        <w:pStyle w:val="Heading4"/>
      </w:pPr>
      <w:r>
        <w:t xml:space="preserve">Valoración</w:t>
      </w:r>
    </w:p>
    <w:p>
      <w:pPr>
        <w:numPr>
          <w:ilvl w:val="0"/>
          <w:numId w:val="1095"/>
        </w:numPr>
      </w:pPr>
      <w:r>
        <w:t xml:space="preserve">París cambia profundidad por amplitud: casi todos los países participan porque cada uno decide cuánto hace. Es la respuesta práctica a la paradoja de</w:t>
      </w:r>
      <w:r>
        <w:t xml:space="preserve"> </w:t>
      </w:r>
      <w:r>
        <w:rPr>
          <w:smallCaps/>
        </w:rPr>
        <w:t xml:space="preserve">Barrett</w:t>
      </w:r>
      <w:r>
        <w:t xml:space="preserve">.</w:t>
      </w:r>
    </w:p>
    <w:p>
      <w:pPr>
        <w:numPr>
          <w:ilvl w:val="0"/>
          <w:numId w:val="1095"/>
        </w:numPr>
      </w:pPr>
      <w:r>
        <w:t xml:space="preserve">Pero la suma de las contribuciones no basta, pues llevaría a unos 2,3-2,5 °C, no hay sanciones y el polizón sigue ahí</w:t>
      </w:r>
      <w:r>
        <w:t xml:space="preserve"> </w:t>
      </w:r>
      <w:r>
        <w:t xml:space="preserve">(</w:t>
      </w:r>
      <w:hyperlink w:anchor="ref_UNEP2025Emissions">
        <w:r>
          <w:rPr>
            <w:rStyle w:val="Hyperlink"/>
            <w:smallCaps/>
          </w:rPr>
          <w:t xml:space="preserve">Programa de las Naciones Unidas para el Medio Ambiente</w:t>
        </w:r>
        <w:r>
          <w:rPr>
            <w:rStyle w:val="Hyperlink"/>
          </w:rPr>
          <w:t xml:space="preserve">, 2025</w:t>
        </w:r>
      </w:hyperlink>
      <w:r>
        <w:t xml:space="preserve">)</w:t>
      </w:r>
      <w:r>
        <w:t xml:space="preserve">.</w:t>
      </w:r>
    </w:p>
    <w:p>
      <w:pPr>
        <w:numPr>
          <w:ilvl w:val="0"/>
          <w:numId w:val="1095"/>
        </w:numPr>
      </w:pPr>
      <w:r>
        <w:t xml:space="preserve">Y la participación es frágil. Estados Unidos salió del Acuerdo en 2020, volvió en 2021 y volvió a salir el 27 de enero de 2026</w:t>
      </w:r>
      <w:r>
        <w:t xml:space="preserve"> </w:t>
      </w:r>
      <w:r>
        <w:t xml:space="preserve">(</w:t>
      </w:r>
      <w:hyperlink w:anchor="ref_ONU2025RetiradaParis">
        <w:r>
          <w:rPr>
            <w:rStyle w:val="Hyperlink"/>
            <w:smallCaps/>
          </w:rPr>
          <w:t xml:space="preserve">Secretario General de las Naciones Unidas (depositario)</w:t>
        </w:r>
        <w:r>
          <w:rPr>
            <w:rStyle w:val="Hyperlink"/>
          </w:rPr>
          <w:t xml:space="preserve">, 2025</w:t>
        </w:r>
      </w:hyperlink>
      <w:r>
        <w:t xml:space="preserve">)</w:t>
      </w:r>
      <w:r>
        <w:t xml:space="preserve">; después notificó también su salida de la propia Convención, que tendrá efecto el 27 de febrero de 2027</w:t>
      </w:r>
      <w:r>
        <w:t xml:space="preserve"> </w:t>
      </w:r>
      <w:r>
        <w:t xml:space="preserve">(</w:t>
      </w:r>
      <w:hyperlink w:anchor="ref_ONU2026RetiradaCMNUCC">
        <w:r>
          <w:rPr>
            <w:rStyle w:val="Hyperlink"/>
            <w:smallCaps/>
          </w:rPr>
          <w:t xml:space="preserve">Secretario General de las Naciones Unidas (depositario)</w:t>
        </w:r>
        <w:r>
          <w:rPr>
            <w:rStyle w:val="Hyperlink"/>
          </w:rPr>
          <w:t xml:space="preserve">, 2026</w:t>
        </w:r>
      </w:hyperlink>
      <w:r>
        <w:t xml:space="preserve">)</w:t>
      </w:r>
      <w:r>
        <w:t xml:space="preserve">. Es el problema del polizón en estado puro.</w:t>
      </w:r>
    </w:p>
    <w:p>
      <w:pPr>
        <w:numPr>
          <w:ilvl w:val="0"/>
          <w:numId w:val="1095"/>
        </w:numPr>
      </w:pPr>
      <w:r>
        <w:rPr>
          <w:i/>
          <w:iCs/>
        </w:rPr>
        <w:t xml:space="preserve">Conclusión</w:t>
      </w:r>
      <w:r>
        <w:t xml:space="preserve">: los acuerdos dan el marco, los objetivos y la financiación, pero no ponen el precio. Por eso ganan peso las vías que no dependen de un acuerdo universal, y la principal es la de la UE, que pasamos a analizar. La cronología completa de las COP y de la política climática europea está en el anexo </w:t>
      </w:r>
      <w:hyperlink w:anchor="anexo_cronologia">
        <w:r>
          <w:rPr>
            <w:rStyle w:val="Hyperlink"/>
          </w:rPr>
          <w:t xml:space="preserve">B</w:t>
        </w:r>
      </w:hyperlink>
      <w:r>
        <w:t xml:space="preserve">.</w:t>
      </w:r>
    </w:p>
    <w:bookmarkEnd w:id="119"/>
    <w:bookmarkEnd w:id="120"/>
    <w:bookmarkStart w:id="140" w:name="sec_medidas"/>
    <w:p>
      <w:pPr>
        <w:pStyle w:val="Heading2"/>
      </w:pPr>
      <w:r>
        <w:t xml:space="preserve">III.4.</w:t>
      </w:r>
      <w:r>
        <w:t xml:space="preserve"> </w:t>
      </w:r>
      <w:r>
        <w:t xml:space="preserve">Las medidas adoptadas: la UE y el resto del mundo</w:t>
      </w:r>
    </w:p>
    <w:bookmarkStart w:id="122" w:name="el_marco_europeo"/>
    <w:p>
      <w:pPr>
        <w:pStyle w:val="Heading4"/>
      </w:pPr>
      <w:r>
        <w:t xml:space="preserve">El marco europeo</w:t>
      </w:r>
    </w:p>
    <w:p>
      <w:pPr>
        <w:keepNext/>
        <w:numPr>
          <w:ilvl w:val="0"/>
          <w:numId w:val="1096"/>
        </w:numPr>
      </w:pPr>
      <w:r>
        <w:t xml:space="preserve">El Pacto Verde Europeo (2019) hizo de la neutralidad climática el eje de la estrategia de crecimiento de la UE, y la</w:t>
      </w:r>
      <w:r>
        <w:t xml:space="preserve"> </w:t>
      </w:r>
      <w:r>
        <w:rPr>
          <w:b/>
          <w:bCs/>
        </w:rPr>
        <w:t xml:space="preserve">Ley Europea del Clima</w:t>
      </w:r>
      <w:r>
        <w:t xml:space="preserve"> </w:t>
      </w:r>
      <w:r>
        <w:t xml:space="preserve">(</w:t>
      </w:r>
      <w:hyperlink w:anchor="ref_UE2021Reglamento1119">
        <w:r>
          <w:rPr>
            <w:rStyle w:val="Hyperlink"/>
            <w:smallCaps/>
          </w:rPr>
          <w:t xml:space="preserve">Parlamento Europeo y Consejo de la Unión Europea</w:t>
        </w:r>
        <w:r>
          <w:rPr>
            <w:rStyle w:val="Hyperlink"/>
          </w:rPr>
          <w:t xml:space="preserve">, 2021a</w:t>
        </w:r>
      </w:hyperlink>
      <w:r>
        <w:t xml:space="preserve">)</w:t>
      </w:r>
      <w:r>
        <w:t xml:space="preserve"> </w:t>
      </w:r>
      <w:r>
        <w:t xml:space="preserve">la convirtió en obligación jurídica:</w:t>
      </w:r>
    </w:p>
    <w:p>
      <w:pPr>
        <w:numPr>
          <w:ilvl w:val="1"/>
          <w:numId w:val="1097"/>
        </w:numPr>
      </w:pPr>
      <w:r>
        <w:t xml:space="preserve">neutralidad climática en 2050;</w:t>
      </w:r>
    </w:p>
    <w:p>
      <w:pPr>
        <w:numPr>
          <w:ilvl w:val="1"/>
          <w:numId w:val="1097"/>
        </w:numPr>
      </w:pPr>
      <w:r>
        <w:t xml:space="preserve">reducción de las emisiones netas de al menos un 55 % en 2030 respecto a 1990;</w:t>
      </w:r>
    </w:p>
    <w:p>
      <w:pPr>
        <w:numPr>
          <w:ilvl w:val="1"/>
          <w:numId w:val="1097"/>
        </w:numPr>
      </w:pPr>
      <w:r>
        <w:t xml:space="preserve">y, desde su reforma de 2026, un 90 % en 2040, del que hasta 5 puntos podrán cubrirse desde 2036 con créditos internacionales</w:t>
      </w:r>
      <w:r>
        <w:t xml:space="preserve"> </w:t>
      </w:r>
      <w:r>
        <w:t xml:space="preserve">(</w:t>
      </w:r>
      <w:hyperlink w:anchor="ref_UE2026Reglamento667">
        <w:r>
          <w:rPr>
            <w:rStyle w:val="Hyperlink"/>
            <w:smallCaps/>
          </w:rPr>
          <w:t xml:space="preserve">Parlamento Europeo y Consejo de la Unión Europea</w:t>
        </w:r>
        <w:r>
          <w:rPr>
            <w:rStyle w:val="Hyperlink"/>
          </w:rPr>
          <w:t xml:space="preserve">, 2026</w:t>
        </w:r>
      </w:hyperlink>
      <w:r>
        <w:t xml:space="preserve">)</w:t>
      </w:r>
      <w:r>
        <w:t xml:space="preserve">.</w:t>
      </w:r>
    </w:p>
    <w:p>
      <w:pPr>
        <w:numPr>
          <w:ilvl w:val="0"/>
          <w:numId w:val="1000"/>
        </w:numPr>
      </w:pPr>
      <w:r>
        <w:t xml:space="preserve">En 2024 las emisiones netas de la UE eran un 37 % menores que en 1990</w:t>
      </w:r>
      <w:r>
        <w:t xml:space="preserve"> </w:t>
      </w:r>
      <w:r>
        <w:t xml:space="preserve">(</w:t>
      </w:r>
      <w:hyperlink w:anchor="ref_AEMA2025Tendencias">
        <w:r>
          <w:rPr>
            <w:rStyle w:val="Hyperlink"/>
            <w:smallCaps/>
          </w:rPr>
          <w:t xml:space="preserve">Agencia Europea de Medio Ambiente</w:t>
        </w:r>
        <w:r>
          <w:rPr>
            <w:rStyle w:val="Hyperlink"/>
          </w:rPr>
          <w:t xml:space="preserve">, 2025</w:t>
        </w:r>
      </w:hyperlink>
      <w:r>
        <w:t xml:space="preserve">)</w:t>
      </w:r>
      <w:r>
        <w:t xml:space="preserve">.</w:t>
      </w:r>
    </w:p>
    <w:p>
      <w:pPr>
        <w:numPr>
          <w:ilvl w:val="0"/>
          <w:numId w:val="1096"/>
        </w:numPr>
      </w:pPr>
      <w:r>
        <w:t xml:space="preserve">El paquete</w:t>
      </w:r>
      <w:r>
        <w:t xml:space="preserve"> </w:t>
      </w:r>
      <w:r>
        <w:rPr>
          <w:b/>
          <w:bCs/>
        </w:rPr>
        <w:t xml:space="preserve">Objetivo 55</w:t>
      </w:r>
      <w:r>
        <w:t xml:space="preserve"> </w:t>
      </w:r>
      <w:r>
        <w:t xml:space="preserve">adaptó la legislación a esas metas: reforma del mercado de derechos, nuevo mercado para edificios y transporte, Fondo Social para el Clima, reparto del esfuerzo entre Estados en los sectores no cubiertos, renovables, eficiencia, coches y el MAFC.</w:t>
      </w:r>
    </w:p>
    <w:p>
      <w:pPr>
        <w:numPr>
          <w:ilvl w:val="0"/>
          <w:numId w:val="1096"/>
        </w:numPr>
      </w:pPr>
      <w:r>
        <w:t xml:space="preserve">El Mecanismo de Recuperación y Resiliencia exige dedicar a la transición ecológica al menos un 37 % de la dotación de cada plan nacional</w:t>
      </w:r>
      <w:r>
        <w:t xml:space="preserve"> </w:t>
      </w:r>
      <w:r>
        <w:t xml:space="preserve">(</w:t>
      </w:r>
      <w:hyperlink w:anchor="ref_UE2021Reglamento241">
        <w:r>
          <w:rPr>
            <w:rStyle w:val="Hyperlink"/>
            <w:smallCaps/>
          </w:rPr>
          <w:t xml:space="preserve">Parlamento Europeo y Consejo de la Unión Europea</w:t>
        </w:r>
        <w:r>
          <w:rPr>
            <w:rStyle w:val="Hyperlink"/>
          </w:rPr>
          <w:t xml:space="preserve">, 2021b</w:t>
        </w:r>
      </w:hyperlink>
      <w:r>
        <w:t xml:space="preserve">, art. 18.4.e))</w:t>
      </w:r>
      <w:r>
        <w:t xml:space="preserve"> </w:t>
      </w:r>
      <w:hyperlink r:id="rId121">
        <w:r>
          <w:rPr>
            <w:rStyle w:val="Referenciaatema"/>
          </w:rPr>
          <w:t xml:space="preserve">[ver tema 3.B.45]</w:t>
        </w:r>
      </w:hyperlink>
      <w:r>
        <w:t xml:space="preserve">.</w:t>
      </w:r>
    </w:p>
    <w:bookmarkEnd w:id="122"/>
    <w:bookmarkStart w:id="127" w:name="el_r__gimen_de_comercio_de_derecho_75429"/>
    <w:p>
      <w:pPr>
        <w:pStyle w:val="Heading4"/>
      </w:pPr>
      <w:r>
        <w:t xml:space="preserve">El Régimen de Comercio de Derechos de Emisión (RCDE)</w:t>
      </w:r>
    </w:p>
    <w:p>
      <w:pPr>
        <w:numPr>
          <w:ilvl w:val="0"/>
          <w:numId w:val="1098"/>
        </w:numPr>
      </w:pPr>
      <w:r>
        <w:t xml:space="preserve">Es el mayor mercado de derechos del mundo por valor y funciona desde 2005</w:t>
      </w:r>
      <w:r>
        <w:t xml:space="preserve"> </w:t>
      </w:r>
      <w:r>
        <w:t xml:space="preserve">(</w:t>
      </w:r>
      <w:hyperlink w:anchor="ref_UE2003Directiva87">
        <w:r>
          <w:rPr>
            <w:rStyle w:val="Hyperlink"/>
            <w:smallCaps/>
          </w:rPr>
          <w:t xml:space="preserve">Parlamento Europeo y Consejo de la Unión Europea</w:t>
        </w:r>
        <w:r>
          <w:rPr>
            <w:rStyle w:val="Hyperlink"/>
          </w:rPr>
          <w:t xml:space="preserve">, 2003</w:t>
        </w:r>
      </w:hyperlink>
      <w:r>
        <w:t xml:space="preserve">)</w:t>
      </w:r>
      <w:r>
        <w:t xml:space="preserve">. Cubre la generación eléctrica, la industria pesada, la aviación dentro de Europa y, desde 2024, el transporte marítimo</w:t>
      </w:r>
      <w:r>
        <w:t xml:space="preserve"> </w:t>
      </w:r>
      <w:hyperlink r:id="rId35">
        <w:r>
          <w:rPr>
            <w:rStyle w:val="Referenciaatema"/>
          </w:rPr>
          <w:t xml:space="preserve">[ver tema 3.A.23]</w:t>
        </w:r>
      </w:hyperlink>
      <w:r>
        <w:t xml:space="preserve">.</w:t>
      </w:r>
    </w:p>
    <w:p>
      <w:pPr>
        <w:numPr>
          <w:ilvl w:val="0"/>
          <w:numId w:val="1098"/>
        </w:numPr>
      </w:pPr>
      <w:r>
        <w:t xml:space="preserve">El tope baja un 4,3 % al año entre 2024 y 2027 y un 4,4 % desde 2028</w:t>
      </w:r>
      <w:r>
        <w:t xml:space="preserve"> </w:t>
      </w:r>
      <w:r>
        <w:t xml:space="preserve">(</w:t>
      </w:r>
      <w:hyperlink w:anchor="ref_CE2025TopeETS">
        <w:r>
          <w:rPr>
            <w:rStyle w:val="Hyperlink"/>
            <w:smallCaps/>
          </w:rPr>
          <w:t xml:space="preserve">Comisión Europea</w:t>
        </w:r>
        <w:r>
          <w:rPr>
            <w:rStyle w:val="Hyperlink"/>
          </w:rPr>
          <w:t xml:space="preserve">, 2025a</w:t>
        </w:r>
      </w:hyperlink>
      <w:r>
        <w:t xml:space="preserve">)</w:t>
      </w:r>
      <w:r>
        <w:t xml:space="preserve">, para que las emisiones cubiertas caigan un 62 % en 2030 respecto a 2005; ya se han reducido a la mitad</w:t>
      </w:r>
      <w:r>
        <w:t xml:space="preserve"> </w:t>
      </w:r>
      <w:r>
        <w:t xml:space="preserve">(</w:t>
      </w:r>
      <w:hyperlink w:anchor="ref_CE2026EmisionesETS2025">
        <w:r>
          <w:rPr>
            <w:rStyle w:val="Hyperlink"/>
            <w:smallCaps/>
          </w:rPr>
          <w:t xml:space="preserve">Comisión Europea</w:t>
        </w:r>
        <w:r>
          <w:rPr>
            <w:rStyle w:val="Hyperlink"/>
          </w:rPr>
          <w:t xml:space="preserve">, 2026d</w:t>
        </w:r>
      </w:hyperlink>
      <w:r>
        <w:t xml:space="preserve">)</w:t>
      </w:r>
      <w:r>
        <w:t xml:space="preserve">. En octubre de 2026 el derecho se subastaba a unos 85 € por tonelada</w:t>
      </w:r>
      <w:r>
        <w:t xml:space="preserve"> </w:t>
      </w:r>
      <w:r>
        <w:t xml:space="preserve">(</w:t>
      </w:r>
      <w:hyperlink w:anchor="ref_EEX2026Subastas">
        <w:r>
          <w:rPr>
            <w:rStyle w:val="Hyperlink"/>
            <w:smallCaps/>
          </w:rPr>
          <w:t xml:space="preserve">European Energy Exchange</w:t>
        </w:r>
        <w:r>
          <w:rPr>
            <w:rStyle w:val="Hyperlink"/>
          </w:rPr>
          <w:t xml:space="preserve">, 2026</w:t>
        </w:r>
      </w:hyperlink>
      <w:r>
        <w:t xml:space="preserve">)</w:t>
      </w:r>
      <w:r>
        <w:t xml:space="preserve"> </w:t>
      </w:r>
      <w:r>
        <w:t xml:space="preserve">(gráfico </w:t>
      </w:r>
      <w:hyperlink w:anchor="fig_precio_rcde">
        <w:r>
          <w:rPr>
            <w:rStyle w:val="Hyperlink"/>
          </w:rPr>
          <w:t xml:space="preserve">6</w:t>
        </w:r>
      </w:hyperlink>
      <w:r>
        <w:t xml:space="preserve">).</w:t>
      </w:r>
    </w:p>
    <w:p>
      <w:pPr>
        <w:numPr>
          <w:ilvl w:val="0"/>
          <w:numId w:val="1098"/>
        </w:numPr>
      </w:pPr>
      <w:r>
        <w:rPr>
          <w:i/>
          <w:iCs/>
        </w:rPr>
        <w:t xml:space="preserve">Evidencia</w:t>
      </w:r>
      <w:r>
        <w:t xml:space="preserve">: el RCDE redujo las emisiones de las empresas manufactureras reguladas entre un 14 y un 16 %, sin reducir su actividad ni trasladar la producción a empresas o países sin regulación: lo lograron invirtiendo para emitir menos por unidad producida</w:t>
      </w:r>
      <w:r>
        <w:t xml:space="preserve"> </w:t>
      </w:r>
      <w:r>
        <w:t xml:space="preserve">(</w:t>
      </w:r>
      <w:hyperlink w:anchor="ref_Colmer2025Pricing">
        <w:r>
          <w:rPr>
            <w:rStyle w:val="Hyperlink"/>
            <w:smallCaps/>
          </w:rPr>
          <w:t xml:space="preserve">Colmer</w:t>
        </w:r>
        <w:r>
          <w:rPr>
            <w:rStyle w:val="Hyperlink"/>
          </w:rPr>
          <w:t xml:space="preserve"> </w:t>
        </w:r>
        <w:r>
          <w:rPr>
            <w:rStyle w:val="Hyperlink"/>
          </w:rPr>
          <w:t xml:space="preserve">et al., 2025</w:t>
        </w:r>
      </w:hyperlink>
      <w:r>
        <w:t xml:space="preserve">)</w:t>
      </w:r>
      <w:r>
        <w:t xml:space="preserve">. En general, las políticas medioambientales actuales apenas han restado competitividad</w:t>
      </w:r>
      <w:r>
        <w:t xml:space="preserve"> </w:t>
      </w:r>
      <w:r>
        <w:t xml:space="preserve">(</w:t>
      </w:r>
      <w:hyperlink w:anchor="ref_DechezlepretreSato2017Impacts">
        <w:r>
          <w:rPr>
            <w:rStyle w:val="Hyperlink"/>
            <w:smallCaps/>
          </w:rPr>
          <w:t xml:space="preserve">Dechezleprêtre</w:t>
        </w:r>
        <w:r>
          <w:rPr>
            <w:rStyle w:val="Hyperlink"/>
          </w:rPr>
          <w:t xml:space="preserve"> </w:t>
        </w:r>
        <w:r>
          <w:rPr>
            <w:rStyle w:val="Hyperlink"/>
          </w:rPr>
          <w:t xml:space="preserve">y</w:t>
        </w:r>
        <w:r>
          <w:rPr>
            <w:rStyle w:val="Hyperlink"/>
          </w:rPr>
          <w:t xml:space="preserve"> </w:t>
        </w:r>
        <w:r>
          <w:rPr>
            <w:rStyle w:val="Hyperlink"/>
            <w:smallCaps/>
          </w:rPr>
          <w:t xml:space="preserve">Sato</w:t>
        </w:r>
        <w:r>
          <w:rPr>
            <w:rStyle w:val="Hyperlink"/>
          </w:rPr>
          <w:t xml:space="preserve">, 2017</w:t>
        </w:r>
      </w:hyperlink>
      <w:r>
        <w:t xml:space="preserve">)</w:t>
      </w:r>
      <w:r>
        <w:t xml:space="preserve">.</w:t>
      </w:r>
    </w:p>
    <w:p>
      <w:pPr>
        <w:numPr>
          <w:ilvl w:val="0"/>
          <w:numId w:val="1098"/>
        </w:numPr>
      </w:pPr>
      <w:r>
        <w:t xml:space="preserve">Desde 2028, un segundo mercado, el RCDE 2, cubrirá los combustibles de los edificios y del transporte por carretera, aguas arriba</w:t>
      </w:r>
      <w:r>
        <w:t xml:space="preserve"> </w:t>
      </w:r>
      <w:r>
        <w:t xml:space="preserve">(</w:t>
      </w:r>
      <w:hyperlink w:anchor="ref_UE2026Reglamento667">
        <w:r>
          <w:rPr>
            <w:rStyle w:val="Hyperlink"/>
            <w:smallCaps/>
          </w:rPr>
          <w:t xml:space="preserve">Parlamento Europeo y Consejo de la Unión Europea</w:t>
        </w:r>
        <w:r>
          <w:rPr>
            <w:rStyle w:val="Hyperlink"/>
          </w:rPr>
          <w:t xml:space="preserve">, 2026</w:t>
        </w:r>
      </w:hyperlink>
      <w:r>
        <w:t xml:space="preserve">)</w:t>
      </w:r>
      <w:r>
        <w:t xml:space="preserve">. Para compensar a los hogares y microempresas vulnerables, el</w:t>
      </w:r>
      <w:r>
        <w:t xml:space="preserve"> </w:t>
      </w:r>
      <w:r>
        <w:rPr>
          <w:b/>
          <w:bCs/>
        </w:rPr>
        <w:t xml:space="preserve">Fondo Social para el Clima</w:t>
      </w:r>
      <w:r>
        <w:t xml:space="preserve"> </w:t>
      </w:r>
      <w:r>
        <w:t xml:space="preserve">tiene 65.000 millones de euros en 2026-2032, que salen sobre todo de los ingresos de ese mercado, así que su retraso los reduce</w:t>
      </w:r>
      <w:r>
        <w:t xml:space="preserve"> </w:t>
      </w:r>
      <w:r>
        <w:t xml:space="preserve">(</w:t>
      </w:r>
      <w:hyperlink w:anchor="ref_UE2023Reglamento955">
        <w:r>
          <w:rPr>
            <w:rStyle w:val="Hyperlink"/>
            <w:smallCaps/>
          </w:rPr>
          <w:t xml:space="preserve">Parlamento Europeo y Consejo de la Unión Europea</w:t>
        </w:r>
        <w:r>
          <w:rPr>
            <w:rStyle w:val="Hyperlink"/>
          </w:rPr>
          <w:t xml:space="preserve">, 2023b</w:t>
        </w:r>
      </w:hyperlink>
      <w:r>
        <w:t xml:space="preserve">;</w:t>
      </w:r>
      <w:r>
        <w:t xml:space="preserve"> </w:t>
      </w:r>
      <w:hyperlink w:anchor="ref_CE2026FondoSocial">
        <w:r>
          <w:rPr>
            <w:rStyle w:val="Hyperlink"/>
            <w:smallCaps/>
          </w:rPr>
          <w:t xml:space="preserve">Comisión Europea</w:t>
        </w:r>
        <w:r>
          <w:rPr>
            <w:rStyle w:val="Hyperlink"/>
          </w:rPr>
          <w:t xml:space="preserve">, 2026c</w:t>
        </w:r>
      </w:hyperlink>
      <w:r>
        <w:t xml:space="preserve">)</w:t>
      </w:r>
      <w:r>
        <w:t xml:space="preserve">.</w:t>
      </w:r>
    </w:p>
    <w:p>
      <w:pPr>
        <w:numPr>
          <w:ilvl w:val="0"/>
          <w:numId w:val="1098"/>
        </w:numPr>
      </w:pPr>
      <w:r>
        <w:t xml:space="preserve">Volvamos a nuestra acería. Si está en la UE, cada tonelada que emite le cuesta unos 85 €: los paga comprando derechos o los deja de ingresar si le sobran los que recibió gratis. El coste de oportunidad es el mismo.</w:t>
      </w:r>
    </w:p>
    <w:bookmarkStart w:id="126" w:name="fig_precio_rcde"/>
    <w:p>
      <w:pPr>
        <w:pStyle w:val="ImageCaption"/>
      </w:pPr>
      <w:r>
        <w:t xml:space="preserve">Gráfico 6.–</w:t>
      </w:r>
      <w:r>
        <w:t xml:space="preserve"> </w:t>
      </w:r>
      <w:r>
        <w:t xml:space="preserve">Precio de adjudicación del derecho de emisión en las subastas del RCDE (€ por tonelada de CO</w:t>
      </w:r>
      <w:r>
        <w:rPr>
          <w:vertAlign w:val="subscript"/>
        </w:rPr>
        <w:t xml:space="preserve">2</w:t>
      </w:r>
      <w:r>
        <w:t xml:space="preserve">)</w:t>
      </w:r>
    </w:p>
    <w:p>
      <w:pPr>
        <w:pStyle w:val="CaptionedFigure"/>
      </w:pPr>
      <w:r>
        <w:drawing>
          <wp:inline>
            <wp:extent cx="3581400" cy="1852255"/>
            <wp:effectExtent b="0" l="0" r="0" t="0"/>
            <wp:docPr descr="Gráfico 6.– Precio de adjudicación del derecho de emisión en las subastas del RCDE (€ por tonelada de CO2)" title="" id="124" name="Picture"/>
            <a:graphic>
              <a:graphicData uri="http://schemas.openxmlformats.org/drawingml/2006/picture">
                <pic:pic>
                  <pic:nvPicPr>
                    <pic:cNvPr descr="C:\Users\vgutierrez\Documents\src\victorgutierrezmarcos.github.io-revision\oposicion\temario\fuentes\3B31\graficos/precio-rcde.png" id="125" name="Picture"/>
                    <pic:cNvPicPr>
                      <a:picLocks noChangeArrowheads="1" noChangeAspect="1"/>
                    </pic:cNvPicPr>
                  </pic:nvPicPr>
                  <pic:blipFill>
                    <a:blip r:embed="rId123"/>
                    <a:stretch>
                      <a:fillRect/>
                    </a:stretch>
                  </pic:blipFill>
                  <pic:spPr bwMode="auto">
                    <a:xfrm>
                      <a:off x="0" y="0"/>
                      <a:ext cx="3581400" cy="1852255"/>
                    </a:xfrm>
                    <a:prstGeom prst="rect">
                      <a:avLst/>
                    </a:prstGeom>
                    <a:noFill/>
                    <a:ln w="9525">
                      <a:noFill/>
                      <a:headEnd/>
                      <a:tailEnd/>
                    </a:ln>
                  </pic:spPr>
                </pic:pic>
              </a:graphicData>
            </a:graphic>
          </wp:inline>
        </w:drawing>
      </w:r>
    </w:p>
    <w:bookmarkEnd w:id="126"/>
    <w:p>
      <w:pPr>
        <w:pStyle w:val="Piedeimagen"/>
      </w:pPr>
      <w:r>
        <w:t xml:space="preserve">Fuente: elaboración propia con datos de EEX</w:t>
      </w:r>
      <w:r>
        <w:t xml:space="preserve"> </w:t>
      </w:r>
      <w:r>
        <w:t xml:space="preserve">(</w:t>
      </w:r>
      <w:hyperlink w:anchor="ref_EEX2026Subastas">
        <w:r>
          <w:rPr>
            <w:rStyle w:val="Hyperlink"/>
            <w:smallCaps/>
          </w:rPr>
          <w:t xml:space="preserve">European Energy Exchange</w:t>
        </w:r>
        <w:r>
          <w:rPr>
            <w:rStyle w:val="Hyperlink"/>
          </w:rPr>
          <w:t xml:space="preserve">, 2026</w:t>
        </w:r>
      </w:hyperlink>
      <w:r>
        <w:t xml:space="preserve">)</w:t>
      </w:r>
      <w:r>
        <w:t xml:space="preserve">. Medias mensuales; octubre de 2026, 85,96 €. La banda va del mínimo al máximo de cada mes.</w:t>
      </w:r>
    </w:p>
    <w:bookmarkEnd w:id="127"/>
    <w:bookmarkStart w:id="138" w:name="el_mecanismo_de_ajuste_en_frontera_36498"/>
    <w:p>
      <w:pPr>
        <w:pStyle w:val="Heading4"/>
      </w:pPr>
      <w:r>
        <w:t xml:space="preserve">El Mecanismo de Ajuste en Frontera por Carbono (MAFC)</w:t>
      </w:r>
    </w:p>
    <w:bookmarkStart w:id="128" w:name="a_idea_2"/>
    <w:p>
      <w:pPr>
        <w:pStyle w:val="Heading5"/>
      </w:pPr>
      <w:r>
        <w:t xml:space="preserve">a) Idea</w:t>
      </w:r>
    </w:p>
    <w:p>
      <w:pPr>
        <w:numPr>
          <w:ilvl w:val="0"/>
          <w:numId w:val="1099"/>
        </w:numPr>
      </w:pPr>
      <w:r>
        <w:t xml:space="preserve">«Allá donde fueres, haz lo que vieres», dice el refrán. El Mecanismo de Ajuste en Frontera por Carbono (MAFC; CBAM en inglés) lo aplica a las importaciones: quien vende en la UE paga por su carbono lo mismo que el productor europeo.</w:t>
      </w:r>
    </w:p>
    <w:p>
      <w:pPr>
        <w:numPr>
          <w:ilvl w:val="0"/>
          <w:numId w:val="1099"/>
        </w:numPr>
      </w:pPr>
      <w:r>
        <w:t xml:space="preserve">Responde a la</w:t>
      </w:r>
      <w:r>
        <w:t xml:space="preserve"> </w:t>
      </w:r>
      <w:r>
        <w:rPr>
          <w:b/>
          <w:bCs/>
        </w:rPr>
        <w:t xml:space="preserve">fuga de carbono</w:t>
      </w:r>
      <w:r>
        <w:t xml:space="preserve">: si la UE pone precio al carbono y sus socios no, la producción intensiva en emisiones puede irse fuera. Las emisiones no bajan, solo se desplazan, y la UE pierde industria.</w:t>
      </w:r>
    </w:p>
    <w:p>
      <w:pPr>
        <w:numPr>
          <w:ilvl w:val="0"/>
          <w:numId w:val="1099"/>
        </w:numPr>
      </w:pPr>
      <w:r>
        <w:t xml:space="preserve">Hasta ahora la UE lo evitaba regalando derechos a los sectores expuestos, lo que debilita el incentivo a reducir. El MAFC los sustituye: cobra en la frontera lo que el RCDE cobra dentro.</w:t>
      </w:r>
    </w:p>
    <w:p>
      <w:pPr>
        <w:numPr>
          <w:ilvl w:val="0"/>
          <w:numId w:val="1099"/>
        </w:numPr>
      </w:pPr>
      <w:r>
        <w:t xml:space="preserve">Es una medida de</w:t>
      </w:r>
      <w:r>
        <w:t xml:space="preserve"> </w:t>
      </w:r>
      <w:r>
        <w:rPr>
          <w:i/>
          <w:iCs/>
        </w:rPr>
        <w:t xml:space="preserve">segundo óptimo</w:t>
      </w:r>
      <w:r>
        <w:t xml:space="preserve">: lo mejor sería un precio mundial único del carbono, igual al coste social; como no existe, se corrige la distorsión en la frontera</w:t>
      </w:r>
      <w:r>
        <w:t xml:space="preserve"> </w:t>
      </w:r>
      <w:hyperlink r:id="rId36">
        <w:r>
          <w:rPr>
            <w:rStyle w:val="Referenciaatema"/>
          </w:rPr>
          <w:t xml:space="preserve">[ver tema 3.A.22]</w:t>
        </w:r>
      </w:hyperlink>
      <w:r>
        <w:t xml:space="preserve">.</w:t>
      </w:r>
    </w:p>
    <w:bookmarkEnd w:id="128"/>
    <w:bookmarkStart w:id="134" w:name="b_modelo_2"/>
    <w:p>
      <w:pPr>
        <w:pStyle w:val="Heading5"/>
      </w:pPr>
      <w:r>
        <w:t xml:space="preserve">b) Modelo</w:t>
      </w:r>
    </w:p>
    <w:p>
      <w:pPr>
        <w:pStyle w:val="FirstParagraph"/>
        <w:keepNext/>
      </w:pPr>
      <w:r>
        <w:rPr>
          <w:i/>
          <w:iCs/>
        </w:rPr>
        <w:t xml:space="preserve">i) Supuestos</w:t>
      </w:r>
    </w:p>
    <w:p>
      <w:pPr>
        <w:keepNext/>
        <w:numPr>
          <w:ilvl w:val="0"/>
          <w:numId w:val="1100"/>
        </w:numPr>
      </w:pPr>
      <w:r>
        <w:rPr>
          <w:i/>
          <w:iCs/>
        </w:rPr>
        <w:t xml:space="preserve">El diseño</w:t>
      </w:r>
      <w:r>
        <w:t xml:space="preserve"> </w:t>
      </w:r>
      <w:r>
        <w:t xml:space="preserve">(</w:t>
      </w:r>
      <w:hyperlink w:anchor="ref_UE2023Reglamento956">
        <w:r>
          <w:rPr>
            <w:rStyle w:val="Hyperlink"/>
            <w:smallCaps/>
          </w:rPr>
          <w:t xml:space="preserve">Parlamento Europeo y Consejo de la Unión Europea</w:t>
        </w:r>
        <w:r>
          <w:rPr>
            <w:rStyle w:val="Hyperlink"/>
          </w:rPr>
          <w:t xml:space="preserve">, 2023c</w:t>
        </w:r>
      </w:hyperlink>
      <w:r>
        <w:t xml:space="preserve">)</w:t>
      </w:r>
      <w:r>
        <w:t xml:space="preserve">:</w:t>
      </w:r>
    </w:p>
    <w:p>
      <w:pPr>
        <w:numPr>
          <w:ilvl w:val="1"/>
          <w:numId w:val="1101"/>
        </w:numPr>
      </w:pPr>
      <w:r>
        <w:rPr>
          <w:i/>
          <w:iCs/>
        </w:rPr>
        <w:t xml:space="preserve">Qué cubre</w:t>
      </w:r>
      <w:r>
        <w:t xml:space="preserve">: las importaciones de cemento, hierro y acero, aluminio, fertilizantes, electricidad e hidrógeno, los sectores con más emisiones y más comercio.</w:t>
      </w:r>
    </w:p>
    <w:p>
      <w:pPr>
        <w:numPr>
          <w:ilvl w:val="1"/>
          <w:numId w:val="1101"/>
        </w:numPr>
      </w:pPr>
      <w:r>
        <w:rPr>
          <w:i/>
          <w:iCs/>
        </w:rPr>
        <w:t xml:space="preserve">Cómo cobra</w:t>
      </w:r>
      <w:r>
        <w:t xml:space="preserve">: el importador compra certificados por las emisiones incorporadas en lo que importa, al precio medio de las subastas del RCDE, y descuenta el precio del carbono que ya se pagó en el país de origen.</w:t>
      </w:r>
    </w:p>
    <w:p>
      <w:pPr>
        <w:numPr>
          <w:ilvl w:val="1"/>
          <w:numId w:val="1101"/>
        </w:numPr>
      </w:pPr>
      <w:r>
        <w:rPr>
          <w:i/>
          <w:iCs/>
        </w:rPr>
        <w:t xml:space="preserve">Al ritmo de la asignación gratuita</w:t>
      </w:r>
      <w:r>
        <w:t xml:space="preserve">: solo paga por la parte de las emisiones que en la UE ya no recibe derechos gratis. Los gratuitos de estos sectores se retiran de forma gradual entre 2026, cuando aún cubren el 97,5 %, y 2034, cuando desaparecen</w:t>
      </w:r>
      <w:r>
        <w:t xml:space="preserve"> </w:t>
      </w:r>
      <w:r>
        <w:t xml:space="preserve">(</w:t>
      </w:r>
      <w:hyperlink w:anchor="ref_UE2023Directiva959">
        <w:r>
          <w:rPr>
            <w:rStyle w:val="Hyperlink"/>
            <w:smallCaps/>
          </w:rPr>
          <w:t xml:space="preserve">Parlamento Europeo y Consejo de la Unión Europea</w:t>
        </w:r>
        <w:r>
          <w:rPr>
            <w:rStyle w:val="Hyperlink"/>
          </w:rPr>
          <w:t xml:space="preserve">, 2023a</w:t>
        </w:r>
      </w:hyperlink>
      <w:r>
        <w:t xml:space="preserve">)</w:t>
      </w:r>
      <w:r>
        <w:t xml:space="preserve">.</w:t>
      </w:r>
    </w:p>
    <w:p>
      <w:pPr>
        <w:numPr>
          <w:ilvl w:val="1"/>
          <w:numId w:val="1101"/>
        </w:numPr>
      </w:pPr>
      <w:r>
        <w:rPr>
          <w:i/>
          <w:iCs/>
        </w:rPr>
        <w:t xml:space="preserve">Calendario</w:t>
      </w:r>
      <w:r>
        <w:t xml:space="preserve">: un periodo transitorio, solo de información, del 1 de octubre de 2023 al 31 de diciembre de 2025, y el régimen definitivo desde el 1 de enero de 2026. Los certificados se venden desde febrero de 2027, y cada año se declara y se paga lo importado el anterior</w:t>
      </w:r>
      <w:r>
        <w:t xml:space="preserve"> </w:t>
      </w:r>
      <w:r>
        <w:t xml:space="preserve">(</w:t>
      </w:r>
      <w:hyperlink w:anchor="ref_CE2026CBAMDefinitivo">
        <w:r>
          <w:rPr>
            <w:rStyle w:val="Hyperlink"/>
            <w:smallCaps/>
          </w:rPr>
          <w:t xml:space="preserve">Comisión Europea</w:t>
        </w:r>
        <w:r>
          <w:rPr>
            <w:rStyle w:val="Hyperlink"/>
          </w:rPr>
          <w:t xml:space="preserve">, 2026a</w:t>
        </w:r>
      </w:hyperlink>
      <w:r>
        <w:t xml:space="preserve">)</w:t>
      </w:r>
      <w:r>
        <w:t xml:space="preserve">.</w:t>
      </w:r>
    </w:p>
    <w:p>
      <w:pPr>
        <w:numPr>
          <w:ilvl w:val="1"/>
          <w:numId w:val="1101"/>
        </w:numPr>
      </w:pPr>
      <w:r>
        <w:rPr>
          <w:i/>
          <w:iCs/>
        </w:rPr>
        <w:t xml:space="preserve">Simplificación</w:t>
      </w:r>
      <w:r>
        <w:t xml:space="preserve">: el Reglamento (UE) 2025/2083, del paquete Ómnibus de octubre de 2025, dejó fuera a los importadores de menos de 50 toneladas al año, que son en torno al 90 % de ellos, pero solo un 1 % de las emisiones</w:t>
      </w:r>
      <w:r>
        <w:t xml:space="preserve"> </w:t>
      </w:r>
      <w:r>
        <w:t xml:space="preserve">(</w:t>
      </w:r>
      <w:hyperlink w:anchor="ref_UE2025Reglamento2083">
        <w:r>
          <w:rPr>
            <w:rStyle w:val="Hyperlink"/>
            <w:smallCaps/>
          </w:rPr>
          <w:t xml:space="preserve">Parlamento Europeo y Consejo de la Unión Europea</w:t>
        </w:r>
        <w:r>
          <w:rPr>
            <w:rStyle w:val="Hyperlink"/>
          </w:rPr>
          <w:t xml:space="preserve">, 2025</w:t>
        </w:r>
      </w:hyperlink>
      <w:r>
        <w:t xml:space="preserve">)</w:t>
      </w:r>
      <w:r>
        <w:t xml:space="preserve">.</w:t>
      </w:r>
    </w:p>
    <w:p>
      <w:pPr>
        <w:numPr>
          <w:ilvl w:val="0"/>
          <w:numId w:val="1100"/>
        </w:numPr>
      </w:pPr>
      <w:r>
        <w:rPr>
          <w:i/>
          <w:iCs/>
        </w:rPr>
        <w:t xml:space="preserve">El modelo del gráfico</w:t>
      </w:r>
      <w:r>
        <w:t xml:space="preserve">: el mercado europeo de un bien cubierto, el acero; la UE es precio-aceptante en el mercado mundial, al precio</w:t>
      </w:r>
      <w:r>
        <w:t xml:space="preserve"> </w:t>
      </w:r>
      <m:oMath>
        <m:sSup>
          <m:e>
            <m:r>
              <m:t>p</m:t>
            </m:r>
          </m:e>
          <m:sup>
            <m:r>
              <m:rPr>
                <m:sty m:val="p"/>
              </m:rPr>
              <m:t>*</m:t>
            </m:r>
          </m:sup>
        </m:sSup>
      </m:oMath>
      <w:r>
        <w:t xml:space="preserve">; el productor extranjero no paga ningún precio del carbono, y el RCDE sube el coste de cada tonelada de acero europeo.</w:t>
      </w:r>
    </w:p>
    <w:p>
      <w:pPr>
        <w:pStyle w:val="FirstParagraph"/>
        <w:keepNext/>
      </w:pPr>
      <w:r>
        <w:rPr>
          <w:i/>
          <w:iCs/>
        </w:rPr>
        <w:t xml:space="preserve">ii) Desarrollo</w:t>
      </w:r>
    </w:p>
    <w:p>
      <w:pPr>
        <w:numPr>
          <w:ilvl w:val="0"/>
          <w:numId w:val="1102"/>
        </w:numPr>
      </w:pPr>
      <w:r>
        <w:t xml:space="preserve">El ajuste por tonelada de producto importado es</w:t>
      </w:r>
      <w:r>
        <w:t xml:space="preserve"> </w:t>
      </w:r>
      <w:bookmarkStart w:id="129" w:name="eq_mafc"/>
      <w:bookmarkEnd w:id="129"/>
    </w:p>
    <w:p>
      <w:pPr>
        <w:pStyle w:val="BodyText"/>
        <w:keepNext/>
      </w:pPr>
      <m:oMathPara>
        <m:oMathParaPr>
          <m:jc m:val="center"/>
        </m:oMathParaPr>
        <m:oMath>
          <m:r>
            <m:t>a</m:t>
          </m:r>
          <m:r>
            <m:rPr>
              <m:sty m:val="p"/>
            </m:rPr>
            <m:t>=</m:t>
          </m:r>
          <m:d>
            <m:dPr>
              <m:begChr m:val="("/>
              <m:sepChr m:val=""/>
              <m:endChr m:val=")"/>
              <m:grow/>
            </m:dPr>
            <m:e>
              <m:sSub>
                <m:e>
                  <m:r>
                    <m:t>p</m:t>
                  </m:r>
                </m:e>
                <m:sub>
                  <m:r>
                    <m:t>E</m:t>
                  </m:r>
                </m:sub>
              </m:sSub>
              <m:r>
                <m:rPr>
                  <m:sty m:val="p"/>
                </m:rPr>
                <m:t>−</m:t>
              </m:r>
              <m:sSubSup>
                <m:e>
                  <m:r>
                    <m:t>p</m:t>
                  </m:r>
                </m:e>
                <m:sub>
                  <m:r>
                    <m:t>E</m:t>
                  </m:r>
                </m:sub>
                <m:sup>
                  <m:r>
                    <m:rPr>
                      <m:sty m:val="p"/>
                    </m:rPr>
                    <m:t>*</m:t>
                  </m:r>
                </m:sup>
              </m:sSubSup>
            </m:e>
          </m:d>
          <m:r>
            <m:t> </m:t>
          </m:r>
          <m:sSup>
            <m:e>
              <m:r>
                <m:t>σ</m:t>
              </m:r>
            </m:e>
            <m:sup>
              <m:r>
                <m:t>M</m:t>
              </m:r>
            </m:sup>
          </m:sSup>
          <m:r>
            <m:rPr>
              <m:sty m:val="p"/>
            </m:rPr>
            <m:t>,</m:t>
          </m:r>
        </m:oMath>
      </m:oMathPara>
    </w:p>
    <w:p>
      <w:pPr>
        <w:numPr>
          <w:ilvl w:val="0"/>
          <w:numId w:val="1000"/>
        </w:numPr>
      </w:pPr>
      <w:r>
        <w:t xml:space="preserve">con</w:t>
      </w:r>
      <w:r>
        <w:t xml:space="preserve"> </w:t>
      </w:r>
      <m:oMath>
        <m:sSub>
          <m:e>
            <m:r>
              <m:t>p</m:t>
            </m:r>
          </m:e>
          <m:sub>
            <m:r>
              <m:t>E</m:t>
            </m:r>
          </m:sub>
        </m:sSub>
      </m:oMath>
      <w:r>
        <w:t xml:space="preserve"> </w:t>
      </w:r>
      <w:r>
        <w:t xml:space="preserve">el precio del derecho en el RCDE,</w:t>
      </w:r>
      <w:r>
        <w:t xml:space="preserve"> </w:t>
      </w:r>
      <m:oMath>
        <m:sSubSup>
          <m:e>
            <m:r>
              <m:t>p</m:t>
            </m:r>
          </m:e>
          <m:sub>
            <m:r>
              <m:t>E</m:t>
            </m:r>
          </m:sub>
          <m:sup>
            <m:r>
              <m:rPr>
                <m:sty m:val="p"/>
              </m:rPr>
              <m:t>*</m:t>
            </m:r>
          </m:sup>
        </m:sSubSup>
      </m:oMath>
      <w:r>
        <w:t xml:space="preserve"> </w:t>
      </w:r>
      <w:r>
        <w:t xml:space="preserve">el precio del carbono pagado en origen y</w:t>
      </w:r>
      <w:r>
        <w:t xml:space="preserve"> </w:t>
      </w:r>
      <m:oMath>
        <m:sSup>
          <m:e>
            <m:r>
              <m:t>σ</m:t>
            </m:r>
          </m:e>
          <m:sup>
            <m:r>
              <m:t>M</m:t>
            </m:r>
          </m:sup>
        </m:sSup>
      </m:oMath>
      <w:r>
        <w:t xml:space="preserve"> </w:t>
      </w:r>
      <w:r>
        <w:t xml:space="preserve">las toneladas de CO</w:t>
      </w:r>
      <w:r>
        <w:rPr>
          <w:vertAlign w:val="subscript"/>
        </w:rPr>
        <w:t xml:space="preserve">2</w:t>
      </w:r>
      <w:r>
        <w:t xml:space="preserve"> </w:t>
      </w:r>
      <w:r>
        <w:t xml:space="preserve">incorporadas en una tonelada importada (la intensidad de emisiones</w:t>
      </w:r>
      <w:r>
        <w:t xml:space="preserve"> </w:t>
      </w:r>
      <m:oMath>
        <m:r>
          <m:t>σ</m:t>
        </m:r>
      </m:oMath>
      <w:r>
        <w:t xml:space="preserve"> </w:t>
      </w:r>
      <w:r>
        <w:t xml:space="preserve">del DICE, ahora del producto importado). Mientras dure la asignación gratuita, el ajuste se aplica solo a la parte de las emisiones que ya no la recibe.</w:t>
      </w:r>
    </w:p>
    <w:p>
      <w:pPr>
        <w:keepNext/>
        <w:numPr>
          <w:ilvl w:val="0"/>
          <w:numId w:val="1102"/>
        </w:numPr>
      </w:pPr>
      <w:r>
        <w:rPr>
          <w:i/>
          <w:iCs/>
        </w:rPr>
        <w:t xml:space="preserve">Interpretación gráfica</w:t>
      </w:r>
      <w:r>
        <w:t xml:space="preserve"> </w:t>
      </w:r>
      <w:r>
        <w:t xml:space="preserve">(gráfico </w:t>
      </w:r>
      <w:hyperlink w:anchor="fig_mafc">
        <w:r>
          <w:rPr>
            <w:rStyle w:val="Hyperlink"/>
          </w:rPr>
          <w:t xml:space="preserve">7</w:t>
        </w:r>
      </w:hyperlink>
      <w:r>
        <w:t xml:space="preserve">, en unidades del ejemplo), en 3 pasos:</w:t>
      </w:r>
    </w:p>
    <w:p>
      <w:pPr>
        <w:numPr>
          <w:ilvl w:val="1"/>
          <w:numId w:val="1103"/>
        </w:numPr>
      </w:pPr>
      <w:r>
        <w:rPr>
          <w:i/>
          <w:iCs/>
        </w:rPr>
        <w:t xml:space="preserve">Sin política</w:t>
      </w:r>
      <w:r>
        <w:t xml:space="preserve">: al precio mundial, la UE produce 3, consume 6 e importa 3.</w:t>
      </w:r>
    </w:p>
    <w:p>
      <w:pPr>
        <w:numPr>
          <w:ilvl w:val="1"/>
          <w:numId w:val="1103"/>
        </w:numPr>
      </w:pPr>
      <w:r>
        <w:rPr>
          <w:i/>
          <w:iCs/>
        </w:rPr>
        <w:t xml:space="preserve">RCDE sin ajuste</w:t>
      </w:r>
      <w:r>
        <w:t xml:space="preserve">: el precio del carbono sube la oferta europea; al mismo precio mundial, la UE produce 1,5 e importa 4,5. Esa producción, y sus emisiones, se han ido fuera: es la fuga.</w:t>
      </w:r>
    </w:p>
    <w:p>
      <w:pPr>
        <w:numPr>
          <w:ilvl w:val="1"/>
          <w:numId w:val="1103"/>
        </w:numPr>
      </w:pPr>
      <w:r>
        <w:rPr>
          <w:i/>
          <w:iCs/>
        </w:rPr>
        <w:t xml:space="preserve">RCDE con ajuste</w:t>
      </w:r>
      <w:r>
        <w:t xml:space="preserve">: las importaciones pagan el mismo coste del carbono y el precio sube a</w:t>
      </w:r>
      <w:r>
        <w:t xml:space="preserve"> </w:t>
      </w:r>
      <m:oMath>
        <m:sSup>
          <m:e>
            <m:r>
              <m:t>p</m:t>
            </m:r>
          </m:e>
          <m:sup>
            <m:r>
              <m:rPr>
                <m:sty m:val="p"/>
              </m:rPr>
              <m:t>*</m:t>
            </m:r>
          </m:sup>
        </m:sSup>
        <m:r>
          <m:rPr>
            <m:sty m:val="p"/>
          </m:rPr>
          <m:t>+</m:t>
        </m:r>
        <m:r>
          <m:t>a</m:t>
        </m:r>
      </m:oMath>
      <w:r>
        <w:t xml:space="preserve">. La UE vuelve a producir 3, el consumo baja a 4,5 y se importan 1,5, por los que se recauda</w:t>
      </w:r>
      <w:r>
        <w:t xml:space="preserve"> </w:t>
      </w:r>
      <m:oMath>
        <m:r>
          <m:t>a</m:t>
        </m:r>
        <m:r>
          <m:rPr>
            <m:sty m:val="p"/>
          </m:rPr>
          <m:t>⋅</m:t>
        </m:r>
        <m:r>
          <m:t>M</m:t>
        </m:r>
      </m:oMath>
      <w:r>
        <w:t xml:space="preserve"> </w:t>
      </w:r>
      <w:r>
        <w:t xml:space="preserve">(el rectángulo sombreado del gráfico </w:t>
      </w:r>
      <w:hyperlink w:anchor="fig_mafc">
        <w:r>
          <w:rPr>
            <w:rStyle w:val="Hyperlink"/>
          </w:rPr>
          <w:t xml:space="preserve">7</w:t>
        </w:r>
      </w:hyperlink>
      <w:r>
        <w:t xml:space="preserve">).</w:t>
      </w:r>
    </w:p>
    <w:p>
      <w:pPr>
        <w:keepNext/>
        <w:numPr>
          <w:ilvl w:val="0"/>
          <w:numId w:val="1000"/>
        </w:numPr>
      </w:pPr>
      <w:r>
        <w:t xml:space="preserve">El ajuste no protege a la industria europea frente a la competencia, sino frente a una competencia que no paga su carbono; y el consumo cae porque el acero pasa a pagar su coste climático.</w:t>
      </w:r>
    </w:p>
    <w:p>
      <w:pPr>
        <w:numPr>
          <w:ilvl w:val="1"/>
          <w:numId w:val="1104"/>
        </w:numPr>
      </w:pPr>
      <w:r>
        <w:t xml:space="preserve">Volvamos a nuestra acería, ahora fuera de la UE, en un país sin precio del carbono, y que vende su acero en la UE. Cuando acabe la retirada de los derechos gratuitos, su importador pagará por cada tonelada de CO</w:t>
      </w:r>
      <w:r>
        <w:rPr>
          <w:vertAlign w:val="subscript"/>
        </w:rPr>
        <w:t xml:space="preserve">2</w:t>
      </w:r>
      <w:r>
        <w:t xml:space="preserve"> </w:t>
      </w:r>
      <w:r>
        <w:t xml:space="preserve">incorporada lo mismo que una acería europea: en el tercer trimestre de 2026, el certificado costaba 82,32 €</w:t>
      </w:r>
      <w:r>
        <w:t xml:space="preserve"> </w:t>
      </w:r>
      <w:r>
        <w:t xml:space="preserve">(</w:t>
      </w:r>
      <w:hyperlink w:anchor="ref_CE2026PrecioCBAM">
        <w:r>
          <w:rPr>
            <w:rStyle w:val="Hyperlink"/>
            <w:smallCaps/>
          </w:rPr>
          <w:t xml:space="preserve">Comisión Europea</w:t>
        </w:r>
        <w:r>
          <w:rPr>
            <w:rStyle w:val="Hyperlink"/>
          </w:rPr>
          <w:t xml:space="preserve">, 2026b</w:t>
        </w:r>
      </w:hyperlink>
      <w:r>
        <w:t xml:space="preserve">)</w:t>
      </w:r>
      <w:r>
        <w:t xml:space="preserve">. Si la acería emite menos por tonelada de acero, su</w:t>
      </w:r>
      <w:r>
        <w:t xml:space="preserve"> </w:t>
      </w:r>
      <m:oMath>
        <m:sSup>
          <m:e>
            <m:r>
              <m:t>σ</m:t>
            </m:r>
          </m:e>
          <m:sup>
            <m:r>
              <m:t>M</m:t>
            </m:r>
          </m:sup>
        </m:sSup>
      </m:oMath>
      <w:r>
        <w:t xml:space="preserve"> </w:t>
      </w:r>
      <w:r>
        <w:t xml:space="preserve">es menor y paga menos; si su país pone un precio al carbono, se descuenta. El incentivo llega a la fábrica de fuera.</w:t>
      </w:r>
    </w:p>
    <w:bookmarkStart w:id="133" w:name="fig_mafc"/>
    <w:p>
      <w:pPr>
        <w:pStyle w:val="ImageCaption"/>
      </w:pPr>
      <w:r>
        <w:t xml:space="preserve">Gráfico 7.–</w:t>
      </w:r>
      <w:r>
        <w:t xml:space="preserve"> </w:t>
      </w:r>
      <w:r>
        <w:t xml:space="preserve">El MAFC en el mercado europeo del acero: el RCDE sin ajuste provoca fuga; el ajuste la corrige</w:t>
      </w:r>
    </w:p>
    <w:p>
      <w:pPr>
        <w:pStyle w:val="CaptionedFigure"/>
      </w:pPr>
      <w:r>
        <w:drawing>
          <wp:inline>
            <wp:extent cx="3425177" cy="2581115"/>
            <wp:effectExtent b="0" l="0" r="0" t="0"/>
            <wp:docPr descr="Gráfico 7.– El MAFC en el mercado europeo del acero: el RCDE sin ajuste provoca fuga; el ajuste la corrige" title="" id="131" name="Picture"/>
            <a:graphic>
              <a:graphicData uri="http://schemas.openxmlformats.org/drawingml/2006/picture">
                <pic:pic>
                  <pic:nvPicPr>
                    <pic:cNvPr descr="C:\Users\vgutierrez\Documents\src\victorgutierrezmarcos.github.io-revision\oposicion\temario\fuentes\3B31\graficos/mafc.png" id="132" name="Picture"/>
                    <pic:cNvPicPr>
                      <a:picLocks noChangeArrowheads="1" noChangeAspect="1"/>
                    </pic:cNvPicPr>
                  </pic:nvPicPr>
                  <pic:blipFill>
                    <a:blip r:embed="rId130"/>
                    <a:stretch>
                      <a:fillRect/>
                    </a:stretch>
                  </pic:blipFill>
                  <pic:spPr bwMode="auto">
                    <a:xfrm>
                      <a:off x="0" y="0"/>
                      <a:ext cx="3425177" cy="2581115"/>
                    </a:xfrm>
                    <a:prstGeom prst="rect">
                      <a:avLst/>
                    </a:prstGeom>
                    <a:noFill/>
                    <a:ln w="9525">
                      <a:noFill/>
                      <a:headEnd/>
                      <a:tailEnd/>
                    </a:ln>
                  </pic:spPr>
                </pic:pic>
              </a:graphicData>
            </a:graphic>
          </wp:inline>
        </w:drawing>
      </w:r>
    </w:p>
    <w:bookmarkEnd w:id="133"/>
    <w:p>
      <w:pPr>
        <w:pStyle w:val="Piedeimagen"/>
      </w:pPr>
      <w:r>
        <w:t xml:space="preserve">Fuente: elaboración propia a partir de</w:t>
      </w:r>
      <w:r>
        <w:t xml:space="preserve"> </w:t>
      </w:r>
      <w:r>
        <w:rPr>
          <w:smallCaps/>
        </w:rPr>
        <w:t xml:space="preserve">Parlamento Europeo y Consejo de la Unión Europea</w:t>
      </w:r>
      <w:r>
        <w:t xml:space="preserve"> </w:t>
      </w:r>
      <w:r>
        <w:t xml:space="preserve">(</w:t>
      </w:r>
      <w:hyperlink w:anchor="ref_UE2023Reglamento956">
        <w:r>
          <w:rPr>
            <w:rStyle w:val="Hyperlink"/>
          </w:rPr>
          <w:t xml:space="preserve">2023c</w:t>
        </w:r>
      </w:hyperlink>
      <w:r>
        <w:t xml:space="preserve">)</w:t>
      </w:r>
      <w:r>
        <w:t xml:space="preserve"> </w:t>
      </w:r>
      <w:r>
        <w:t xml:space="preserve">y</w:t>
      </w:r>
      <w:r>
        <w:t xml:space="preserve"> </w:t>
      </w:r>
      <w:r>
        <w:rPr>
          <w:smallCaps/>
        </w:rPr>
        <w:t xml:space="preserve">Böhringer</w:t>
      </w:r>
      <w:r>
        <w:t xml:space="preserve"> </w:t>
      </w:r>
      <w:r>
        <w:t xml:space="preserve">et al. (</w:t>
      </w:r>
      <w:hyperlink w:anchor="ref_Bohringer2022Potential">
        <w:r>
          <w:rPr>
            <w:rStyle w:val="Hyperlink"/>
          </w:rPr>
          <w:t xml:space="preserve">2022</w:t>
        </w:r>
      </w:hyperlink>
      <w:r>
        <w:t xml:space="preserve">)</w:t>
      </w:r>
      <w:r>
        <w:t xml:space="preserve">.</w:t>
      </w:r>
    </w:p>
    <w:p>
      <w:pPr>
        <w:pStyle w:val="BodyText"/>
        <w:keepNext/>
      </w:pPr>
      <w:r>
        <w:rPr>
          <w:i/>
          <w:iCs/>
        </w:rPr>
        <w:t xml:space="preserve">iii) Implicaciones</w:t>
      </w:r>
    </w:p>
    <w:p>
      <w:pPr>
        <w:numPr>
          <w:ilvl w:val="0"/>
          <w:numId w:val="1105"/>
        </w:numPr>
      </w:pPr>
      <w:r>
        <w:t xml:space="preserve">Mantiene el incentivo a reducir de los productores europeos sin exponerlos a la fuga, y permite retirar los derechos gratuitos.</w:t>
      </w:r>
    </w:p>
    <w:p>
      <w:pPr>
        <w:numPr>
          <w:ilvl w:val="0"/>
          <w:numId w:val="1105"/>
        </w:numPr>
      </w:pPr>
      <w:r>
        <w:t xml:space="preserve">Da a los exportadores de fuera un incentivo para descarbonizarse y a sus gobiernos para poner su propio precio del carbono: si lo hacen, recaudan ellos y no la UE.</w:t>
      </w:r>
    </w:p>
    <w:p>
      <w:pPr>
        <w:numPr>
          <w:ilvl w:val="0"/>
          <w:numId w:val="1105"/>
        </w:numPr>
      </w:pPr>
      <w:r>
        <w:t xml:space="preserve">Genera ingresos: la Comisión ha propuesto que el 75 % vaya al presupuesto de la UE como nuevo recurso propio desde 2028, unos 1.400 millones de euros al año</w:t>
      </w:r>
      <w:r>
        <w:t xml:space="preserve"> </w:t>
      </w:r>
      <w:r>
        <w:t xml:space="preserve">(</w:t>
      </w:r>
      <w:hyperlink w:anchor="ref_EY2025RecursosPropios">
        <w:r>
          <w:rPr>
            <w:rStyle w:val="Hyperlink"/>
            <w:smallCaps/>
          </w:rPr>
          <w:t xml:space="preserve">EY</w:t>
        </w:r>
        <w:r>
          <w:rPr>
            <w:rStyle w:val="Hyperlink"/>
          </w:rPr>
          <w:t xml:space="preserve">, 2025</w:t>
        </w:r>
      </w:hyperlink>
      <w:r>
        <w:t xml:space="preserve">)</w:t>
      </w:r>
      <w:r>
        <w:t xml:space="preserve"> </w:t>
      </w:r>
      <w:hyperlink r:id="rId22">
        <w:r>
          <w:rPr>
            <w:rStyle w:val="Referenciaatema"/>
          </w:rPr>
          <w:t xml:space="preserve">[ver tema 3.B.37]</w:t>
        </w:r>
      </w:hyperlink>
      <w:r>
        <w:t xml:space="preserve">.</w:t>
      </w:r>
    </w:p>
    <w:bookmarkEnd w:id="134"/>
    <w:bookmarkStart w:id="135" w:name="c_extensiones_2"/>
    <w:p>
      <w:pPr>
        <w:pStyle w:val="Heading5"/>
      </w:pPr>
      <w:r>
        <w:t xml:space="preserve">c) Extensiones</w:t>
      </w:r>
    </w:p>
    <w:p>
      <w:pPr>
        <w:numPr>
          <w:ilvl w:val="0"/>
          <w:numId w:val="1106"/>
        </w:numPr>
      </w:pPr>
      <w:r>
        <w:rPr>
          <w:i/>
          <w:iCs/>
        </w:rPr>
        <w:t xml:space="preserve">Aguas abajo</w:t>
      </w:r>
      <w:r>
        <w:t xml:space="preserve">: el 17 de diciembre de 2025 la Comisión propuso extenderlo desde 2028 a unos 180 productos transformados de acero y aluminio y endurecer las reglas contra la elusión</w:t>
      </w:r>
      <w:r>
        <w:t xml:space="preserve"> </w:t>
      </w:r>
      <w:r>
        <w:t xml:space="preserve">(</w:t>
      </w:r>
      <w:hyperlink w:anchor="ref_CE2025COM989">
        <w:r>
          <w:rPr>
            <w:rStyle w:val="Hyperlink"/>
            <w:smallCaps/>
          </w:rPr>
          <w:t xml:space="preserve">Comisión Europea</w:t>
        </w:r>
        <w:r>
          <w:rPr>
            <w:rStyle w:val="Hyperlink"/>
          </w:rPr>
          <w:t xml:space="preserve">, 2025b</w:t>
        </w:r>
      </w:hyperlink>
      <w:r>
        <w:t xml:space="preserve">)</w:t>
      </w:r>
      <w:r>
        <w:t xml:space="preserve">. El Consejo y el Parlamento piden más productos, y a finales de octubre de 2026 la propuesta seguía en negociación entre las 2 instituciones</w:t>
      </w:r>
      <w:r>
        <w:t xml:space="preserve"> </w:t>
      </w:r>
      <w:r>
        <w:t xml:space="preserve">(</w:t>
      </w:r>
      <w:hyperlink w:anchor="ref_MayerBrown2026CBAM">
        <w:r>
          <w:rPr>
            <w:rStyle w:val="Hyperlink"/>
            <w:smallCaps/>
          </w:rPr>
          <w:t xml:space="preserve">Mayer Brown</w:t>
        </w:r>
        <w:r>
          <w:rPr>
            <w:rStyle w:val="Hyperlink"/>
          </w:rPr>
          <w:t xml:space="preserve">, 2026</w:t>
        </w:r>
      </w:hyperlink>
      <w:r>
        <w:t xml:space="preserve">)</w:t>
      </w:r>
      <w:r>
        <w:t xml:space="preserve">.</w:t>
      </w:r>
    </w:p>
    <w:p>
      <w:pPr>
        <w:numPr>
          <w:ilvl w:val="0"/>
          <w:numId w:val="1106"/>
        </w:numPr>
      </w:pPr>
      <w:r>
        <w:rPr>
          <w:i/>
          <w:iCs/>
        </w:rPr>
        <w:t xml:space="preserve">El calendario</w:t>
      </w:r>
      <w:r>
        <w:t xml:space="preserve">: la reforma del RCDE que la Comisión propuso en julio de 2026 retrasaría de 2034 a 2038 el fin de la asignación gratuita en los sectores del MAFC</w:t>
      </w:r>
      <w:r>
        <w:t xml:space="preserve"> </w:t>
      </w:r>
      <w:r>
        <w:t xml:space="preserve">(</w:t>
      </w:r>
      <w:hyperlink w:anchor="ref_EPRS2026RevisionETS">
        <w:r>
          <w:rPr>
            <w:rStyle w:val="Hyperlink"/>
            <w:smallCaps/>
          </w:rPr>
          <w:t xml:space="preserve">Servicio de Estudios del Parlamento Europeo</w:t>
        </w:r>
        <w:r>
          <w:rPr>
            <w:rStyle w:val="Hyperlink"/>
          </w:rPr>
          <w:t xml:space="preserve">, 2026</w:t>
        </w:r>
      </w:hyperlink>
      <w:r>
        <w:t xml:space="preserve">)</w:t>
      </w:r>
      <w:r>
        <w:t xml:space="preserve">.</w:t>
      </w:r>
    </w:p>
    <w:p>
      <w:pPr>
        <w:numPr>
          <w:ilvl w:val="0"/>
          <w:numId w:val="1106"/>
        </w:numPr>
      </w:pPr>
      <w:r>
        <w:rPr>
          <w:i/>
          <w:iCs/>
        </w:rPr>
        <w:t xml:space="preserve">Otros países</w:t>
      </w:r>
      <w:r>
        <w:t xml:space="preserve">: el Reino Unido aplicará su propio ajuste desde el 1 de enero de 2027, como impuesto y sin la electricidad</w:t>
      </w:r>
      <w:r>
        <w:t xml:space="preserve"> </w:t>
      </w:r>
      <w:r>
        <w:t xml:space="preserve">(</w:t>
      </w:r>
      <w:hyperlink w:anchor="ref_HMRC2025CBAM">
        <w:r>
          <w:rPr>
            <w:rStyle w:val="Hyperlink"/>
            <w:smallCaps/>
          </w:rPr>
          <w:t xml:space="preserve">HM Revenue &amp; Customs y HM Treasury</w:t>
        </w:r>
        <w:r>
          <w:rPr>
            <w:rStyle w:val="Hyperlink"/>
          </w:rPr>
          <w:t xml:space="preserve">, 2025</w:t>
        </w:r>
      </w:hyperlink>
      <w:r>
        <w:t xml:space="preserve">)</w:t>
      </w:r>
      <w:r>
        <w:t xml:space="preserve">.</w:t>
      </w:r>
    </w:p>
    <w:bookmarkEnd w:id="135"/>
    <w:bookmarkStart w:id="136" w:name="d_evidencia_emp__rica_2"/>
    <w:p>
      <w:pPr>
        <w:pStyle w:val="Heading5"/>
      </w:pPr>
      <w:r>
        <w:t xml:space="preserve">d) Evidencia empírica</w:t>
      </w:r>
    </w:p>
    <w:p>
      <w:pPr>
        <w:numPr>
          <w:ilvl w:val="0"/>
          <w:numId w:val="1107"/>
        </w:numPr>
      </w:pPr>
      <w:r>
        <w:t xml:space="preserve">Es pronto para evaluarlo</w:t>
      </w:r>
      <w:r>
        <w:t xml:space="preserve"> </w:t>
      </w:r>
      <w:r>
        <w:rPr>
          <w:i/>
          <w:iCs/>
        </w:rPr>
        <w:t xml:space="preserve">ex post</w:t>
      </w:r>
      <w:r>
        <w:t xml:space="preserve">. Los modelos de equilibrio general computable estiman fugas moderadas, que los ajustes en frontera reducen; pero su efecto sobre las emisiones mundiales es pequeño, y trasladan parte del coste a los países exportadores, a menudo en desarrollo</w:t>
      </w:r>
      <w:r>
        <w:t xml:space="preserve"> </w:t>
      </w:r>
      <w:r>
        <w:t xml:space="preserve">(</w:t>
      </w:r>
      <w:hyperlink w:anchor="ref_Bohringer2012Role">
        <w:r>
          <w:rPr>
            <w:rStyle w:val="Hyperlink"/>
            <w:smallCaps/>
          </w:rPr>
          <w:t xml:space="preserve">Böhringer</w:t>
        </w:r>
        <w:r>
          <w:rPr>
            <w:rStyle w:val="Hyperlink"/>
          </w:rPr>
          <w:t xml:space="preserve">,</w:t>
        </w:r>
        <w:r>
          <w:rPr>
            <w:rStyle w:val="Hyperlink"/>
          </w:rPr>
          <w:t xml:space="preserve"> </w:t>
        </w:r>
        <w:r>
          <w:rPr>
            <w:rStyle w:val="Hyperlink"/>
            <w:smallCaps/>
          </w:rPr>
          <w:t xml:space="preserve">Balistreri</w:t>
        </w:r>
        <w:r>
          <w:rPr>
            <w:rStyle w:val="Hyperlink"/>
          </w:rPr>
          <w:t xml:space="preserve"> </w:t>
        </w:r>
        <w:r>
          <w:rPr>
            <w:rStyle w:val="Hyperlink"/>
          </w:rPr>
          <w:t xml:space="preserve">y</w:t>
        </w:r>
        <w:r>
          <w:rPr>
            <w:rStyle w:val="Hyperlink"/>
          </w:rPr>
          <w:t xml:space="preserve"> </w:t>
        </w:r>
        <w:r>
          <w:rPr>
            <w:rStyle w:val="Hyperlink"/>
            <w:smallCaps/>
          </w:rPr>
          <w:t xml:space="preserve">Rutherford</w:t>
        </w:r>
        <w:r>
          <w:rPr>
            <w:rStyle w:val="Hyperlink"/>
          </w:rPr>
          <w:t xml:space="preserve">, 2012</w:t>
        </w:r>
      </w:hyperlink>
      <w:r>
        <w:t xml:space="preserve">;</w:t>
      </w:r>
      <w:r>
        <w:t xml:space="preserve"> </w:t>
      </w:r>
      <w:hyperlink w:anchor="ref_Bohringer2022Potential">
        <w:r>
          <w:rPr>
            <w:rStyle w:val="Hyperlink"/>
            <w:smallCaps/>
          </w:rPr>
          <w:t xml:space="preserve">Böhringer</w:t>
        </w:r>
        <w:r>
          <w:rPr>
            <w:rStyle w:val="Hyperlink"/>
          </w:rPr>
          <w:t xml:space="preserve"> </w:t>
        </w:r>
        <w:r>
          <w:rPr>
            <w:rStyle w:val="Hyperlink"/>
          </w:rPr>
          <w:t xml:space="preserve">et al., 2022</w:t>
        </w:r>
      </w:hyperlink>
      <w:r>
        <w:t xml:space="preserve">)</w:t>
      </w:r>
      <w:r>
        <w:t xml:space="preserve">.</w:t>
      </w:r>
    </w:p>
    <w:p>
      <w:pPr>
        <w:numPr>
          <w:ilvl w:val="0"/>
          <w:numId w:val="1107"/>
        </w:numPr>
      </w:pPr>
      <w:r>
        <w:t xml:space="preserve">La evidencia del RCDE apunta a que la fuga ha sido escasa hasta ahora</w:t>
      </w:r>
      <w:r>
        <w:t xml:space="preserve"> </w:t>
      </w:r>
      <w:r>
        <w:t xml:space="preserve">(</w:t>
      </w:r>
      <w:hyperlink w:anchor="ref_Colmer2025Pricing">
        <w:r>
          <w:rPr>
            <w:rStyle w:val="Hyperlink"/>
            <w:smallCaps/>
          </w:rPr>
          <w:t xml:space="preserve">Colmer</w:t>
        </w:r>
        <w:r>
          <w:rPr>
            <w:rStyle w:val="Hyperlink"/>
          </w:rPr>
          <w:t xml:space="preserve"> </w:t>
        </w:r>
        <w:r>
          <w:rPr>
            <w:rStyle w:val="Hyperlink"/>
          </w:rPr>
          <w:t xml:space="preserve">et al., 2025</w:t>
        </w:r>
      </w:hyperlink>
      <w:r>
        <w:t xml:space="preserve">)</w:t>
      </w:r>
      <w:r>
        <w:t xml:space="preserve">, en parte porque los sectores expuestos recibían derechos gratis: el riesgo crecerá a medida que se retiren.</w:t>
      </w:r>
    </w:p>
    <w:bookmarkEnd w:id="136"/>
    <w:bookmarkStart w:id="137" w:name="e_valoraci__n_2"/>
    <w:p>
      <w:pPr>
        <w:pStyle w:val="Heading5"/>
      </w:pPr>
      <w:r>
        <w:t xml:space="preserve">e) Valoración</w:t>
      </w:r>
    </w:p>
    <w:p>
      <w:pPr>
        <w:numPr>
          <w:ilvl w:val="0"/>
          <w:numId w:val="1108"/>
        </w:numPr>
      </w:pPr>
      <w:r>
        <w:rPr>
          <w:i/>
          <w:iCs/>
        </w:rPr>
        <w:t xml:space="preserve">OMC</w:t>
      </w:r>
      <w:r>
        <w:t xml:space="preserve">: para no discriminar, el MAFC replica el precio interno del carbono (trato nacional, art. III del Acuerdo General sobre Aranceles Aduaneros y Comercio, GATT) y, si se discutiera, podría ampararse en las excepciones medioambientales de su art. XX, siempre que no sea una discriminación arbitraria ni una restricción encubierta del comercio</w:t>
      </w:r>
      <w:r>
        <w:t xml:space="preserve"> </w:t>
      </w:r>
      <w:hyperlink r:id="rId109">
        <w:r>
          <w:rPr>
            <w:rStyle w:val="Referenciaatema"/>
          </w:rPr>
          <w:t xml:space="preserve">[ver tema 3.B.33]</w:t>
        </w:r>
      </w:hyperlink>
      <w:r>
        <w:t xml:space="preserve"> </w:t>
      </w:r>
      <w:hyperlink r:id="rId21">
        <w:r>
          <w:rPr>
            <w:rStyle w:val="Referenciaatema"/>
          </w:rPr>
          <w:t xml:space="preserve">[ver tema 3.B.41]</w:t>
        </w:r>
      </w:hyperlink>
      <w:r>
        <w:t xml:space="preserve">.</w:t>
      </w:r>
    </w:p>
    <w:p>
      <w:pPr>
        <w:numPr>
          <w:ilvl w:val="0"/>
          <w:numId w:val="1108"/>
        </w:numPr>
      </w:pPr>
      <w:r>
        <w:rPr>
          <w:i/>
          <w:iCs/>
        </w:rPr>
        <w:t xml:space="preserve">Terceros países</w:t>
      </w:r>
      <w:r>
        <w:t xml:space="preserve">: India, China, Sudáfrica o Brasil lo ven como una medida unilateral contraria a las responsabilidades comunes pero diferenciadas, que hace pagar a los países en desarrollo la política climática europea; por eso llegó a las negociaciones de Belém.</w:t>
      </w:r>
    </w:p>
    <w:p>
      <w:pPr>
        <w:numPr>
          <w:ilvl w:val="0"/>
          <w:numId w:val="1108"/>
        </w:numPr>
      </w:pPr>
      <w:r>
        <w:rPr>
          <w:i/>
          <w:iCs/>
        </w:rPr>
        <w:t xml:space="preserve">Problemas prácticos</w:t>
      </w:r>
      <w:r>
        <w:t xml:space="preserve">: medir las emisiones incorporadas es caro; los exportadores pueden mandar a la UE su producción más limpia y vender la sucia en otros mercados; y la simplificación de 2025 muestra el peso de la carga administrativa</w:t>
      </w:r>
      <w:r>
        <w:t xml:space="preserve"> </w:t>
      </w:r>
      <w:r>
        <w:t xml:space="preserve">(</w:t>
      </w:r>
      <w:hyperlink w:anchor="ref_UE2025Reglamento2083">
        <w:r>
          <w:rPr>
            <w:rStyle w:val="Hyperlink"/>
            <w:smallCaps/>
          </w:rPr>
          <w:t xml:space="preserve">Parlamento Europeo y Consejo de la Unión Europea</w:t>
        </w:r>
        <w:r>
          <w:rPr>
            <w:rStyle w:val="Hyperlink"/>
          </w:rPr>
          <w:t xml:space="preserve">, 2025</w:t>
        </w:r>
      </w:hyperlink>
      <w:r>
        <w:t xml:space="preserve">)</w:t>
      </w:r>
      <w:r>
        <w:t xml:space="preserve">.</w:t>
      </w:r>
    </w:p>
    <w:p>
      <w:pPr>
        <w:numPr>
          <w:ilvl w:val="0"/>
          <w:numId w:val="1108"/>
        </w:numPr>
      </w:pPr>
      <w:r>
        <w:rPr>
          <w:i/>
          <w:iCs/>
        </w:rPr>
        <w:t xml:space="preserve">No es un club de</w:t>
      </w:r>
      <w:r>
        <w:rPr>
          <w:i/>
          <w:iCs/>
        </w:rPr>
        <w:t xml:space="preserve"> </w:t>
      </w:r>
      <w:r>
        <w:rPr>
          <w:i/>
          <w:iCs/>
          <w:smallCaps/>
        </w:rPr>
        <w:t xml:space="preserve">Nordhaus</w:t>
      </w:r>
      <w:r>
        <w:t xml:space="preserve">: comparte su lógica, el acceso al mercado europeo a cambio de pagar el carbono, pero no castiga la no participación como tal. El club pone un arancel a</w:t>
      </w:r>
      <w:r>
        <w:t xml:space="preserve"> </w:t>
      </w:r>
      <w:r>
        <w:rPr>
          <w:i/>
          <w:iCs/>
        </w:rPr>
        <w:t xml:space="preserve">todas</w:t>
      </w:r>
      <w:r>
        <w:t xml:space="preserve"> </w:t>
      </w:r>
      <w:r>
        <w:t xml:space="preserve">las importaciones de quien no entra; el MAFC solo iguala el precio del carbono de unos pocos bienes, y cobra lo mismo a un país que coopera en todo lo demás. En la tabla </w:t>
      </w:r>
      <w:hyperlink w:anchor="tab_club_clima">
        <w:r>
          <w:rPr>
            <w:rStyle w:val="Hyperlink"/>
          </w:rPr>
          <w:t xml:space="preserve">5</w:t>
        </w:r>
      </w:hyperlink>
      <w:r>
        <w:t xml:space="preserve">, no resta 3 a quien emite. Es menos potente para inducir la participación y más fácil de defender en la OMC.</w:t>
      </w:r>
    </w:p>
    <w:bookmarkEnd w:id="137"/>
    <w:bookmarkEnd w:id="138"/>
    <w:bookmarkStart w:id="139" w:name="el_resto_del_mundo"/>
    <w:p>
      <w:pPr>
        <w:pStyle w:val="Heading4"/>
      </w:pPr>
      <w:r>
        <w:t xml:space="preserve">El resto del mundo</w:t>
      </w:r>
    </w:p>
    <w:p>
      <w:pPr>
        <w:numPr>
          <w:ilvl w:val="0"/>
          <w:numId w:val="1109"/>
        </w:numPr>
      </w:pPr>
      <w:r>
        <w:t xml:space="preserve">Según el Banco Mundial, en 2026 funcionan 87 impuestos o mercados de carbono, que cubren casi el 30 % de las emisiones mundiales y recaudaron más de 107.000 millones de dólares en 2025</w:t>
      </w:r>
      <w:r>
        <w:t xml:space="preserve"> </w:t>
      </w:r>
      <w:r>
        <w:t xml:space="preserve">(</w:t>
      </w:r>
      <w:hyperlink w:anchor="ref_BM2026StateTrends">
        <w:r>
          <w:rPr>
            <w:rStyle w:val="Hyperlink"/>
            <w:smallCaps/>
          </w:rPr>
          <w:t xml:space="preserve">Banco Mundial</w:t>
        </w:r>
        <w:r>
          <w:rPr>
            <w:rStyle w:val="Hyperlink"/>
          </w:rPr>
          <w:t xml:space="preserve">, 2026</w:t>
        </w:r>
      </w:hyperlink>
      <w:r>
        <w:t xml:space="preserve">)</w:t>
      </w:r>
      <w:r>
        <w:t xml:space="preserve">.</w:t>
      </w:r>
    </w:p>
    <w:p>
      <w:pPr>
        <w:numPr>
          <w:ilvl w:val="0"/>
          <w:numId w:val="1109"/>
        </w:numPr>
      </w:pPr>
      <w:r>
        <w:t xml:space="preserve">China, con el mayor mercado de emisiones del mundo por volumen, lo amplió en 2025 de la electricidad al acero, el cemento y el aluminio, hasta cubrir unos 8.000 millones de toneladas, aunque con un tope por unidad producida y no absoluto</w:t>
      </w:r>
      <w:r>
        <w:t xml:space="preserve"> </w:t>
      </w:r>
      <w:r>
        <w:t xml:space="preserve">(</w:t>
      </w:r>
      <w:hyperlink w:anchor="ref_ICAP2025China">
        <w:r>
          <w:rPr>
            <w:rStyle w:val="Hyperlink"/>
            <w:smallCaps/>
          </w:rPr>
          <w:t xml:space="preserve">International Carbon Action Partnership</w:t>
        </w:r>
        <w:r>
          <w:rPr>
            <w:rStyle w:val="Hyperlink"/>
          </w:rPr>
          <w:t xml:space="preserve">, 2025</w:t>
        </w:r>
      </w:hyperlink>
      <w:r>
        <w:t xml:space="preserve">)</w:t>
      </w:r>
      <w:r>
        <w:t xml:space="preserve">.</w:t>
      </w:r>
    </w:p>
    <w:p>
      <w:pPr>
        <w:numPr>
          <w:ilvl w:val="0"/>
          <w:numId w:val="1109"/>
        </w:numPr>
      </w:pPr>
      <w:r>
        <w:t xml:space="preserve">Estados Unidos no tiene un precio federal del carbono, aunque sí mercados estatales, como el de California; apostó por las subvenciones de la Ley de Reducción de la Inflación</w:t>
      </w:r>
      <w:r>
        <w:t xml:space="preserve"> </w:t>
      </w:r>
      <w:r>
        <w:t xml:space="preserve">(</w:t>
      </w:r>
      <w:hyperlink w:anchor="ref_EEUU2022IRA">
        <w:r>
          <w:rPr>
            <w:rStyle w:val="Hyperlink"/>
            <w:smallCaps/>
          </w:rPr>
          <w:t xml:space="preserve">Congreso de los Estados Unidos</w:t>
        </w:r>
        <w:r>
          <w:rPr>
            <w:rStyle w:val="Hyperlink"/>
          </w:rPr>
          <w:t xml:space="preserve">, 2022</w:t>
        </w:r>
      </w:hyperlink>
      <w:r>
        <w:t xml:space="preserve">)</w:t>
      </w:r>
      <w:r>
        <w:t xml:space="preserve">, que la ley presupuestaria de julio de 2025 recortó: suprime el crédito fiscal a los vehículos eléctricos desde octubre de 2025 y el de la eficiencia energética de las viviendas desde 2026, y, salvo excepciones, retira el de la electricidad eólica y solar a las plantas que entren en servicio después de 2027</w:t>
      </w:r>
      <w:r>
        <w:t xml:space="preserve"> </w:t>
      </w:r>
      <w:r>
        <w:t xml:space="preserve">(</w:t>
      </w:r>
      <w:hyperlink w:anchor="ref_EEUU2025PL11921">
        <w:r>
          <w:rPr>
            <w:rStyle w:val="Hyperlink"/>
            <w:smallCaps/>
          </w:rPr>
          <w:t xml:space="preserve">Congreso de los Estados Unidos</w:t>
        </w:r>
        <w:r>
          <w:rPr>
            <w:rStyle w:val="Hyperlink"/>
          </w:rPr>
          <w:t xml:space="preserve">, 2025</w:t>
        </w:r>
      </w:hyperlink>
      <w:r>
        <w:t xml:space="preserve">)</w:t>
      </w:r>
      <w:r>
        <w:t xml:space="preserve">.</w:t>
      </w:r>
    </w:p>
    <w:p>
      <w:pPr>
        <w:numPr>
          <w:ilvl w:val="0"/>
          <w:numId w:val="1109"/>
        </w:numPr>
      </w:pPr>
      <w:r>
        <w:t xml:space="preserve">En España, la Ley 7/2021 de cambio climático y transición energética</w:t>
      </w:r>
      <w:r>
        <w:t xml:space="preserve"> </w:t>
      </w:r>
      <w:r>
        <w:t xml:space="preserve">(</w:t>
      </w:r>
      <w:hyperlink w:anchor="ref_BOE2021Ley7">
        <w:r>
          <w:rPr>
            <w:rStyle w:val="Hyperlink"/>
            <w:smallCaps/>
          </w:rPr>
          <w:t xml:space="preserve">Jefatura del Estado</w:t>
        </w:r>
        <w:r>
          <w:rPr>
            <w:rStyle w:val="Hyperlink"/>
          </w:rPr>
          <w:t xml:space="preserve">, 2021</w:t>
        </w:r>
      </w:hyperlink>
      <w:r>
        <w:t xml:space="preserve">)</w:t>
      </w:r>
      <w:r>
        <w:t xml:space="preserve"> </w:t>
      </w:r>
      <w:r>
        <w:t xml:space="preserve">y el Plan Nacional Integrado de Energía y Clima 2023-2030 fijan una reducción del 32 % de las emisiones respecto a 1990 y un 81 % de electricidad renovable en 2030</w:t>
      </w:r>
      <w:r>
        <w:t xml:space="preserve"> </w:t>
      </w:r>
      <w:r>
        <w:t xml:space="preserve">(</w:t>
      </w:r>
      <w:hyperlink w:anchor="ref_MITECO2024PNIEC">
        <w:r>
          <w:rPr>
            <w:rStyle w:val="Hyperlink"/>
            <w:smallCaps/>
          </w:rPr>
          <w:t xml:space="preserve">Ministerio para la Transición Ecológica y el Reto Demográfico</w:t>
        </w:r>
        <w:r>
          <w:rPr>
            <w:rStyle w:val="Hyperlink"/>
          </w:rPr>
          <w:t xml:space="preserve">, 2024</w:t>
        </w:r>
      </w:hyperlink>
      <w:r>
        <w:t xml:space="preserve">)</w:t>
      </w:r>
      <w:r>
        <w:t xml:space="preserve"> </w:t>
      </w:r>
      <w:hyperlink r:id="rId23">
        <w:r>
          <w:rPr>
            <w:rStyle w:val="Referenciaatema"/>
          </w:rPr>
          <w:t xml:space="preserve">[ver tema 4.A.6]</w:t>
        </w:r>
      </w:hyperlink>
      <w:r>
        <w:t xml:space="preserve">.</w:t>
      </w:r>
    </w:p>
    <w:p>
      <w:pPr>
        <w:keepNext/>
        <w:numPr>
          <w:ilvl w:val="0"/>
          <w:numId w:val="1110"/>
        </w:numPr>
      </w:pPr>
      <w:r>
        <w:rPr>
          <w:i/>
          <w:iCs/>
        </w:rPr>
        <w:t xml:space="preserve">Recapitulación</w:t>
      </w:r>
      <w:r>
        <w:t xml:space="preserve">: los instrumentos se conocen y funcionan donde se aplican; la cooperación falla porque reducir es un bien público global y no hay quien obligue; París logró que participen casi todos a cambio de no obligar a nadie, y la UE hace de laboratorio con un precio del carbono alto, creciente y ahora también en su frontera.</w:t>
      </w:r>
    </w:p>
    <w:p>
      <w:pPr>
        <w:numPr>
          <w:ilvl w:val="1"/>
          <w:numId w:val="1111"/>
        </w:numPr>
      </w:pPr>
      <w:r>
        <w:t xml:space="preserve">Volvamos por última vez a nuestra tonelada. Si sale de una acería europea, paga unos 85 €; si sale de una acería de fuera que vende en Europa, pagará lo mismo cuando acabe la asignación gratuita; si sale de una acería que vende en el resto del mundo, casi nunca paga nada.</w:t>
      </w:r>
    </w:p>
    <w:p>
      <w:pPr>
        <w:numPr>
          <w:ilvl w:val="0"/>
          <w:numId w:val="1110"/>
        </w:numPr>
      </w:pPr>
      <w:r>
        <w:t xml:space="preserve">La pregunta abierta es si el resto del mundo seguirá a la UE, y a ella vuelve la conclusión.</w:t>
      </w:r>
    </w:p>
    <w:bookmarkEnd w:id="139"/>
    <w:bookmarkEnd w:id="140"/>
    <w:bookmarkEnd w:id="141"/>
    <w:bookmarkStart w:id="142" w:name="conclusi__n"/>
    <w:p>
      <w:pPr>
        <w:pStyle w:val="Heading1"/>
      </w:pPr>
      <w:r>
        <w:t xml:space="preserve">Conclusión</w:t>
      </w:r>
      <w:r>
        <w:t xml:space="preserve"> </w:t>
      </w:r>
      <w:r>
        <w:rPr>
          <w:rStyle w:val="Minutos"/>
        </w:rPr>
        <w:t xml:space="preserve">1′30″</w:t>
      </w:r>
    </w:p>
    <w:p>
      <w:pPr>
        <w:keepNext/>
        <w:numPr>
          <w:ilvl w:val="0"/>
          <w:numId w:val="1112"/>
        </w:numPr>
      </w:pPr>
      <w:r>
        <w:rPr>
          <w:b/>
          <w:bCs/>
          <w:i/>
          <w:iCs/>
        </w:rPr>
        <w:t xml:space="preserve">Recapitulación</w:t>
      </w:r>
      <w:r>
        <w:t xml:space="preserve">. En conclusión, las 3 preguntas de la exposición tienen respuesta:</w:t>
      </w:r>
    </w:p>
    <w:p>
      <w:pPr>
        <w:numPr>
          <w:ilvl w:val="1"/>
          <w:numId w:val="1113"/>
        </w:numPr>
      </w:pPr>
      <w:r>
        <w:rPr>
          <w:i/>
          <w:iCs/>
        </w:rPr>
        <w:t xml:space="preserve">¿Por qué es un problema económico y cómo afecta a la economía?</w:t>
      </w:r>
      <w:r>
        <w:t xml:space="preserve"> </w:t>
      </w:r>
      <w:r>
        <w:t xml:space="preserve">El CO</w:t>
      </w:r>
      <w:r>
        <w:rPr>
          <w:vertAlign w:val="subscript"/>
        </w:rPr>
        <w:t xml:space="preserve">2</w:t>
      </w:r>
      <w:r>
        <w:t xml:space="preserve"> </w:t>
      </w:r>
      <w:r>
        <w:t xml:space="preserve">se acumula y su daño se reparte por todo el planeta y por varias generaciones: es la externalidad más difícil, y llega a la producción, los precios, el sistema financiero y la distribución, sobre todo en los países pobres y cálidos.</w:t>
      </w:r>
    </w:p>
    <w:p>
      <w:pPr>
        <w:numPr>
          <w:ilvl w:val="1"/>
          <w:numId w:val="1113"/>
        </w:numPr>
      </w:pPr>
      <w:r>
        <w:rPr>
          <w:i/>
          <w:iCs/>
        </w:rPr>
        <w:t xml:space="preserve">¿Cuánto daña y cuánto vale evitarlo?</w:t>
      </w:r>
      <w:r>
        <w:t xml:space="preserve"> </w:t>
      </w:r>
      <w:r>
        <w:t xml:space="preserve">La evidencia reciente apunta a daños mayores y no lineales; los modelos integrados los traducen en un coste social del carbono positivo y creciente, cuyo nivel depende sobre todo del descuento y del trato de las catástrofes.</w:t>
      </w:r>
    </w:p>
    <w:p>
      <w:pPr>
        <w:numPr>
          <w:ilvl w:val="1"/>
          <w:numId w:val="1113"/>
        </w:numPr>
      </w:pPr>
      <w:r>
        <w:rPr>
          <w:i/>
          <w:iCs/>
        </w:rPr>
        <w:t xml:space="preserve">¿Por qué cuesta tanto actuar y qué se ha hecho?</w:t>
      </w:r>
      <w:r>
        <w:t xml:space="preserve"> </w:t>
      </w:r>
      <w:r>
        <w:t xml:space="preserve">Los instrumentos se conocen, un precio del carbono apoyado en la innovación y la adaptación, pero reducir emisiones es un bien público global: los acuerdos han ido de Kioto, obligatorio para pocos, a París, voluntario para casi todos, y la UE ensaya con el Mecanismo de Ajuste en Frontera por Carbono llevar su precio más allá de sus fronteras.</w:t>
      </w:r>
    </w:p>
    <w:p>
      <w:pPr>
        <w:numPr>
          <w:ilvl w:val="0"/>
          <w:numId w:val="1112"/>
        </w:numPr>
      </w:pPr>
      <w:r>
        <w:rPr>
          <w:b/>
          <w:bCs/>
          <w:i/>
          <w:iCs/>
        </w:rPr>
        <w:t xml:space="preserve">Relevancia</w:t>
      </w:r>
      <w:r>
        <w:t xml:space="preserve">:</w:t>
      </w:r>
      <w:r>
        <w:t xml:space="preserve"> </w:t>
      </w:r>
      <w:r>
        <w:t xml:space="preserve">W.</w:t>
      </w:r>
      <w:r>
        <w:t xml:space="preserve"> </w:t>
      </w:r>
      <w:r>
        <w:rPr>
          <w:smallCaps/>
        </w:rPr>
        <w:t xml:space="preserve">Nordhaus</w:t>
      </w:r>
      <w:r>
        <w:t xml:space="preserve"> </w:t>
      </w:r>
      <w:r>
        <w:t xml:space="preserve">(</w:t>
      </w:r>
      <w:hyperlink w:anchor="ref_Nordhaus2019Climate">
        <w:r>
          <w:rPr>
            <w:rStyle w:val="Hyperlink"/>
          </w:rPr>
          <w:t xml:space="preserve">2019</w:t>
        </w:r>
      </w:hyperlink>
      <w:r>
        <w:t xml:space="preserve">)</w:t>
      </w:r>
      <w:r>
        <w:t xml:space="preserve"> </w:t>
      </w:r>
      <w:r>
        <w:t xml:space="preserve">tituló su conferencia Nobel</w:t>
      </w:r>
      <w:r>
        <w:t xml:space="preserve"> </w:t>
      </w:r>
      <w:r>
        <w:rPr>
          <w:i/>
          <w:iCs/>
        </w:rPr>
        <w:t xml:space="preserve">Climate Change: The Ultimate Challenge for Economics</w:t>
      </w:r>
      <w:r>
        <w:t xml:space="preserve">, el desafío definitivo para la economía, porque el clima reúne en un solo problema las externalidades, los bienes públicos, la incertidumbre, el descuento y la cooperación entre Estados soberanos. Y ha dejado de ser teoría: el precio del carbono ya es política fiscal, comercial y financiera corriente.</w:t>
      </w:r>
    </w:p>
    <w:p>
      <w:pPr>
        <w:keepNext/>
        <w:numPr>
          <w:ilvl w:val="0"/>
          <w:numId w:val="1112"/>
        </w:numPr>
      </w:pPr>
      <w:r>
        <w:rPr>
          <w:b/>
          <w:bCs/>
          <w:i/>
          <w:iCs/>
        </w:rPr>
        <w:t xml:space="preserve">Extensiones</w:t>
      </w:r>
      <w:r>
        <w:t xml:space="preserve">:</w:t>
      </w:r>
    </w:p>
    <w:p>
      <w:pPr>
        <w:numPr>
          <w:ilvl w:val="1"/>
          <w:numId w:val="1114"/>
        </w:numPr>
      </w:pPr>
      <w:r>
        <w:t xml:space="preserve">la teoría de las externalidades y los bienes públicos</w:t>
      </w:r>
      <w:r>
        <w:t xml:space="preserve"> </w:t>
      </w:r>
      <w:hyperlink r:id="rId35">
        <w:r>
          <w:rPr>
            <w:rStyle w:val="Referenciaatema"/>
          </w:rPr>
          <w:t xml:space="preserve">[ver tema 3.A.23]</w:t>
        </w:r>
      </w:hyperlink>
      <w:r>
        <w:t xml:space="preserve"> </w:t>
      </w:r>
      <w:r>
        <w:t xml:space="preserve">y la de juegos</w:t>
      </w:r>
      <w:r>
        <w:t xml:space="preserve"> </w:t>
      </w:r>
      <w:hyperlink r:id="rId98">
        <w:r>
          <w:rPr>
            <w:rStyle w:val="Referenciaatema"/>
          </w:rPr>
          <w:t xml:space="preserve">[ver tema 3.A.14]</w:t>
        </w:r>
      </w:hyperlink>
      <w:r>
        <w:t xml:space="preserve">, que están detrás del diagnóstico y del problema de la cooperación;</w:t>
      </w:r>
    </w:p>
    <w:p>
      <w:pPr>
        <w:numPr>
          <w:ilvl w:val="1"/>
          <w:numId w:val="1114"/>
        </w:numPr>
      </w:pPr>
      <w:r>
        <w:t xml:space="preserve">el crecimiento óptimo y el cambio técnico dirigido</w:t>
      </w:r>
      <w:r>
        <w:t xml:space="preserve"> </w:t>
      </w:r>
      <w:hyperlink r:id="rId24">
        <w:r>
          <w:rPr>
            <w:rStyle w:val="Referenciaatema"/>
          </w:rPr>
          <w:t xml:space="preserve">[ver tema 3.A.43]</w:t>
        </w:r>
      </w:hyperlink>
      <w:r>
        <w:t xml:space="preserve"> </w:t>
      </w:r>
      <w:hyperlink r:id="rId84">
        <w:r>
          <w:rPr>
            <w:rStyle w:val="Referenciaatema"/>
          </w:rPr>
          <w:t xml:space="preserve">[ver tema 3.A.44]</w:t>
        </w:r>
      </w:hyperlink>
      <w:r>
        <w:t xml:space="preserve">, de los que salen el DICE y sus extensiones;</w:t>
      </w:r>
    </w:p>
    <w:p>
      <w:pPr>
        <w:numPr>
          <w:ilvl w:val="1"/>
          <w:numId w:val="1114"/>
        </w:numPr>
      </w:pPr>
      <w:r>
        <w:t xml:space="preserve">los países en desarrollo y la financiación multilateral</w:t>
      </w:r>
      <w:r>
        <w:t xml:space="preserve"> </w:t>
      </w:r>
      <w:hyperlink r:id="rId54">
        <w:r>
          <w:rPr>
            <w:rStyle w:val="Referenciaatema"/>
          </w:rPr>
          <w:t xml:space="preserve">[ver tema 3.B.28]</w:t>
        </w:r>
      </w:hyperlink>
      <w:r>
        <w:t xml:space="preserve"> </w:t>
      </w:r>
      <w:hyperlink r:id="rId116">
        <w:r>
          <w:rPr>
            <w:rStyle w:val="Referenciaatema"/>
          </w:rPr>
          <w:t xml:space="preserve">[ver tema 3.B.30]</w:t>
        </w:r>
      </w:hyperlink>
      <w:r>
        <w:t xml:space="preserve">, la política comercial</w:t>
      </w:r>
      <w:r>
        <w:t xml:space="preserve"> </w:t>
      </w:r>
      <w:hyperlink r:id="rId21">
        <w:r>
          <w:rPr>
            <w:rStyle w:val="Referenciaatema"/>
          </w:rPr>
          <w:t xml:space="preserve">[ver tema 3.B.41]</w:t>
        </w:r>
      </w:hyperlink>
      <w:r>
        <w:t xml:space="preserve"> </w:t>
      </w:r>
      <w:r>
        <w:t xml:space="preserve">y el presupuesto de la UE</w:t>
      </w:r>
      <w:r>
        <w:t xml:space="preserve"> </w:t>
      </w:r>
      <w:hyperlink r:id="rId22">
        <w:r>
          <w:rPr>
            <w:rStyle w:val="Referenciaatema"/>
          </w:rPr>
          <w:t xml:space="preserve">[ver tema 3.B.37]</w:t>
        </w:r>
      </w:hyperlink>
      <w:r>
        <w:t xml:space="preserve">, donde se decide quién paga la transición;</w:t>
      </w:r>
    </w:p>
    <w:p>
      <w:pPr>
        <w:numPr>
          <w:ilvl w:val="1"/>
          <w:numId w:val="1114"/>
        </w:numPr>
      </w:pPr>
      <w:r>
        <w:t xml:space="preserve">y, para ampliar, la fiscalidad medioambiental</w:t>
      </w:r>
      <w:r>
        <w:t xml:space="preserve"> </w:t>
      </w:r>
      <w:hyperlink r:id="rId20">
        <w:r>
          <w:rPr>
            <w:rStyle w:val="Referenciaatema"/>
          </w:rPr>
          <w:t xml:space="preserve">[ver tema 4.B.13]</w:t>
        </w:r>
      </w:hyperlink>
      <w:r>
        <w:t xml:space="preserve"> </w:t>
      </w:r>
      <w:r>
        <w:t xml:space="preserve">y la política española de energía y clima</w:t>
      </w:r>
      <w:r>
        <w:t xml:space="preserve"> </w:t>
      </w:r>
      <w:hyperlink r:id="rId23">
        <w:r>
          <w:rPr>
            <w:rStyle w:val="Referenciaatema"/>
          </w:rPr>
          <w:t xml:space="preserve">[ver tema 4.A.6]</w:t>
        </w:r>
      </w:hyperlink>
      <w:r>
        <w:t xml:space="preserve">, así como la adaptación, la transición justa y las finanzas sostenibles.</w:t>
      </w:r>
    </w:p>
    <w:p>
      <w:pPr>
        <w:keepNext/>
        <w:numPr>
          <w:ilvl w:val="0"/>
          <w:numId w:val="1112"/>
        </w:numPr>
      </w:pPr>
      <w:r>
        <w:rPr>
          <w:b/>
          <w:bCs/>
          <w:i/>
          <w:iCs/>
        </w:rPr>
        <w:t xml:space="preserve">Opinión</w:t>
      </w:r>
      <w:r>
        <w:t xml:space="preserve">: la economía da una respuesta bastante clara:</w:t>
      </w:r>
    </w:p>
    <w:p>
      <w:pPr>
        <w:numPr>
          <w:ilvl w:val="1"/>
          <w:numId w:val="1115"/>
        </w:numPr>
      </w:pPr>
      <w:r>
        <w:t xml:space="preserve">un precio del carbono creíble y creciente, que se extienda poco a poco a más países, si hace falta con incentivos excluibles como los del club o el ajuste en frontera;</w:t>
      </w:r>
    </w:p>
    <w:p>
      <w:pPr>
        <w:numPr>
          <w:ilvl w:val="1"/>
          <w:numId w:val="1115"/>
        </w:numPr>
      </w:pPr>
      <w:r>
        <w:t xml:space="preserve">más apoyo a la innovación limpia, porque el conocimiento es otra externalidad;</w:t>
      </w:r>
    </w:p>
    <w:p>
      <w:pPr>
        <w:numPr>
          <w:ilvl w:val="1"/>
          <w:numId w:val="1115"/>
        </w:numPr>
      </w:pPr>
      <w:r>
        <w:t xml:space="preserve">y ayuda a los que más sufren, dentro de cada país y entre países.</w:t>
      </w:r>
    </w:p>
    <w:p>
      <w:pPr>
        <w:numPr>
          <w:ilvl w:val="0"/>
          <w:numId w:val="1000"/>
        </w:numPr>
      </w:pPr>
      <w:r>
        <w:t xml:space="preserve">El obstáculo no es técnico, sino político: repartir los costes entre países y entre generaciones.</w:t>
      </w:r>
    </w:p>
    <w:p>
      <w:pPr>
        <w:numPr>
          <w:ilvl w:val="0"/>
          <w:numId w:val="1112"/>
        </w:numPr>
      </w:pPr>
      <w:r>
        <w:rPr>
          <w:b/>
          <w:bCs/>
          <w:i/>
          <w:iCs/>
        </w:rPr>
        <w:t xml:space="preserve">Idea final</w:t>
      </w:r>
      <w:r>
        <w:t xml:space="preserve">: volvamos por última vez a nuestra tonelada de CO</w:t>
      </w:r>
      <w:r>
        <w:rPr>
          <w:vertAlign w:val="subscript"/>
        </w:rPr>
        <w:t xml:space="preserve">2</w:t>
      </w:r>
      <w:r>
        <w:t xml:space="preserve">. Ya tiene precio en una parte del mundo; el reto es que lo tenga en todo él, porque solo así quien la emite pagará lo que cuesta. La economía no puede impedir que sople el viento ya sembrado, pero sí lograr que se siembre menos, y con el clima más que con nada se cumple el refrán: quien siembra vientos recoge tempestades.</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42"/>
    <w:bookmarkStart w:id="148" w:name="anexo_dice"/>
    <w:p>
      <w:pPr>
        <w:pStyle w:val="Heading1"/>
      </w:pPr>
      <w:r>
        <w:t xml:space="preserve">A. Anexo: el modelo DICE-2023 completo</w:t>
      </w:r>
    </w:p>
    <w:p>
      <w:pPr>
        <w:numPr>
          <w:ilvl w:val="0"/>
          <w:numId w:val="1116"/>
        </w:numPr>
      </w:pPr>
      <w:r>
        <w:t xml:space="preserve">Las ecuaciones del modelo de</w:t>
      </w:r>
      <w:r>
        <w:t xml:space="preserve"> </w:t>
      </w:r>
      <w:r>
        <w:rPr>
          <w:smallCaps/>
        </w:rPr>
        <w:t xml:space="preserve">Barrage</w:t>
      </w:r>
      <w:r>
        <w:t xml:space="preserve"> </w:t>
      </w:r>
      <w:r>
        <w:t xml:space="preserve">y</w:t>
      </w:r>
      <w:r>
        <w:t xml:space="preserve"> </w:t>
      </w:r>
      <w:r>
        <w:rPr>
          <w:smallCaps/>
        </w:rPr>
        <w:t xml:space="preserve">Nordhaus</w:t>
      </w:r>
      <w:r>
        <w:t xml:space="preserve"> </w:t>
      </w:r>
      <w:r>
        <w:t xml:space="preserve">(</w:t>
      </w:r>
      <w:hyperlink w:anchor="ref_BarrageNordhaus2024DICE">
        <w:r>
          <w:rPr>
            <w:rStyle w:val="Hyperlink"/>
          </w:rPr>
          <w:t xml:space="preserve">2024</w:t>
        </w:r>
      </w:hyperlink>
      <w:r>
        <w:t xml:space="preserve">)</w:t>
      </w:r>
      <w:r>
        <w:t xml:space="preserve">, con la notación del apartado </w:t>
      </w:r>
      <w:hyperlink w:anchor="sec_dice">
        <w:r>
          <w:rPr>
            <w:rStyle w:val="Hyperlink"/>
          </w:rPr>
          <w:t xml:space="preserve">II.3</w:t>
        </w:r>
      </w:hyperlink>
      <w:r>
        <w:t xml:space="preserve">. El modelo trabaja en periodos de 5 años, desde 2020; aquí se escriben por periodo para que se lean como el resto del tema.</w:t>
      </w:r>
    </w:p>
    <w:bookmarkStart w:id="144" w:name="m__dulo_econ__mico"/>
    <w:p>
      <w:pPr>
        <w:pStyle w:val="Heading4"/>
      </w:pPr>
      <w:r>
        <w:t xml:space="preserve">Módulo económico</w:t>
      </w:r>
    </w:p>
    <w:p>
      <w:pPr>
        <w:numPr>
          <w:ilvl w:val="0"/>
          <w:numId w:val="1117"/>
        </w:numPr>
      </w:pPr>
      <w:r>
        <w:rPr>
          <w:i/>
          <w:iCs/>
        </w:rPr>
        <w:t xml:space="preserve">Bienestar</w:t>
      </w:r>
      <w:r>
        <w:t xml:space="preserve">: el de (</w:t>
      </w:r>
      <w:hyperlink w:anchor="eq_dice">
        <w:r>
          <w:rPr>
            <w:rStyle w:val="Hyperlink"/>
          </w:rPr>
          <w:t xml:space="preserve">2</w:t>
        </w:r>
      </w:hyperlink>
      <w:r>
        <w:t xml:space="preserve">), la suma descontada de la utilidad isoelástica del consumo por habitante, ponderada por la población. En la versión publicada, el descuento se calibra para que el rendimiento real del capital sea del 4,5 % en 2020 (un tipo real sin riesgo del 2 % más una prima por el riesgo no diversificable de las inversiones climáticas) y baje con el tiempo</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 Los valores de</w:t>
      </w:r>
      <w:r>
        <w:t xml:space="preserve"> </w:t>
      </w:r>
      <m:oMath>
        <m:r>
          <m:t>ρ</m:t>
        </m:r>
      </m:oMath>
      <w:r>
        <w:t xml:space="preserve"> </w:t>
      </w:r>
      <w:r>
        <w:t xml:space="preserve">y de</w:t>
      </w:r>
      <w:r>
        <w:t xml:space="preserve"> </w:t>
      </w:r>
      <m:oMath>
        <m:r>
          <m:t>θ</m:t>
        </m:r>
      </m:oMath>
      <w:r>
        <w:t xml:space="preserve"> </w:t>
      </w:r>
      <w:r>
        <w:t xml:space="preserve">que dan ese rendimiento están en el apéndice del artículo y no se recogen aquí.</w:t>
      </w:r>
    </w:p>
    <w:p>
      <w:pPr>
        <w:numPr>
          <w:ilvl w:val="0"/>
          <w:numId w:val="1117"/>
        </w:numPr>
      </w:pPr>
      <w:r>
        <w:rPr>
          <w:i/>
          <w:iCs/>
        </w:rPr>
        <w:t xml:space="preserve">Producción neta</w:t>
      </w:r>
      <w:r>
        <w:t xml:space="preserve">: la producción bruta pierde una fracción por el coste de reducir y otra por los daños,</w:t>
      </w:r>
      <w:r>
        <w:t xml:space="preserve"> </w:t>
      </w:r>
      <w:bookmarkStart w:id="143" w:name="eq_dice_produccion"/>
      <w:bookmarkEnd w:id="143"/>
    </w:p>
    <w:p>
      <w:pPr>
        <w:pStyle w:val="BodyText"/>
        <w:keepNext/>
      </w:pPr>
      <m:oMathPara>
        <m:oMathParaPr>
          <m:jc m:val="center"/>
        </m:oMathParaPr>
        <m:oMath>
          <m:sSub>
            <m:e>
              <m:r>
                <m:t>Q</m:t>
              </m:r>
            </m:e>
            <m:sub>
              <m:r>
                <m:t>t</m:t>
              </m:r>
            </m:sub>
          </m:sSub>
          <m:r>
            <m:rPr>
              <m:sty m:val="p"/>
            </m:rPr>
            <m:t>=</m:t>
          </m:r>
          <m:d>
            <m:dPr>
              <m:begChr m:val="["/>
              <m:sepChr m:val=""/>
              <m:endChr m:val="]"/>
              <m:grow/>
            </m:dPr>
            <m:e>
              <m:r>
                <m:t>1</m:t>
              </m:r>
              <m:r>
                <m:rPr>
                  <m:sty m:val="p"/>
                </m:rPr>
                <m:t>−</m:t>
              </m:r>
              <m:r>
                <m:t>Λ</m:t>
              </m:r>
              <m:d>
                <m:dPr>
                  <m:begChr m:val="("/>
                  <m:sepChr m:val=""/>
                  <m:endChr m:val=")"/>
                  <m:grow/>
                </m:dPr>
                <m:e>
                  <m:sSub>
                    <m:e>
                      <m:r>
                        <m:t>μ</m:t>
                      </m:r>
                    </m:e>
                    <m:sub>
                      <m:r>
                        <m:t>t</m:t>
                      </m:r>
                    </m:sub>
                  </m:sSub>
                </m:e>
              </m:d>
            </m:e>
          </m:d>
          <m:d>
            <m:dPr>
              <m:begChr m:val="["/>
              <m:sepChr m:val=""/>
              <m:endChr m:val="]"/>
              <m:grow/>
            </m:dPr>
            <m:e>
              <m:r>
                <m:t>1</m:t>
              </m:r>
              <m:r>
                <m:rPr>
                  <m:sty m:val="p"/>
                </m:rPr>
                <m:t>−</m:t>
              </m:r>
              <m:r>
                <m:t>Ω</m:t>
              </m:r>
              <m:d>
                <m:dPr>
                  <m:begChr m:val="("/>
                  <m:sepChr m:val=""/>
                  <m:endChr m:val=")"/>
                  <m:grow/>
                </m:dPr>
                <m:e>
                  <m:sSub>
                    <m:e>
                      <m:r>
                        <m:t>T</m:t>
                      </m:r>
                    </m:e>
                    <m:sub>
                      <m:r>
                        <m:t>t</m:t>
                      </m:r>
                    </m:sub>
                  </m:sSub>
                </m:e>
              </m:d>
            </m:e>
          </m:d>
          <m:sSub>
            <m:e>
              <m:r>
                <m:t>A</m:t>
              </m:r>
            </m:e>
            <m:sub>
              <m:r>
                <m:t>t</m:t>
              </m:r>
            </m:sub>
          </m:sSub>
          <m:sSubSup>
            <m:e>
              <m:r>
                <m:t>K</m:t>
              </m:r>
            </m:e>
            <m:sub>
              <m:r>
                <m:t>t</m:t>
              </m:r>
            </m:sub>
            <m:sup>
              <m:r>
                <m:t>α</m:t>
              </m:r>
            </m:sup>
          </m:sSubSup>
          <m:sSubSup>
            <m:e>
              <m:r>
                <m:t>L</m:t>
              </m:r>
            </m:e>
            <m:sub>
              <m:r>
                <m:t>t</m:t>
              </m:r>
            </m:sub>
            <m:sup>
              <m:r>
                <m:t>1</m:t>
              </m:r>
              <m:r>
                <m:rPr>
                  <m:sty m:val="p"/>
                </m:rPr>
                <m:t>−</m:t>
              </m:r>
              <m:r>
                <m:t>α</m:t>
              </m:r>
            </m:sup>
          </m:sSubSup>
          <m:r>
            <m:rPr>
              <m:sty m:val="p"/>
            </m:rPr>
            <m:t>,</m:t>
          </m:r>
        </m:oMath>
      </m:oMathPara>
    </w:p>
    <w:p>
      <w:pPr>
        <w:numPr>
          <w:ilvl w:val="0"/>
          <w:numId w:val="1000"/>
        </w:numPr>
      </w:pPr>
      <w:r>
        <w:t xml:space="preserve">con</w:t>
      </w:r>
      <w:r>
        <w:t xml:space="preserve"> </w:t>
      </w:r>
      <m:oMath>
        <m:sSub>
          <m:e>
            <m:r>
              <m:t>Q</m:t>
            </m:r>
          </m:e>
          <m:sub>
            <m:r>
              <m:t>t</m:t>
            </m:r>
          </m:sub>
        </m:sSub>
        <m:r>
          <m:rPr>
            <m:sty m:val="p"/>
          </m:rPr>
          <m:t>=</m:t>
        </m:r>
        <m:sSub>
          <m:e>
            <m:r>
              <m:t>C</m:t>
            </m:r>
          </m:e>
          <m:sub>
            <m:r>
              <m:t>t</m:t>
            </m:r>
          </m:sub>
        </m:sSub>
        <m:r>
          <m:rPr>
            <m:sty m:val="p"/>
          </m:rPr>
          <m:t>+</m:t>
        </m:r>
        <m:sSub>
          <m:e>
            <m:r>
              <m:t>I</m:t>
            </m:r>
          </m:e>
          <m:sub>
            <m:r>
              <m:t>t</m:t>
            </m:r>
          </m:sub>
        </m:sSub>
      </m:oMath>
      <w:r>
        <w:t xml:space="preserve"> </w:t>
      </w:r>
      <w:r>
        <w:t xml:space="preserve">y</w:t>
      </w:r>
      <w:r>
        <w:t xml:space="preserve"> </w:t>
      </w:r>
      <m:oMath>
        <m:sSub>
          <m:e>
            <m:r>
              <m:t>K</m:t>
            </m:r>
          </m:e>
          <m:sub>
            <m:r>
              <m:t>t</m:t>
            </m:r>
            <m:r>
              <m:rPr>
                <m:sty m:val="p"/>
              </m:rPr>
              <m:t>+</m:t>
            </m:r>
            <m:r>
              <m:t>1</m:t>
            </m:r>
          </m:sub>
        </m:sSub>
        <m:r>
          <m:rPr>
            <m:sty m:val="p"/>
          </m:rPr>
          <m:t>=</m:t>
        </m:r>
        <m:d>
          <m:dPr>
            <m:begChr m:val="("/>
            <m:sepChr m:val=""/>
            <m:endChr m:val=")"/>
            <m:grow/>
          </m:dPr>
          <m:e>
            <m:r>
              <m:t>1</m:t>
            </m:r>
            <m:r>
              <m:rPr>
                <m:sty m:val="p"/>
              </m:rPr>
              <m:t>−</m:t>
            </m:r>
            <m:r>
              <m:t>δ</m:t>
            </m:r>
          </m:e>
        </m:d>
        <m:sSub>
          <m:e>
            <m:r>
              <m:t>K</m:t>
            </m:r>
          </m:e>
          <m:sub>
            <m:r>
              <m:t>t</m:t>
            </m:r>
          </m:sub>
        </m:sSub>
        <m:r>
          <m:rPr>
            <m:sty m:val="p"/>
          </m:rPr>
          <m:t>+</m:t>
        </m:r>
        <m:sSub>
          <m:e>
            <m:r>
              <m:t>I</m:t>
            </m:r>
          </m:e>
          <m:sub>
            <m:r>
              <m:t>t</m:t>
            </m:r>
          </m:sub>
        </m:sSub>
      </m:oMath>
      <w:r>
        <w:t xml:space="preserve">;</w:t>
      </w:r>
      <w:r>
        <w:t xml:space="preserve"> </w:t>
      </w:r>
      <m:oMath>
        <m:r>
          <m:t>α</m:t>
        </m:r>
        <m:r>
          <m:rPr>
            <m:sty m:val="p"/>
          </m:rPr>
          <m:t>=</m:t>
        </m:r>
        <m:r>
          <m:t>0</m:t>
        </m:r>
        <m:r>
          <m:rPr>
            <m:sty m:val="p"/>
          </m:rPr>
          <m:t>,</m:t>
        </m:r>
        <m:r>
          <m:t>3</m:t>
        </m:r>
      </m:oMath>
      <w:r>
        <w:t xml:space="preserve"> </w:t>
      </w:r>
      <w:r>
        <w:t xml:space="preserve">(</w:t>
      </w:r>
      <w:hyperlink w:anchor="ref_BarrageNordhaus2023DICEwp">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2023</w:t>
        </w:r>
      </w:hyperlink>
      <w:r>
        <w:t xml:space="preserve">)</w:t>
      </w:r>
      <w:r>
        <w:t xml:space="preserve">. Es la ecuación 2 de</w:t>
      </w:r>
      <w:r>
        <w:t xml:space="preserve"> </w:t>
      </w:r>
      <w:r>
        <w:rPr>
          <w:smallCaps/>
        </w:rPr>
        <w:t xml:space="preserve">Barrage</w:t>
      </w:r>
      <w:r>
        <w:t xml:space="preserve"> </w:t>
      </w:r>
      <w:r>
        <w:t xml:space="preserve">y</w:t>
      </w:r>
      <w:r>
        <w:t xml:space="preserve"> </w:t>
      </w:r>
      <w:r>
        <w:rPr>
          <w:smallCaps/>
        </w:rPr>
        <w:t xml:space="preserve">Nordhaus</w:t>
      </w:r>
      <w:r>
        <w:t xml:space="preserve"> </w:t>
      </w:r>
      <w:r>
        <w:t xml:space="preserve">(</w:t>
      </w:r>
      <w:hyperlink w:anchor="ref_BarrageNordhaus2024DICE">
        <w:r>
          <w:rPr>
            <w:rStyle w:val="Hyperlink"/>
          </w:rPr>
          <w:t xml:space="preserve">2024</w:t>
        </w:r>
      </w:hyperlink>
      <w:r>
        <w:t xml:space="preserve">)</w:t>
      </w:r>
      <w:r>
        <w:t xml:space="preserve">, que escriben</w:t>
      </w:r>
      <w:r>
        <w:t xml:space="preserve"> </w:t>
      </w:r>
      <m:oMath>
        <m:r>
          <m:t>γ</m:t>
        </m:r>
      </m:oMath>
      <w:r>
        <w:t xml:space="preserve"> </w:t>
      </w:r>
      <w:r>
        <w:t xml:space="preserve">para la participación del capital. El código del modelo resta el coste de reducir de la producción ya neta de daños,</w:t>
      </w:r>
      <w:r>
        <w:t xml:space="preserve"> </w:t>
      </w:r>
      <m:oMath>
        <m:sSub>
          <m:e>
            <m:r>
              <m:t>Q</m:t>
            </m:r>
          </m:e>
          <m:sub>
            <m:r>
              <m:t>t</m:t>
            </m:r>
          </m:sub>
        </m:sSub>
        <m:r>
          <m:rPr>
            <m:sty m:val="p"/>
          </m:rPr>
          <m:t>=</m:t>
        </m:r>
        <m:d>
          <m:dPr>
            <m:begChr m:val="["/>
            <m:sepChr m:val=""/>
            <m:endChr m:val="]"/>
            <m:grow/>
          </m:dPr>
          <m:e>
            <m:r>
              <m:t>1</m:t>
            </m:r>
            <m:r>
              <m:rPr>
                <m:sty m:val="p"/>
              </m:rPr>
              <m:t>−</m:t>
            </m:r>
            <m:r>
              <m:t>Ω</m:t>
            </m:r>
            <m:d>
              <m:dPr>
                <m:begChr m:val="("/>
                <m:sepChr m:val=""/>
                <m:endChr m:val=")"/>
                <m:grow/>
              </m:dPr>
              <m:e>
                <m:sSub>
                  <m:e>
                    <m:r>
                      <m:t>T</m:t>
                    </m:r>
                  </m:e>
                  <m:sub>
                    <m:r>
                      <m:t>t</m:t>
                    </m:r>
                  </m:sub>
                </m:sSub>
              </m:e>
            </m:d>
          </m:e>
        </m:d>
        <m:sSub>
          <m:e>
            <m:r>
              <m:t>Y</m:t>
            </m:r>
          </m:e>
          <m:sub>
            <m:r>
              <m:t>t</m:t>
            </m:r>
          </m:sub>
        </m:sSub>
        <m:r>
          <m:rPr>
            <m:sty m:val="p"/>
          </m:rPr>
          <m:t>−</m:t>
        </m:r>
        <m:r>
          <m:t>Λ</m:t>
        </m:r>
        <m:d>
          <m:dPr>
            <m:begChr m:val="("/>
            <m:sepChr m:val=""/>
            <m:endChr m:val=")"/>
            <m:grow/>
          </m:dPr>
          <m:e>
            <m:sSub>
              <m:e>
                <m:r>
                  <m:t>μ</m:t>
                </m:r>
              </m:e>
              <m:sub>
                <m:r>
                  <m:t>t</m:t>
                </m:r>
              </m:sub>
            </m:sSub>
          </m:e>
        </m:d>
        <m:sSub>
          <m:e>
            <m:r>
              <m:t>Y</m:t>
            </m:r>
          </m:e>
          <m:sub>
            <m:r>
              <m:t>t</m:t>
            </m:r>
          </m:sub>
        </m:sSub>
      </m:oMath>
      <w:r>
        <w:t xml:space="preserve">; la diferencia es de segundo orden.</w:t>
      </w:r>
    </w:p>
    <w:p>
      <w:pPr>
        <w:numPr>
          <w:ilvl w:val="0"/>
          <w:numId w:val="1117"/>
        </w:numPr>
      </w:pPr>
      <w:r>
        <w:rPr>
          <w:i/>
          <w:iCs/>
        </w:rPr>
        <w:t xml:space="preserve">Daños</w:t>
      </w:r>
      <w:r>
        <w:t xml:space="preserve">: cuadráticos en la temperatura,</w:t>
      </w:r>
      <w:r>
        <w:t xml:space="preserve"> </w:t>
      </w:r>
      <m:oMath>
        <m:r>
          <m:t>Ω</m:t>
        </m:r>
        <m:d>
          <m:dPr>
            <m:begChr m:val="("/>
            <m:sepChr m:val=""/>
            <m:endChr m:val=")"/>
            <m:grow/>
          </m:dPr>
          <m:e>
            <m:sSub>
              <m:e>
                <m:r>
                  <m:t>T</m:t>
                </m:r>
              </m:e>
              <m:sub>
                <m:r>
                  <m:t>t</m:t>
                </m:r>
              </m:sub>
            </m:sSub>
          </m:e>
        </m:d>
        <m:r>
          <m:rPr>
            <m:sty m:val="p"/>
          </m:rPr>
          <m:t>≃</m:t>
        </m:r>
        <m:r>
          <m:t>0</m:t>
        </m:r>
        <m:r>
          <m:rPr>
            <m:sty m:val="p"/>
          </m:rPr>
          <m:t>,</m:t>
        </m:r>
        <m:r>
          <m:t>0035</m:t>
        </m:r>
        <m:r>
          <m:t> </m:t>
        </m:r>
        <m:sSubSup>
          <m:e>
            <m:r>
              <m:t>T</m:t>
            </m:r>
          </m:e>
          <m:sub>
            <m:r>
              <m:t>t</m:t>
            </m:r>
          </m:sub>
          <m:sup>
            <m:r>
              <m:t>2</m:t>
            </m:r>
          </m:sup>
        </m:sSubSup>
      </m:oMath>
      <w:r>
        <w:t xml:space="preserve">, es decir, un 3,1 % del producto con 3 °C y un 7 % con 4,5 °C. El coeficiente suma la literatura de daños (1,6 % con 3 °C), los puntos de inflexión (1 %) y los efectos omitidos (0,5 %)</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 Con la función de daños más severa de</w:t>
      </w:r>
      <w:r>
        <w:t xml:space="preserve"> </w:t>
      </w:r>
      <w:r>
        <w:rPr>
          <w:smallCaps/>
        </w:rPr>
        <w:t xml:space="preserve">Howard</w:t>
      </w:r>
      <w:r>
        <w:t xml:space="preserve"> </w:t>
      </w:r>
      <w:r>
        <w:t xml:space="preserve">y</w:t>
      </w:r>
      <w:r>
        <w:t xml:space="preserve"> </w:t>
      </w:r>
      <w:r>
        <w:rPr>
          <w:smallCaps/>
        </w:rPr>
        <w:t xml:space="preserve">Sterner</w:t>
      </w:r>
      <w:r>
        <w:t xml:space="preserve"> </w:t>
      </w:r>
      <w:r>
        <w:t xml:space="preserve">(</w:t>
      </w:r>
      <w:hyperlink w:anchor="ref_HowardSterner2017Few">
        <w:r>
          <w:rPr>
            <w:rStyle w:val="Hyperlink"/>
          </w:rPr>
          <w:t xml:space="preserve">2017</w:t>
        </w:r>
      </w:hyperlink>
      <w:r>
        <w:t xml:space="preserve">)</w:t>
      </w:r>
      <w:r>
        <w:t xml:space="preserve">, el coste social del carbono de 2020 sube a 124 $.</w:t>
      </w:r>
    </w:p>
    <w:p>
      <w:pPr>
        <w:numPr>
          <w:ilvl w:val="0"/>
          <w:numId w:val="1117"/>
        </w:numPr>
      </w:pPr>
      <w:r>
        <w:rPr>
          <w:i/>
          <w:iCs/>
        </w:rPr>
        <w:t xml:space="preserve">Coste de reducción</w:t>
      </w:r>
      <w:r>
        <w:t xml:space="preserve">:</w:t>
      </w:r>
      <w:r>
        <w:t xml:space="preserve"> </w:t>
      </w:r>
      <m:oMath>
        <m:r>
          <m:t>Λ</m:t>
        </m:r>
        <m:d>
          <m:dPr>
            <m:begChr m:val="("/>
            <m:sepChr m:val=""/>
            <m:endChr m:val=")"/>
            <m:grow/>
          </m:dPr>
          <m:e>
            <m:sSub>
              <m:e>
                <m:r>
                  <m:t>μ</m:t>
                </m:r>
              </m:e>
              <m:sub>
                <m:r>
                  <m:t>t</m:t>
                </m:r>
              </m:sub>
            </m:sSub>
          </m:e>
        </m:d>
        <m:r>
          <m:rPr>
            <m:sty m:val="p"/>
          </m:rPr>
          <m:t>=</m:t>
        </m:r>
        <m:sSub>
          <m:e>
            <m:r>
              <m:t>ϑ</m:t>
            </m:r>
          </m:e>
          <m:sub>
            <m:r>
              <m:t>1</m:t>
            </m:r>
            <m:r>
              <m:rPr>
                <m:sty m:val="p"/>
              </m:rPr>
              <m:t>,</m:t>
            </m:r>
            <m:r>
              <m:t>t</m:t>
            </m:r>
          </m:sub>
        </m:sSub>
        <m:r>
          <m:t> </m:t>
        </m:r>
        <m:sSubSup>
          <m:e>
            <m:r>
              <m:t>μ</m:t>
            </m:r>
          </m:e>
          <m:sub>
            <m:r>
              <m:t>t</m:t>
            </m:r>
          </m:sub>
          <m:sup>
            <m:sSub>
              <m:e>
                <m:r>
                  <m:t>ϑ</m:t>
                </m:r>
              </m:e>
              <m:sub>
                <m:r>
                  <m:t>2</m:t>
                </m:r>
              </m:sub>
            </m:sSub>
          </m:sup>
        </m:sSubSup>
      </m:oMath>
      <w:r>
        <w:t xml:space="preserve">, con</w:t>
      </w:r>
      <w:r>
        <w:t xml:space="preserve"> </w:t>
      </w:r>
      <m:oMath>
        <m:sSub>
          <m:e>
            <m:r>
              <m:t>ϑ</m:t>
            </m:r>
          </m:e>
          <m:sub>
            <m:r>
              <m:t>2</m:t>
            </m:r>
          </m:sub>
        </m:sSub>
        <m:r>
          <m:rPr>
            <m:sty m:val="p"/>
          </m:rPr>
          <m:t>=</m:t>
        </m:r>
        <m:r>
          <m:t>2</m:t>
        </m:r>
        <m:r>
          <m:rPr>
            <m:sty m:val="p"/>
          </m:rPr>
          <m:t>,</m:t>
        </m:r>
        <m:r>
          <m:t>6</m:t>
        </m:r>
      </m:oMath>
      <w:r>
        <w:t xml:space="preserve"> </w:t>
      </w:r>
      <w:r>
        <w:t xml:space="preserve">y</w:t>
      </w:r>
      <w:r>
        <w:t xml:space="preserve"> </w:t>
      </w:r>
      <m:oMath>
        <m:sSub>
          <m:e>
            <m:r>
              <m:t>ϑ</m:t>
            </m:r>
          </m:e>
          <m:sub>
            <m:r>
              <m:t>1</m:t>
            </m:r>
            <m:r>
              <m:rPr>
                <m:sty m:val="p"/>
              </m:rPr>
              <m:t>,</m:t>
            </m:r>
            <m:r>
              <m:t>t</m:t>
            </m:r>
          </m:sub>
        </m:sSub>
        <m:r>
          <m:rPr>
            <m:sty m:val="p"/>
          </m:rPr>
          <m:t>=</m:t>
        </m:r>
        <m:sSubSup>
          <m:e>
            <m:r>
              <m:t>p</m:t>
            </m:r>
          </m:e>
          <m:sub>
            <m:r>
              <m:t>t</m:t>
            </m:r>
          </m:sub>
          <m:sup>
            <m:r>
              <m:rPr>
                <m:sty m:val="p"/>
              </m:rPr>
              <m:t>r</m:t>
            </m:r>
            <m:r>
              <m:rPr>
                <m:sty m:val="p"/>
              </m:rPr>
              <m:t>e</m:t>
            </m:r>
            <m:r>
              <m:rPr>
                <m:sty m:val="p"/>
              </m:rPr>
              <m:t>s</m:t>
            </m:r>
            <m:r>
              <m:rPr>
                <m:sty m:val="p"/>
              </m:rPr>
              <m:t>p</m:t>
            </m:r>
          </m:sup>
        </m:sSubSup>
        <m:r>
          <m:t> </m:t>
        </m:r>
        <m:sSub>
          <m:e>
            <m:r>
              <m:t>σ</m:t>
            </m:r>
          </m:e>
          <m:sub>
            <m:r>
              <m:t>t</m:t>
            </m:r>
          </m:sub>
        </m:sSub>
        <m:r>
          <m:rPr>
            <m:sty m:val="p"/>
          </m:rPr>
          <m:t>/</m:t>
        </m:r>
        <m:sSub>
          <m:e>
            <m:r>
              <m:t>ϑ</m:t>
            </m:r>
          </m:e>
          <m:sub>
            <m:r>
              <m:t>2</m:t>
            </m:r>
          </m:sub>
        </m:sSub>
      </m:oMath>
      <w:r>
        <w:t xml:space="preserve">, donde</w:t>
      </w:r>
      <w:r>
        <w:t xml:space="preserve"> </w:t>
      </w:r>
      <m:oMath>
        <m:sSubSup>
          <m:e>
            <m:r>
              <m:t>p</m:t>
            </m:r>
          </m:e>
          <m:sub>
            <m:r>
              <m:t>t</m:t>
            </m:r>
          </m:sub>
          <m:sup>
            <m:r>
              <m:rPr>
                <m:sty m:val="p"/>
              </m:rPr>
              <m:t>r</m:t>
            </m:r>
            <m:r>
              <m:rPr>
                <m:sty m:val="p"/>
              </m:rPr>
              <m:t>e</m:t>
            </m:r>
            <m:r>
              <m:rPr>
                <m:sty m:val="p"/>
              </m:rPr>
              <m:t>s</m:t>
            </m:r>
            <m:r>
              <m:rPr>
                <m:sty m:val="p"/>
              </m:rPr>
              <m:t>p</m:t>
            </m:r>
          </m:sup>
        </m:sSubSup>
      </m:oMath>
      <w:r>
        <w:t xml:space="preserve"> </w:t>
      </w:r>
      <w:r>
        <w:t xml:space="preserve">es el precio de la</w:t>
      </w:r>
      <w:r>
        <w:t xml:space="preserve"> </w:t>
      </w:r>
      <w:r>
        <w:rPr>
          <w:b/>
          <w:bCs/>
        </w:rPr>
        <w:t xml:space="preserve">tecnología de respaldo</w:t>
      </w:r>
      <w:r>
        <w:t xml:space="preserve">, la que permite emitir cero a un coste por tonelada que baja con el tiempo</w:t>
      </w:r>
      <w:r>
        <w:t xml:space="preserve"> </w:t>
      </w:r>
      <w:r>
        <w:t xml:space="preserve">(</w:t>
      </w:r>
      <w:hyperlink w:anchor="ref_BarrageNordhaus2023DICEwp">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2023</w:t>
        </w:r>
      </w:hyperlink>
      <w:r>
        <w:t xml:space="preserve">)</w:t>
      </w:r>
      <w:r>
        <w:t xml:space="preserve">.</w:t>
      </w:r>
    </w:p>
    <w:p>
      <w:pPr>
        <w:numPr>
          <w:ilvl w:val="0"/>
          <w:numId w:val="1117"/>
        </w:numPr>
      </w:pPr>
      <w:r>
        <w:rPr>
          <w:i/>
          <w:iCs/>
        </w:rPr>
        <w:t xml:space="preserve">El precio del carbono en la senda óptima</w:t>
      </w:r>
      <w:r>
        <w:t xml:space="preserve">: las toneladas evitadas son</w:t>
      </w:r>
      <w:r>
        <w:t xml:space="preserve"> </w:t>
      </w:r>
      <m:oMath>
        <m:sSub>
          <m:e>
            <m:r>
              <m:t>μ</m:t>
            </m:r>
          </m:e>
          <m:sub>
            <m:r>
              <m:t>t</m:t>
            </m:r>
          </m:sub>
        </m:sSub>
        <m:sSub>
          <m:e>
            <m:r>
              <m:t>σ</m:t>
            </m:r>
          </m:e>
          <m:sub>
            <m:r>
              <m:t>t</m:t>
            </m:r>
          </m:sub>
        </m:sSub>
        <m:sSub>
          <m:e>
            <m:r>
              <m:t>Y</m:t>
            </m:r>
          </m:e>
          <m:sub>
            <m:r>
              <m:t>t</m:t>
            </m:r>
          </m:sub>
        </m:sSub>
      </m:oMath>
      <w:r>
        <w:t xml:space="preserve"> </w:t>
      </w:r>
      <w:r>
        <w:t xml:space="preserve">y su coste,</w:t>
      </w:r>
      <w:r>
        <w:t xml:space="preserve"> </w:t>
      </w:r>
      <m:oMath>
        <m:r>
          <m:t>Λ</m:t>
        </m:r>
        <m:d>
          <m:dPr>
            <m:begChr m:val="("/>
            <m:sepChr m:val=""/>
            <m:endChr m:val=")"/>
            <m:grow/>
          </m:dPr>
          <m:e>
            <m:sSub>
              <m:e>
                <m:r>
                  <m:t>μ</m:t>
                </m:r>
              </m:e>
              <m:sub>
                <m:r>
                  <m:t>t</m:t>
                </m:r>
              </m:sub>
            </m:sSub>
          </m:e>
        </m:d>
        <m:sSub>
          <m:e>
            <m:r>
              <m:t>Y</m:t>
            </m:r>
          </m:e>
          <m:sub>
            <m:r>
              <m:t>t</m:t>
            </m:r>
          </m:sub>
        </m:sSub>
      </m:oMath>
      <w:r>
        <w:t xml:space="preserve">, así que el coste marginal de evitar la última es</w:t>
      </w:r>
    </w:p>
    <w:p>
      <w:pPr>
        <w:pStyle w:val="BodyText"/>
        <w:keepNext/>
      </w:pPr>
      <m:oMathPara>
        <m:oMathParaPr>
          <m:jc m:val="center"/>
        </m:oMathParaPr>
        <m:oMath>
          <m:f>
            <m:fPr>
              <m:type m:val="bar"/>
            </m:fPr>
            <m:num>
              <m:r>
                <m:rPr>
                  <m:sty m:val="p"/>
                </m:rPr>
                <m:t>∂</m:t>
              </m:r>
              <m:d>
                <m:dPr>
                  <m:begChr m:val="["/>
                  <m:sepChr m:val=""/>
                  <m:endChr m:val="]"/>
                  <m:grow/>
                </m:dPr>
                <m:e>
                  <m:r>
                    <m:t>Λ</m:t>
                  </m:r>
                  <m:d>
                    <m:dPr>
                      <m:begChr m:val="("/>
                      <m:sepChr m:val=""/>
                      <m:endChr m:val=")"/>
                      <m:grow/>
                    </m:dPr>
                    <m:e>
                      <m:sSub>
                        <m:e>
                          <m:r>
                            <m:t>μ</m:t>
                          </m:r>
                        </m:e>
                        <m:sub>
                          <m:r>
                            <m:t>t</m:t>
                          </m:r>
                        </m:sub>
                      </m:sSub>
                    </m:e>
                  </m:d>
                  <m:sSub>
                    <m:e>
                      <m:r>
                        <m:t>Y</m:t>
                      </m:r>
                    </m:e>
                    <m:sub>
                      <m:r>
                        <m:t>t</m:t>
                      </m:r>
                    </m:sub>
                  </m:sSub>
                </m:e>
              </m:d>
              <m:r>
                <m:rPr>
                  <m:sty m:val="p"/>
                </m:rPr>
                <m:t>/</m:t>
              </m:r>
              <m:r>
                <m:rPr>
                  <m:sty m:val="p"/>
                </m:rPr>
                <m:t>∂</m:t>
              </m:r>
              <m:sSub>
                <m:e>
                  <m:r>
                    <m:t>μ</m:t>
                  </m:r>
                </m:e>
                <m:sub>
                  <m:r>
                    <m:t>t</m:t>
                  </m:r>
                </m:sub>
              </m:sSub>
            </m:num>
            <m:den>
              <m:r>
                <m:rPr>
                  <m:sty m:val="p"/>
                </m:rPr>
                <m:t>∂</m:t>
              </m:r>
              <m:d>
                <m:dPr>
                  <m:begChr m:val="["/>
                  <m:sepChr m:val=""/>
                  <m:endChr m:val="]"/>
                  <m:grow/>
                </m:dPr>
                <m:e>
                  <m:sSub>
                    <m:e>
                      <m:r>
                        <m:t>μ</m:t>
                      </m:r>
                    </m:e>
                    <m:sub>
                      <m:r>
                        <m:t>t</m:t>
                      </m:r>
                    </m:sub>
                  </m:sSub>
                  <m:sSub>
                    <m:e>
                      <m:r>
                        <m:t>σ</m:t>
                      </m:r>
                    </m:e>
                    <m:sub>
                      <m:r>
                        <m:t>t</m:t>
                      </m:r>
                    </m:sub>
                  </m:sSub>
                  <m:sSub>
                    <m:e>
                      <m:r>
                        <m:t>Y</m:t>
                      </m:r>
                    </m:e>
                    <m:sub>
                      <m:r>
                        <m:t>t</m:t>
                      </m:r>
                    </m:sub>
                  </m:sSub>
                </m:e>
              </m:d>
              <m:r>
                <m:rPr>
                  <m:sty m:val="p"/>
                </m:rPr>
                <m:t>/</m:t>
              </m:r>
              <m:r>
                <m:rPr>
                  <m:sty m:val="p"/>
                </m:rPr>
                <m:t>∂</m:t>
              </m:r>
              <m:sSub>
                <m:e>
                  <m:r>
                    <m:t>μ</m:t>
                  </m:r>
                </m:e>
                <m:sub>
                  <m:r>
                    <m:t>t</m:t>
                  </m:r>
                </m:sub>
              </m:sSub>
            </m:den>
          </m:f>
          <m:r>
            <m:rPr>
              <m:sty m:val="p"/>
            </m:rPr>
            <m:t>=</m:t>
          </m:r>
          <m:f>
            <m:fPr>
              <m:type m:val="bar"/>
            </m:fPr>
            <m:num>
              <m:sSub>
                <m:e>
                  <m:r>
                    <m:t>ϑ</m:t>
                  </m:r>
                </m:e>
                <m:sub>
                  <m:r>
                    <m:t>1</m:t>
                  </m:r>
                  <m:r>
                    <m:rPr>
                      <m:sty m:val="p"/>
                    </m:rPr>
                    <m:t>,</m:t>
                  </m:r>
                  <m:r>
                    <m:t>t</m:t>
                  </m:r>
                </m:sub>
              </m:sSub>
              <m:r>
                <m:t> </m:t>
              </m:r>
              <m:sSub>
                <m:e>
                  <m:r>
                    <m:t>ϑ</m:t>
                  </m:r>
                </m:e>
                <m:sub>
                  <m:r>
                    <m:t>2</m:t>
                  </m:r>
                </m:sub>
              </m:sSub>
              <m:r>
                <m:t> </m:t>
              </m:r>
              <m:sSubSup>
                <m:e>
                  <m:r>
                    <m:t>μ</m:t>
                  </m:r>
                </m:e>
                <m:sub>
                  <m:r>
                    <m:t>t</m:t>
                  </m:r>
                </m:sub>
                <m:sup>
                  <m:sSub>
                    <m:e>
                      <m:r>
                        <m:t>ϑ</m:t>
                      </m:r>
                    </m:e>
                    <m:sub>
                      <m:r>
                        <m:t>2</m:t>
                      </m:r>
                    </m:sub>
                  </m:sSub>
                  <m:r>
                    <m:rPr>
                      <m:sty m:val="p"/>
                    </m:rPr>
                    <m:t>−</m:t>
                  </m:r>
                  <m:r>
                    <m:t>1</m:t>
                  </m:r>
                </m:sup>
              </m:sSubSup>
            </m:num>
            <m:den>
              <m:sSub>
                <m:e>
                  <m:r>
                    <m:t>σ</m:t>
                  </m:r>
                </m:e>
                <m:sub>
                  <m:r>
                    <m:t>t</m:t>
                  </m:r>
                </m:sub>
              </m:sSub>
            </m:den>
          </m:f>
          <m:r>
            <m:rPr>
              <m:sty m:val="p"/>
            </m:rPr>
            <m:t>=</m:t>
          </m:r>
          <m:sSubSup>
            <m:e>
              <m:r>
                <m:t>p</m:t>
              </m:r>
            </m:e>
            <m:sub>
              <m:r>
                <m:t>t</m:t>
              </m:r>
            </m:sub>
            <m:sup>
              <m:r>
                <m:rPr>
                  <m:sty m:val="p"/>
                </m:rPr>
                <m:t>r</m:t>
              </m:r>
              <m:r>
                <m:rPr>
                  <m:sty m:val="p"/>
                </m:rPr>
                <m:t>e</m:t>
              </m:r>
              <m:r>
                <m:rPr>
                  <m:sty m:val="p"/>
                </m:rPr>
                <m:t>s</m:t>
              </m:r>
              <m:r>
                <m:rPr>
                  <m:sty m:val="p"/>
                </m:rPr>
                <m:t>p</m:t>
              </m:r>
            </m:sup>
          </m:sSubSup>
          <m:r>
            <m:t> </m:t>
          </m:r>
          <m:sSubSup>
            <m:e>
              <m:r>
                <m:t>μ</m:t>
              </m:r>
            </m:e>
            <m:sub>
              <m:r>
                <m:t>t</m:t>
              </m:r>
            </m:sub>
            <m:sup>
              <m:sSub>
                <m:e>
                  <m:r>
                    <m:t>ϑ</m:t>
                  </m:r>
                </m:e>
                <m:sub>
                  <m:r>
                    <m:t>2</m:t>
                  </m:r>
                </m:sub>
              </m:sSub>
              <m:r>
                <m:rPr>
                  <m:sty m:val="p"/>
                </m:rPr>
                <m:t>−</m:t>
              </m:r>
              <m:r>
                <m:t>1</m:t>
              </m:r>
            </m:sup>
          </m:sSubSup>
          <m:r>
            <m:rPr>
              <m:sty m:val="p"/>
            </m:rPr>
            <m:t>,</m:t>
          </m:r>
        </m:oMath>
      </m:oMathPara>
    </w:p>
    <w:p>
      <w:pPr>
        <w:numPr>
          <w:ilvl w:val="0"/>
          <w:numId w:val="1000"/>
        </w:numPr>
      </w:pPr>
      <w:r>
        <w:t xml:space="preserve">que es el miembro izquierdo de (</w:t>
      </w:r>
      <w:hyperlink w:anchor="eq_csc_impuesto">
        <w:r>
          <w:rPr>
            <w:rStyle w:val="Hyperlink"/>
          </w:rPr>
          <w:t xml:space="preserve">3</w:t>
        </w:r>
      </w:hyperlink>
      <w:r>
        <w:t xml:space="preserve">). En el óptimo,</w:t>
      </w:r>
      <w:r>
        <w:t xml:space="preserve"> </w:t>
      </w:r>
      <m:oMath>
        <m:sSubSup>
          <m:e>
            <m:r>
              <m:t>t</m:t>
            </m:r>
          </m:e>
          <m:sub>
            <m:r>
              <m:t>t</m:t>
            </m:r>
          </m:sub>
          <m:sup>
            <m:r>
              <m:rPr>
                <m:sty m:val="p"/>
              </m:rPr>
              <m:t>*</m:t>
            </m:r>
          </m:sup>
        </m:sSubSup>
        <m:r>
          <m:rPr>
            <m:sty m:val="p"/>
          </m:rPr>
          <m:t>=</m:t>
        </m:r>
        <m:sSubSup>
          <m:e>
            <m:r>
              <m:t>p</m:t>
            </m:r>
          </m:e>
          <m:sub>
            <m:r>
              <m:t>t</m:t>
            </m:r>
          </m:sub>
          <m:sup>
            <m:r>
              <m:rPr>
                <m:sty m:val="p"/>
              </m:rPr>
              <m:t>r</m:t>
            </m:r>
            <m:r>
              <m:rPr>
                <m:sty m:val="p"/>
              </m:rPr>
              <m:t>e</m:t>
            </m:r>
            <m:r>
              <m:rPr>
                <m:sty m:val="p"/>
              </m:rPr>
              <m:t>s</m:t>
            </m:r>
            <m:r>
              <m:rPr>
                <m:sty m:val="p"/>
              </m:rPr>
              <m:t>p</m:t>
            </m:r>
          </m:sup>
        </m:sSubSup>
        <m:r>
          <m:t> </m:t>
        </m:r>
        <m:sSubSup>
          <m:e>
            <m:r>
              <m:t>μ</m:t>
            </m:r>
          </m:e>
          <m:sub>
            <m:r>
              <m:t>t</m:t>
            </m:r>
          </m:sub>
          <m:sup>
            <m:sSub>
              <m:e>
                <m:r>
                  <m:t>ϑ</m:t>
                </m:r>
              </m:e>
              <m:sub>
                <m:r>
                  <m:t>2</m:t>
                </m:r>
              </m:sub>
            </m:sSub>
            <m:r>
              <m:rPr>
                <m:sty m:val="p"/>
              </m:rPr>
              <m:t>−</m:t>
            </m:r>
            <m:r>
              <m:t>1</m:t>
            </m:r>
          </m:sup>
        </m:sSubSup>
      </m:oMath>
      <w:r>
        <w:t xml:space="preserve">: con</w:t>
      </w:r>
      <w:r>
        <w:t xml:space="preserve"> </w:t>
      </w:r>
      <m:oMath>
        <m:sSub>
          <m:e>
            <m:r>
              <m:t>μ</m:t>
            </m:r>
          </m:e>
          <m:sub>
            <m:r>
              <m:t>t</m:t>
            </m:r>
          </m:sub>
        </m:sSub>
        <m:r>
          <m:rPr>
            <m:sty m:val="p"/>
          </m:rPr>
          <m:t>=</m:t>
        </m:r>
        <m:r>
          <m:t>1</m:t>
        </m:r>
      </m:oMath>
      <w:r>
        <w:t xml:space="preserve">, el precio del carbono iguala el de la tecnología de respaldo, y por eso este pone un techo al impuesto.  ∎</w:t>
      </w:r>
    </w:p>
    <w:p>
      <w:pPr>
        <w:numPr>
          <w:ilvl w:val="0"/>
          <w:numId w:val="1117"/>
        </w:numPr>
      </w:pPr>
      <w:r>
        <w:rPr>
          <w:i/>
          <w:iCs/>
        </w:rPr>
        <w:t xml:space="preserve">Emisiones</w:t>
      </w:r>
      <w:r>
        <w:t xml:space="preserve">:</w:t>
      </w:r>
      <w:r>
        <w:t xml:space="preserve"> </w:t>
      </w:r>
      <m:oMath>
        <m:sSub>
          <m:e>
            <m:r>
              <m:t>E</m:t>
            </m:r>
          </m:e>
          <m:sub>
            <m:r>
              <m:t>t</m:t>
            </m:r>
          </m:sub>
        </m:sSub>
        <m:r>
          <m:rPr>
            <m:sty m:val="p"/>
          </m:rPr>
          <m:t>=</m:t>
        </m:r>
        <m:sSub>
          <m:e>
            <m:r>
              <m:t>σ</m:t>
            </m:r>
          </m:e>
          <m:sub>
            <m:r>
              <m:t>t</m:t>
            </m:r>
          </m:sub>
        </m:sSub>
        <m:d>
          <m:dPr>
            <m:begChr m:val="("/>
            <m:sepChr m:val=""/>
            <m:endChr m:val=")"/>
            <m:grow/>
          </m:dPr>
          <m:e>
            <m:r>
              <m:t>1</m:t>
            </m:r>
            <m:r>
              <m:rPr>
                <m:sty m:val="p"/>
              </m:rPr>
              <m:t>−</m:t>
            </m:r>
            <m:sSub>
              <m:e>
                <m:r>
                  <m:t>μ</m:t>
                </m:r>
              </m:e>
              <m:sub>
                <m:r>
                  <m:t>t</m:t>
                </m:r>
              </m:sub>
            </m:sSub>
          </m:e>
        </m:d>
        <m:sSub>
          <m:e>
            <m:r>
              <m:t>Y</m:t>
            </m:r>
          </m:e>
          <m:sub>
            <m:r>
              <m:t>t</m:t>
            </m:r>
          </m:sub>
        </m:sSub>
        <m:r>
          <m:rPr>
            <m:sty m:val="p"/>
          </m:rPr>
          <m:t>+</m:t>
        </m:r>
        <m:sSubSup>
          <m:e>
            <m:r>
              <m:t>E</m:t>
            </m:r>
          </m:e>
          <m:sub>
            <m:r>
              <m:t>t</m:t>
            </m:r>
          </m:sub>
          <m:sup>
            <m:r>
              <m:rPr>
                <m:sty m:val="p"/>
              </m:rPr>
              <m:t>s</m:t>
            </m:r>
            <m:r>
              <m:rPr>
                <m:sty m:val="p"/>
              </m:rPr>
              <m:t>u</m:t>
            </m:r>
            <m:r>
              <m:rPr>
                <m:sty m:val="p"/>
              </m:rPr>
              <m:t>e</m:t>
            </m:r>
            <m:r>
              <m:rPr>
                <m:sty m:val="p"/>
              </m:rPr>
              <m:t>l</m:t>
            </m:r>
            <m:r>
              <m:rPr>
                <m:sty m:val="p"/>
              </m:rPr>
              <m:t>o</m:t>
            </m:r>
          </m:sup>
        </m:sSubSup>
      </m:oMath>
      <w:r>
        <w:t xml:space="preserve">, con una intensidad</w:t>
      </w:r>
      <w:r>
        <w:t xml:space="preserve"> </w:t>
      </w:r>
      <m:oMath>
        <m:sSub>
          <m:e>
            <m:r>
              <m:t>σ</m:t>
            </m:r>
          </m:e>
          <m:sub>
            <m:r>
              <m:t>t</m:t>
            </m:r>
          </m:sub>
        </m:sSub>
      </m:oMath>
      <w:r>
        <w:t xml:space="preserve"> </w:t>
      </w:r>
      <w:r>
        <w:t xml:space="preserve">que baja con el tiempo y unas emisiones por los usos del suelo,</w:t>
      </w:r>
      <w:r>
        <w:t xml:space="preserve"> </w:t>
      </w:r>
      <m:oMath>
        <m:sSubSup>
          <m:e>
            <m:r>
              <m:t>E</m:t>
            </m:r>
          </m:e>
          <m:sub>
            <m:r>
              <m:t>t</m:t>
            </m:r>
          </m:sub>
          <m:sup>
            <m:r>
              <m:rPr>
                <m:sty m:val="p"/>
              </m:rPr>
              <m:t>s</m:t>
            </m:r>
            <m:r>
              <m:rPr>
                <m:sty m:val="p"/>
              </m:rPr>
              <m:t>u</m:t>
            </m:r>
            <m:r>
              <m:rPr>
                <m:sty m:val="p"/>
              </m:rPr>
              <m:t>e</m:t>
            </m:r>
            <m:r>
              <m:rPr>
                <m:sty m:val="p"/>
              </m:rPr>
              <m:t>l</m:t>
            </m:r>
            <m:r>
              <m:rPr>
                <m:sty m:val="p"/>
              </m:rPr>
              <m:t>o</m:t>
            </m:r>
          </m:sup>
        </m:sSubSup>
      </m:oMath>
      <w:r>
        <w:t xml:space="preserve">, exógenas; el modelo añade los otros gases que se pueden reducir.</w:t>
      </w:r>
    </w:p>
    <w:bookmarkEnd w:id="144"/>
    <w:bookmarkStart w:id="145" w:name="m__dulo_clim__tico"/>
    <w:p>
      <w:pPr>
        <w:pStyle w:val="Heading4"/>
      </w:pPr>
      <w:r>
        <w:t xml:space="preserve">Módulo climático</w:t>
      </w:r>
    </w:p>
    <w:p>
      <w:pPr>
        <w:numPr>
          <w:ilvl w:val="0"/>
          <w:numId w:val="1118"/>
        </w:numPr>
      </w:pPr>
      <w:r>
        <w:rPr>
          <w:i/>
          <w:iCs/>
        </w:rPr>
        <w:t xml:space="preserve">Ciclo del carbono</w:t>
      </w:r>
      <w:r>
        <w:t xml:space="preserve"> </w:t>
      </w:r>
      <w:r>
        <w:t xml:space="preserve">(versión del modelo FAIR adaptada al DICE): cada tonelada emitida se reparte entre 4 depósitos</w:t>
      </w:r>
      <w:r>
        <w:t xml:space="preserve"> </w:t>
      </w:r>
      <m:oMath>
        <m:r>
          <m:t>i</m:t>
        </m:r>
      </m:oMath>
      <w:r>
        <w:t xml:space="preserve"> </w:t>
      </w:r>
      <w:r>
        <w:t xml:space="preserve">en proporciones fijas</w:t>
      </w:r>
      <w:r>
        <w:t xml:space="preserve"> </w:t>
      </w:r>
      <m:oMath>
        <m:sSub>
          <m:e>
            <m:r>
              <m:t>ξ</m:t>
            </m:r>
          </m:e>
          <m:sub>
            <m:r>
              <m:t>i</m:t>
            </m:r>
          </m:sub>
        </m:sSub>
      </m:oMath>
      <w:r>
        <w:t xml:space="preserve">; cada depósito se vacía a su propio ritmo, más despacio cuanto más carbono ha absorbido ya el sistema, y la concentración atmosférica es la preindustrial más lo que queda en los depósitos:</w:t>
      </w:r>
    </w:p>
    <w:p>
      <w:pPr>
        <w:pStyle w:val="BodyText"/>
        <w:keepNext/>
      </w:pPr>
      <m:oMathPara>
        <m:oMathParaPr>
          <m:jc m:val="center"/>
        </m:oMathParaPr>
        <m:oMath>
          <m:sSubSup>
            <m:e>
              <m:r>
                <m:t>M</m:t>
              </m:r>
            </m:e>
            <m:sub>
              <m:r>
                <m:t>t</m:t>
              </m:r>
            </m:sub>
            <m:sup>
              <m:r>
                <m:t>A</m:t>
              </m:r>
              <m:r>
                <m:t>T</m:t>
              </m:r>
            </m:sup>
          </m:sSubSup>
          <m:r>
            <m:rPr>
              <m:sty m:val="p"/>
            </m:rPr>
            <m:t>=</m:t>
          </m:r>
          <m:sSubSup>
            <m:e>
              <m:r>
                <m:t>M</m:t>
              </m:r>
            </m:e>
            <m:sub>
              <m:r>
                <m:t>1765</m:t>
              </m:r>
            </m:sub>
            <m:sup>
              <m:r>
                <m:t>A</m:t>
              </m:r>
              <m:r>
                <m:t>T</m:t>
              </m:r>
            </m:sup>
          </m:sSubSup>
          <m:r>
            <m:rPr>
              <m:sty m:val="p"/>
            </m:rPr>
            <m:t>+</m:t>
          </m:r>
          <m:nary>
            <m:naryPr>
              <m:chr m:val="∑"/>
              <m:limLoc m:val="undOvr"/>
              <m:subHide m:val="off"/>
              <m:supHide m:val="off"/>
            </m:naryPr>
            <m:sub>
              <m:r>
                <m:t>i</m:t>
              </m:r>
              <m:r>
                <m:rPr>
                  <m:sty m:val="p"/>
                </m:rPr>
                <m:t>=</m:t>
              </m:r>
              <m:r>
                <m:t>1</m:t>
              </m:r>
            </m:sub>
            <m:sup>
              <m:r>
                <m:t>4</m:t>
              </m:r>
            </m:sup>
            <m:e>
              <m:sSub>
                <m:e>
                  <m:r>
                    <m:t>R</m:t>
                  </m:r>
                </m:e>
                <m:sub>
                  <m:r>
                    <m:t>i</m:t>
                  </m:r>
                  <m:r>
                    <m:rPr>
                      <m:sty m:val="p"/>
                    </m:rPr>
                    <m:t>,</m:t>
                  </m:r>
                  <m:r>
                    <m:t>t</m:t>
                  </m:r>
                </m:sub>
              </m:sSub>
            </m:e>
          </m:nary>
          <m:r>
            <m:rPr>
              <m:sty m:val="p"/>
            </m:rPr>
            <m:t>,</m:t>
          </m:r>
          <m:r>
            <m:t>  </m:t>
          </m:r>
          <m:sSub>
            <m:e>
              <m:r>
                <m:t>R</m:t>
              </m:r>
            </m:e>
            <m:sub>
              <m:r>
                <m:t>i</m:t>
              </m:r>
              <m:r>
                <m:rPr>
                  <m:sty m:val="p"/>
                </m:rPr>
                <m:t>,</m:t>
              </m:r>
              <m:r>
                <m:t>t</m:t>
              </m:r>
              <m:r>
                <m:rPr>
                  <m:sty m:val="p"/>
                </m:rPr>
                <m:t>+</m:t>
              </m:r>
              <m:r>
                <m:t>1</m:t>
              </m:r>
            </m:sub>
          </m:sSub>
          <m:r>
            <m:rPr>
              <m:sty m:val="p"/>
            </m:rPr>
            <m:t>=</m:t>
          </m:r>
          <m:sSub>
            <m:e>
              <m:r>
                <m:t>R</m:t>
              </m:r>
            </m:e>
            <m:sub>
              <m:r>
                <m:t>i</m:t>
              </m:r>
              <m:r>
                <m:rPr>
                  <m:sty m:val="p"/>
                </m:rPr>
                <m:t>,</m:t>
              </m:r>
              <m:r>
                <m:t>t</m:t>
              </m:r>
            </m:sub>
          </m:sSub>
          <m:r>
            <m:rPr>
              <m:sty m:val="p"/>
            </m:rPr>
            <m:t>+</m:t>
          </m:r>
          <m:sSub>
            <m:e>
              <m:r>
                <m:t>ξ</m:t>
              </m:r>
            </m:e>
            <m:sub>
              <m:r>
                <m:t>i</m:t>
              </m:r>
            </m:sub>
          </m:sSub>
          <m:sSub>
            <m:e>
              <m:r>
                <m:t>E</m:t>
              </m:r>
            </m:e>
            <m:sub>
              <m:r>
                <m:t>t</m:t>
              </m:r>
            </m:sub>
          </m:sSub>
          <m:r>
            <m:rPr>
              <m:sty m:val="p"/>
            </m:rPr>
            <m:t>−</m:t>
          </m:r>
          <m:f>
            <m:fPr>
              <m:type m:val="bar"/>
            </m:fPr>
            <m:num>
              <m:sSub>
                <m:e>
                  <m:r>
                    <m:t>R</m:t>
                  </m:r>
                </m:e>
                <m:sub>
                  <m:r>
                    <m:t>i</m:t>
                  </m:r>
                  <m:r>
                    <m:rPr>
                      <m:sty m:val="p"/>
                    </m:rPr>
                    <m:t>,</m:t>
                  </m:r>
                  <m:r>
                    <m:t>t</m:t>
                  </m:r>
                </m:sub>
              </m:sSub>
            </m:num>
            <m:den>
              <m:sSub>
                <m:e>
                  <m:r>
                    <m:t>a</m:t>
                  </m:r>
                </m:e>
                <m:sub>
                  <m:r>
                    <m:t>t</m:t>
                  </m:r>
                </m:sub>
              </m:sSub>
              <m:r>
                <m:t> </m:t>
              </m:r>
              <m:sSub>
                <m:e>
                  <m:r>
                    <m:rPr>
                      <m:sty m:val="p"/>
                    </m:rPr>
                    <m:t>ℓ</m:t>
                  </m:r>
                </m:e>
                <m:sub>
                  <m:r>
                    <m:t>i</m:t>
                  </m:r>
                </m:sub>
              </m:sSub>
            </m:den>
          </m:f>
          <m:r>
            <m:rPr>
              <m:sty m:val="p"/>
            </m:rPr>
            <m:t>.</m:t>
          </m:r>
        </m:oMath>
      </m:oMathPara>
    </w:p>
    <w:p>
      <w:pPr>
        <w:numPr>
          <w:ilvl w:val="0"/>
          <w:numId w:val="1000"/>
        </w:numPr>
      </w:pPr>
      <w:r>
        <w:t xml:space="preserve">Es la razón física del apartado </w:t>
      </w:r>
      <w:hyperlink w:anchor="sec_fenomeno">
        <w:r>
          <w:rPr>
            <w:rStyle w:val="Hyperlink"/>
          </w:rPr>
          <w:t xml:space="preserve">I.1</w:t>
        </w:r>
      </w:hyperlink>
      <w:r>
        <w:t xml:space="preserve">: una parte de cada tonelada se va en pocos años y otra se queda siglos.</w:t>
      </w:r>
    </w:p>
    <w:p>
      <w:pPr>
        <w:numPr>
          <w:ilvl w:val="0"/>
          <w:numId w:val="1118"/>
        </w:numPr>
      </w:pPr>
      <w:r>
        <w:rPr>
          <w:i/>
          <w:iCs/>
        </w:rPr>
        <w:t xml:space="preserve">Forzamiento radiativo</w:t>
      </w:r>
      <w:r>
        <w:t xml:space="preserve">: crece con el logaritmo de la concentración,</w:t>
      </w:r>
    </w:p>
    <w:p>
      <w:pPr>
        <w:pStyle w:val="BodyText"/>
        <w:keepNext/>
      </w:pPr>
      <m:oMathPara>
        <m:oMathParaPr>
          <m:jc m:val="center"/>
        </m:oMathParaPr>
        <m:oMath>
          <m:sSub>
            <m:e>
              <m:r>
                <m:t>F</m:t>
              </m:r>
            </m:e>
            <m:sub>
              <m:r>
                <m:t>t</m:t>
              </m:r>
            </m:sub>
          </m:sSub>
          <m:r>
            <m:rPr>
              <m:sty m:val="p"/>
            </m:rPr>
            <m:t>=</m:t>
          </m:r>
          <m:sSub>
            <m:e>
              <m:r>
                <m:t>F</m:t>
              </m:r>
            </m:e>
            <m:sub>
              <m:r>
                <m:t>2</m:t>
              </m:r>
              <m:r>
                <m:rPr>
                  <m:sty m:val="p"/>
                </m:rPr>
                <m:t>×</m:t>
              </m:r>
            </m:sub>
          </m:sSub>
          <m:sSub>
            <m:e>
              <m:r>
                <m:rPr>
                  <m:sty m:val="p"/>
                </m:rPr>
                <m:t>log</m:t>
              </m:r>
            </m:e>
            <m:sub>
              <m:r>
                <m:t>2</m:t>
              </m:r>
            </m:sub>
          </m:sSub>
          <m:r>
            <m:t>​</m:t>
          </m:r>
          <m:d>
            <m:dPr>
              <m:begChr m:val="("/>
              <m:sepChr m:val=""/>
              <m:endChr m:val=")"/>
              <m:grow/>
            </m:dPr>
            <m:e>
              <m:f>
                <m:fPr>
                  <m:type m:val="bar"/>
                </m:fPr>
                <m:num>
                  <m:sSubSup>
                    <m:e>
                      <m:r>
                        <m:t>M</m:t>
                      </m:r>
                    </m:e>
                    <m:sub>
                      <m:r>
                        <m:t>t</m:t>
                      </m:r>
                    </m:sub>
                    <m:sup>
                      <m:r>
                        <m:t>A</m:t>
                      </m:r>
                      <m:r>
                        <m:t>T</m:t>
                      </m:r>
                    </m:sup>
                  </m:sSubSup>
                </m:num>
                <m:den>
                  <m:sSubSup>
                    <m:e>
                      <m:r>
                        <m:t>M</m:t>
                      </m:r>
                    </m:e>
                    <m:sub>
                      <m:r>
                        <m:t>1765</m:t>
                      </m:r>
                    </m:sub>
                    <m:sup>
                      <m:r>
                        <m:t>A</m:t>
                      </m:r>
                      <m:r>
                        <m:t>T</m:t>
                      </m:r>
                    </m:sup>
                  </m:sSubSup>
                </m:den>
              </m:f>
            </m:e>
          </m:d>
          <m:r>
            <m:rPr>
              <m:sty m:val="p"/>
            </m:rPr>
            <m:t>+</m:t>
          </m:r>
          <m:sSubSup>
            <m:e>
              <m:r>
                <m:t>F</m:t>
              </m:r>
            </m:e>
            <m:sub>
              <m:r>
                <m:t>t</m:t>
              </m:r>
            </m:sub>
            <m:sup>
              <m:r>
                <m:rPr>
                  <m:sty m:val="p"/>
                </m:rPr>
                <m:t>o</m:t>
              </m:r>
              <m:r>
                <m:rPr>
                  <m:sty m:val="p"/>
                </m:rPr>
                <m:t>t</m:t>
              </m:r>
              <m:r>
                <m:rPr>
                  <m:sty m:val="p"/>
                </m:rPr>
                <m:t>r</m:t>
              </m:r>
              <m:r>
                <m:rPr>
                  <m:sty m:val="p"/>
                </m:rPr>
                <m:t>o</m:t>
              </m:r>
              <m:r>
                <m:rPr>
                  <m:sty m:val="p"/>
                </m:rPr>
                <m:t>s</m:t>
              </m:r>
            </m:sup>
          </m:sSubSup>
          <m:r>
            <m:rPr>
              <m:sty m:val="p"/>
            </m:rPr>
            <m:t>,</m:t>
          </m:r>
        </m:oMath>
      </m:oMathPara>
    </w:p>
    <w:p>
      <w:pPr>
        <w:numPr>
          <w:ilvl w:val="0"/>
          <w:numId w:val="1000"/>
        </w:numPr>
      </w:pPr>
      <w:r>
        <w:t xml:space="preserve">con</w:t>
      </w:r>
      <w:r>
        <w:t xml:space="preserve"> </w:t>
      </w:r>
      <m:oMath>
        <m:sSub>
          <m:e>
            <m:r>
              <m:t>F</m:t>
            </m:r>
          </m:e>
          <m:sub>
            <m:r>
              <m:t>2</m:t>
            </m:r>
            <m:r>
              <m:rPr>
                <m:sty m:val="p"/>
              </m:rPr>
              <m:t>×</m:t>
            </m:r>
          </m:sub>
        </m:sSub>
      </m:oMath>
      <w:r>
        <w:t xml:space="preserve"> </w:t>
      </w:r>
      <w:r>
        <w:t xml:space="preserve">el forzamiento de una duplicación del CO</w:t>
      </w:r>
      <w:r>
        <w:rPr>
          <w:vertAlign w:val="subscript"/>
        </w:rPr>
        <w:t xml:space="preserve">2</w:t>
      </w:r>
      <w:r>
        <w:t xml:space="preserve"> </w:t>
      </w:r>
      <w:r>
        <w:t xml:space="preserve">y</w:t>
      </w:r>
      <w:r>
        <w:t xml:space="preserve"> </w:t>
      </w:r>
      <m:oMath>
        <m:sSubSup>
          <m:e>
            <m:r>
              <m:t>F</m:t>
            </m:r>
          </m:e>
          <m:sub>
            <m:r>
              <m:t>t</m:t>
            </m:r>
          </m:sub>
          <m:sup>
            <m:r>
              <m:rPr>
                <m:sty m:val="p"/>
              </m:rPr>
              <m:t>o</m:t>
            </m:r>
            <m:r>
              <m:rPr>
                <m:sty m:val="p"/>
              </m:rPr>
              <m:t>t</m:t>
            </m:r>
            <m:r>
              <m:rPr>
                <m:sty m:val="p"/>
              </m:rPr>
              <m:t>r</m:t>
            </m:r>
            <m:r>
              <m:rPr>
                <m:sty m:val="p"/>
              </m:rPr>
              <m:t>o</m:t>
            </m:r>
            <m:r>
              <m:rPr>
                <m:sty m:val="p"/>
              </m:rPr>
              <m:t>s</m:t>
            </m:r>
          </m:sup>
        </m:sSubSup>
      </m:oMath>
      <w:r>
        <w:t xml:space="preserve"> </w:t>
      </w:r>
      <w:r>
        <w:t xml:space="preserve">el de los demás gases y los aerosoles.</w:t>
      </w:r>
    </w:p>
    <w:p>
      <w:pPr>
        <w:numPr>
          <w:ilvl w:val="0"/>
          <w:numId w:val="1118"/>
        </w:numPr>
      </w:pPr>
      <w:r>
        <w:rPr>
          <w:i/>
          <w:iCs/>
        </w:rPr>
        <w:t xml:space="preserve">Temperatura</w:t>
      </w:r>
      <w:r>
        <w:t xml:space="preserve">: un modelo de 2 cajas, una rápida (la superficie y la capa superior del océano) y otra lenta (el océano profundo). Cada caja</w:t>
      </w:r>
      <w:r>
        <w:t xml:space="preserve"> </w:t>
      </w:r>
      <m:oMath>
        <m:r>
          <m:t>j</m:t>
        </m:r>
      </m:oMath>
      <w:r>
        <w:t xml:space="preserve"> </w:t>
      </w:r>
      <w:r>
        <w:t xml:space="preserve">se acerca a su equilibrio, proporcional al forzamiento, a su propio ritmo, y la temperatura es la suma de las 2:</w:t>
      </w:r>
    </w:p>
    <w:p>
      <w:pPr>
        <w:pStyle w:val="BodyText"/>
        <w:keepNext/>
      </w:pPr>
      <m:oMathPara>
        <m:oMathParaPr>
          <m:jc m:val="center"/>
        </m:oMathParaPr>
        <m:oMath>
          <m:sSub>
            <m:e>
              <m:r>
                <m:t>T</m:t>
              </m:r>
            </m:e>
            <m:sub>
              <m:r>
                <m:t>t</m:t>
              </m:r>
            </m:sub>
          </m:sSub>
          <m:r>
            <m:rPr>
              <m:sty m:val="p"/>
            </m:rPr>
            <m:t>=</m:t>
          </m:r>
          <m:sSub>
            <m:e>
              <m:r>
                <m:t>T</m:t>
              </m:r>
            </m:e>
            <m:sub>
              <m:r>
                <m:t>1</m:t>
              </m:r>
              <m:r>
                <m:rPr>
                  <m:sty m:val="p"/>
                </m:rPr>
                <m:t>,</m:t>
              </m:r>
              <m:r>
                <m:t>t</m:t>
              </m:r>
            </m:sub>
          </m:sSub>
          <m:r>
            <m:rPr>
              <m:sty m:val="p"/>
            </m:rPr>
            <m:t>+</m:t>
          </m:r>
          <m:sSub>
            <m:e>
              <m:r>
                <m:t>T</m:t>
              </m:r>
            </m:e>
            <m:sub>
              <m:r>
                <m:t>2</m:t>
              </m:r>
              <m:r>
                <m:rPr>
                  <m:sty m:val="p"/>
                </m:rPr>
                <m:t>,</m:t>
              </m:r>
              <m:r>
                <m:t>t</m:t>
              </m:r>
            </m:sub>
          </m:sSub>
          <m:r>
            <m:rPr>
              <m:sty m:val="p"/>
            </m:rPr>
            <m:t>,</m:t>
          </m:r>
          <m:r>
            <m:t>  </m:t>
          </m:r>
          <m:sSub>
            <m:e>
              <m:r>
                <m:t>T</m:t>
              </m:r>
            </m:e>
            <m:sub>
              <m:r>
                <m:t>j</m:t>
              </m:r>
              <m:r>
                <m:rPr>
                  <m:sty m:val="p"/>
                </m:rPr>
                <m:t>,</m:t>
              </m:r>
              <m:r>
                <m:t>t</m:t>
              </m:r>
            </m:sub>
          </m:sSub>
          <m:r>
            <m:rPr>
              <m:sty m:val="p"/>
            </m:rPr>
            <m:t>=</m:t>
          </m:r>
          <m:sSub>
            <m:e>
              <m:r>
                <m:t>T</m:t>
              </m:r>
            </m:e>
            <m:sub>
              <m:r>
                <m:t>j</m:t>
              </m:r>
              <m:r>
                <m:rPr>
                  <m:sty m:val="p"/>
                </m:rPr>
                <m:t>,</m:t>
              </m:r>
              <m:r>
                <m:t>t</m:t>
              </m:r>
              <m:r>
                <m:rPr>
                  <m:sty m:val="p"/>
                </m:rPr>
                <m:t>−</m:t>
              </m:r>
              <m:r>
                <m:t>1</m:t>
              </m:r>
            </m:sub>
          </m:sSub>
          <m:r>
            <m:t> </m:t>
          </m:r>
          <m:sSup>
            <m:e>
              <m:r>
                <m:t>e</m:t>
              </m:r>
            </m:e>
            <m:sup>
              <m:r>
                <m:rPr>
                  <m:sty m:val="p"/>
                </m:rPr>
                <m:t>−</m:t>
              </m:r>
              <m:r>
                <m:t>5</m:t>
              </m:r>
              <m:r>
                <m:rPr>
                  <m:sty m:val="p"/>
                </m:rPr>
                <m:t>/</m:t>
              </m:r>
              <m:sSub>
                <m:e>
                  <m:r>
                    <m:t>d</m:t>
                  </m:r>
                </m:e>
                <m:sub>
                  <m:r>
                    <m:t>j</m:t>
                  </m:r>
                </m:sub>
              </m:sSub>
            </m:sup>
          </m:sSup>
          <m:r>
            <m:rPr>
              <m:sty m:val="p"/>
            </m:rPr>
            <m:t>+</m:t>
          </m:r>
          <m:sSub>
            <m:e>
              <m:r>
                <m:t>κ</m:t>
              </m:r>
            </m:e>
            <m:sub>
              <m:r>
                <m:t>j</m:t>
              </m:r>
            </m:sub>
          </m:sSub>
          <m:r>
            <m:t> </m:t>
          </m:r>
          <m:sSub>
            <m:e>
              <m:r>
                <m:t>F</m:t>
              </m:r>
            </m:e>
            <m:sub>
              <m:r>
                <m:t>t</m:t>
              </m:r>
            </m:sub>
          </m:sSub>
          <m:r>
            <m:t> </m:t>
          </m:r>
          <m:d>
            <m:dPr>
              <m:begChr m:val="("/>
              <m:sepChr m:val=""/>
              <m:endChr m:val=")"/>
              <m:grow/>
            </m:dPr>
            <m:e>
              <m:r>
                <m:t>1</m:t>
              </m:r>
              <m:r>
                <m:rPr>
                  <m:sty m:val="p"/>
                </m:rPr>
                <m:t>−</m:t>
              </m:r>
              <m:sSup>
                <m:e>
                  <m:r>
                    <m:t>e</m:t>
                  </m:r>
                </m:e>
                <m:sup>
                  <m:r>
                    <m:rPr>
                      <m:sty m:val="p"/>
                    </m:rPr>
                    <m:t>−</m:t>
                  </m:r>
                  <m:r>
                    <m:t>5</m:t>
                  </m:r>
                  <m:r>
                    <m:rPr>
                      <m:sty m:val="p"/>
                    </m:rPr>
                    <m:t>/</m:t>
                  </m:r>
                  <m:sSub>
                    <m:e>
                      <m:r>
                        <m:t>d</m:t>
                      </m:r>
                    </m:e>
                    <m:sub>
                      <m:r>
                        <m:t>j</m:t>
                      </m:r>
                    </m:sub>
                  </m:sSub>
                </m:sup>
              </m:sSup>
            </m:e>
          </m:d>
          <m:r>
            <m:rPr>
              <m:sty m:val="p"/>
            </m:rPr>
            <m:t>,</m:t>
          </m:r>
          <m:r>
            <m:t> </m:t>
          </m:r>
          <m:r>
            <m:t>j</m:t>
          </m:r>
          <m:r>
            <m:rPr>
              <m:sty m:val="p"/>
            </m:rPr>
            <m:t>=</m:t>
          </m:r>
          <m:r>
            <m:t>1</m:t>
          </m:r>
          <m:r>
            <m:rPr>
              <m:sty m:val="p"/>
            </m:rPr>
            <m:t>,</m:t>
          </m:r>
          <m:r>
            <m:t>2</m:t>
          </m:r>
          <m:r>
            <m:rPr>
              <m:sty m:val="p"/>
            </m:rPr>
            <m:t>.</m:t>
          </m:r>
        </m:oMath>
      </m:oMathPara>
    </w:p>
    <w:p>
      <w:pPr>
        <w:numPr>
          <w:ilvl w:val="0"/>
          <w:numId w:val="1118"/>
        </w:numPr>
      </w:pPr>
      <w:r>
        <w:rPr>
          <w:i/>
          <w:iCs/>
        </w:rPr>
        <w:t xml:space="preserve">Calibración</w:t>
      </w:r>
      <w:r>
        <w:t xml:space="preserve">: la</w:t>
      </w:r>
      <w:r>
        <w:t xml:space="preserve"> </w:t>
      </w:r>
      <w:r>
        <w:rPr>
          <w:b/>
          <w:bCs/>
        </w:rPr>
        <w:t xml:space="preserve">sensibilidad climática de equilibrio</w:t>
      </w:r>
      <w:r>
        <w:t xml:space="preserve">, el calentamiento a largo plazo si se duplica el CO</w:t>
      </w:r>
      <w:r>
        <w:rPr>
          <w:vertAlign w:val="subscript"/>
        </w:rPr>
        <w:t xml:space="preserve">2</w:t>
      </w:r>
      <w:r>
        <w:t xml:space="preserve">, es</w:t>
      </w:r>
      <w:r>
        <w:t xml:space="preserve"> </w:t>
      </w:r>
      <m:oMath>
        <m:sSub>
          <m:e>
            <m:r>
              <m:t>F</m:t>
            </m:r>
          </m:e>
          <m:sub>
            <m:r>
              <m:t>2</m:t>
            </m:r>
            <m:r>
              <m:rPr>
                <m:sty m:val="p"/>
              </m:rPr>
              <m:t>×</m:t>
            </m:r>
          </m:sub>
        </m:sSub>
        <m:d>
          <m:dPr>
            <m:begChr m:val="("/>
            <m:sepChr m:val=""/>
            <m:endChr m:val=")"/>
            <m:grow/>
          </m:dPr>
          <m:e>
            <m:sSub>
              <m:e>
                <m:r>
                  <m:t>κ</m:t>
                </m:r>
              </m:e>
              <m:sub>
                <m:r>
                  <m:t>1</m:t>
                </m:r>
              </m:sub>
            </m:sSub>
            <m:r>
              <m:rPr>
                <m:sty m:val="p"/>
              </m:rPr>
              <m:t>+</m:t>
            </m:r>
            <m:sSub>
              <m:e>
                <m:r>
                  <m:t>κ</m:t>
                </m:r>
              </m:e>
              <m:sub>
                <m:r>
                  <m:t>2</m:t>
                </m:r>
              </m:sub>
            </m:sSub>
          </m:e>
        </m:d>
        <m:r>
          <m:rPr>
            <m:sty m:val="p"/>
          </m:rPr>
          <m:t>≃</m:t>
        </m:r>
        <m:r>
          <m:t>3</m:t>
        </m:r>
        <m:r>
          <m:rPr>
            <m:sty m:val="p"/>
          </m:rPr>
          <m:t>,</m:t>
        </m:r>
        <m:r>
          <m:t>93</m:t>
        </m:r>
        <m:r>
          <m:rPr>
            <m:sty m:val="p"/>
          </m:rPr>
          <m:t>×</m:t>
        </m:r>
        <m:d>
          <m:dPr>
            <m:begChr m:val="("/>
            <m:sepChr m:val=""/>
            <m:endChr m:val=")"/>
            <m:grow/>
          </m:dPr>
          <m:e>
            <m:r>
              <m:t>0</m:t>
            </m:r>
            <m:r>
              <m:rPr>
                <m:sty m:val="p"/>
              </m:rPr>
              <m:t>,</m:t>
            </m:r>
            <m:r>
              <m:t>324</m:t>
            </m:r>
            <m:r>
              <m:rPr>
                <m:sty m:val="p"/>
              </m:rPr>
              <m:t>+</m:t>
            </m:r>
            <m:r>
              <m:t>0</m:t>
            </m:r>
            <m:r>
              <m:rPr>
                <m:sty m:val="p"/>
              </m:rPr>
              <m:t>,</m:t>
            </m:r>
            <m:r>
              <m:t>440</m:t>
            </m:r>
          </m:e>
        </m:d>
        <m:r>
          <m:rPr>
            <m:sty m:val="p"/>
          </m:rPr>
          <m:t>≃</m:t>
        </m:r>
        <m:r>
          <m:t>3</m:t>
        </m:r>
        <m:r>
          <m:rPr>
            <m:sty m:val="p"/>
          </m:rPr>
          <m:t>,</m:t>
        </m:r>
        <m:r>
          <m:t>0</m:t>
        </m:r>
      </m:oMath>
      <w:r>
        <w:t xml:space="preserve"> °C, y la respuesta transitoria, 1,8 °C: los valores centrales del IPCC</w:t>
      </w:r>
      <w:r>
        <w:t xml:space="preserve"> </w:t>
      </w:r>
      <w:r>
        <w:t xml:space="preserve">(</w:t>
      </w:r>
      <w:hyperlink w:anchor="ref_IPCC2021SPM">
        <w:r>
          <w:rPr>
            <w:rStyle w:val="Hyperlink"/>
            <w:smallCaps/>
          </w:rPr>
          <w:t xml:space="preserve">IPCC</w:t>
        </w:r>
        <w:r>
          <w:rPr>
            <w:rStyle w:val="Hyperlink"/>
          </w:rPr>
          <w:t xml:space="preserve">, 2021</w:t>
        </w:r>
      </w:hyperlink>
      <w:r>
        <w:t xml:space="preserve">;</w:t>
      </w:r>
      <w:r>
        <w:t xml:space="preserve"> </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w:t>
      </w:r>
    </w:p>
    <w:p>
      <w:pPr>
        <w:numPr>
          <w:ilvl w:val="0"/>
          <w:numId w:val="1118"/>
        </w:numPr>
      </w:pPr>
      <w:r>
        <w:rPr>
          <w:i/>
          <w:iCs/>
        </w:rPr>
        <w:t xml:space="preserve">Letras locales de este anexo</w:t>
      </w:r>
      <w:r>
        <w:t xml:space="preserve">:</w:t>
      </w:r>
      <w:r>
        <w:t xml:space="preserve"> </w:t>
      </w:r>
      <m:oMath>
        <m:sSubSup>
          <m:e>
            <m:r>
              <m:t>M</m:t>
            </m:r>
          </m:e>
          <m:sub>
            <m:r>
              <m:t>t</m:t>
            </m:r>
          </m:sub>
          <m:sup>
            <m:r>
              <m:t>A</m:t>
            </m:r>
            <m:r>
              <m:t>T</m:t>
            </m:r>
          </m:sup>
        </m:sSubSup>
      </m:oMath>
      <w:r>
        <w:t xml:space="preserve"> </w:t>
      </w:r>
      <w:r>
        <w:t xml:space="preserve">(masa de carbono en la atmósfera, no el dinero),</w:t>
      </w:r>
      <w:r>
        <w:t xml:space="preserve"> </w:t>
      </w:r>
      <m:oMath>
        <m:sSub>
          <m:e>
            <m:r>
              <m:t>R</m:t>
            </m:r>
          </m:e>
          <m:sub>
            <m:r>
              <m:t>i</m:t>
            </m:r>
            <m:r>
              <m:rPr>
                <m:sty m:val="p"/>
              </m:rPr>
              <m:t>,</m:t>
            </m:r>
            <m:r>
              <m:t>t</m:t>
            </m:r>
          </m:sub>
        </m:sSub>
      </m:oMath>
      <w:r>
        <w:t xml:space="preserve">,</w:t>
      </w:r>
      <w:r>
        <w:t xml:space="preserve"> </w:t>
      </w:r>
      <m:oMath>
        <m:sSub>
          <m:e>
            <m:r>
              <m:t>ξ</m:t>
            </m:r>
          </m:e>
          <m:sub>
            <m:r>
              <m:t>i</m:t>
            </m:r>
          </m:sub>
        </m:sSub>
      </m:oMath>
      <w:r>
        <w:t xml:space="preserve">,</w:t>
      </w:r>
      <w:r>
        <w:t xml:space="preserve"> </w:t>
      </w:r>
      <m:oMath>
        <m:sSub>
          <m:e>
            <m:r>
              <m:rPr>
                <m:sty m:val="p"/>
              </m:rPr>
              <m:t>ℓ</m:t>
            </m:r>
          </m:e>
          <m:sub>
            <m:r>
              <m:t>i</m:t>
            </m:r>
          </m:sub>
        </m:sSub>
      </m:oMath>
      <w:r>
        <w:t xml:space="preserve"> </w:t>
      </w:r>
      <w:r>
        <w:t xml:space="preserve">(vida característica del depósito</w:t>
      </w:r>
      <w:r>
        <w:t xml:space="preserve"> </w:t>
      </w:r>
      <m:oMath>
        <m:r>
          <m:t>i</m:t>
        </m:r>
      </m:oMath>
      <w:r>
        <w:t xml:space="preserve">),</w:t>
      </w:r>
      <w:r>
        <w:t xml:space="preserve"> </w:t>
      </w:r>
      <m:oMath>
        <m:sSub>
          <m:e>
            <m:r>
              <m:t>a</m:t>
            </m:r>
          </m:e>
          <m:sub>
            <m:r>
              <m:t>t</m:t>
            </m:r>
          </m:sub>
        </m:sSub>
      </m:oMath>
      <w:r>
        <w:t xml:space="preserve"> </w:t>
      </w:r>
      <w:r>
        <w:t xml:space="preserve">(factor que alarga esas vidas),</w:t>
      </w:r>
      <w:r>
        <w:t xml:space="preserve"> </w:t>
      </w:r>
      <m:oMath>
        <m:sSub>
          <m:e>
            <m:r>
              <m:t>F</m:t>
            </m:r>
          </m:e>
          <m:sub>
            <m:r>
              <m:t>t</m:t>
            </m:r>
          </m:sub>
        </m:sSub>
      </m:oMath>
      <w:r>
        <w:t xml:space="preserve"> </w:t>
      </w:r>
      <w:r>
        <w:t xml:space="preserve">(forzamiento, no la producción), y</w:t>
      </w:r>
      <w:r>
        <w:t xml:space="preserve"> </w:t>
      </w:r>
      <m:oMath>
        <m:sSub>
          <m:e>
            <m:r>
              <m:t>d</m:t>
            </m:r>
          </m:e>
          <m:sub>
            <m:r>
              <m:t>j</m:t>
            </m:r>
          </m:sub>
        </m:sSub>
      </m:oMath>
      <w:r>
        <w:t xml:space="preserve"> </w:t>
      </w:r>
      <w:r>
        <w:t xml:space="preserve">y</w:t>
      </w:r>
      <w:r>
        <w:t xml:space="preserve"> </w:t>
      </w:r>
      <m:oMath>
        <m:sSub>
          <m:e>
            <m:r>
              <m:t>κ</m:t>
            </m:r>
          </m:e>
          <m:sub>
            <m:r>
              <m:t>j</m:t>
            </m:r>
          </m:sub>
        </m:sSub>
      </m:oMath>
      <w:r>
        <w:t xml:space="preserve"> </w:t>
      </w:r>
      <w:r>
        <w:t xml:space="preserve">(ritmo y sensibilidad de cada caja de temperatura).</w:t>
      </w:r>
    </w:p>
    <w:bookmarkEnd w:id="145"/>
    <w:bookmarkStart w:id="147" w:name="los_resultados"/>
    <w:p>
      <w:pPr>
        <w:pStyle w:val="Heading4"/>
      </w:pPr>
      <w:r>
        <w:t xml:space="preserve">Los resultados</w:t>
      </w:r>
    </w:p>
    <w:p>
      <w:pPr>
        <w:keepNext/>
        <w:numPr>
          <w:ilvl w:val="0"/>
          <w:numId w:val="1119"/>
        </w:numPr>
      </w:pPr>
      <w:r>
        <w:t xml:space="preserve">La tabla </w:t>
      </w:r>
      <w:hyperlink w:anchor="tab_dice_resultados">
        <w:r>
          <w:rPr>
            <w:rStyle w:val="Hyperlink"/>
          </w:rPr>
          <w:t xml:space="preserve">6</w:t>
        </w:r>
      </w:hyperlink>
      <w:r>
        <w:t xml:space="preserve"> </w:t>
      </w:r>
      <w:r>
        <w:t xml:space="preserve">resume los escenarios del apartado </w:t>
      </w:r>
      <w:hyperlink w:anchor="sec_dice">
        <w:r>
          <w:rPr>
            <w:rStyle w:val="Hyperlink"/>
          </w:rPr>
          <w:t xml:space="preserve">II.3</w:t>
        </w:r>
      </w:hyperlink>
      <w:r>
        <w:t xml:space="preserve"> </w:t>
      </w:r>
      <w:r>
        <w:t xml:space="preserve">y uno más, el que amplía los compromisos de París</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 En todos, el coste social del carbono es el de las emisiones de 2020, en dólares de 2019 por tonelada de CO</w:t>
      </w:r>
      <w:r>
        <w:rPr>
          <w:vertAlign w:val="subscript"/>
        </w:rPr>
        <w:t xml:space="preserve">2</w:t>
      </w:r>
      <w:r>
        <w:t xml:space="preserve">.</w:t>
      </w:r>
    </w:p>
    <w:p>
      <w:pPr>
        <w:numPr>
          <w:ilvl w:val="1"/>
          <w:numId w:val="1120"/>
        </w:numPr>
      </w:pPr>
      <w:r>
        <w:t xml:space="preserve">Con las políticas actuales, el calentamiento llega a 3,6 °C en 2100; en la senda óptima, a 2,6 °C.</w:t>
      </w:r>
    </w:p>
    <w:p>
      <w:pPr>
        <w:numPr>
          <w:ilvl w:val="1"/>
          <w:numId w:val="1120"/>
        </w:numPr>
      </w:pPr>
      <w:r>
        <w:t xml:space="preserve">Limitar el calentamiento a 2 °C exige un precio del carbono de 200 $ en 2050; la senda que amplía los compromisos de París, uno de 63 $.</w:t>
      </w:r>
    </w:p>
    <w:p>
      <w:pPr>
        <w:numPr>
          <w:ilvl w:val="1"/>
          <w:numId w:val="1120"/>
        </w:numPr>
      </w:pPr>
      <w:r>
        <w:t xml:space="preserve">Limitar el calentamiento a 1,5 °C ya no es alcanzable en el modelo: exigiría llevar las emisiones casi a cero en 5 años, con una depresión o un recorte de emisiones inverosímil.</w:t>
      </w:r>
    </w:p>
    <w:bookmarkStart w:id="146" w:name="tab_dice_resultados"/>
    <w:p>
      <w:pPr>
        <w:pStyle w:val="TableCaption"/>
      </w:pPr>
      <w:r>
        <w:t xml:space="preserve">Tabla 6.–</w:t>
      </w:r>
      <w:r>
        <w:t xml:space="preserve"> </w:t>
      </w:r>
      <w:r>
        <w:t xml:space="preserve">Resultados de DICE-2023 en 4 escenarios</w:t>
      </w:r>
    </w:p>
    <w:tbl>
      <w:tblPr>
        <w:tblStyle w:val="Table"/>
        <w:tblW w:type="auto" w:w="0"/>
        <w:tblLook w:firstRow="1" w:lastRow="0" w:firstColumn="0" w:lastColumn="0" w:noHBand="0" w:noVBand="0" w:val="0020"/>
        <w:tblCaption w:val="Tabla 6.– Resultados de DICE-2023 en 4 escenarios"/>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left"/>
            </w:pPr>
            <w:r>
              <w:t/>
            </w:r>
          </w:p>
        </w:tc>
        <w:tc>
          <w:tcPr>
            <w:shd w:val="clear" w:color="auto" w:fill="DDEBF7"/>
            <w:vAlign w:val="center"/>
          </w:tcPr>
          <w:p>
            <w:pPr>
              <w:pStyle w:val="Celdatceeazulpalido"/>
              <w:keepNext/>
              <w:jc w:val="center"/>
            </w:pPr>
            <w:r>
              <w:rPr>
                <w:b/>
                <w:bCs/>
              </w:rPr>
              <w:t xml:space="preserve">Políticas actuales</w:t>
            </w:r>
          </w:p>
        </w:tc>
        <w:tc>
          <w:tcPr>
            <w:shd w:val="clear" w:color="auto" w:fill="DDEBF7"/>
            <w:vAlign w:val="center"/>
          </w:tcPr>
          <w:p>
            <w:pPr>
              <w:pStyle w:val="Celdatceeazulpalido"/>
              <w:keepNext/>
              <w:jc w:val="center"/>
            </w:pPr>
            <w:r>
              <w:rPr>
                <w:b/>
                <w:bCs/>
              </w:rPr>
              <w:t xml:space="preserve">Óptimo</w:t>
            </w:r>
          </w:p>
        </w:tc>
        <w:tc>
          <w:tcPr>
            <w:shd w:val="clear" w:color="auto" w:fill="DDEBF7"/>
            <w:vAlign w:val="center"/>
          </w:tcPr>
          <w:p>
            <w:pPr>
              <w:pStyle w:val="Celdatceeazulpalido"/>
              <w:keepNext/>
              <w:jc w:val="center"/>
            </w:pPr>
            <w:r>
              <w:rPr>
                <w:b/>
                <w:bCs/>
              </w:rPr>
              <w:t xml:space="preserve">Límite de 2 °C</w:t>
            </w:r>
          </w:p>
        </w:tc>
        <w:tc>
          <w:tcPr>
            <w:shd w:val="clear" w:color="auto" w:fill="DDEBF7"/>
            <w:vAlign w:val="center"/>
          </w:tcPr>
          <w:p>
            <w:pPr>
              <w:pStyle w:val="Celdatceeazulpalido"/>
              <w:keepNext/>
              <w:jc w:val="center"/>
            </w:pPr>
            <w:r>
              <w:rPr>
                <w:b/>
                <w:bCs/>
              </w:rPr>
              <w:t xml:space="preserve">París ampliado</w:t>
            </w:r>
          </w:p>
        </w:tc>
      </w:tr>
      <w:tr>
        <w:trPr>
          <w:cantSplit/>
        </w:trPr>
        <w:tc>
          <w:tcPr>
            <w:vAlign w:val="center"/>
          </w:tcPr>
          <w:p>
            <w:pPr>
              <w:pStyle w:val="Compact"/>
              <w:jc w:val="left"/>
            </w:pPr>
            <w:r>
              <w:t xml:space="preserve">Coste social del carbono en 2020 ($/t)</w:t>
            </w:r>
          </w:p>
        </w:tc>
        <w:tc>
          <w:tcPr>
            <w:vAlign w:val="center"/>
          </w:tcPr>
          <w:p>
            <w:pPr>
              <w:pStyle w:val="Compact"/>
              <w:jc w:val="center"/>
            </w:pPr>
            <w:r>
              <w:t xml:space="preserve">66</w:t>
            </w:r>
          </w:p>
        </w:tc>
        <w:tc>
          <w:tcPr>
            <w:shd w:val="clear" w:color="auto" w:fill="E2EFD9"/>
            <w:vAlign w:val="center"/>
          </w:tcPr>
          <w:p>
            <w:pPr>
              <w:pStyle w:val="Celdatceesalvia"/>
              <w:jc w:val="center"/>
            </w:pPr>
            <w:r>
              <w:t xml:space="preserve">50</w:t>
            </w:r>
          </w:p>
        </w:tc>
        <w:tc>
          <w:tcPr>
            <w:vAlign w:val="center"/>
          </w:tcPr>
          <w:p>
            <w:pPr>
              <w:pStyle w:val="Compact"/>
              <w:jc w:val="center"/>
            </w:pPr>
            <w:r>
              <w:t xml:space="preserve">76</w:t>
            </w:r>
          </w:p>
        </w:tc>
        <w:tc>
          <w:tcPr>
            <w:vAlign w:val="center"/>
          </w:tcPr>
          <w:p>
            <w:pPr>
              <w:pStyle w:val="Compact"/>
              <w:jc w:val="center"/>
            </w:pPr>
            <w:r>
              <w:t xml:space="preserve">61</w:t>
            </w:r>
          </w:p>
        </w:tc>
      </w:tr>
      <w:tr>
        <w:trPr>
          <w:cantSplit/>
        </w:trPr>
        <w:tc>
          <w:tcPr>
            <w:vAlign w:val="center"/>
          </w:tcPr>
          <w:p>
            <w:pPr>
              <w:pStyle w:val="Compact"/>
              <w:jc w:val="left"/>
            </w:pPr>
            <w:r>
              <w:t xml:space="preserve">Precio del carbono en 2050 ($/t)</w:t>
            </w:r>
          </w:p>
        </w:tc>
        <w:tc>
          <w:tcPr>
            <w:vAlign w:val="center"/>
          </w:tcPr>
          <w:p>
            <w:pPr>
              <w:pStyle w:val="Compact"/>
              <w:jc w:val="center"/>
            </w:pPr>
            <w:r>
              <w:t xml:space="preserve">—</w:t>
            </w:r>
          </w:p>
        </w:tc>
        <w:tc>
          <w:tcPr>
            <w:vAlign w:val="center"/>
          </w:tcPr>
          <w:p>
            <w:pPr>
              <w:pStyle w:val="Compact"/>
              <w:jc w:val="center"/>
            </w:pPr>
            <w:r>
              <w:t xml:space="preserve">115</w:t>
            </w:r>
          </w:p>
        </w:tc>
        <w:tc>
          <w:tcPr>
            <w:vAlign w:val="center"/>
          </w:tcPr>
          <w:p>
            <w:pPr>
              <w:pStyle w:val="Compact"/>
              <w:jc w:val="center"/>
            </w:pPr>
            <w:r>
              <w:t xml:space="preserve">200</w:t>
            </w:r>
          </w:p>
        </w:tc>
        <w:tc>
          <w:tcPr>
            <w:vAlign w:val="center"/>
          </w:tcPr>
          <w:p>
            <w:pPr>
              <w:pStyle w:val="Compact"/>
              <w:jc w:val="center"/>
            </w:pPr>
            <w:r>
              <w:t xml:space="preserve">63</w:t>
            </w:r>
          </w:p>
        </w:tc>
      </w:tr>
      <w:tr>
        <w:trPr>
          <w:cantSplit/>
        </w:trPr>
        <w:tc>
          <w:tcPr>
            <w:vAlign w:val="center"/>
          </w:tcPr>
          <w:p>
            <w:pPr>
              <w:pStyle w:val="Compact"/>
              <w:jc w:val="left"/>
            </w:pPr>
            <w:r>
              <w:t xml:space="preserve">Tasa de control en 2050 y en 2100</w:t>
            </w:r>
          </w:p>
        </w:tc>
        <w:tc>
          <w:tcPr>
            <w:vAlign w:val="center"/>
          </w:tcPr>
          <w:p>
            <w:pPr>
              <w:pStyle w:val="Compact"/>
              <w:jc w:val="center"/>
            </w:pPr>
            <w:r>
              <w:t xml:space="preserve">10 y 22 %</w:t>
            </w:r>
          </w:p>
        </w:tc>
        <w:tc>
          <w:tcPr>
            <w:vAlign w:val="center"/>
          </w:tcPr>
          <w:p>
            <w:pPr>
              <w:pStyle w:val="Compact"/>
              <w:jc w:val="center"/>
            </w:pPr>
            <w:r>
              <w:t xml:space="preserve">39 y 84 %</w:t>
            </w:r>
          </w:p>
        </w:tc>
        <w:tc>
          <w:tcPr>
            <w:vAlign w:val="center"/>
          </w:tcPr>
          <w:p>
            <w:pPr>
              <w:pStyle w:val="Compact"/>
              <w:jc w:val="center"/>
            </w:pPr>
            <w:r>
              <w:t xml:space="preserve">55 y 99 %</w:t>
            </w:r>
          </w:p>
        </w:tc>
        <w:tc>
          <w:tcPr>
            <w:vAlign w:val="center"/>
          </w:tcPr>
          <w:p>
            <w:pPr>
              <w:pStyle w:val="Compact"/>
              <w:jc w:val="center"/>
            </w:pPr>
            <w:r>
              <w:t xml:space="preserve">27 y 57 %</w:t>
            </w:r>
          </w:p>
        </w:tc>
      </w:tr>
      <w:tr>
        <w:trPr>
          <w:cantSplit/>
        </w:trPr>
        <w:tc>
          <w:tcPr>
            <w:vAlign w:val="center"/>
          </w:tcPr>
          <w:p>
            <w:pPr>
              <w:pStyle w:val="Compact"/>
              <w:jc w:val="left"/>
            </w:pPr>
            <w:r>
              <w:t xml:space="preserve">Temperatura en 2100 (°C sobre la era preindustrial)</w:t>
            </w:r>
          </w:p>
        </w:tc>
        <w:tc>
          <w:tcPr>
            <w:vAlign w:val="center"/>
          </w:tcPr>
          <w:p>
            <w:pPr>
              <w:pStyle w:val="Compact"/>
              <w:jc w:val="center"/>
            </w:pPr>
            <w:r>
              <w:t xml:space="preserve">3,6</w:t>
            </w:r>
          </w:p>
        </w:tc>
        <w:tc>
          <w:tcPr>
            <w:vAlign w:val="center"/>
          </w:tcPr>
          <w:p>
            <w:pPr>
              <w:pStyle w:val="Compact"/>
              <w:jc w:val="center"/>
            </w:pPr>
            <w:r>
              <w:t xml:space="preserve">2,6</w:t>
            </w:r>
          </w:p>
        </w:tc>
        <w:tc>
          <w:tcPr>
            <w:vAlign w:val="center"/>
          </w:tcPr>
          <w:p>
            <w:pPr>
              <w:pStyle w:val="Compact"/>
              <w:jc w:val="center"/>
            </w:pPr>
            <w:r>
              <w:t xml:space="preserve">2</w:t>
            </w:r>
          </w:p>
        </w:tc>
        <w:tc>
          <w:tcPr>
            <w:vAlign w:val="center"/>
          </w:tcPr>
          <w:p>
            <w:pPr>
              <w:pStyle w:val="Compact"/>
              <w:jc w:val="center"/>
            </w:pPr>
            <w:r>
              <w:t xml:space="preserve">—</w:t>
            </w:r>
          </w:p>
        </w:tc>
      </w:tr>
      <w:tr>
        <w:trPr>
          <w:cantSplit/>
        </w:trPr>
        <w:tc>
          <w:tcPr>
            <w:vAlign w:val="center"/>
          </w:tcPr>
          <w:p>
            <w:pPr>
              <w:pStyle w:val="Compact"/>
              <w:jc w:val="left"/>
            </w:pPr>
            <w:r>
              <w:t xml:space="preserve">Daños en 2100 (% del producto)</w:t>
            </w:r>
          </w:p>
        </w:tc>
        <w:tc>
          <w:tcPr>
            <w:vAlign w:val="center"/>
          </w:tcPr>
          <w:p>
            <w:pPr>
              <w:pStyle w:val="Compact"/>
              <w:jc w:val="center"/>
            </w:pPr>
            <w:r>
              <w:t xml:space="preserve">4,4</w:t>
            </w:r>
          </w:p>
        </w:tc>
        <w:tc>
          <w:tcPr>
            <w:vAlign w:val="center"/>
          </w:tcPr>
          <w:p>
            <w:pPr>
              <w:pStyle w:val="Compact"/>
              <w:jc w:val="center"/>
            </w:pPr>
            <w:r>
              <w:t xml:space="preserve">2,3</w:t>
            </w:r>
          </w:p>
        </w:tc>
        <w:tc>
          <w:tcPr>
            <w:vAlign w:val="center"/>
          </w:tcPr>
          <w:p>
            <w:pPr>
              <w:pStyle w:val="Compact"/>
              <w:jc w:val="center"/>
            </w:pPr>
            <w:r>
              <w:t xml:space="preserve">1,4</w:t>
            </w:r>
          </w:p>
        </w:tc>
        <w:tc>
          <w:tcPr>
            <w:vAlign w:val="center"/>
          </w:tcPr>
          <w:p>
            <w:pPr>
              <w:pStyle w:val="Compact"/>
              <w:jc w:val="center"/>
            </w:pPr>
            <w:r>
              <w:t xml:space="preserve">3,1</w:t>
            </w:r>
          </w:p>
        </w:tc>
      </w:tr>
      <w:tr>
        <w:trPr>
          <w:cantSplit/>
        </w:trPr>
        <w:tc>
          <w:tcPr>
            <w:vAlign w:val="center"/>
          </w:tcPr>
          <w:p>
            <w:pPr>
              <w:pStyle w:val="Compact"/>
              <w:jc w:val="left"/>
            </w:pPr>
            <w:r>
              <w:t xml:space="preserve">Ganancia frente a las políticas actuales (billones de $, valor actual)</w:t>
            </w:r>
          </w:p>
        </w:tc>
        <w:tc>
          <w:tcPr>
            <w:vAlign w:val="center"/>
          </w:tcPr>
          <w:p>
            <w:pPr>
              <w:pStyle w:val="Compact"/>
              <w:jc w:val="center"/>
            </w:pPr>
            <w:r>
              <w:t xml:space="preserve">0</w:t>
            </w:r>
          </w:p>
        </w:tc>
        <w:tc>
          <w:tcPr>
            <w:vAlign w:val="center"/>
          </w:tcPr>
          <w:p>
            <w:pPr>
              <w:pStyle w:val="Compact"/>
              <w:jc w:val="center"/>
            </w:pPr>
            <w:r>
              <w:t xml:space="preserve">119,7</w:t>
            </w:r>
          </w:p>
        </w:tc>
        <w:tc>
          <w:tcPr>
            <w:vAlign w:val="center"/>
          </w:tcPr>
          <w:p>
            <w:pPr>
              <w:pStyle w:val="Compact"/>
              <w:jc w:val="center"/>
            </w:pPr>
            <w:r>
              <w:t xml:space="preserve">107,3</w:t>
            </w:r>
          </w:p>
        </w:tc>
        <w:tc>
          <w:tcPr>
            <w:vAlign w:val="center"/>
          </w:tcPr>
          <w:p>
            <w:pPr>
              <w:pStyle w:val="Compact"/>
              <w:jc w:val="center"/>
            </w:pPr>
            <w:r>
              <w:t xml:space="preserve">85,4</w:t>
            </w:r>
          </w:p>
        </w:tc>
      </w:tr>
    </w:tbl>
    <w:bookmarkEnd w:id="146"/>
    <w:p>
      <w:pPr>
        <w:pStyle w:val="BodyText"/>
      </w:pPr>
      <w:r>
        <w:rPr>
          <w:i/>
          <w:iCs/>
        </w:rPr>
        <w:t xml:space="preserve">Fuente: elaboración propia a partir de</w:t>
      </w:r>
      <w:r>
        <w:rPr>
          <w:i/>
          <w:iCs/>
        </w:rPr>
        <w:t xml:space="preserve"> </w:t>
      </w:r>
      <w:r>
        <w:rPr>
          <w:i/>
          <w:iCs/>
          <w:smallCaps/>
        </w:rPr>
        <w:t xml:space="preserve">Barrage</w:t>
      </w:r>
      <w:r>
        <w:rPr>
          <w:i/>
          <w:iCs/>
        </w:rPr>
        <w:t xml:space="preserve"> </w:t>
      </w:r>
      <w:r>
        <w:rPr>
          <w:i/>
          <w:iCs/>
        </w:rPr>
        <w:t xml:space="preserve">y</w:t>
      </w:r>
      <w:r>
        <w:rPr>
          <w:i/>
          <w:iCs/>
        </w:rPr>
        <w:t xml:space="preserve"> </w:t>
      </w:r>
      <w:r>
        <w:rPr>
          <w:i/>
          <w:iCs/>
          <w:smallCaps/>
        </w:rPr>
        <w:t xml:space="preserve">Nordhaus</w:t>
      </w:r>
      <w:r>
        <w:rPr>
          <w:i/>
          <w:iCs/>
        </w:rPr>
        <w:t xml:space="preserve"> </w:t>
      </w:r>
      <w:r>
        <w:rPr>
          <w:i/>
          <w:iCs/>
        </w:rPr>
        <w:t xml:space="preserve">(</w:t>
      </w:r>
      <w:hyperlink w:anchor="ref_BarrageNordhaus2024DICE">
        <w:r>
          <w:rPr>
            <w:rStyle w:val="Hyperlink"/>
            <w:i/>
            <w:iCs/>
          </w:rPr>
          <w:t xml:space="preserve">2024</w:t>
        </w:r>
      </w:hyperlink>
      <w:r>
        <w:rPr>
          <w:i/>
          <w:iCs/>
        </w:rPr>
        <w:t xml:space="preserve">)</w:t>
      </w:r>
      <w:r>
        <w:rPr>
          <w:i/>
          <w:iCs/>
        </w:rPr>
        <w:t xml:space="preserve">. Para el límite de 2 °C, el texto del artículo da 76 $ y su cuadro de costes sociales del carbono, 75 $. «—»: el artículo no da la cifra. Sombreado, el impuesto óptimo de 2020.</w:t>
      </w:r>
    </w:p>
    <w:bookmarkEnd w:id="147"/>
    <w:bookmarkEnd w:id="148"/>
    <w:bookmarkStart w:id="150" w:name="anexo_cronologia"/>
    <w:p>
      <w:pPr>
        <w:pStyle w:val="Heading1"/>
      </w:pPr>
      <w:r>
        <w:t xml:space="preserve">B. Anexo: cronología de los acuerdos y de la política climática</w:t>
      </w:r>
    </w:p>
    <w:bookmarkStart w:id="149" w:name="tab_cop"/>
    <w:p>
      <w:pPr>
        <w:pStyle w:val="TableCaption"/>
      </w:pPr>
      <w:r>
        <w:t xml:space="preserve">Tabla 7.–</w:t>
      </w:r>
      <w:r>
        <w:t xml:space="preserve"> </w:t>
      </w:r>
      <w:r>
        <w:t xml:space="preserve">Cronología de la política climática internacional y europea</w:t>
      </w:r>
    </w:p>
    <w:tbl>
      <w:tblPr>
        <w:tblStyle w:val="Table"/>
        <w:tblW w:type="auto" w:w="0"/>
        <w:tblLook w:firstRow="1" w:lastRow="0" w:firstColumn="0" w:lastColumn="0" w:noHBand="0" w:noVBand="0" w:val="0020"/>
        <w:tblCaption w:val="Tabla 7.– Cronología de la política climática internacional y europea"/>
      </w:tblPr>
      <w:tblGrid>
        <w:gridCol w:w="3960"/>
        <w:gridCol w:w="3960"/>
      </w:tblGrid>
      <w:tr>
        <w:trPr>
          <w:cantSplit/>
          <w:tblHeader w:val="on"/>
        </w:trPr>
        <w:tc>
          <w:tcPr>
            <w:shd w:val="clear" w:color="auto" w:fill="DDEBF7"/>
          </w:tcPr>
          <w:tcPr/>
          <w:p>
            <w:pPr>
              <w:pStyle w:val="Celdatceeazulpalido"/>
              <w:keepNext/>
              <w:jc w:val="left"/>
            </w:pPr>
            <w:r>
              <w:rPr>
                <w:b/>
                <w:bCs/>
              </w:rPr>
              <w:t xml:space="preserve">Año</w:t>
            </w:r>
          </w:p>
        </w:tc>
        <w:tc>
          <w:tcPr>
            <w:shd w:val="clear" w:color="auto" w:fill="DDEBF7"/>
          </w:tcPr>
          <w:tcPr/>
          <w:p>
            <w:pPr>
              <w:pStyle w:val="Celdatceeazulpalido"/>
              <w:keepNext/>
              <w:jc w:val="left"/>
            </w:pPr>
            <w:r>
              <w:rPr>
                <w:b/>
                <w:bCs/>
              </w:rPr>
              <w:t xml:space="preserve">Hito</w:t>
            </w:r>
          </w:p>
        </w:tc>
      </w:tr>
      <w:tr>
        <w:trPr>
          <w:cantSplit/>
        </w:trPr>
        <w:tc>
          <w:tcPr/>
          <w:p>
            <w:pPr>
              <w:pStyle w:val="Compact"/>
            </w:pPr>
          </w:p>
        </w:tc>
        <w:tc>
          <w:tcPr/>
          <w:p>
            <w:pPr>
              <w:pStyle w:val="Compact"/>
              <w:jc w:val="left"/>
            </w:pPr>
            <w:r>
              <w:rPr>
                <w:smallCaps/>
              </w:rPr>
              <w:t xml:space="preserve">Arrhenius</w:t>
            </w:r>
            <w:r>
              <w:t xml:space="preserve"> </w:t>
            </w:r>
            <w:r>
              <w:t xml:space="preserve">calcula el calentamiento de una duplicación del CO</w:t>
            </w:r>
            <w:r>
              <w:rPr>
                <w:vertAlign w:val="subscript"/>
              </w:rPr>
              <w:t xml:space="preserve">2</w:t>
            </w:r>
          </w:p>
        </w:tc>
      </w:tr>
      <w:tr>
        <w:trPr>
          <w:cantSplit/>
        </w:trPr>
        <w:tc>
          <w:tcPr/>
          <w:p>
            <w:pPr>
              <w:pStyle w:val="Compact"/>
            </w:pPr>
          </w:p>
        </w:tc>
        <w:tc>
          <w:tcPr/>
          <w:p>
            <w:pPr>
              <w:pStyle w:val="Compact"/>
              <w:jc w:val="left"/>
            </w:pPr>
            <w:r>
              <w:t xml:space="preserve">Conferencia de Estocolmo sobre el Medio Humano;</w:t>
            </w:r>
            <w:r>
              <w:t xml:space="preserve"> </w:t>
            </w:r>
            <w:r>
              <w:rPr>
                <w:i/>
                <w:iCs/>
              </w:rPr>
              <w:t xml:space="preserve">Los límites del crecimiento</w:t>
            </w:r>
          </w:p>
        </w:tc>
      </w:tr>
      <w:tr>
        <w:trPr>
          <w:cantSplit/>
        </w:trPr>
        <w:tc>
          <w:tcPr/>
          <w:p>
            <w:pPr>
              <w:pStyle w:val="Compact"/>
            </w:pPr>
          </w:p>
        </w:tc>
        <w:tc>
          <w:tcPr/>
          <w:p>
            <w:pPr>
              <w:pStyle w:val="Compact"/>
              <w:jc w:val="left"/>
            </w:pPr>
            <w:r>
              <w:t xml:space="preserve">Informe</w:t>
            </w:r>
            <w:r>
              <w:t xml:space="preserve"> </w:t>
            </w:r>
            <w:r>
              <w:rPr>
                <w:smallCaps/>
              </w:rPr>
              <w:t xml:space="preserve">Brundtland</w:t>
            </w:r>
            <w:r>
              <w:t xml:space="preserve">; Protocolo de Montreal (capa de ozono)</w:t>
            </w:r>
          </w:p>
        </w:tc>
      </w:tr>
      <w:tr>
        <w:trPr>
          <w:cantSplit/>
        </w:trPr>
        <w:tc>
          <w:tcPr/>
          <w:p>
            <w:pPr>
              <w:pStyle w:val="Compact"/>
            </w:pPr>
          </w:p>
        </w:tc>
        <w:tc>
          <w:tcPr/>
          <w:p>
            <w:pPr>
              <w:pStyle w:val="Compact"/>
              <w:jc w:val="left"/>
            </w:pPr>
            <w:r>
              <w:t xml:space="preserve">Se crea el IPCC (OMM y PNUMA); primer informe en 1990</w:t>
            </w:r>
          </w:p>
        </w:tc>
      </w:tr>
      <w:tr>
        <w:trPr>
          <w:cantSplit/>
        </w:trPr>
        <w:tc>
          <w:tcPr/>
          <w:p>
            <w:pPr>
              <w:pStyle w:val="Compact"/>
            </w:pPr>
          </w:p>
        </w:tc>
        <w:tc>
          <w:tcPr/>
          <w:p>
            <w:pPr>
              <w:pStyle w:val="Compact"/>
              <w:jc w:val="left"/>
            </w:pPr>
            <w:r>
              <w:t xml:space="preserve">Cumbre de la Tierra de Río: se abre a la firma la CMNUCC (en vigor en 1994)</w:t>
            </w:r>
          </w:p>
        </w:tc>
      </w:tr>
      <w:tr>
        <w:trPr>
          <w:cantSplit/>
        </w:trPr>
        <w:tc>
          <w:tcPr/>
          <w:p>
            <w:pPr>
              <w:pStyle w:val="Compact"/>
            </w:pPr>
          </w:p>
        </w:tc>
        <w:tc>
          <w:tcPr/>
          <w:p>
            <w:pPr>
              <w:pStyle w:val="Compact"/>
              <w:jc w:val="left"/>
            </w:pPr>
            <w:r>
              <w:t xml:space="preserve">COP1 (Berlín): Mandato de Berlín</w:t>
            </w:r>
          </w:p>
        </w:tc>
      </w:tr>
      <w:tr>
        <w:trPr>
          <w:cantSplit/>
        </w:trPr>
        <w:tc>
          <w:tcPr/>
          <w:p>
            <w:pPr>
              <w:pStyle w:val="Compact"/>
            </w:pPr>
          </w:p>
        </w:tc>
        <w:tc>
          <w:tcPr/>
          <w:p>
            <w:pPr>
              <w:pStyle w:val="Compact"/>
              <w:jc w:val="left"/>
            </w:pPr>
            <w:r>
              <w:t xml:space="preserve">COP3 (Kioto): Protocolo de Kioto (en vigor en 2005)</w:t>
            </w:r>
          </w:p>
        </w:tc>
      </w:tr>
      <w:tr>
        <w:trPr>
          <w:cantSplit/>
        </w:trPr>
        <w:tc>
          <w:tcPr/>
          <w:p>
            <w:pPr>
              <w:pStyle w:val="Compact"/>
            </w:pPr>
          </w:p>
        </w:tc>
        <w:tc>
          <w:tcPr/>
          <w:p>
            <w:pPr>
              <w:pStyle w:val="Compact"/>
              <w:jc w:val="left"/>
            </w:pPr>
            <w:r>
              <w:t xml:space="preserve">Empieza el RCDE de la UE</w:t>
            </w:r>
          </w:p>
        </w:tc>
      </w:tr>
      <w:tr>
        <w:trPr>
          <w:cantSplit/>
        </w:trPr>
        <w:tc>
          <w:tcPr/>
          <w:p>
            <w:pPr>
              <w:pStyle w:val="Compact"/>
            </w:pPr>
          </w:p>
        </w:tc>
        <w:tc>
          <w:tcPr/>
          <w:p>
            <w:pPr>
              <w:pStyle w:val="Compact"/>
              <w:jc w:val="left"/>
            </w:pPr>
            <w:r>
              <w:t xml:space="preserve">Informe</w:t>
            </w:r>
            <w:r>
              <w:t xml:space="preserve"> </w:t>
            </w:r>
            <w:r>
              <w:rPr>
                <w:smallCaps/>
              </w:rPr>
              <w:t xml:space="preserve">Stern</w:t>
            </w:r>
            <w:r>
              <w:t xml:space="preserve"> </w:t>
            </w:r>
            <w:r>
              <w:t xml:space="preserve">(publicado como libro en 2007)</w:t>
            </w:r>
          </w:p>
        </w:tc>
      </w:tr>
      <w:tr>
        <w:trPr>
          <w:cantSplit/>
        </w:trPr>
        <w:tc>
          <w:tcPr/>
          <w:p>
            <w:pPr>
              <w:pStyle w:val="Compact"/>
            </w:pPr>
          </w:p>
        </w:tc>
        <w:tc>
          <w:tcPr/>
          <w:p>
            <w:pPr>
              <w:pStyle w:val="Compact"/>
              <w:jc w:val="left"/>
            </w:pPr>
            <w:r>
              <w:t xml:space="preserve">COP15 (Copenhague): acuerdo político del que la COP «toma nota»; promesa de 100.000 millones de dólares anuales en 2020</w:t>
            </w:r>
          </w:p>
        </w:tc>
      </w:tr>
      <w:tr>
        <w:trPr>
          <w:cantSplit/>
        </w:trPr>
        <w:tc>
          <w:tcPr/>
          <w:p>
            <w:pPr>
              <w:pStyle w:val="Compact"/>
            </w:pPr>
          </w:p>
        </w:tc>
        <w:tc>
          <w:tcPr/>
          <w:p>
            <w:pPr>
              <w:pStyle w:val="Compact"/>
              <w:jc w:val="left"/>
            </w:pPr>
            <w:r>
              <w:t xml:space="preserve">COP16 (Cancún): objetivo de 2 °C; Fondo Verde para el Clima</w:t>
            </w:r>
          </w:p>
        </w:tc>
      </w:tr>
      <w:tr>
        <w:trPr>
          <w:cantSplit/>
        </w:trPr>
        <w:tc>
          <w:tcPr/>
          <w:p>
            <w:pPr>
              <w:pStyle w:val="Compact"/>
            </w:pPr>
          </w:p>
        </w:tc>
        <w:tc>
          <w:tcPr/>
          <w:p>
            <w:pPr>
              <w:pStyle w:val="Compact"/>
              <w:jc w:val="left"/>
            </w:pPr>
            <w:r>
              <w:t xml:space="preserve">COP18 (Doha): segundo periodo de Kioto (2013-2020); Canadá sale del Protocolo</w:t>
            </w:r>
          </w:p>
        </w:tc>
      </w:tr>
      <w:tr>
        <w:trPr>
          <w:cantSplit/>
        </w:trPr>
        <w:tc>
          <w:tcPr/>
          <w:p>
            <w:pPr>
              <w:pStyle w:val="Compact"/>
            </w:pPr>
          </w:p>
        </w:tc>
        <w:tc>
          <w:tcPr/>
          <w:p>
            <w:pPr>
              <w:pStyle w:val="Compact"/>
              <w:jc w:val="left"/>
            </w:pPr>
            <w:r>
              <w:t xml:space="preserve">COP21: Acuerdo de París (en vigor el 4 de noviembre de 2016)</w:t>
            </w:r>
          </w:p>
        </w:tc>
      </w:tr>
      <w:tr>
        <w:trPr>
          <w:cantSplit/>
        </w:trPr>
        <w:tc>
          <w:tcPr/>
          <w:p>
            <w:pPr>
              <w:pStyle w:val="Compact"/>
            </w:pPr>
          </w:p>
        </w:tc>
        <w:tc>
          <w:tcPr/>
          <w:p>
            <w:pPr>
              <w:pStyle w:val="Compact"/>
              <w:jc w:val="left"/>
            </w:pPr>
            <w:r>
              <w:t xml:space="preserve">Nobel de Economía a</w:t>
            </w:r>
            <w:r>
              <w:t xml:space="preserve"> </w:t>
            </w:r>
            <w:r>
              <w:rPr>
                <w:smallCaps/>
              </w:rPr>
              <w:t xml:space="preserve">Nordhaus</w:t>
            </w:r>
            <w:r>
              <w:t xml:space="preserve"> </w:t>
            </w:r>
            <w:r>
              <w:t xml:space="preserve">(con</w:t>
            </w:r>
            <w:r>
              <w:t xml:space="preserve"> </w:t>
            </w:r>
            <w:r>
              <w:rPr>
                <w:smallCaps/>
              </w:rPr>
              <w:t xml:space="preserve">Romer</w:t>
            </w:r>
            <w:r>
              <w:t xml:space="preserve">); informe del IPCC sobre 1,5 °C</w:t>
            </w:r>
          </w:p>
        </w:tc>
      </w:tr>
      <w:tr>
        <w:trPr>
          <w:cantSplit/>
        </w:trPr>
        <w:tc>
          <w:tcPr/>
          <w:p>
            <w:pPr>
              <w:pStyle w:val="Compact"/>
            </w:pPr>
          </w:p>
        </w:tc>
        <w:tc>
          <w:tcPr/>
          <w:p>
            <w:pPr>
              <w:pStyle w:val="Compact"/>
              <w:jc w:val="left"/>
            </w:pPr>
            <w:r>
              <w:t xml:space="preserve">Pacto Verde Europeo</w:t>
            </w:r>
          </w:p>
        </w:tc>
      </w:tr>
      <w:tr>
        <w:trPr>
          <w:cantSplit/>
        </w:trPr>
        <w:tc>
          <w:tcPr/>
          <w:p>
            <w:pPr>
              <w:pStyle w:val="Compact"/>
            </w:pPr>
          </w:p>
        </w:tc>
        <w:tc>
          <w:tcPr/>
          <w:p>
            <w:pPr>
              <w:pStyle w:val="Compact"/>
              <w:jc w:val="left"/>
            </w:pPr>
            <w:r>
              <w:t xml:space="preserve">Estados Unidos sale del Acuerdo de París (4 de noviembre); vuelve en febrero de 2021</w:t>
            </w:r>
          </w:p>
        </w:tc>
      </w:tr>
      <w:tr>
        <w:trPr>
          <w:cantSplit/>
        </w:trPr>
        <w:tc>
          <w:tcPr/>
          <w:p>
            <w:pPr>
              <w:pStyle w:val="Compact"/>
            </w:pPr>
          </w:p>
        </w:tc>
        <w:tc>
          <w:tcPr/>
          <w:p>
            <w:pPr>
              <w:pStyle w:val="Compact"/>
              <w:jc w:val="left"/>
            </w:pPr>
            <w:r>
              <w:t xml:space="preserve">Ley Europea del Clima; paquete «Objetivo 55»; COP26 (Glasgow): se cierran casi todas las reglas de aplicación de París y se pide reducir el uso del carbón</w:t>
            </w:r>
          </w:p>
        </w:tc>
      </w:tr>
      <w:tr>
        <w:trPr>
          <w:cantSplit/>
        </w:trPr>
        <w:tc>
          <w:tcPr/>
          <w:p>
            <w:pPr>
              <w:pStyle w:val="Compact"/>
            </w:pPr>
          </w:p>
        </w:tc>
        <w:tc>
          <w:tcPr/>
          <w:p>
            <w:pPr>
              <w:pStyle w:val="Compact"/>
              <w:jc w:val="left"/>
            </w:pPr>
            <w:r>
              <w:t xml:space="preserve">COP27 (Sharm el-Sheij): fondo para pérdidas y daños</w:t>
            </w:r>
          </w:p>
        </w:tc>
      </w:tr>
      <w:tr>
        <w:trPr>
          <w:cantSplit/>
        </w:trPr>
        <w:tc>
          <w:tcPr/>
          <w:p>
            <w:pPr>
              <w:pStyle w:val="Compact"/>
            </w:pPr>
          </w:p>
        </w:tc>
        <w:tc>
          <w:tcPr/>
          <w:p>
            <w:pPr>
              <w:pStyle w:val="Compact"/>
              <w:jc w:val="left"/>
            </w:pPr>
            <w:r>
              <w:t xml:space="preserve">COP28 (Dubái): primer balance mundial, «abandonar los combustibles fósiles» en los sistemas energéticos; empieza el periodo transitorio del MAFC (1 de octubre)</w:t>
            </w:r>
          </w:p>
        </w:tc>
      </w:tr>
      <w:tr>
        <w:trPr>
          <w:cantSplit/>
        </w:trPr>
        <w:tc>
          <w:tcPr/>
          <w:p>
            <w:pPr>
              <w:pStyle w:val="Compact"/>
            </w:pPr>
          </w:p>
        </w:tc>
        <w:tc>
          <w:tcPr/>
          <w:p>
            <w:pPr>
              <w:pStyle w:val="Compact"/>
              <w:jc w:val="left"/>
            </w:pPr>
            <w:r>
              <w:t xml:space="preserve">COP29 (Bakú): nuevo objetivo de financiación (300.000 millones de dólares anuales en 2035); reglas de los mercados del art. 6</w:t>
            </w:r>
          </w:p>
        </w:tc>
      </w:tr>
      <w:tr>
        <w:trPr>
          <w:cantSplit/>
        </w:trPr>
        <w:tc>
          <w:tcPr/>
          <w:p>
            <w:pPr>
              <w:pStyle w:val="Compact"/>
            </w:pPr>
          </w:p>
        </w:tc>
        <w:tc>
          <w:tcPr/>
          <w:p>
            <w:pPr>
              <w:pStyle w:val="Compact"/>
              <w:jc w:val="left"/>
            </w:pPr>
            <w:r>
              <w:t xml:space="preserve">COP30 (Belém): triplicar la financiación de la adaptación en 2035; simplificación del MAFC</w:t>
            </w:r>
          </w:p>
        </w:tc>
      </w:tr>
      <w:tr>
        <w:trPr>
          <w:cantSplit/>
        </w:trPr>
        <w:tc>
          <w:tcPr/>
          <w:p>
            <w:pPr>
              <w:pStyle w:val="Compact"/>
            </w:pPr>
          </w:p>
        </w:tc>
        <w:tc>
          <w:tcPr/>
          <w:p>
            <w:pPr>
              <w:pStyle w:val="Compact"/>
              <w:jc w:val="left"/>
            </w:pPr>
            <w:r>
              <w:t xml:space="preserve">MAFC definitivo (1 de enero); Estados Unidos sale del Acuerdo de París (27 de enero) y notifica su salida de la CMNUCC (efectiva en febrero de 2027); objetivo europeo de</w:t>
            </w:r>
            <w:r>
              <w:t xml:space="preserve"> </w:t>
            </w:r>
            <m:oMath>
              <m:r>
                <m:rPr>
                  <m:sty m:val="p"/>
                </m:rPr>
                <m:t>−</m:t>
              </m:r>
              <m:r>
                <m:t>90</m:t>
              </m:r>
            </m:oMath>
            <w:r>
              <w:t xml:space="preserve"> % en 2040; COP31 (Antalya, del 9 al 20 de noviembre)</w:t>
            </w:r>
          </w:p>
        </w:tc>
      </w:tr>
    </w:tbl>
    <w:bookmarkEnd w:id="149"/>
    <w:p>
      <w:pPr>
        <w:pStyle w:val="BodyText"/>
      </w:pPr>
      <w:r>
        <w:rPr>
          <w:i/>
          <w:iCs/>
        </w:rPr>
        <w:t xml:space="preserve">Fuente: elaboración propia a partir de las decisiones de la CMNUCC, de la Colección de Tratados de las Naciones Unidas, del Diario Oficial de la UE y de las fuentes citadas en el bloque </w:t>
      </w:r>
      <w:hyperlink w:anchor="sec_acuerdos_medidas">
        <w:r>
          <w:rPr>
            <w:rStyle w:val="Hyperlink"/>
            <w:i/>
            <w:iCs/>
          </w:rPr>
          <w:t xml:space="preserve">III</w:t>
        </w:r>
      </w:hyperlink>
      <w:r>
        <w:rPr>
          <w:i/>
          <w:iCs/>
        </w:rPr>
        <w:t xml:space="preserve">.</w:t>
      </w:r>
    </w:p>
    <w:bookmarkEnd w:id="150"/>
    <w:bookmarkStart w:id="152" w:name="anexo_bloque"/>
    <w:p>
      <w:pPr>
        <w:pStyle w:val="Heading1"/>
      </w:pPr>
      <w:r>
        <w:t xml:space="preserve">C. Anexo: qué estudia cada tema del bloque</w:t>
      </w:r>
    </w:p>
    <w:p>
      <w:pPr>
        <w:numPr>
          <w:ilvl w:val="0"/>
          <w:numId w:val="1121"/>
        </w:numPr>
      </w:pPr>
      <w:r>
        <w:rPr>
          <w:i/>
          <w:iCs/>
        </w:rPr>
        <w:t xml:space="preserve">Competencia perfecta en un mercado</w:t>
      </w:r>
      <w:r>
        <w:t xml:space="preserve"> </w:t>
      </w:r>
      <w:hyperlink r:id="rId151">
        <w:r>
          <w:rPr>
            <w:rStyle w:val="Referenciaatema"/>
          </w:rPr>
          <w:t xml:space="preserve">[ver tema 3.A.16]</w:t>
        </w:r>
      </w:hyperlink>
      <w:r>
        <w:t xml:space="preserve">: equilibrio parcial, plazos y bienestar medido con excedentes; la lista común de supuestos de las estructuras de mercado.</w:t>
      </w:r>
    </w:p>
    <w:p>
      <w:pPr>
        <w:numPr>
          <w:ilvl w:val="0"/>
          <w:numId w:val="1121"/>
        </w:numPr>
      </w:pPr>
      <w:r>
        <w:rPr>
          <w:i/>
          <w:iCs/>
        </w:rPr>
        <w:t xml:space="preserve">Regulación</w:t>
      </w:r>
      <w:r>
        <w:t xml:space="preserve"> </w:t>
      </w:r>
      <w:hyperlink r:id="rId43">
        <w:r>
          <w:rPr>
            <w:rStyle w:val="Referenciaatema"/>
          </w:rPr>
          <w:t xml:space="preserve">[ver tema 3.A.20]</w:t>
        </w:r>
      </w:hyperlink>
      <w:r>
        <w:t xml:space="preserve">: el poder de mercado y su regulación óptima, también con información asimétrica, y la teoría positiva de la regulación (captura).</w:t>
      </w:r>
    </w:p>
    <w:p>
      <w:pPr>
        <w:numPr>
          <w:ilvl w:val="0"/>
          <w:numId w:val="1121"/>
        </w:numPr>
      </w:pPr>
      <w:r>
        <w:rPr>
          <w:i/>
          <w:iCs/>
        </w:rPr>
        <w:t xml:space="preserve">Equilibrio general</w:t>
      </w:r>
      <w:r>
        <w:t xml:space="preserve"> </w:t>
      </w:r>
      <w:hyperlink r:id="rId68">
        <w:r>
          <w:rPr>
            <w:rStyle w:val="Referenciaatema"/>
          </w:rPr>
          <w:t xml:space="preserve">[ver tema 3.A.21]</w:t>
        </w:r>
      </w:hyperlink>
      <w:r>
        <w:t xml:space="preserve">: la competencia perfecta en todos los mercados a la vez: excesos de demanda, ley de</w:t>
      </w:r>
      <w:r>
        <w:t xml:space="preserve"> </w:t>
      </w:r>
      <w:r>
        <w:rPr>
          <w:smallCaps/>
        </w:rPr>
        <w:t xml:space="preserve">Walras</w:t>
      </w:r>
      <w:r>
        <w:t xml:space="preserve">, existencia, unicidad y estabilidad.</w:t>
      </w:r>
    </w:p>
    <w:p>
      <w:pPr>
        <w:numPr>
          <w:ilvl w:val="0"/>
          <w:numId w:val="1121"/>
        </w:numPr>
      </w:pPr>
      <w:r>
        <w:rPr>
          <w:i/>
          <w:iCs/>
        </w:rPr>
        <w:t xml:space="preserve">Teoremas del bienestar</w:t>
      </w:r>
      <w:r>
        <w:t xml:space="preserve"> </w:t>
      </w:r>
      <w:hyperlink r:id="rId36">
        <w:r>
          <w:rPr>
            <w:rStyle w:val="Referenciaatema"/>
          </w:rPr>
          <w:t xml:space="preserve">[ver tema 3.A.22]</w:t>
        </w:r>
      </w:hyperlink>
      <w:r>
        <w:t xml:space="preserve">: el óptimo de</w:t>
      </w:r>
      <w:r>
        <w:t xml:space="preserve"> </w:t>
      </w:r>
      <w:r>
        <w:rPr>
          <w:smallCaps/>
        </w:rPr>
        <w:t xml:space="preserve">Pareto</w:t>
      </w:r>
      <w:r>
        <w:t xml:space="preserve">, los 2 teoremas fundamentales con todos sus supuestos y su demostración, y el</w:t>
      </w:r>
      <w:r>
        <w:t xml:space="preserve"> </w:t>
      </w:r>
      <w:r>
        <w:rPr>
          <w:i/>
          <w:iCs/>
        </w:rPr>
        <w:t xml:space="preserve">second best</w:t>
      </w:r>
      <w:r>
        <w:t xml:space="preserve">.</w:t>
      </w:r>
    </w:p>
    <w:p>
      <w:pPr>
        <w:numPr>
          <w:ilvl w:val="0"/>
          <w:numId w:val="1121"/>
        </w:numPr>
      </w:pPr>
      <w:r>
        <w:rPr>
          <w:i/>
          <w:iCs/>
        </w:rPr>
        <w:t xml:space="preserve">Fallos de mercado</w:t>
      </w:r>
      <w:r>
        <w:t xml:space="preserve"> </w:t>
      </w:r>
      <w:hyperlink r:id="rId35">
        <w:r>
          <w:rPr>
            <w:rStyle w:val="Referenciaatema"/>
          </w:rPr>
          <w:t xml:space="preserve">[ver tema 3.A.23]</w:t>
        </w:r>
      </w:hyperlink>
      <w:r>
        <w:t xml:space="preserve">: las externalidades y los bienes públicos, cómo puede intervenir el sector público y los fallos del propio sector público.</w:t>
      </w:r>
    </w:p>
    <w:p>
      <w:pPr>
        <w:numPr>
          <w:ilvl w:val="0"/>
          <w:numId w:val="1121"/>
        </w:numPr>
      </w:pPr>
      <w:r>
        <w:rPr>
          <w:i/>
          <w:iCs/>
        </w:rPr>
        <w:t xml:space="preserve">Funciones de bienestar social y elección colectiva</w:t>
      </w:r>
      <w:r>
        <w:t xml:space="preserve"> </w:t>
      </w:r>
      <w:hyperlink r:id="rId87">
        <w:r>
          <w:rPr>
            <w:rStyle w:val="Referenciaatema"/>
          </w:rPr>
          <w:t xml:space="preserve">[ver tema 3.A.24]</w:t>
        </w:r>
      </w:hyperlink>
      <w:r>
        <w:t xml:space="preserve">: cómo elegir entre los óptimos y cómo decide la sociedad (votación, teorema de</w:t>
      </w:r>
      <w:r>
        <w:t xml:space="preserve"> </w:t>
      </w:r>
      <w:r>
        <w:rPr>
          <w:smallCaps/>
        </w:rPr>
        <w:t xml:space="preserve">Arrow</w:t>
      </w:r>
      <w:r>
        <w:t xml:space="preserve">).</w:t>
      </w:r>
    </w:p>
    <w:p>
      <w:pPr>
        <w:numPr>
          <w:ilvl w:val="0"/>
          <w:numId w:val="1121"/>
        </w:numPr>
      </w:pPr>
      <w:r>
        <w:rPr>
          <w:i/>
          <w:iCs/>
        </w:rPr>
        <w:t xml:space="preserve">Este tema</w:t>
      </w:r>
      <w:r>
        <w:t xml:space="preserve">: la mayor externalidad global, cómo se mide su impacto en la economía (evidencia y modelos integrados de evaluación) y los acuerdos y medidas para hacerle frente.</w:t>
      </w:r>
    </w:p>
    <w:p>
      <w:pPr>
        <w:numPr>
          <w:ilvl w:val="0"/>
          <w:numId w:val="1121"/>
        </w:numPr>
      </w:pPr>
      <w:r>
        <w:t xml:space="preserve">En el cuarto ejercicio, la política española de energía y clima</w:t>
      </w:r>
      <w:r>
        <w:t xml:space="preserve"> </w:t>
      </w:r>
      <w:hyperlink r:id="rId23">
        <w:r>
          <w:rPr>
            <w:rStyle w:val="Referenciaatema"/>
          </w:rPr>
          <w:t xml:space="preserve">[ver tema 4.A.6]</w:t>
        </w:r>
      </w:hyperlink>
      <w:r>
        <w:t xml:space="preserve">, la evaluación de políticas y la tasa social de descuento</w:t>
      </w:r>
      <w:r>
        <w:t xml:space="preserve"> </w:t>
      </w:r>
      <w:hyperlink r:id="rId70">
        <w:r>
          <w:rPr>
            <w:rStyle w:val="Referenciaatema"/>
          </w:rPr>
          <w:t xml:space="preserve">[ver tema 4.B.6]</w:t>
        </w:r>
      </w:hyperlink>
      <w:r>
        <w:t xml:space="preserve"> </w:t>
      </w:r>
      <w:r>
        <w:t xml:space="preserve">y la imposición indirecta y la fiscalidad verde</w:t>
      </w:r>
      <w:r>
        <w:t xml:space="preserve"> </w:t>
      </w:r>
      <w:hyperlink r:id="rId20">
        <w:r>
          <w:rPr>
            <w:rStyle w:val="Referenciaatema"/>
          </w:rPr>
          <w:t xml:space="preserve">[ver tema 4.B.13]</w:t>
        </w:r>
      </w:hyperlink>
      <w:r>
        <w:t xml:space="preserve">.</w:t>
      </w:r>
    </w:p>
    <w:bookmarkEnd w:id="152"/>
    <w:bookmarkStart w:id="157" w:name="anexo_test"/>
    <w:p>
      <w:pPr>
        <w:pStyle w:val="Heading1"/>
      </w:pPr>
      <w:r>
        <w:t xml:space="preserve">D. Anexo: aspectos para el test y preguntas del tribunal</w:t>
      </w:r>
    </w:p>
    <w:bookmarkStart w:id="153" w:name="trampas_habituales_en_el_test"/>
    <w:p>
      <w:pPr>
        <w:pStyle w:val="Heading4"/>
      </w:pPr>
      <w:r>
        <w:t xml:space="preserve">Trampas habituales en el test</w:t>
      </w:r>
    </w:p>
    <w:p>
      <w:pPr>
        <w:numPr>
          <w:ilvl w:val="0"/>
          <w:numId w:val="1122"/>
        </w:numPr>
      </w:pPr>
      <w:r>
        <w:t xml:space="preserve">El impuesto pigouviano óptimo es el coste social del carbono</w:t>
      </w:r>
      <w:r>
        <w:t xml:space="preserve"> </w:t>
      </w:r>
      <w:r>
        <w:rPr>
          <w:i/>
          <w:iCs/>
        </w:rPr>
        <w:t xml:space="preserve">de la senda óptima</w:t>
      </w:r>
      <w:r>
        <w:t xml:space="preserve">, no el de la senda sin política: en DICE-2023, 50 frente a 66 $ en 2020</w:t>
      </w:r>
      <w:r>
        <w:t xml:space="preserve"> </w:t>
      </w:r>
      <w:r>
        <w:t xml:space="preserve">(</w:t>
      </w:r>
      <w:hyperlink w:anchor="ref_BarrageNordhaus2024DICE">
        <w:r>
          <w:rPr>
            <w:rStyle w:val="Hyperlink"/>
            <w:smallCaps/>
          </w:rPr>
          <w:t xml:space="preserve">Barrage</w:t>
        </w:r>
        <w:r>
          <w:rPr>
            <w:rStyle w:val="Hyperlink"/>
          </w:rPr>
          <w:t xml:space="preserve"> </w:t>
        </w:r>
        <w:r>
          <w:rPr>
            <w:rStyle w:val="Hyperlink"/>
          </w:rPr>
          <w:t xml:space="preserve">y</w:t>
        </w:r>
        <w:r>
          <w:rPr>
            <w:rStyle w:val="Hyperlink"/>
          </w:rPr>
          <w:t xml:space="preserve"> </w:t>
        </w:r>
        <w:r>
          <w:rPr>
            <w:rStyle w:val="Hyperlink"/>
            <w:smallCaps/>
          </w:rPr>
          <w:t xml:space="preserve">Nordhaus</w:t>
        </w:r>
        <w:r>
          <w:rPr>
            <w:rStyle w:val="Hyperlink"/>
          </w:rPr>
          <w:t xml:space="preserve">, 2024</w:t>
        </w:r>
      </w:hyperlink>
      <w:r>
        <w:t xml:space="preserve">)</w:t>
      </w:r>
      <w:r>
        <w:t xml:space="preserve">.</w:t>
      </w:r>
    </w:p>
    <w:p>
      <w:pPr>
        <w:numPr>
          <w:ilvl w:val="0"/>
          <w:numId w:val="1122"/>
        </w:numPr>
      </w:pPr>
      <m:oMath>
        <m:r>
          <m:t>ρ</m:t>
        </m:r>
      </m:oMath>
      <w:r>
        <w:t xml:space="preserve"> </w:t>
      </w:r>
      <w:r>
        <w:t xml:space="preserve">es la preferencia temporal pura (el descuento de la utilidad); la tasa de descuento de los bienes es</w:t>
      </w:r>
      <w:r>
        <w:t xml:space="preserve"> </w:t>
      </w:r>
      <m:oMath>
        <m:sSub>
          <m:e>
            <m:r>
              <m:t>r</m:t>
            </m:r>
          </m:e>
          <m:sub>
            <m:r>
              <m:t>s</m:t>
            </m:r>
          </m:sub>
        </m:sSub>
        <m:r>
          <m:rPr>
            <m:sty m:val="p"/>
          </m:rPr>
          <m:t>=</m:t>
        </m:r>
        <m:r>
          <m:t>ρ</m:t>
        </m:r>
        <m:r>
          <m:rPr>
            <m:sty m:val="p"/>
          </m:rPr>
          <m:t>+</m:t>
        </m:r>
        <m:r>
          <m:t>θ</m:t>
        </m:r>
        <m:sSub>
          <m:e>
            <m:r>
              <m:t>γ</m:t>
            </m:r>
          </m:e>
          <m:sub>
            <m:r>
              <m:t>c</m:t>
            </m:r>
          </m:sub>
        </m:sSub>
      </m:oMath>
      <w:r>
        <w:t xml:space="preserve">.</w:t>
      </w:r>
      <w:r>
        <w:t xml:space="preserve"> </w:t>
      </w:r>
      <w:r>
        <w:rPr>
          <w:smallCaps/>
        </w:rPr>
        <w:t xml:space="preserve">Stern</w:t>
      </w:r>
      <w:r>
        <w:t xml:space="preserve">:</w:t>
      </w:r>
      <w:r>
        <w:t xml:space="preserve"> </w:t>
      </w:r>
      <m:oMath>
        <m:r>
          <m:t>ρ</m:t>
        </m:r>
        <m:r>
          <m:rPr>
            <m:sty m:val="p"/>
          </m:rPr>
          <m:t>=</m:t>
        </m:r>
        <m:r>
          <m:t>0</m:t>
        </m:r>
        <m:r>
          <m:rPr>
            <m:sty m:val="p"/>
          </m:rPr>
          <m:t>,</m:t>
        </m:r>
        <m:r>
          <m:t>1</m:t>
        </m:r>
        <m:r>
          <m:t> </m:t>
        </m:r>
        <m:r>
          <m:rPr>
            <m:sty m:val="p"/>
          </m:rPr>
          <m:t>%</m:t>
        </m:r>
      </m:oMath>
      <w:r>
        <w:t xml:space="preserve"> </w:t>
      </w:r>
      <w:r>
        <w:t xml:space="preserve">y</w:t>
      </w:r>
      <w:r>
        <w:t xml:space="preserve"> </w:t>
      </w:r>
      <m:oMath>
        <m:r>
          <m:t>θ</m:t>
        </m:r>
        <m:r>
          <m:rPr>
            <m:sty m:val="p"/>
          </m:rPr>
          <m:t>=</m:t>
        </m:r>
        <m:r>
          <m:t>1</m:t>
        </m:r>
      </m:oMath>
      <w:r>
        <w:t xml:space="preserve">;</w:t>
      </w:r>
      <w:r>
        <w:t xml:space="preserve"> </w:t>
      </w:r>
      <w:r>
        <w:rPr>
          <w:smallCaps/>
        </w:rPr>
        <w:t xml:space="preserve">Nordhaus</w:t>
      </w:r>
      <w:r>
        <w:t xml:space="preserve"> </w:t>
      </w:r>
      <w:r>
        <w:t xml:space="preserve">(2007):</w:t>
      </w:r>
      <w:r>
        <w:t xml:space="preserve"> </w:t>
      </w:r>
      <m:oMath>
        <m:r>
          <m:t>ρ</m:t>
        </m:r>
        <m:r>
          <m:rPr>
            <m:sty m:val="p"/>
          </m:rPr>
          <m:t>=</m:t>
        </m:r>
        <m:r>
          <m:t>1</m:t>
        </m:r>
        <m:r>
          <m:rPr>
            <m:sty m:val="p"/>
          </m:rPr>
          <m:t>,</m:t>
        </m:r>
        <m:r>
          <m:t>5</m:t>
        </m:r>
        <m:r>
          <m:t> </m:t>
        </m:r>
        <m:r>
          <m:rPr>
            <m:sty m:val="p"/>
          </m:rPr>
          <m:t>%</m:t>
        </m:r>
      </m:oMath>
      <w:r>
        <w:t xml:space="preserve"> </w:t>
      </w:r>
      <w:r>
        <w:t xml:space="preserve">y</w:t>
      </w:r>
      <w:r>
        <w:t xml:space="preserve"> </w:t>
      </w:r>
      <m:oMath>
        <m:r>
          <m:t>θ</m:t>
        </m:r>
        <m:r>
          <m:rPr>
            <m:sty m:val="p"/>
          </m:rPr>
          <m:t>=</m:t>
        </m:r>
        <m:r>
          <m:t>2</m:t>
        </m:r>
      </m:oMath>
      <w:r>
        <w:t xml:space="preserve">.</w:t>
      </w:r>
    </w:p>
    <w:p>
      <w:pPr>
        <w:numPr>
          <w:ilvl w:val="0"/>
          <w:numId w:val="1122"/>
        </w:numPr>
      </w:pPr>
      <w:r>
        <w:t xml:space="preserve">El calentamiento es aproximadamente proporcional a las emisiones</w:t>
      </w:r>
      <w:r>
        <w:t xml:space="preserve"> </w:t>
      </w:r>
      <w:r>
        <w:rPr>
          <w:i/>
          <w:iCs/>
        </w:rPr>
        <w:t xml:space="preserve">acumuladas</w:t>
      </w:r>
      <w:r>
        <w:t xml:space="preserve">: estabilizar la temperatura exige emisiones netas nulas, no solo reducirlas.</w:t>
      </w:r>
    </w:p>
    <w:p>
      <w:pPr>
        <w:numPr>
          <w:ilvl w:val="0"/>
          <w:numId w:val="1122"/>
        </w:numPr>
      </w:pPr>
      <w:r>
        <w:t xml:space="preserve">Kioto: objetivos solo para los países desarrollados y las economías en transición, «al menos un 5 %» por debajo de 1990 en 2008-2012 (un 5,2 % sumando los compromisos de cada uno); Estados Unidos lo firmó pero no lo ratificó; en vigor en 2005</w:t>
      </w:r>
      <w:r>
        <w:t xml:space="preserve"> </w:t>
      </w:r>
      <w:r>
        <w:t xml:space="preserve">(</w:t>
      </w:r>
      <w:hyperlink w:anchor="ref_ONU1997Kioto">
        <w:r>
          <w:rPr>
            <w:rStyle w:val="Hyperlink"/>
            <w:smallCaps/>
          </w:rPr>
          <w:t xml:space="preserve">Naciones Unidas, Colección de Tratados</w:t>
        </w:r>
        <w:r>
          <w:rPr>
            <w:rStyle w:val="Hyperlink"/>
          </w:rPr>
          <w:t xml:space="preserve">, 2026a</w:t>
        </w:r>
      </w:hyperlink>
      <w:r>
        <w:t xml:space="preserve">)</w:t>
      </w:r>
      <w:r>
        <w:t xml:space="preserve">.</w:t>
      </w:r>
    </w:p>
    <w:p>
      <w:pPr>
        <w:numPr>
          <w:ilvl w:val="0"/>
          <w:numId w:val="1122"/>
        </w:numPr>
      </w:pPr>
      <w:r>
        <w:t xml:space="preserve">París: adoptado en 2015 y en vigor en 2016; «muy por debajo de 2 °C» y esfuerzos para 1,5 °C; contribuciones nacionales cada 5 años, no vinculantes en su contenido; balance mundial cada 5 años (el primero, en 2023)</w:t>
      </w:r>
      <w:r>
        <w:t xml:space="preserve"> </w:t>
      </w:r>
      <w:r>
        <w:t xml:space="preserve">(</w:t>
      </w:r>
      <w:hyperlink w:anchor="ref_CMNUCC2015Paris">
        <w:r>
          <w:rPr>
            <w:rStyle w:val="Hyperlink"/>
            <w:smallCaps/>
          </w:rPr>
          <w:t xml:space="preserve">Naciones Unidas</w:t>
        </w:r>
        <w:r>
          <w:rPr>
            <w:rStyle w:val="Hyperlink"/>
          </w:rPr>
          <w:t xml:space="preserve">, 2015</w:t>
        </w:r>
      </w:hyperlink>
      <w:r>
        <w:t xml:space="preserve">;</w:t>
      </w:r>
      <w:r>
        <w:t xml:space="preserve"> </w:t>
      </w:r>
      <w:hyperlink w:anchor="ref_CMNUCC2023Balance">
        <w:r>
          <w:rPr>
            <w:rStyle w:val="Hyperlink"/>
            <w:smallCaps/>
          </w:rPr>
          <w:t xml:space="preserve">Convención Marco de las Naciones Unidas sobre el Cambio Climático</w:t>
        </w:r>
        <w:r>
          <w:rPr>
            <w:rStyle w:val="Hyperlink"/>
          </w:rPr>
          <w:t xml:space="preserve">, 2023</w:t>
        </w:r>
      </w:hyperlink>
      <w:r>
        <w:t xml:space="preserve">)</w:t>
      </w:r>
      <w:r>
        <w:t xml:space="preserve">.</w:t>
      </w:r>
    </w:p>
    <w:p>
      <w:pPr>
        <w:numPr>
          <w:ilvl w:val="0"/>
          <w:numId w:val="1122"/>
        </w:numPr>
      </w:pPr>
      <w:r>
        <w:t xml:space="preserve">Copenhague (2009) no fija un objetivo vinculante; el de 2 °C se formaliza en Cancún (2010), que crea el Fondo Verde para el Clima</w:t>
      </w:r>
      <w:r>
        <w:t xml:space="preserve"> </w:t>
      </w:r>
      <w:r>
        <w:t xml:space="preserve">(</w:t>
      </w:r>
      <w:hyperlink w:anchor="ref_CMNUCC2009Copenhague">
        <w:r>
          <w:rPr>
            <w:rStyle w:val="Hyperlink"/>
            <w:smallCaps/>
          </w:rPr>
          <w:t xml:space="preserve">Conferencia de las Partes de la CMNUCC</w:t>
        </w:r>
        <w:r>
          <w:rPr>
            <w:rStyle w:val="Hyperlink"/>
          </w:rPr>
          <w:t xml:space="preserve">, 2010</w:t>
        </w:r>
      </w:hyperlink>
      <w:r>
        <w:t xml:space="preserve">,</w:t>
      </w:r>
      <w:r>
        <w:t xml:space="preserve"> </w:t>
      </w:r>
      <w:hyperlink w:anchor="ref_CMNUCC2010Cancun">
        <w:r>
          <w:rPr>
            <w:rStyle w:val="Hyperlink"/>
          </w:rPr>
          <w:t xml:space="preserve">2011</w:t>
        </w:r>
      </w:hyperlink>
      <w:r>
        <w:t xml:space="preserve">)</w:t>
      </w:r>
      <w:r>
        <w:t xml:space="preserve">.</w:t>
      </w:r>
    </w:p>
    <w:p>
      <w:pPr>
        <w:numPr>
          <w:ilvl w:val="0"/>
          <w:numId w:val="1122"/>
        </w:numPr>
      </w:pPr>
      <w:r>
        <w:t xml:space="preserve">El MAFC no es un arancel de castigo: iguala el precio del carbono de ciertas importaciones al del RCDE y descuenta el pagado en origen. Periodo transitorio de octubre de 2023 a diciembre de 2025; definitivo desde 2026; sustituye a los derechos gratuitos de esos sectores hasta 2034</w:t>
      </w:r>
      <w:r>
        <w:t xml:space="preserve"> </w:t>
      </w:r>
      <w:r>
        <w:t xml:space="preserve">(</w:t>
      </w:r>
      <w:hyperlink w:anchor="ref_UE2023Reglamento956">
        <w:r>
          <w:rPr>
            <w:rStyle w:val="Hyperlink"/>
            <w:smallCaps/>
          </w:rPr>
          <w:t xml:space="preserve">Parlamento Europeo y Consejo de la Unión Europea</w:t>
        </w:r>
        <w:r>
          <w:rPr>
            <w:rStyle w:val="Hyperlink"/>
          </w:rPr>
          <w:t xml:space="preserve">, 2023c</w:t>
        </w:r>
      </w:hyperlink>
      <w:r>
        <w:t xml:space="preserve">,</w:t>
      </w:r>
      <w:r>
        <w:t xml:space="preserve"> </w:t>
      </w:r>
      <w:hyperlink w:anchor="ref_UE2023Directiva959">
        <w:r>
          <w:rPr>
            <w:rStyle w:val="Hyperlink"/>
          </w:rPr>
          <w:t xml:space="preserve">2023a</w:t>
        </w:r>
      </w:hyperlink>
      <w:r>
        <w:t xml:space="preserve">)</w:t>
      </w:r>
      <w:r>
        <w:t xml:space="preserve">.</w:t>
      </w:r>
    </w:p>
    <w:p>
      <w:pPr>
        <w:numPr>
          <w:ilvl w:val="0"/>
          <w:numId w:val="1122"/>
        </w:numPr>
      </w:pPr>
      <w:r>
        <w:rPr>
          <w:smallCaps/>
        </w:rPr>
        <w:t xml:space="preserve">Weitzman</w:t>
      </w:r>
      <w:r>
        <w:t xml:space="preserve"> </w:t>
      </w:r>
      <w:r>
        <w:t xml:space="preserve">(</w:t>
      </w:r>
      <w:hyperlink w:anchor="ref_Weitzman1974Prices">
        <w:r>
          <w:rPr>
            <w:rStyle w:val="Hyperlink"/>
          </w:rPr>
          <w:t xml:space="preserve">1974</w:t>
        </w:r>
      </w:hyperlink>
      <w:r>
        <w:t xml:space="preserve">)</w:t>
      </w:r>
      <w:r>
        <w:t xml:space="preserve"> </w:t>
      </w:r>
      <w:r>
        <w:t xml:space="preserve">compara precios y cantidades con incertidumbre sobre los costes;</w:t>
      </w:r>
      <w:r>
        <w:t xml:space="preserve"> </w:t>
      </w:r>
      <w:r>
        <w:rPr>
          <w:smallCaps/>
        </w:rPr>
        <w:t xml:space="preserve">Weitzman</w:t>
      </w:r>
      <w:r>
        <w:t xml:space="preserve"> </w:t>
      </w:r>
      <w:r>
        <w:t xml:space="preserve">(</w:t>
      </w:r>
      <w:hyperlink w:anchor="ref_Weitzman2009Modeling">
        <w:r>
          <w:rPr>
            <w:rStyle w:val="Hyperlink"/>
          </w:rPr>
          <w:t xml:space="preserve">2009</w:t>
        </w:r>
      </w:hyperlink>
      <w:r>
        <w:t xml:space="preserve">)</w:t>
      </w:r>
      <w:r>
        <w:t xml:space="preserve"> </w:t>
      </w:r>
      <w:r>
        <w:t xml:space="preserve">es el teorema lúgubre de las colas gruesas. No hay que confundirlos.</w:t>
      </w:r>
    </w:p>
    <w:p>
      <w:pPr>
        <w:numPr>
          <w:ilvl w:val="0"/>
          <w:numId w:val="1122"/>
        </w:numPr>
      </w:pPr>
      <w:r>
        <w:rPr>
          <w:smallCaps/>
        </w:rPr>
        <w:t xml:space="preserve">Barrett</w:t>
      </w:r>
      <w:r>
        <w:t xml:space="preserve"> </w:t>
      </w:r>
      <w:r>
        <w:t xml:space="preserve">(</w:t>
      </w:r>
      <w:hyperlink w:anchor="ref_Barrett1994Self">
        <w:r>
          <w:rPr>
            <w:rStyle w:val="Hyperlink"/>
          </w:rPr>
          <w:t xml:space="preserve">1994</w:t>
        </w:r>
      </w:hyperlink>
      <w:r>
        <w:t xml:space="preserve">)</w:t>
      </w:r>
      <w:r>
        <w:t xml:space="preserve">: los acuerdos autoaplicables solo reúnen a muchos países cuando lo que se gana cooperando es poco.</w:t>
      </w:r>
    </w:p>
    <w:p>
      <w:pPr>
        <w:numPr>
          <w:ilvl w:val="0"/>
          <w:numId w:val="1122"/>
        </w:numPr>
      </w:pPr>
      <w:r>
        <w:rPr>
          <w:smallCaps/>
        </w:rPr>
        <w:t xml:space="preserve">Burke</w:t>
      </w:r>
      <w:r>
        <w:t xml:space="preserve">,</w:t>
      </w:r>
      <w:r>
        <w:t xml:space="preserve"> </w:t>
      </w:r>
      <w:r>
        <w:rPr>
          <w:smallCaps/>
        </w:rPr>
        <w:t xml:space="preserve">Hsiang</w:t>
      </w:r>
      <w:r>
        <w:t xml:space="preserve"> </w:t>
      </w:r>
      <w:r>
        <w:t xml:space="preserve">y</w:t>
      </w:r>
      <w:r>
        <w:t xml:space="preserve"> </w:t>
      </w:r>
      <w:r>
        <w:rPr>
          <w:smallCaps/>
        </w:rPr>
        <w:t xml:space="preserve">Miguel</w:t>
      </w:r>
      <w:r>
        <w:t xml:space="preserve"> </w:t>
      </w:r>
      <w:r>
        <w:t xml:space="preserve">(</w:t>
      </w:r>
      <w:hyperlink w:anchor="ref_BurkeHsiangMiguel2015Global">
        <w:r>
          <w:rPr>
            <w:rStyle w:val="Hyperlink"/>
          </w:rPr>
          <w:t xml:space="preserve">2015</w:t>
        </w:r>
      </w:hyperlink>
      <w:r>
        <w:t xml:space="preserve">)</w:t>
      </w:r>
      <w:r>
        <w:t xml:space="preserve">: la productividad es máxima con una temperatura media anual de unos 13 °C.</w:t>
      </w:r>
    </w:p>
    <w:p>
      <w:pPr>
        <w:numPr>
          <w:ilvl w:val="0"/>
          <w:numId w:val="1122"/>
        </w:numPr>
      </w:pPr>
      <w:r>
        <w:t xml:space="preserve">La mitigación es un bien público global; la adaptación, casi siempre un bien privado o un bien público local.</w:t>
      </w:r>
    </w:p>
    <w:bookmarkEnd w:id="153"/>
    <w:bookmarkStart w:id="154" w:name="preguntas_probables_del_tribunal"/>
    <w:p>
      <w:pPr>
        <w:pStyle w:val="Heading4"/>
      </w:pPr>
      <w:r>
        <w:t xml:space="preserve">Preguntas probables del tribunal</w:t>
      </w:r>
    </w:p>
    <w:p>
      <w:pPr>
        <w:numPr>
          <w:ilvl w:val="0"/>
          <w:numId w:val="1123"/>
        </w:numPr>
      </w:pPr>
      <w:r>
        <w:t xml:space="preserve">¿Por qué depende tanto el coste social del carbono de la tasa de descuento? ¿Qué parte del descuento es un juicio ético y cuál se puede observar en los mercados?</w:t>
      </w:r>
    </w:p>
    <w:p>
      <w:pPr>
        <w:numPr>
          <w:ilvl w:val="0"/>
          <w:numId w:val="1123"/>
        </w:numPr>
      </w:pPr>
      <w:r>
        <w:t xml:space="preserve">¿Qué diferencia hay entre un efecto del clima sobre el nivel del PIB y uno sobre su crecimiento? ¿Por qué importa tanto?</w:t>
      </w:r>
    </w:p>
    <w:p>
      <w:pPr>
        <w:numPr>
          <w:ilvl w:val="0"/>
          <w:numId w:val="1123"/>
        </w:numPr>
      </w:pPr>
      <w:r>
        <w:t xml:space="preserve">¿Es el MAFC compatible con la OMC? ¿En qué se diferencia de un club climático?</w:t>
      </w:r>
    </w:p>
    <w:p>
      <w:pPr>
        <w:numPr>
          <w:ilvl w:val="0"/>
          <w:numId w:val="1123"/>
        </w:numPr>
      </w:pPr>
      <w:r>
        <w:t xml:space="preserve">¿Impuesto o mercado de derechos para el CO</w:t>
      </w:r>
      <w:r>
        <w:rPr>
          <w:vertAlign w:val="subscript"/>
        </w:rPr>
        <w:t xml:space="preserve">2</w:t>
      </w:r>
      <w:r>
        <w:t xml:space="preserve">? ¿Qué dice</w:t>
      </w:r>
      <w:r>
        <w:t xml:space="preserve"> </w:t>
      </w:r>
      <w:r>
        <w:rPr>
          <w:smallCaps/>
        </w:rPr>
        <w:t xml:space="preserve">Weitzman</w:t>
      </w:r>
      <w:r>
        <w:t xml:space="preserve"> </w:t>
      </w:r>
      <w:r>
        <w:t xml:space="preserve">(1974) en el caso de un contaminante que se acumula?</w:t>
      </w:r>
    </w:p>
    <w:p>
      <w:pPr>
        <w:numPr>
          <w:ilvl w:val="0"/>
          <w:numId w:val="1123"/>
        </w:numPr>
      </w:pPr>
      <w:r>
        <w:t xml:space="preserve">¿Qué es la paradoja verde? ¿Y la fuga de carbono? ¿Hay evidencia de fuga en el RCDE?</w:t>
      </w:r>
    </w:p>
    <w:p>
      <w:pPr>
        <w:numPr>
          <w:ilvl w:val="0"/>
          <w:numId w:val="1123"/>
        </w:numPr>
      </w:pPr>
      <w:r>
        <w:t xml:space="preserve">¿Por qué fracasó Kioto y en qué cambia París? ¿Qué papel tienen las contribuciones nacionales y el balance mundial?</w:t>
      </w:r>
    </w:p>
    <w:p>
      <w:pPr>
        <w:numPr>
          <w:ilvl w:val="0"/>
          <w:numId w:val="1123"/>
        </w:numPr>
      </w:pPr>
      <w:r>
        <w:t xml:space="preserve">¿Qué critica</w:t>
      </w:r>
      <w:r>
        <w:t xml:space="preserve"> </w:t>
      </w:r>
      <w:r>
        <w:rPr>
          <w:smallCaps/>
        </w:rPr>
        <w:t xml:space="preserve">Pindyck</w:t>
      </w:r>
      <w:r>
        <w:t xml:space="preserve"> </w:t>
      </w:r>
      <w:r>
        <w:t xml:space="preserve">a los modelos integrados? ¿Qué les añade el teorema lúgubre de</w:t>
      </w:r>
      <w:r>
        <w:t xml:space="preserve"> </w:t>
      </w:r>
      <w:r>
        <w:rPr>
          <w:smallCaps/>
        </w:rPr>
        <w:t xml:space="preserve">Weitzman</w:t>
      </w:r>
      <w:r>
        <w:t xml:space="preserve">?</w:t>
      </w:r>
    </w:p>
    <w:p>
      <w:pPr>
        <w:numPr>
          <w:ilvl w:val="0"/>
          <w:numId w:val="1123"/>
        </w:numPr>
      </w:pPr>
      <w:r>
        <w:t xml:space="preserve">¿Por qué se retiró el artículo de</w:t>
      </w:r>
      <w:r>
        <w:t xml:space="preserve"> </w:t>
      </w:r>
      <w:r>
        <w:rPr>
          <w:smallCaps/>
        </w:rPr>
        <w:t xml:space="preserve">Kotz</w:t>
      </w:r>
      <w:r>
        <w:t xml:space="preserve">,</w:t>
      </w:r>
      <w:r>
        <w:t xml:space="preserve"> </w:t>
      </w:r>
      <w:r>
        <w:rPr>
          <w:smallCaps/>
        </w:rPr>
        <w:t xml:space="preserve">Levermann</w:t>
      </w:r>
      <w:r>
        <w:t xml:space="preserve"> </w:t>
      </w:r>
      <w:r>
        <w:t xml:space="preserve">y</w:t>
      </w:r>
      <w:r>
        <w:t xml:space="preserve"> </w:t>
      </w:r>
      <w:r>
        <w:rPr>
          <w:smallCaps/>
        </w:rPr>
        <w:t xml:space="preserve">Wenz</w:t>
      </w:r>
      <w:r>
        <w:t xml:space="preserve"> </w:t>
      </w:r>
      <w:r>
        <w:t xml:space="preserve">(</w:t>
      </w:r>
      <w:hyperlink w:anchor="ref_Kotz2024Economic">
        <w:r>
          <w:rPr>
            <w:rStyle w:val="Hyperlink"/>
          </w:rPr>
          <w:t xml:space="preserve">2024</w:t>
        </w:r>
      </w:hyperlink>
      <w:r>
        <w:t xml:space="preserve">)</w:t>
      </w:r>
      <w:r>
        <w:t xml:space="preserve">? ¿Qué enseña sobre la evidencia de daños?</w:t>
      </w:r>
    </w:p>
    <w:p>
      <w:pPr>
        <w:numPr>
          <w:ilvl w:val="0"/>
          <w:numId w:val="1123"/>
        </w:numPr>
      </w:pPr>
      <w:r>
        <w:t xml:space="preserve">¿Cómo afecta el cambio climático a la política monetaria? ¿Debe el BCE tenerlo en cuenta?</w:t>
      </w:r>
    </w:p>
    <w:bookmarkEnd w:id="154"/>
    <w:bookmarkStart w:id="156" w:name="preguntas_tipo_test"/>
    <w:p>
      <w:pPr>
        <w:pStyle w:val="Heading4"/>
      </w:pPr>
      <w:r>
        <w:t xml:space="preserve">Preguntas tipo test</w:t>
      </w:r>
    </w:p>
    <w:p>
      <w:pPr>
        <w:numPr>
          <w:ilvl w:val="0"/>
          <w:numId w:val="1124"/>
        </w:numPr>
      </w:pPr>
      <w:r>
        <w:t xml:space="preserve">Preguntas de test sobre este tema, en el</w:t>
      </w:r>
      <w:r>
        <w:t xml:space="preserve"> </w:t>
      </w:r>
      <w:hyperlink r:id="rId155">
        <w:r>
          <w:rPr>
            <w:rStyle w:val="Hyperlink"/>
          </w:rPr>
          <w:t xml:space="preserve">simulador de test de la web</w:t>
        </w:r>
      </w:hyperlink>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156"/>
    <w:bookmarkEnd w:id="157"/>
    <w:bookmarkStart w:id="395" w:name="bibliografia"/>
    <w:p>
      <w:pPr>
        <w:pStyle w:val="Heading1"/>
      </w:pPr>
      <w:r>
        <w:t xml:space="preserve">Bibliografía</w:t>
      </w:r>
    </w:p>
    <w:bookmarkStart w:id="394" w:name="refs"/>
    <w:bookmarkStart w:id="159" w:name="ref_Acemoglu2012Environment"/>
    <w:p>
      <w:pPr>
        <w:pStyle w:val="Bibliography"/>
      </w:pPr>
      <w:r>
        <w:t xml:space="preserve">Acemoglu, Daron, Philippe Aghion, Leonardo Bursztyn y David Hemous (2012).</w:t>
      </w:r>
      <w:r>
        <w:t xml:space="preserve"> </w:t>
      </w:r>
      <w:r>
        <w:t xml:space="preserve">«The Environment and Directed Technical Change»</w:t>
      </w:r>
      <w:r>
        <w:t xml:space="preserve">.</w:t>
      </w:r>
      <w:r>
        <w:t xml:space="preserve"> </w:t>
      </w:r>
      <w:r>
        <w:rPr>
          <w:i/>
          <w:iCs/>
        </w:rPr>
        <w:t xml:space="preserve">American Economic Review</w:t>
      </w:r>
      <w:r>
        <w:t xml:space="preserve"> </w:t>
      </w:r>
      <w:r>
        <w:t xml:space="preserve">102 (1): 131-66.</w:t>
      </w:r>
      <w:r>
        <w:t xml:space="preserve"> </w:t>
      </w:r>
      <w:hyperlink r:id="rId158">
        <w:r>
          <w:rPr>
            <w:rStyle w:val="Hyperlink"/>
          </w:rPr>
          <w:t xml:space="preserve">https://doi.org/10.1257/aer.102.1.131</w:t>
        </w:r>
      </w:hyperlink>
      <w:r>
        <w:t xml:space="preserve">.</w:t>
      </w:r>
    </w:p>
    <w:bookmarkEnd w:id="159"/>
    <w:bookmarkStart w:id="161" w:name="ref_EEA2024European"/>
    <w:p>
      <w:pPr>
        <w:pStyle w:val="Bibliography"/>
      </w:pPr>
      <w:r>
        <w:t xml:space="preserve">Agencia Europea de Medio Ambiente (2024).</w:t>
      </w:r>
      <w:r>
        <w:t xml:space="preserve"> </w:t>
      </w:r>
      <w:r>
        <w:t xml:space="preserve">«European Climate Risk Assessment»</w:t>
      </w:r>
      <w:r>
        <w:t xml:space="preserve">. EEA Report. 2024.</w:t>
      </w:r>
      <w:r>
        <w:t xml:space="preserve"> </w:t>
      </w:r>
      <w:hyperlink r:id="rId160">
        <w:r>
          <w:rPr>
            <w:rStyle w:val="Hyperlink"/>
          </w:rPr>
          <w:t xml:space="preserve">https://www.eea.europa.eu/en/analysis/publications/european-climate-risk-assessment</w:t>
        </w:r>
      </w:hyperlink>
      <w:r>
        <w:t xml:space="preserve">.</w:t>
      </w:r>
    </w:p>
    <w:bookmarkEnd w:id="161"/>
    <w:bookmarkStart w:id="163" w:name="ref_AEMA2025Tendencias"/>
    <w:p>
      <w:pPr>
        <w:pStyle w:val="Bibliography"/>
      </w:pPr>
      <w:r>
        <w:t xml:space="preserve">Agencia Europea de Medio Ambiente (2025).</w:t>
      </w:r>
      <w:r>
        <w:t xml:space="preserve"> </w:t>
      </w:r>
      <w:r>
        <w:t xml:space="preserve">«Total net greenhouse gas emission trends and projections in Europe»</w:t>
      </w:r>
      <w:r>
        <w:t xml:space="preserve">. 2025.</w:t>
      </w:r>
      <w:r>
        <w:t xml:space="preserve"> </w:t>
      </w:r>
      <w:hyperlink r:id="rId162">
        <w:r>
          <w:rPr>
            <w:rStyle w:val="Hyperlink"/>
          </w:rPr>
          <w:t xml:space="preserve">https://www.eea.europa.eu/en/analysis/indicators/total-greenhouse-gas-emission-trends</w:t>
        </w:r>
      </w:hyperlink>
      <w:r>
        <w:t xml:space="preserve">.</w:t>
      </w:r>
    </w:p>
    <w:bookmarkEnd w:id="163"/>
    <w:bookmarkStart w:id="165" w:name="ref_AnthoffTol2013Uncertainty"/>
    <w:p>
      <w:pPr>
        <w:pStyle w:val="Bibliography"/>
      </w:pPr>
      <w:r>
        <w:t xml:space="preserve">Anthoff, David y Richard S. J. Tol (2013).</w:t>
      </w:r>
      <w:r>
        <w:t xml:space="preserve"> </w:t>
      </w:r>
      <w:r>
        <w:t xml:space="preserve">«The Uncertainty about the Social Cost of Carbon: A Decomposition Analysis Using</w:t>
      </w:r>
      <w:r>
        <w:t xml:space="preserve"> </w:t>
      </w:r>
      <w:r>
        <w:t xml:space="preserve">FUND</w:t>
      </w:r>
      <w:r>
        <w:t xml:space="preserve">»</w:t>
      </w:r>
      <w:r>
        <w:t xml:space="preserve">.</w:t>
      </w:r>
      <w:r>
        <w:t xml:space="preserve"> </w:t>
      </w:r>
      <w:r>
        <w:rPr>
          <w:i/>
          <w:iCs/>
        </w:rPr>
        <w:t xml:space="preserve">Climatic Change</w:t>
      </w:r>
      <w:r>
        <w:t xml:space="preserve"> </w:t>
      </w:r>
      <w:r>
        <w:t xml:space="preserve">117 (3): 515-30.</w:t>
      </w:r>
      <w:r>
        <w:t xml:space="preserve"> </w:t>
      </w:r>
      <w:hyperlink r:id="rId164">
        <w:r>
          <w:rPr>
            <w:rStyle w:val="Hyperlink"/>
          </w:rPr>
          <w:t xml:space="preserve">https://doi.org/10.1007/s10584-013-0706-7</w:t>
        </w:r>
      </w:hyperlink>
      <w:r>
        <w:t xml:space="preserve">.</w:t>
      </w:r>
    </w:p>
    <w:bookmarkEnd w:id="165"/>
    <w:bookmarkStart w:id="167" w:name="ref_ArmstrongMcKay2022Exceeding"/>
    <w:p>
      <w:pPr>
        <w:pStyle w:val="Bibliography"/>
      </w:pPr>
      <w:r>
        <w:t xml:space="preserve">Armstrong McKay, David I., Arie Staal, Jesse F. Abrams, Ricarda Winkelmann, Boris Sakschewski, Sina Loriani, Ingo Fetzer, Sarah E. Cornell, Johan Rockström y Timothy M. Lenton (2022).</w:t>
      </w:r>
      <w:r>
        <w:t xml:space="preserve"> </w:t>
      </w:r>
      <w:r>
        <w:t xml:space="preserve">«Exceeding 1.5°</w:t>
      </w:r>
      <w:r>
        <w:t xml:space="preserve">C</w:t>
      </w:r>
      <w:r>
        <w:t xml:space="preserve"> </w:t>
      </w:r>
      <w:r>
        <w:t xml:space="preserve">Global Warming Could Trigger Multiple Climate Tipping Points»</w:t>
      </w:r>
      <w:r>
        <w:t xml:space="preserve">.</w:t>
      </w:r>
      <w:r>
        <w:t xml:space="preserve"> </w:t>
      </w:r>
      <w:r>
        <w:rPr>
          <w:i/>
          <w:iCs/>
        </w:rPr>
        <w:t xml:space="preserve">Science</w:t>
      </w:r>
      <w:r>
        <w:t xml:space="preserve"> </w:t>
      </w:r>
      <w:r>
        <w:t xml:space="preserve">377 (6611): eabn7950.</w:t>
      </w:r>
      <w:r>
        <w:t xml:space="preserve"> </w:t>
      </w:r>
      <w:hyperlink r:id="rId166">
        <w:r>
          <w:rPr>
            <w:rStyle w:val="Hyperlink"/>
          </w:rPr>
          <w:t xml:space="preserve">https://doi.org/10.1126/science.abn7950</w:t>
        </w:r>
      </w:hyperlink>
      <w:r>
        <w:t xml:space="preserve">.</w:t>
      </w:r>
    </w:p>
    <w:bookmarkEnd w:id="167"/>
    <w:bookmarkStart w:id="168" w:name="ref_Arrhenius1896Influence"/>
    <w:p>
      <w:pPr>
        <w:pStyle w:val="Bibliography"/>
      </w:pPr>
      <w:r>
        <w:t xml:space="preserve">Arrhenius, Svante (1896).</w:t>
      </w:r>
      <w:r>
        <w:t xml:space="preserve"> </w:t>
      </w:r>
      <w:r>
        <w:t xml:space="preserve">«On the Influence of Carbonic Acid in the Air upon the Temperature of the Ground»</w:t>
      </w:r>
      <w:r>
        <w:t xml:space="preserve">.</w:t>
      </w:r>
      <w:r>
        <w:t xml:space="preserve"> </w:t>
      </w:r>
      <w:r>
        <w:rPr>
          <w:i/>
          <w:iCs/>
        </w:rPr>
        <w:t xml:space="preserve">Philosophical Magazine and Journal of Science</w:t>
      </w:r>
      <w:r>
        <w:t xml:space="preserve">, 5.ª época, 41 (251): 237-76.</w:t>
      </w:r>
    </w:p>
    <w:bookmarkEnd w:id="168"/>
    <w:bookmarkStart w:id="169" w:name="ref_ArrowFisher1974Environmental"/>
    <w:p>
      <w:pPr>
        <w:pStyle w:val="Bibliography"/>
      </w:pPr>
      <w:r>
        <w:t xml:space="preserve">Arrow, Kenneth J. y Anthony C. Fisher (1974).</w:t>
      </w:r>
      <w:r>
        <w:t xml:space="preserve"> </w:t>
      </w:r>
      <w:r>
        <w:t xml:space="preserve">«Environmental Preservation, Uncertainty, and Irreversibility»</w:t>
      </w:r>
      <w:r>
        <w:t xml:space="preserve">.</w:t>
      </w:r>
      <w:r>
        <w:t xml:space="preserve"> </w:t>
      </w:r>
      <w:r>
        <w:rPr>
          <w:i/>
          <w:iCs/>
        </w:rPr>
        <w:t xml:space="preserve">Quarterly Journal of Economics</w:t>
      </w:r>
      <w:r>
        <w:t xml:space="preserve"> </w:t>
      </w:r>
      <w:r>
        <w:t xml:space="preserve">88 (2): 312-19.</w:t>
      </w:r>
    </w:p>
    <w:bookmarkEnd w:id="169"/>
    <w:bookmarkStart w:id="171" w:name="ref_BCE2021Clima"/>
    <w:p>
      <w:pPr>
        <w:pStyle w:val="Bibliography"/>
      </w:pPr>
      <w:r>
        <w:t xml:space="preserve">Banco Central Europeo (2021).</w:t>
      </w:r>
      <w:r>
        <w:t xml:space="preserve"> </w:t>
      </w:r>
      <w:r>
        <w:t xml:space="preserve">«ECB Presents Action Plan to Include Climate Change Considerations in its Monetary Policy Strategy. Nota de prensa»</w:t>
      </w:r>
      <w:r>
        <w:t xml:space="preserve">. 8 de julio de 2021.</w:t>
      </w:r>
      <w:r>
        <w:t xml:space="preserve"> </w:t>
      </w:r>
      <w:hyperlink r:id="rId170">
        <w:r>
          <w:rPr>
            <w:rStyle w:val="Hyperlink"/>
          </w:rPr>
          <w:t xml:space="preserve">https://www.ecb.europa.eu/press/pr/date/2021/html/ecb.pr210708_1~f104919225.en.html</w:t>
        </w:r>
      </w:hyperlink>
      <w:r>
        <w:t xml:space="preserve">.</w:t>
      </w:r>
    </w:p>
    <w:bookmarkEnd w:id="171"/>
    <w:bookmarkStart w:id="173" w:name="ref_BCE2022Stress"/>
    <w:p>
      <w:pPr>
        <w:pStyle w:val="Bibliography"/>
      </w:pPr>
      <w:r>
        <w:t xml:space="preserve">Banco Central Europeo (2022).</w:t>
      </w:r>
      <w:r>
        <w:t xml:space="preserve"> </w:t>
      </w:r>
      <w:r>
        <w:t xml:space="preserve">«2022 Climate Risk Stress Test»</w:t>
      </w:r>
      <w:r>
        <w:t xml:space="preserve">. 8 de julio de 2022.</w:t>
      </w:r>
      <w:r>
        <w:t xml:space="preserve"> </w:t>
      </w:r>
      <w:hyperlink r:id="rId172">
        <w:r>
          <w:rPr>
            <w:rStyle w:val="Hyperlink"/>
          </w:rPr>
          <w:t xml:space="preserve">https://www.bankingsupervision.europa.eu/ecb/pub/pdf/ssm.climate_stress_test_report.20220708~2e3cc0999f.en.pdf</w:t>
        </w:r>
      </w:hyperlink>
      <w:r>
        <w:t xml:space="preserve">.</w:t>
      </w:r>
    </w:p>
    <w:bookmarkEnd w:id="173"/>
    <w:bookmarkStart w:id="175" w:name="ref_BM2026StateTrends"/>
    <w:p>
      <w:pPr>
        <w:pStyle w:val="Bibliography"/>
      </w:pPr>
      <w:r>
        <w:t xml:space="preserve">Banco Mundial (2026).</w:t>
      </w:r>
      <w:r>
        <w:t xml:space="preserve"> </w:t>
      </w:r>
      <w:r>
        <w:t xml:space="preserve">«State and Trends of Carbon Pricing 2026»</w:t>
      </w:r>
      <w:r>
        <w:t xml:space="preserve">. 19 de mayo de 2026.</w:t>
      </w:r>
      <w:r>
        <w:t xml:space="preserve"> </w:t>
      </w:r>
      <w:hyperlink r:id="rId174">
        <w:r>
          <w:rPr>
            <w:rStyle w:val="Hyperlink"/>
          </w:rPr>
          <w:t xml:space="preserve">https://www.worldbank.org/en/news/press-release/2026/05/19/direct-carbon-pricing-covers-nearly-one-third-of-global-emissions</w:t>
        </w:r>
      </w:hyperlink>
      <w:r>
        <w:t xml:space="preserve">.</w:t>
      </w:r>
    </w:p>
    <w:bookmarkEnd w:id="175"/>
    <w:bookmarkStart w:id="177" w:name="ref_BarrageNordhaus2023DICEwp"/>
    <w:p>
      <w:pPr>
        <w:pStyle w:val="Bibliography"/>
      </w:pPr>
      <w:r>
        <w:t xml:space="preserve">Barrage, Lint y William Nordhaus (2023).</w:t>
      </w:r>
      <w:r>
        <w:t xml:space="preserve"> </w:t>
      </w:r>
      <w:r>
        <w:t xml:space="preserve">«Policies, Projections, and the Social Cost of Carbon: Results from the</w:t>
      </w:r>
      <w:r>
        <w:t xml:space="preserve"> </w:t>
      </w:r>
      <w:r>
        <w:t xml:space="preserve">DICE</w:t>
      </w:r>
      <w:r>
        <w:t xml:space="preserve">-2023 Model»</w:t>
      </w:r>
      <w:r>
        <w:t xml:space="preserve">. NBER Working Paper 31112. Cambridge, MA: National Bureau of Economic Research.</w:t>
      </w:r>
      <w:r>
        <w:t xml:space="preserve"> </w:t>
      </w:r>
      <w:hyperlink r:id="rId176">
        <w:r>
          <w:rPr>
            <w:rStyle w:val="Hyperlink"/>
          </w:rPr>
          <w:t xml:space="preserve">https://doi.org/10.3386/w31112</w:t>
        </w:r>
      </w:hyperlink>
      <w:r>
        <w:t xml:space="preserve">.</w:t>
      </w:r>
    </w:p>
    <w:bookmarkEnd w:id="177"/>
    <w:bookmarkStart w:id="179" w:name="ref_BarrageNordhaus2024DICE"/>
    <w:p>
      <w:pPr>
        <w:pStyle w:val="Bibliography"/>
      </w:pPr>
      <w:r>
        <w:t xml:space="preserve">Barrage, Lint y William Nordhaus (2024).</w:t>
      </w:r>
      <w:r>
        <w:t xml:space="preserve"> </w:t>
      </w:r>
      <w:r>
        <w:t xml:space="preserve">«Policies, Projections, and the Social Cost of Carbon: Results from the DICE-2023 Model»</w:t>
      </w:r>
      <w:r>
        <w:t xml:space="preserve">.</w:t>
      </w:r>
      <w:r>
        <w:t xml:space="preserve"> </w:t>
      </w:r>
      <w:r>
        <w:rPr>
          <w:i/>
          <w:iCs/>
        </w:rPr>
        <w:t xml:space="preserve">Proceedings of the National Academy of Sciences</w:t>
      </w:r>
      <w:r>
        <w:t xml:space="preserve"> </w:t>
      </w:r>
      <w:r>
        <w:t xml:space="preserve">121 (13): e2312030121.</w:t>
      </w:r>
      <w:r>
        <w:t xml:space="preserve"> </w:t>
      </w:r>
      <w:hyperlink r:id="rId178">
        <w:r>
          <w:rPr>
            <w:rStyle w:val="Hyperlink"/>
          </w:rPr>
          <w:t xml:space="preserve">https://doi.org/10.1073/pnas.2312030121</w:t>
        </w:r>
      </w:hyperlink>
      <w:r>
        <w:t xml:space="preserve">.</w:t>
      </w:r>
    </w:p>
    <w:bookmarkEnd w:id="179"/>
    <w:bookmarkStart w:id="181" w:name="ref_Barrett1994Self"/>
    <w:p>
      <w:pPr>
        <w:pStyle w:val="Bibliography"/>
      </w:pPr>
      <w:r>
        <w:t xml:space="preserve">Barrett, Scott (1994).</w:t>
      </w:r>
      <w:r>
        <w:t xml:space="preserve"> </w:t>
      </w:r>
      <w:r>
        <w:t xml:space="preserve">«Self-Enforcing International Environmental Agreements»</w:t>
      </w:r>
      <w:r>
        <w:t xml:space="preserve">.</w:t>
      </w:r>
      <w:r>
        <w:t xml:space="preserve"> </w:t>
      </w:r>
      <w:r>
        <w:rPr>
          <w:i/>
          <w:iCs/>
        </w:rPr>
        <w:t xml:space="preserve">Oxford Economic Papers</w:t>
      </w:r>
      <w:r>
        <w:t xml:space="preserve"> </w:t>
      </w:r>
      <w:r>
        <w:t xml:space="preserve">46 (Supplement 1): 878-94.</w:t>
      </w:r>
      <w:r>
        <w:t xml:space="preserve"> </w:t>
      </w:r>
      <w:hyperlink r:id="rId180">
        <w:r>
          <w:rPr>
            <w:rStyle w:val="Hyperlink"/>
          </w:rPr>
          <w:t xml:space="preserve">https://doi.org/10.1093/oep/46.Supplement_1.878</w:t>
        </w:r>
      </w:hyperlink>
      <w:r>
        <w:t xml:space="preserve">.</w:t>
      </w:r>
    </w:p>
    <w:bookmarkEnd w:id="181"/>
    <w:bookmarkStart w:id="182" w:name="ref_Barrett2003Environment"/>
    <w:p>
      <w:pPr>
        <w:pStyle w:val="Bibliography"/>
      </w:pPr>
      <w:r>
        <w:t xml:space="preserve">Barrett, Scott (2003).</w:t>
      </w:r>
      <w:r>
        <w:t xml:space="preserve"> </w:t>
      </w:r>
      <w:r>
        <w:rPr>
          <w:i/>
          <w:iCs/>
        </w:rPr>
        <w:t xml:space="preserve">Environment and Statecraft: The Strategy of Environmental Treaty-Making</w:t>
      </w:r>
      <w:r>
        <w:t xml:space="preserve">. Oxford: Oxford University Press.</w:t>
      </w:r>
    </w:p>
    <w:bookmarkEnd w:id="182"/>
    <w:bookmarkStart w:id="183" w:name="ref_BaumolOates1988Theory"/>
    <w:p>
      <w:pPr>
        <w:pStyle w:val="Bibliography"/>
      </w:pPr>
      <w:r>
        <w:t xml:space="preserve">Baumol, William J. y Wallace E. Oates (1988).</w:t>
      </w:r>
      <w:r>
        <w:t xml:space="preserve"> </w:t>
      </w:r>
      <w:r>
        <w:rPr>
          <w:i/>
          <w:iCs/>
        </w:rPr>
        <w:t xml:space="preserve">The Theory of Environmental Policy</w:t>
      </w:r>
      <w:r>
        <w:t xml:space="preserve">. 2.ª ed. Cambridge: Cambridge University Press.</w:t>
      </w:r>
    </w:p>
    <w:bookmarkEnd w:id="183"/>
    <w:bookmarkStart w:id="185" w:name="ref_BilalKanzig2026Macroeconomic"/>
    <w:p>
      <w:pPr>
        <w:pStyle w:val="Bibliography"/>
      </w:pPr>
      <w:r>
        <w:t xml:space="preserve">Bilal, Adrien y Diego R. Känzig (2026).</w:t>
      </w:r>
      <w:r>
        <w:t xml:space="preserve"> </w:t>
      </w:r>
      <w:r>
        <w:t xml:space="preserve">«The Macroeconomic Impact of Climate Change: Global Versus Local Temperature»</w:t>
      </w:r>
      <w:r>
        <w:t xml:space="preserve">.</w:t>
      </w:r>
      <w:r>
        <w:t xml:space="preserve"> </w:t>
      </w:r>
      <w:r>
        <w:rPr>
          <w:i/>
          <w:iCs/>
        </w:rPr>
        <w:t xml:space="preserve">Quarterly Journal of Economics</w:t>
      </w:r>
      <w:r>
        <w:t xml:space="preserve"> </w:t>
      </w:r>
      <w:r>
        <w:t xml:space="preserve">141 (2): 889-944.</w:t>
      </w:r>
      <w:r>
        <w:t xml:space="preserve"> </w:t>
      </w:r>
      <w:hyperlink r:id="rId184">
        <w:r>
          <w:rPr>
            <w:rStyle w:val="Hyperlink"/>
          </w:rPr>
          <w:t xml:space="preserve">https://doi.org/10.1093/qje/qjag011</w:t>
        </w:r>
      </w:hyperlink>
      <w:r>
        <w:t xml:space="preserve">.</w:t>
      </w:r>
    </w:p>
    <w:bookmarkEnd w:id="185"/>
    <w:bookmarkStart w:id="187" w:name="ref_Bohringer2012Role"/>
    <w:p>
      <w:pPr>
        <w:pStyle w:val="Bibliography"/>
      </w:pPr>
      <w:r>
        <w:t xml:space="preserve">Böhringer, Christoph, Edward J. Balistreri y Thomas F. Rutherford (2012).</w:t>
      </w:r>
      <w:r>
        <w:t xml:space="preserve"> </w:t>
      </w:r>
      <w:r>
        <w:t xml:space="preserve">«The Role of Border Carbon Adjustment in Unilateral Climate Policy: Overview of an Energy Modeling Forum Study (</w:t>
      </w:r>
      <w:r>
        <w:t xml:space="preserve">EMF</w:t>
      </w:r>
      <w:r>
        <w:t xml:space="preserve"> </w:t>
      </w:r>
      <w:r>
        <w:t xml:space="preserve">29)»</w:t>
      </w:r>
      <w:r>
        <w:t xml:space="preserve">.</w:t>
      </w:r>
      <w:r>
        <w:t xml:space="preserve"> </w:t>
      </w:r>
      <w:r>
        <w:rPr>
          <w:i/>
          <w:iCs/>
        </w:rPr>
        <w:t xml:space="preserve">Energy Economics</w:t>
      </w:r>
      <w:r>
        <w:t xml:space="preserve"> </w:t>
      </w:r>
      <w:r>
        <w:t xml:space="preserve">34 (S2): S97-110.</w:t>
      </w:r>
      <w:r>
        <w:t xml:space="preserve"> </w:t>
      </w:r>
      <w:hyperlink r:id="rId186">
        <w:r>
          <w:rPr>
            <w:rStyle w:val="Hyperlink"/>
          </w:rPr>
          <w:t xml:space="preserve">https://doi.org/10.1016/j.eneco.2012.10.003</w:t>
        </w:r>
      </w:hyperlink>
      <w:r>
        <w:t xml:space="preserve">.</w:t>
      </w:r>
    </w:p>
    <w:bookmarkEnd w:id="187"/>
    <w:bookmarkStart w:id="189" w:name="ref_Bohringer2022Potential"/>
    <w:p>
      <w:pPr>
        <w:pStyle w:val="Bibliography"/>
      </w:pPr>
      <w:r>
        <w:t xml:space="preserve">Böhringer, Christoph, Carolyn Fischer, Knut Einar Rosendahl y Thomas F. Rutherford (2022).</w:t>
      </w:r>
      <w:r>
        <w:t xml:space="preserve"> </w:t>
      </w:r>
      <w:r>
        <w:t xml:space="preserve">«Potential Impacts and Challenges of Border Carbon Adjustments»</w:t>
      </w:r>
      <w:r>
        <w:t xml:space="preserve">.</w:t>
      </w:r>
      <w:r>
        <w:t xml:space="preserve"> </w:t>
      </w:r>
      <w:r>
        <w:rPr>
          <w:i/>
          <w:iCs/>
        </w:rPr>
        <w:t xml:space="preserve">Nature Climate Change</w:t>
      </w:r>
      <w:r>
        <w:t xml:space="preserve"> </w:t>
      </w:r>
      <w:r>
        <w:t xml:space="preserve">12 (1): 22-29.</w:t>
      </w:r>
      <w:r>
        <w:t xml:space="preserve"> </w:t>
      </w:r>
      <w:hyperlink r:id="rId188">
        <w:r>
          <w:rPr>
            <w:rStyle w:val="Hyperlink"/>
          </w:rPr>
          <w:t xml:space="preserve">https://doi.org/10.1038/s41558-021-01250-z</w:t>
        </w:r>
      </w:hyperlink>
      <w:r>
        <w:t xml:space="preserve">.</w:t>
      </w:r>
    </w:p>
    <w:bookmarkEnd w:id="189"/>
    <w:bookmarkStart w:id="191" w:name="ref_Buchanan1965Economic"/>
    <w:p>
      <w:pPr>
        <w:pStyle w:val="Bibliography"/>
      </w:pPr>
      <w:r>
        <w:t xml:space="preserve">Buchanan, James M. (1965).</w:t>
      </w:r>
      <w:r>
        <w:t xml:space="preserve"> </w:t>
      </w:r>
      <w:r>
        <w:t xml:space="preserve">«An Economic Theory of Clubs»</w:t>
      </w:r>
      <w:r>
        <w:t xml:space="preserve">.</w:t>
      </w:r>
      <w:r>
        <w:t xml:space="preserve"> </w:t>
      </w:r>
      <w:r>
        <w:rPr>
          <w:i/>
          <w:iCs/>
        </w:rPr>
        <w:t xml:space="preserve">Economica</w:t>
      </w:r>
      <w:r>
        <w:t xml:space="preserve"> </w:t>
      </w:r>
      <w:r>
        <w:t xml:space="preserve">32 (125): 1-14.</w:t>
      </w:r>
      <w:r>
        <w:t xml:space="preserve"> </w:t>
      </w:r>
      <w:hyperlink r:id="rId190">
        <w:r>
          <w:rPr>
            <w:rStyle w:val="Hyperlink"/>
          </w:rPr>
          <w:t xml:space="preserve">https://doi.org/10.2307/2552442</w:t>
        </w:r>
      </w:hyperlink>
      <w:r>
        <w:t xml:space="preserve">.</w:t>
      </w:r>
    </w:p>
    <w:bookmarkEnd w:id="191"/>
    <w:bookmarkStart w:id="193" w:name="ref_BurkeHsiangMiguel2015Global"/>
    <w:p>
      <w:pPr>
        <w:pStyle w:val="Bibliography"/>
      </w:pPr>
      <w:r>
        <w:t xml:space="preserve">Burke, Marshall, Solomon M. Hsiang y Edward Miguel (2015).</w:t>
      </w:r>
      <w:r>
        <w:t xml:space="preserve"> </w:t>
      </w:r>
      <w:r>
        <w:t xml:space="preserve">«Global Non-Linear Effect of Temperature on Economic Production»</w:t>
      </w:r>
      <w:r>
        <w:t xml:space="preserve">.</w:t>
      </w:r>
      <w:r>
        <w:t xml:space="preserve"> </w:t>
      </w:r>
      <w:r>
        <w:rPr>
          <w:i/>
          <w:iCs/>
        </w:rPr>
        <w:t xml:space="preserve">Nature</w:t>
      </w:r>
      <w:r>
        <w:t xml:space="preserve"> </w:t>
      </w:r>
      <w:r>
        <w:t xml:space="preserve">527 (7577): 235-39.</w:t>
      </w:r>
      <w:r>
        <w:t xml:space="preserve"> </w:t>
      </w:r>
      <w:hyperlink r:id="rId192">
        <w:r>
          <w:rPr>
            <w:rStyle w:val="Hyperlink"/>
          </w:rPr>
          <w:t xml:space="preserve">https://doi.org/10.1038/nature15725</w:t>
        </w:r>
      </w:hyperlink>
      <w:r>
        <w:t xml:space="preserve">.</w:t>
      </w:r>
    </w:p>
    <w:bookmarkEnd w:id="193"/>
    <w:bookmarkStart w:id="195" w:name="ref_Carney2015Breaking"/>
    <w:p>
      <w:pPr>
        <w:pStyle w:val="Bibliography"/>
      </w:pPr>
      <w:r>
        <w:t xml:space="preserve">Carney, Mark (2015).</w:t>
      </w:r>
      <w:r>
        <w:t xml:space="preserve"> </w:t>
      </w:r>
      <w:r>
        <w:t xml:space="preserve">«Breaking the Tragedy of the Horizon: Climate Change and Financial Stability. Discurso en Lloyd’s of London»</w:t>
      </w:r>
      <w:r>
        <w:t xml:space="preserve">. 29 de septiembre de 2015.</w:t>
      </w:r>
      <w:r>
        <w:t xml:space="preserve"> </w:t>
      </w:r>
      <w:hyperlink r:id="rId194">
        <w:r>
          <w:rPr>
            <w:rStyle w:val="Hyperlink"/>
          </w:rPr>
          <w:t xml:space="preserve">https://www.bankofengland.co.uk/speech/2015/breaking-the-tragedy-of-the-horizon-climate-change-and-financial-stability</w:t>
        </w:r>
      </w:hyperlink>
      <w:r>
        <w:t xml:space="preserve">.</w:t>
      </w:r>
    </w:p>
    <w:bookmarkEnd w:id="195"/>
    <w:bookmarkStart w:id="196" w:name="ref_CarraroSiniscalco1993Strategies"/>
    <w:p>
      <w:pPr>
        <w:pStyle w:val="Bibliography"/>
      </w:pPr>
      <w:r>
        <w:t xml:space="preserve">Carraro, Carlo y Domenico Siniscalco (1993).</w:t>
      </w:r>
      <w:r>
        <w:t xml:space="preserve"> </w:t>
      </w:r>
      <w:r>
        <w:t xml:space="preserve">«Strategies for the International Protection of the Environment»</w:t>
      </w:r>
      <w:r>
        <w:t xml:space="preserve">.</w:t>
      </w:r>
      <w:r>
        <w:t xml:space="preserve"> </w:t>
      </w:r>
      <w:r>
        <w:rPr>
          <w:i/>
          <w:iCs/>
        </w:rPr>
        <w:t xml:space="preserve">Journal of Public Economics</w:t>
      </w:r>
      <w:r>
        <w:t xml:space="preserve"> </w:t>
      </w:r>
      <w:r>
        <w:t xml:space="preserve">52 (3): 309-28.</w:t>
      </w:r>
    </w:p>
    <w:bookmarkEnd w:id="196"/>
    <w:bookmarkStart w:id="198" w:name="ref_C2ES2026COP30"/>
    <w:p>
      <w:pPr>
        <w:pStyle w:val="Bibliography"/>
      </w:pPr>
      <w:r>
        <w:t xml:space="preserve">Center for Climate and Energy Solutions (2026).</w:t>
      </w:r>
      <w:r>
        <w:t xml:space="preserve"> </w:t>
      </w:r>
      <w:r>
        <w:t xml:space="preserve">«Key Negotiations &amp; Related Outcomes of the UN Climate Conference in Belém (COP30)»</w:t>
      </w:r>
      <w:r>
        <w:t xml:space="preserve">. 2026.</w:t>
      </w:r>
      <w:r>
        <w:t xml:space="preserve"> </w:t>
      </w:r>
      <w:hyperlink r:id="rId197">
        <w:r>
          <w:rPr>
            <w:rStyle w:val="Hyperlink"/>
          </w:rPr>
          <w:t xml:space="preserve">https://www.c2es.org/wp-content/uploads/2026/02/COP30-Summary-FINAL5.pdf</w:t>
        </w:r>
      </w:hyperlink>
      <w:r>
        <w:t xml:space="preserve">.</w:t>
      </w:r>
    </w:p>
    <w:bookmarkEnd w:id="198"/>
    <w:bookmarkStart w:id="200" w:name="ref_Chancel2022Global"/>
    <w:p>
      <w:pPr>
        <w:pStyle w:val="Bibliography"/>
      </w:pPr>
      <w:r>
        <w:t xml:space="preserve">Chancel, Lucas (2022).</w:t>
      </w:r>
      <w:r>
        <w:t xml:space="preserve"> </w:t>
      </w:r>
      <w:r>
        <w:t xml:space="preserve">«Global Carbon Inequality over 1990–2019»</w:t>
      </w:r>
      <w:r>
        <w:t xml:space="preserve">.</w:t>
      </w:r>
      <w:r>
        <w:t xml:space="preserve"> </w:t>
      </w:r>
      <w:r>
        <w:rPr>
          <w:i/>
          <w:iCs/>
        </w:rPr>
        <w:t xml:space="preserve">Nature Sustainability</w:t>
      </w:r>
      <w:r>
        <w:t xml:space="preserve"> </w:t>
      </w:r>
      <w:r>
        <w:t xml:space="preserve">5 (11): 931-38.</w:t>
      </w:r>
      <w:r>
        <w:t xml:space="preserve"> </w:t>
      </w:r>
      <w:hyperlink r:id="rId199">
        <w:r>
          <w:rPr>
            <w:rStyle w:val="Hyperlink"/>
          </w:rPr>
          <w:t xml:space="preserve">https://doi.org/10.1038/s41893-022-00955-z</w:t>
        </w:r>
      </w:hyperlink>
      <w:r>
        <w:t xml:space="preserve">.</w:t>
      </w:r>
    </w:p>
    <w:bookmarkEnd w:id="200"/>
    <w:bookmarkStart w:id="202" w:name="ref_Colmer2025Pricing"/>
    <w:p>
      <w:pPr>
        <w:pStyle w:val="Bibliography"/>
      </w:pPr>
      <w:r>
        <w:t xml:space="preserve">Colmer, Jonathan, Ralf Martin, Mirabelle Muûls y Ulrich J. Wagner (2025).</w:t>
      </w:r>
      <w:r>
        <w:t xml:space="preserve"> </w:t>
      </w:r>
      <w:r>
        <w:t xml:space="preserve">«Does Pricing Carbon Mitigate Climate Change? Firm-Level Evidence from the European Union Emissions Trading System»</w:t>
      </w:r>
      <w:r>
        <w:t xml:space="preserve">.</w:t>
      </w:r>
      <w:r>
        <w:t xml:space="preserve"> </w:t>
      </w:r>
      <w:r>
        <w:rPr>
          <w:i/>
          <w:iCs/>
        </w:rPr>
        <w:t xml:space="preserve">Review of Economic Studies</w:t>
      </w:r>
      <w:r>
        <w:t xml:space="preserve"> </w:t>
      </w:r>
      <w:r>
        <w:t xml:space="preserve">92 (3): 1625-60.</w:t>
      </w:r>
      <w:r>
        <w:t xml:space="preserve"> </w:t>
      </w:r>
      <w:hyperlink r:id="rId201">
        <w:r>
          <w:rPr>
            <w:rStyle w:val="Hyperlink"/>
          </w:rPr>
          <w:t xml:space="preserve">https://doi.org/10.1093/restud/rdae055</w:t>
        </w:r>
      </w:hyperlink>
      <w:r>
        <w:t xml:space="preserve">.</w:t>
      </w:r>
    </w:p>
    <w:bookmarkEnd w:id="202"/>
    <w:bookmarkStart w:id="204" w:name="ref_CE2025TopeETS"/>
    <w:p>
      <w:pPr>
        <w:pStyle w:val="Bibliography"/>
      </w:pPr>
      <w:r>
        <w:t xml:space="preserve">Comisión Europea (2025a).</w:t>
      </w:r>
      <w:r>
        <w:t xml:space="preserve"> </w:t>
      </w:r>
      <w:r>
        <w:t xml:space="preserve">«EU ETS emissions cap»</w:t>
      </w:r>
      <w:r>
        <w:t xml:space="preserve">. 2025.</w:t>
      </w:r>
      <w:r>
        <w:t xml:space="preserve"> </w:t>
      </w:r>
      <w:hyperlink r:id="rId203">
        <w:r>
          <w:rPr>
            <w:rStyle w:val="Hyperlink"/>
          </w:rPr>
          <w:t xml:space="preserve">https://climate.ec.europa.eu/eu-action/carbon-markets/eu-emissions-trading-system-eu-ets/eu-ets-emissions-cap_en</w:t>
        </w:r>
      </w:hyperlink>
      <w:r>
        <w:t xml:space="preserve">.</w:t>
      </w:r>
    </w:p>
    <w:bookmarkEnd w:id="204"/>
    <w:bookmarkStart w:id="206" w:name="ref_CE2025COM989"/>
    <w:p>
      <w:pPr>
        <w:pStyle w:val="Bibliography"/>
      </w:pPr>
      <w:r>
        <w:t xml:space="preserve">Comisión Europea (2025b).</w:t>
      </w:r>
      <w:r>
        <w:t xml:space="preserve"> </w:t>
      </w:r>
      <w:r>
        <w:t xml:space="preserve">«Propuesta de Reglamento del Parlamento Europeo y del Consejo por el que se modifica el Reglamento (UE) 2023/956 para extender el Mecanismo de Ajuste en Frontera por Carbono a determinados productos transformados y reforzar las medidas contra la elusión, COM(2025) 989 final»</w:t>
      </w:r>
      <w:r>
        <w:t xml:space="preserve">. 17 de diciembre de 2025.</w:t>
      </w:r>
      <w:r>
        <w:t xml:space="preserve"> </w:t>
      </w:r>
      <w:hyperlink r:id="rId205">
        <w:r>
          <w:rPr>
            <w:rStyle w:val="Hyperlink"/>
          </w:rPr>
          <w:t xml:space="preserve">https://eur-lex.europa.eu/legal-content/ES/TXT/?uri=CELEX:52025PC0989</w:t>
        </w:r>
      </w:hyperlink>
      <w:r>
        <w:t xml:space="preserve">.</w:t>
      </w:r>
    </w:p>
    <w:bookmarkEnd w:id="206"/>
    <w:bookmarkStart w:id="208" w:name="ref_CE2026CBAMDefinitivo"/>
    <w:p>
      <w:pPr>
        <w:pStyle w:val="Bibliography"/>
      </w:pPr>
      <w:r>
        <w:t xml:space="preserve">Comisión Europea (2026a).</w:t>
      </w:r>
      <w:r>
        <w:t xml:space="preserve"> </w:t>
      </w:r>
      <w:r>
        <w:t xml:space="preserve">«CBAM definitive regime»</w:t>
      </w:r>
      <w:r>
        <w:t xml:space="preserve">. 2026.</w:t>
      </w:r>
      <w:r>
        <w:t xml:space="preserve"> </w:t>
      </w:r>
      <w:hyperlink r:id="rId207">
        <w:r>
          <w:rPr>
            <w:rStyle w:val="Hyperlink"/>
          </w:rPr>
          <w:t xml:space="preserve">https://taxation-customs.ec.europa.eu/carbon-border-adjustment-mechanism/cbam-definitive-regime_en</w:t>
        </w:r>
      </w:hyperlink>
      <w:r>
        <w:t xml:space="preserve">.</w:t>
      </w:r>
    </w:p>
    <w:bookmarkEnd w:id="208"/>
    <w:bookmarkStart w:id="210" w:name="ref_CE2026PrecioCBAM"/>
    <w:p>
      <w:pPr>
        <w:pStyle w:val="Bibliography"/>
      </w:pPr>
      <w:r>
        <w:t xml:space="preserve">Comisión Europea (2026b).</w:t>
      </w:r>
      <w:r>
        <w:t xml:space="preserve"> </w:t>
      </w:r>
      <w:r>
        <w:t xml:space="preserve">«Price of CBAM certificates»</w:t>
      </w:r>
      <w:r>
        <w:t xml:space="preserve">. 2026.</w:t>
      </w:r>
      <w:r>
        <w:t xml:space="preserve"> </w:t>
      </w:r>
      <w:hyperlink r:id="rId209">
        <w:r>
          <w:rPr>
            <w:rStyle w:val="Hyperlink"/>
          </w:rPr>
          <w:t xml:space="preserve">https://taxation-customs.ec.europa.eu/carbon-border-adjustment-mechanism/price-cbam-certificates_en</w:t>
        </w:r>
      </w:hyperlink>
      <w:r>
        <w:t xml:space="preserve">.</w:t>
      </w:r>
    </w:p>
    <w:bookmarkEnd w:id="210"/>
    <w:bookmarkStart w:id="212" w:name="ref_CE2026FondoSocial"/>
    <w:p>
      <w:pPr>
        <w:pStyle w:val="Bibliography"/>
      </w:pPr>
      <w:r>
        <w:t xml:space="preserve">Comisión Europea (2026c).</w:t>
      </w:r>
      <w:r>
        <w:t xml:space="preserve"> </w:t>
      </w:r>
      <w:r>
        <w:t xml:space="preserve">«Social Climate Fund»</w:t>
      </w:r>
      <w:r>
        <w:t xml:space="preserve">. 2026.</w:t>
      </w:r>
      <w:r>
        <w:t xml:space="preserve"> </w:t>
      </w:r>
      <w:hyperlink r:id="rId211">
        <w:r>
          <w:rPr>
            <w:rStyle w:val="Hyperlink"/>
          </w:rPr>
          <w:t xml:space="preserve">https://climate.ec.europa.eu/eu-action/carbon-markets/social-climate-fund_en</w:t>
        </w:r>
      </w:hyperlink>
      <w:r>
        <w:t xml:space="preserve">.</w:t>
      </w:r>
    </w:p>
    <w:bookmarkEnd w:id="212"/>
    <w:bookmarkStart w:id="214" w:name="ref_CE2026EmisionesETS2025"/>
    <w:p>
      <w:pPr>
        <w:pStyle w:val="Bibliography"/>
      </w:pPr>
      <w:r>
        <w:t xml:space="preserve">Comisión Europea (2026d).</w:t>
      </w:r>
      <w:r>
        <w:t xml:space="preserve"> </w:t>
      </w:r>
      <w:r>
        <w:t xml:space="preserve">«EU Emissions Trading System sustains downward trend in covered emissions»</w:t>
      </w:r>
      <w:r>
        <w:t xml:space="preserve">. 10 de abril de 2026.</w:t>
      </w:r>
      <w:r>
        <w:t xml:space="preserve"> </w:t>
      </w:r>
      <w:hyperlink r:id="rId213">
        <w:r>
          <w:rPr>
            <w:rStyle w:val="Hyperlink"/>
          </w:rPr>
          <w:t xml:space="preserve">https://climate.ec.europa.eu/news-other-reads/news/eu-emissions-trading-system-sustains-downward-trend-covered-emissions-2026-04-10_en</w:t>
        </w:r>
      </w:hyperlink>
      <w:r>
        <w:t xml:space="preserve">.</w:t>
      </w:r>
    </w:p>
    <w:bookmarkEnd w:id="214"/>
    <w:bookmarkStart w:id="216" w:name="ref_CE2026TNAC"/>
    <w:p>
      <w:pPr>
        <w:pStyle w:val="Bibliography"/>
      </w:pPr>
      <w:r>
        <w:t xml:space="preserve">Comisión Europea (2026e).</w:t>
      </w:r>
      <w:r>
        <w:t xml:space="preserve"> </w:t>
      </w:r>
      <w:r>
        <w:t xml:space="preserve">«190 million EU ETS allowances to be placed in the Market Stability Reserve between September 2026 and August 2027»</w:t>
      </w:r>
      <w:r>
        <w:t xml:space="preserve">. 29 de mayo de 2026.</w:t>
      </w:r>
      <w:r>
        <w:t xml:space="preserve"> </w:t>
      </w:r>
      <w:hyperlink r:id="rId215">
        <w:r>
          <w:rPr>
            <w:rStyle w:val="Hyperlink"/>
          </w:rPr>
          <w:t xml:space="preserve">https://climate.ec.europa.eu/news-other-reads/news/190-million-eu-ets-allowances-be-placed-market-stability-reserve-between-september-2026-and-august-2026-05-29_en</w:t>
        </w:r>
      </w:hyperlink>
      <w:r>
        <w:t xml:space="preserve">.</w:t>
      </w:r>
    </w:p>
    <w:bookmarkEnd w:id="216"/>
    <w:bookmarkStart w:id="217" w:name="ref_WCED1987Our"/>
    <w:p>
      <w:pPr>
        <w:pStyle w:val="Bibliography"/>
      </w:pPr>
      <w:r>
        <w:t xml:space="preserve">Comisión Mundial sobre el Medio Ambiente y el Desarrollo (1987).</w:t>
      </w:r>
      <w:r>
        <w:t xml:space="preserve"> </w:t>
      </w:r>
      <w:r>
        <w:rPr>
          <w:i/>
          <w:iCs/>
        </w:rPr>
        <w:t xml:space="preserve">Our Common Future</w:t>
      </w:r>
      <w:r>
        <w:t xml:space="preserve">. Oxford: Oxford University Press.</w:t>
      </w:r>
    </w:p>
    <w:bookmarkEnd w:id="217"/>
    <w:bookmarkStart w:id="219" w:name="ref_CMNUCC2009Copenhague"/>
    <w:p>
      <w:pPr>
        <w:pStyle w:val="Bibliography"/>
      </w:pPr>
      <w:r>
        <w:t xml:space="preserve">Conferencia de las Partes de la CMNUCC (2010).</w:t>
      </w:r>
      <w:r>
        <w:t xml:space="preserve"> </w:t>
      </w:r>
      <w:r>
        <w:t xml:space="preserve">«Decisión 2/CP.15. Acuerdo de Copenhague (FCCC/CP/2009/11/Add.1)»</w:t>
      </w:r>
      <w:r>
        <w:t xml:space="preserve">. 2010.</w:t>
      </w:r>
      <w:r>
        <w:t xml:space="preserve"> </w:t>
      </w:r>
      <w:hyperlink r:id="rId218">
        <w:r>
          <w:rPr>
            <w:rStyle w:val="Hyperlink"/>
          </w:rPr>
          <w:t xml:space="preserve">https://unfccc.int/resource/docs/2009/cop15/spa/11a01s.pdf</w:t>
        </w:r>
      </w:hyperlink>
      <w:r>
        <w:t xml:space="preserve">.</w:t>
      </w:r>
    </w:p>
    <w:bookmarkEnd w:id="219"/>
    <w:bookmarkStart w:id="221" w:name="ref_CMNUCC2010Cancun"/>
    <w:p>
      <w:pPr>
        <w:pStyle w:val="Bibliography"/>
      </w:pPr>
      <w:r>
        <w:t xml:space="preserve">Conferencia de las Partes de la CMNUCC (2011).</w:t>
      </w:r>
      <w:r>
        <w:t xml:space="preserve"> </w:t>
      </w:r>
      <w:r>
        <w:t xml:space="preserve">«Decisión 1/CP.16. Acuerdos de Cancún: resultado de la labor del Grupo de Trabajo Especial sobre la cooperación a largo plazo (FCCC/CP/2010/7/Add.1)»</w:t>
      </w:r>
      <w:r>
        <w:t xml:space="preserve">. 2011.</w:t>
      </w:r>
      <w:r>
        <w:t xml:space="preserve"> </w:t>
      </w:r>
      <w:hyperlink r:id="rId220">
        <w:r>
          <w:rPr>
            <w:rStyle w:val="Hyperlink"/>
          </w:rPr>
          <w:t xml:space="preserve">https://unfccc.int/resource/docs/2010/cop16/spa/07a01s.pdf</w:t>
        </w:r>
      </w:hyperlink>
      <w:r>
        <w:t xml:space="preserve">.</w:t>
      </w:r>
    </w:p>
    <w:bookmarkEnd w:id="221"/>
    <w:bookmarkStart w:id="223" w:name="ref_CMNUCC2025Belem"/>
    <w:p>
      <w:pPr>
        <w:pStyle w:val="Bibliography"/>
      </w:pPr>
      <w:r>
        <w:t xml:space="preserve">Conferencia de las Partes en calidad de reunión de las Partes en el Acuerdo de París (2025).</w:t>
      </w:r>
      <w:r>
        <w:t xml:space="preserve"> </w:t>
      </w:r>
      <w:r>
        <w:t xml:space="preserve">«Global Mutirão: Uniting Humanity in a Global Mobilization against Climate Change (decisión de la CMA.7, Belém)»</w:t>
      </w:r>
      <w:r>
        <w:t xml:space="preserve">. 2025.</w:t>
      </w:r>
      <w:r>
        <w:t xml:space="preserve"> </w:t>
      </w:r>
      <w:hyperlink r:id="rId222">
        <w:r>
          <w:rPr>
            <w:rStyle w:val="Hyperlink"/>
          </w:rPr>
          <w:t xml:space="preserve">https://unfccc.int/cop30</w:t>
        </w:r>
      </w:hyperlink>
      <w:r>
        <w:t xml:space="preserve">.</w:t>
      </w:r>
    </w:p>
    <w:bookmarkEnd w:id="223"/>
    <w:bookmarkStart w:id="225" w:name="ref_EEUU2022IRA"/>
    <w:p>
      <w:pPr>
        <w:pStyle w:val="Bibliography"/>
      </w:pPr>
      <w:r>
        <w:t xml:space="preserve">Congreso de los Estados Unidos (2022).</w:t>
      </w:r>
      <w:r>
        <w:t xml:space="preserve"> </w:t>
      </w:r>
      <w:r>
        <w:t xml:space="preserve">«Public Law 117-169, de 16 de agosto de 2022 (Inflation Reduction Act of 2022)»</w:t>
      </w:r>
      <w:r>
        <w:t xml:space="preserve">. 16 de agosto de 2022.</w:t>
      </w:r>
      <w:r>
        <w:t xml:space="preserve"> </w:t>
      </w:r>
      <w:hyperlink r:id="rId224">
        <w:r>
          <w:rPr>
            <w:rStyle w:val="Hyperlink"/>
          </w:rPr>
          <w:t xml:space="preserve">https://www.congress.gov/117/plaws/publ169/PLAW-117publ169.pdf</w:t>
        </w:r>
      </w:hyperlink>
      <w:r>
        <w:t xml:space="preserve">.</w:t>
      </w:r>
    </w:p>
    <w:bookmarkEnd w:id="225"/>
    <w:bookmarkStart w:id="227" w:name="ref_EEUU2025PL11921"/>
    <w:p>
      <w:pPr>
        <w:pStyle w:val="Bibliography"/>
      </w:pPr>
      <w:r>
        <w:t xml:space="preserve">Congreso de los Estados Unidos (2025).</w:t>
      </w:r>
      <w:r>
        <w:t xml:space="preserve"> </w:t>
      </w:r>
      <w:r>
        <w:t xml:space="preserve">«Public Law 119-21, de 4 de julio de 2025 (One Big Beautiful Bill Act). Título VII, secciones 70501-70515»</w:t>
      </w:r>
      <w:r>
        <w:t xml:space="preserve">. 4 de julio de 2025.</w:t>
      </w:r>
      <w:r>
        <w:t xml:space="preserve"> </w:t>
      </w:r>
      <w:hyperlink r:id="rId226">
        <w:r>
          <w:rPr>
            <w:rStyle w:val="Hyperlink"/>
          </w:rPr>
          <w:t xml:space="preserve">https://www.congress.gov/119/plaws/publ21/PLAW-119publ21.pdf</w:t>
        </w:r>
      </w:hyperlink>
      <w:r>
        <w:t xml:space="preserve">.</w:t>
      </w:r>
    </w:p>
    <w:bookmarkEnd w:id="227"/>
    <w:bookmarkStart w:id="229" w:name="ref_CMNUCC2023Balance"/>
    <w:p>
      <w:pPr>
        <w:pStyle w:val="Bibliography"/>
      </w:pPr>
      <w:r>
        <w:t xml:space="preserve">Convención Marco de las Naciones Unidas sobre el Cambio Climático (2023).</w:t>
      </w:r>
      <w:r>
        <w:t xml:space="preserve"> </w:t>
      </w:r>
      <w:r>
        <w:t xml:space="preserve">«Global Stocktake»</w:t>
      </w:r>
      <w:r>
        <w:t xml:space="preserve">. 2023.</w:t>
      </w:r>
      <w:r>
        <w:t xml:space="preserve"> </w:t>
      </w:r>
      <w:hyperlink r:id="rId228">
        <w:r>
          <w:rPr>
            <w:rStyle w:val="Hyperlink"/>
          </w:rPr>
          <w:t xml:space="preserve">https://unfccc.int/topics/global-stocktake</w:t>
        </w:r>
      </w:hyperlink>
      <w:r>
        <w:t xml:space="preserve">.</w:t>
      </w:r>
    </w:p>
    <w:bookmarkEnd w:id="229"/>
    <w:bookmarkStart w:id="231" w:name="ref_CMNUCC2024NCQG"/>
    <w:p>
      <w:pPr>
        <w:pStyle w:val="Bibliography"/>
      </w:pPr>
      <w:r>
        <w:t xml:space="preserve">Convención Marco de las Naciones Unidas sobre el Cambio Climático (2024).</w:t>
      </w:r>
      <w:r>
        <w:t xml:space="preserve"> </w:t>
      </w:r>
      <w:r>
        <w:t xml:space="preserve">«COP29 UN Climate Conference Agrees to Triple Finance to Developing Countries, Protecting Lives and Livelihoods»</w:t>
      </w:r>
      <w:r>
        <w:t xml:space="preserve">. 2024.</w:t>
      </w:r>
      <w:r>
        <w:t xml:space="preserve"> </w:t>
      </w:r>
      <w:hyperlink r:id="rId230">
        <w:r>
          <w:rPr>
            <w:rStyle w:val="Hyperlink"/>
          </w:rPr>
          <w:t xml:space="preserve">https://unfccc.int/news/cop29-un-climate-conference-agrees-to-triple-finance-to-developing-countries-protecting-lives-and</w:t>
        </w:r>
      </w:hyperlink>
      <w:r>
        <w:t xml:space="preserve">.</w:t>
      </w:r>
    </w:p>
    <w:bookmarkEnd w:id="231"/>
    <w:bookmarkStart w:id="233" w:name="ref_CMNUCC2026COP31"/>
    <w:p>
      <w:pPr>
        <w:pStyle w:val="Bibliography"/>
      </w:pPr>
      <w:r>
        <w:t xml:space="preserve">Convención Marco de las Naciones Unidas sobre el Cambio Climático (2026).</w:t>
      </w:r>
      <w:r>
        <w:t xml:space="preserve"> </w:t>
      </w:r>
      <w:r>
        <w:t xml:space="preserve">«COP31: UN Climate Change Conference, Antalya»</w:t>
      </w:r>
      <w:r>
        <w:t xml:space="preserve">. 2026.</w:t>
      </w:r>
      <w:r>
        <w:t xml:space="preserve"> </w:t>
      </w:r>
      <w:hyperlink r:id="rId232">
        <w:r>
          <w:rPr>
            <w:rStyle w:val="Hyperlink"/>
          </w:rPr>
          <w:t xml:space="preserve">https://unfccc.int/cop31</w:t>
        </w:r>
      </w:hyperlink>
      <w:r>
        <w:t xml:space="preserve">.</w:t>
      </w:r>
    </w:p>
    <w:bookmarkEnd w:id="233"/>
    <w:bookmarkStart w:id="235" w:name="ref_C3S2026GCH2025"/>
    <w:p>
      <w:pPr>
        <w:pStyle w:val="Bibliography"/>
      </w:pPr>
      <w:r>
        <w:t xml:space="preserve">Copernicus Climate Change Service (2026).</w:t>
      </w:r>
      <w:r>
        <w:t xml:space="preserve"> </w:t>
      </w:r>
      <w:r>
        <w:t xml:space="preserve">«Global Climate Highlights 2025: Copernicus: 2025 was the third-hottest year on record»</w:t>
      </w:r>
      <w:r>
        <w:t xml:space="preserve">. 14 de enero de 2026.</w:t>
      </w:r>
      <w:r>
        <w:t xml:space="preserve"> </w:t>
      </w:r>
      <w:hyperlink r:id="rId234">
        <w:r>
          <w:rPr>
            <w:rStyle w:val="Hyperlink"/>
          </w:rPr>
          <w:t xml:space="preserve">https://climate.copernicus.eu/copernicus-2025-was-third-hottest-year-record</w:t>
        </w:r>
      </w:hyperlink>
      <w:r>
        <w:t xml:space="preserve">.</w:t>
      </w:r>
    </w:p>
    <w:bookmarkEnd w:id="235"/>
    <w:bookmarkStart w:id="237" w:name="ref_JRC2026EDGAR"/>
    <w:p>
      <w:pPr>
        <w:pStyle w:val="Bibliography"/>
      </w:pPr>
      <w:r>
        <w:t xml:space="preserve">Crippa, Monica, Diego Guizzardi, Federico Pagani, Manjola Banja, Sara Ciarlantini, et al. (2026).</w:t>
      </w:r>
      <w:r>
        <w:t xml:space="preserve"> </w:t>
      </w:r>
      <w:r>
        <w:t xml:space="preserve">«GHG emissions of all world countries. 2026 Report»</w:t>
      </w:r>
      <w:r>
        <w:t xml:space="preserve">. Luxemburgo: Comisión Europea, Centro Común de Investigación (JRC); Oficina de Publicaciones de la Unión Europea. 2026.</w:t>
      </w:r>
      <w:r>
        <w:t xml:space="preserve"> </w:t>
      </w:r>
      <w:hyperlink r:id="rId236">
        <w:r>
          <w:rPr>
            <w:rStyle w:val="Hyperlink"/>
          </w:rPr>
          <w:t xml:space="preserve">https://doi.org/10.2760/7717504</w:t>
        </w:r>
      </w:hyperlink>
      <w:r>
        <w:t xml:space="preserve">.</w:t>
      </w:r>
    </w:p>
    <w:bookmarkEnd w:id="237"/>
    <w:bookmarkStart w:id="238" w:name="ref_Dales1968Pollution"/>
    <w:p>
      <w:pPr>
        <w:pStyle w:val="Bibliography"/>
      </w:pPr>
      <w:r>
        <w:t xml:space="preserve">Dales, John H. (1968).</w:t>
      </w:r>
      <w:r>
        <w:t xml:space="preserve"> </w:t>
      </w:r>
      <w:r>
        <w:rPr>
          <w:i/>
          <w:iCs/>
        </w:rPr>
        <w:t xml:space="preserve">Pollution, Property and Prices: An Essay in Policy-Making and Economics</w:t>
      </w:r>
      <w:r>
        <w:t xml:space="preserve">. Toronto: University of Toronto Press.</w:t>
      </w:r>
    </w:p>
    <w:bookmarkEnd w:id="238"/>
    <w:bookmarkStart w:id="240" w:name="ref_DechezlepretreSato2017Impacts"/>
    <w:p>
      <w:pPr>
        <w:pStyle w:val="Bibliography"/>
      </w:pPr>
      <w:r>
        <w:t xml:space="preserve">Dechezleprêtre, Antoine y Misato Sato (2017).</w:t>
      </w:r>
      <w:r>
        <w:t xml:space="preserve"> </w:t>
      </w:r>
      <w:r>
        <w:t xml:space="preserve">«The Impacts of Environmental Regulations on Competitiveness»</w:t>
      </w:r>
      <w:r>
        <w:t xml:space="preserve">.</w:t>
      </w:r>
      <w:r>
        <w:t xml:space="preserve"> </w:t>
      </w:r>
      <w:r>
        <w:rPr>
          <w:i/>
          <w:iCs/>
        </w:rPr>
        <w:t xml:space="preserve">Review of Environmental Economics and Policy</w:t>
      </w:r>
      <w:r>
        <w:t xml:space="preserve"> </w:t>
      </w:r>
      <w:r>
        <w:t xml:space="preserve">11 (2): 183-206.</w:t>
      </w:r>
      <w:r>
        <w:t xml:space="preserve"> </w:t>
      </w:r>
      <w:hyperlink r:id="rId239">
        <w:r>
          <w:rPr>
            <w:rStyle w:val="Hyperlink"/>
          </w:rPr>
          <w:t xml:space="preserve">https://doi.org/10.1093/reep/rex013</w:t>
        </w:r>
      </w:hyperlink>
      <w:r>
        <w:t xml:space="preserve">.</w:t>
      </w:r>
    </w:p>
    <w:bookmarkEnd w:id="240"/>
    <w:bookmarkStart w:id="242" w:name="ref_DellJonesOlken2009Temperature"/>
    <w:p>
      <w:pPr>
        <w:pStyle w:val="Bibliography"/>
      </w:pPr>
      <w:r>
        <w:t xml:space="preserve">Dell, Melissa, Benjamin F. Jones y Benjamin A. Olken (2009).</w:t>
      </w:r>
      <w:r>
        <w:t xml:space="preserve"> </w:t>
      </w:r>
      <w:r>
        <w:t xml:space="preserve">«Temperature and Income: Reconciling New Cross-Sectional and Panel Estimates»</w:t>
      </w:r>
      <w:r>
        <w:t xml:space="preserve">.</w:t>
      </w:r>
      <w:r>
        <w:t xml:space="preserve"> </w:t>
      </w:r>
      <w:r>
        <w:rPr>
          <w:i/>
          <w:iCs/>
        </w:rPr>
        <w:t xml:space="preserve">American Economic Review</w:t>
      </w:r>
      <w:r>
        <w:t xml:space="preserve"> </w:t>
      </w:r>
      <w:r>
        <w:t xml:space="preserve">99 (2): 198-204.</w:t>
      </w:r>
      <w:r>
        <w:t xml:space="preserve"> </w:t>
      </w:r>
      <w:hyperlink r:id="rId241">
        <w:r>
          <w:rPr>
            <w:rStyle w:val="Hyperlink"/>
          </w:rPr>
          <w:t xml:space="preserve">https://doi.org/10.1257/aer.99.2.198</w:t>
        </w:r>
      </w:hyperlink>
      <w:r>
        <w:t xml:space="preserve">.</w:t>
      </w:r>
    </w:p>
    <w:bookmarkEnd w:id="242"/>
    <w:bookmarkStart w:id="244" w:name="ref_DellJonesOlken2012Temperature"/>
    <w:p>
      <w:pPr>
        <w:pStyle w:val="Bibliography"/>
      </w:pPr>
      <w:r>
        <w:t xml:space="preserve">Dell, Melissa, Benjamin F. Jones y Benjamin A. Olken (2012).</w:t>
      </w:r>
      <w:r>
        <w:t xml:space="preserve"> </w:t>
      </w:r>
      <w:r>
        <w:t xml:space="preserve">«Temperature Shocks and Economic Growth: Evidence from the Last Half Century»</w:t>
      </w:r>
      <w:r>
        <w:t xml:space="preserve">.</w:t>
      </w:r>
      <w:r>
        <w:t xml:space="preserve"> </w:t>
      </w:r>
      <w:r>
        <w:rPr>
          <w:i/>
          <w:iCs/>
        </w:rPr>
        <w:t xml:space="preserve">American Economic Journal: Macroeconomics</w:t>
      </w:r>
      <w:r>
        <w:t xml:space="preserve"> </w:t>
      </w:r>
      <w:r>
        <w:t xml:space="preserve">4 (3): 66-95.</w:t>
      </w:r>
      <w:r>
        <w:t xml:space="preserve"> </w:t>
      </w:r>
      <w:hyperlink r:id="rId243">
        <w:r>
          <w:rPr>
            <w:rStyle w:val="Hyperlink"/>
          </w:rPr>
          <w:t xml:space="preserve">https://doi.org/10.1257/mac.4.3.66</w:t>
        </w:r>
      </w:hyperlink>
      <w:r>
        <w:t xml:space="preserve">.</w:t>
      </w:r>
    </w:p>
    <w:bookmarkEnd w:id="244"/>
    <w:bookmarkStart w:id="246" w:name="ref_DellJonesOlken2014Weather"/>
    <w:p>
      <w:pPr>
        <w:pStyle w:val="Bibliography"/>
      </w:pPr>
      <w:r>
        <w:t xml:space="preserve">Dell, Melissa, Benjamin F. Jones y Benjamin A. Olken (2014).</w:t>
      </w:r>
      <w:r>
        <w:t xml:space="preserve"> </w:t>
      </w:r>
      <w:r>
        <w:t xml:space="preserve">«What Do We Learn from the Weather? The New Climate-Economy Literature»</w:t>
      </w:r>
      <w:r>
        <w:t xml:space="preserve">.</w:t>
      </w:r>
      <w:r>
        <w:t xml:space="preserve"> </w:t>
      </w:r>
      <w:r>
        <w:rPr>
          <w:i/>
          <w:iCs/>
        </w:rPr>
        <w:t xml:space="preserve">Journal of Economic Literature</w:t>
      </w:r>
      <w:r>
        <w:t xml:space="preserve"> </w:t>
      </w:r>
      <w:r>
        <w:t xml:space="preserve">52 (3): 740-98.</w:t>
      </w:r>
      <w:r>
        <w:t xml:space="preserve"> </w:t>
      </w:r>
      <w:hyperlink r:id="rId245">
        <w:r>
          <w:rPr>
            <w:rStyle w:val="Hyperlink"/>
          </w:rPr>
          <w:t xml:space="preserve">https://doi.org/10.1257/jel.52.3.740</w:t>
        </w:r>
      </w:hyperlink>
      <w:r>
        <w:t xml:space="preserve">.</w:t>
      </w:r>
    </w:p>
    <w:bookmarkEnd w:id="246"/>
    <w:bookmarkStart w:id="248" w:name="ref_DouenneFabre2022Yellow"/>
    <w:p>
      <w:pPr>
        <w:pStyle w:val="Bibliography"/>
      </w:pPr>
      <w:r>
        <w:t xml:space="preserve">Douenne, Thomas y Adrien Fabre (2022).</w:t>
      </w:r>
      <w:r>
        <w:t xml:space="preserve"> </w:t>
      </w:r>
      <w:r>
        <w:t xml:space="preserve">«Yellow Vests, Pessimistic Beliefs, and Carbon Tax Aversion»</w:t>
      </w:r>
      <w:r>
        <w:t xml:space="preserve">.</w:t>
      </w:r>
      <w:r>
        <w:t xml:space="preserve"> </w:t>
      </w:r>
      <w:r>
        <w:rPr>
          <w:i/>
          <w:iCs/>
        </w:rPr>
        <w:t xml:space="preserve">American Economic Journal: Economic Policy</w:t>
      </w:r>
      <w:r>
        <w:t xml:space="preserve"> </w:t>
      </w:r>
      <w:r>
        <w:t xml:space="preserve">14 (1): 81-110.</w:t>
      </w:r>
      <w:r>
        <w:t xml:space="preserve"> </w:t>
      </w:r>
      <w:hyperlink r:id="rId247">
        <w:r>
          <w:rPr>
            <w:rStyle w:val="Hyperlink"/>
          </w:rPr>
          <w:t xml:space="preserve">https://doi.org/10.1257/pol.20200092</w:t>
        </w:r>
      </w:hyperlink>
      <w:r>
        <w:t xml:space="preserve">.</w:t>
      </w:r>
    </w:p>
    <w:bookmarkEnd w:id="248"/>
    <w:bookmarkStart w:id="249" w:name="ref_Drupp2018Discounting"/>
    <w:p>
      <w:pPr>
        <w:pStyle w:val="Bibliography"/>
      </w:pPr>
      <w:r>
        <w:t xml:space="preserve">Drupp, Moritz A., Mark C. Freeman, Ben Groom y Frikk Nesje (2018).</w:t>
      </w:r>
      <w:r>
        <w:t xml:space="preserve"> </w:t>
      </w:r>
      <w:r>
        <w:t xml:space="preserve">«Discounting Disentangled»</w:t>
      </w:r>
      <w:r>
        <w:t xml:space="preserve">.</w:t>
      </w:r>
      <w:r>
        <w:t xml:space="preserve"> </w:t>
      </w:r>
      <w:r>
        <w:rPr>
          <w:i/>
          <w:iCs/>
        </w:rPr>
        <w:t xml:space="preserve">American Economic Journal: Economic Policy</w:t>
      </w:r>
      <w:r>
        <w:t xml:space="preserve"> </w:t>
      </w:r>
      <w:r>
        <w:t xml:space="preserve">10 (4): 109-34.</w:t>
      </w:r>
    </w:p>
    <w:bookmarkEnd w:id="249"/>
    <w:bookmarkStart w:id="251" w:name="ref_EEX2026Subastas"/>
    <w:p>
      <w:pPr>
        <w:pStyle w:val="Bibliography"/>
      </w:pPr>
      <w:r>
        <w:t xml:space="preserve">European Energy Exchange (2026).</w:t>
      </w:r>
      <w:r>
        <w:t xml:space="preserve"> </w:t>
      </w:r>
      <w:r>
        <w:t xml:space="preserve">«Emission Spot Primary Market Auction Report 2026»</w:t>
      </w:r>
      <w:r>
        <w:t xml:space="preserve">. 2026.</w:t>
      </w:r>
      <w:r>
        <w:t xml:space="preserve"> </w:t>
      </w:r>
      <w:hyperlink r:id="rId250">
        <w:r>
          <w:rPr>
            <w:rStyle w:val="Hyperlink"/>
          </w:rPr>
          <w:t xml:space="preserve">https://public.eex-group.com/eex/eua-auction-report/emission-spot-primary-market-auction-report-2026-data.xlsx</w:t>
        </w:r>
      </w:hyperlink>
      <w:r>
        <w:t xml:space="preserve">.</w:t>
      </w:r>
    </w:p>
    <w:bookmarkEnd w:id="251"/>
    <w:bookmarkStart w:id="253" w:name="ref_EY2025RecursosPropios"/>
    <w:p>
      <w:pPr>
        <w:pStyle w:val="Bibliography"/>
      </w:pPr>
      <w:r>
        <w:t xml:space="preserve">EY (2025).</w:t>
      </w:r>
      <w:r>
        <w:t xml:space="preserve"> </w:t>
      </w:r>
      <w:r>
        <w:t xml:space="preserve">«EU Commission releases new own resources package as part of its Multiannual Financial Framework»</w:t>
      </w:r>
      <w:r>
        <w:t xml:space="preserve">. 23 de julio de 2025.</w:t>
      </w:r>
      <w:r>
        <w:t xml:space="preserve"> </w:t>
      </w:r>
      <w:hyperlink r:id="rId252">
        <w:r>
          <w:rPr>
            <w:rStyle w:val="Hyperlink"/>
          </w:rPr>
          <w:t xml:space="preserve">https://taxnews.ey.com/news/2025-1565</w:t>
        </w:r>
      </w:hyperlink>
      <w:r>
        <w:t xml:space="preserve">.</w:t>
      </w:r>
    </w:p>
    <w:bookmarkEnd w:id="253"/>
    <w:bookmarkStart w:id="255" w:name="ref_Forster2026Indicators"/>
    <w:p>
      <w:pPr>
        <w:pStyle w:val="Bibliography"/>
      </w:pPr>
      <w:r>
        <w:t xml:space="preserve">Forster, Piers M., Debbie Walsh, et al. (2026).</w:t>
      </w:r>
      <w:r>
        <w:t xml:space="preserve"> </w:t>
      </w:r>
      <w:r>
        <w:t xml:space="preserve">«Indicators of Global Climate Change 2025: Annual Update of Key Indicators of the State of the Climate System and Human Influence»</w:t>
      </w:r>
      <w:r>
        <w:t xml:space="preserve">.</w:t>
      </w:r>
      <w:r>
        <w:t xml:space="preserve"> </w:t>
      </w:r>
      <w:r>
        <w:rPr>
          <w:i/>
          <w:iCs/>
        </w:rPr>
        <w:t xml:space="preserve">Earth System Science Data</w:t>
      </w:r>
      <w:r>
        <w:t xml:space="preserve"> </w:t>
      </w:r>
      <w:r>
        <w:t xml:space="preserve">18: 3889-3933.</w:t>
      </w:r>
      <w:r>
        <w:t xml:space="preserve"> </w:t>
      </w:r>
      <w:hyperlink r:id="rId254">
        <w:r>
          <w:rPr>
            <w:rStyle w:val="Hyperlink"/>
          </w:rPr>
          <w:t xml:space="preserve">https://doi.org/10.5194/essd-18-3889-2026</w:t>
        </w:r>
      </w:hyperlink>
      <w:r>
        <w:t xml:space="preserve">.</w:t>
      </w:r>
    </w:p>
    <w:bookmarkEnd w:id="255"/>
    <w:bookmarkStart w:id="257" w:name="ref_G72022ClimateClub"/>
    <w:p>
      <w:pPr>
        <w:pStyle w:val="Bibliography"/>
      </w:pPr>
      <w:r>
        <w:t xml:space="preserve">G-7 (2022).</w:t>
      </w:r>
      <w:r>
        <w:t xml:space="preserve"> </w:t>
      </w:r>
      <w:r>
        <w:t xml:space="preserve">«G7 Leaders’ Statement»</w:t>
      </w:r>
      <w:r>
        <w:t xml:space="preserve">. 12 de diciembre de 2022.</w:t>
      </w:r>
      <w:r>
        <w:t xml:space="preserve"> </w:t>
      </w:r>
      <w:hyperlink r:id="rId256">
        <w:r>
          <w:rPr>
            <w:rStyle w:val="Hyperlink"/>
          </w:rPr>
          <w:t xml:space="preserve">https://www.consilium.europa.eu/en/press/press-releases/2022/12/12/g7-leaders-statement/</w:t>
        </w:r>
      </w:hyperlink>
      <w:r>
        <w:t xml:space="preserve">.</w:t>
      </w:r>
    </w:p>
    <w:bookmarkEnd w:id="257"/>
    <w:bookmarkStart w:id="259" w:name="ref_Gibbons1992Game"/>
    <w:p>
      <w:pPr>
        <w:pStyle w:val="Bibliography"/>
      </w:pPr>
      <w:r>
        <w:t xml:space="preserve">Gibbons, Robert (1992).</w:t>
      </w:r>
      <w:r>
        <w:t xml:space="preserve"> </w:t>
      </w:r>
      <w:r>
        <w:rPr>
          <w:i/>
          <w:iCs/>
        </w:rPr>
        <w:t xml:space="preserve">Game Theory for Applied Economists</w:t>
      </w:r>
      <w:r>
        <w:t xml:space="preserve">. Princeton: Princeton University Press.</w:t>
      </w:r>
      <w:r>
        <w:t xml:space="preserve"> </w:t>
      </w:r>
      <w:hyperlink r:id="rId258">
        <w:r>
          <w:rPr>
            <w:rStyle w:val="Hyperlink"/>
          </w:rPr>
          <w:t xml:space="preserve">https://doi.org/10.1515/9781400835881</w:t>
        </w:r>
      </w:hyperlink>
      <w:r>
        <w:t xml:space="preserve">.</w:t>
      </w:r>
    </w:p>
    <w:bookmarkEnd w:id="259"/>
    <w:bookmarkStart w:id="261" w:name="ref_GCP2025Budget"/>
    <w:p>
      <w:pPr>
        <w:pStyle w:val="Bibliography"/>
      </w:pPr>
      <w:r>
        <w:t xml:space="preserve">Global Carbon Project (2025).</w:t>
      </w:r>
      <w:r>
        <w:t xml:space="preserve"> </w:t>
      </w:r>
      <w:r>
        <w:t xml:space="preserve">«Fossil fuel CO2 emissions hit record high in 2025. Global Carbon Budget 2025»</w:t>
      </w:r>
      <w:r>
        <w:t xml:space="preserve">. 13 de noviembre de 2025.</w:t>
      </w:r>
      <w:r>
        <w:t xml:space="preserve"> </w:t>
      </w:r>
      <w:hyperlink r:id="rId260">
        <w:r>
          <w:rPr>
            <w:rStyle w:val="Hyperlink"/>
          </w:rPr>
          <w:t xml:space="preserve">https://globalcarbonbudget.org/fossil-fuel-co2-emissions-hit-record-high-in-2025/</w:t>
        </w:r>
      </w:hyperlink>
      <w:r>
        <w:t xml:space="preserve">.</w:t>
      </w:r>
    </w:p>
    <w:bookmarkEnd w:id="261"/>
    <w:bookmarkStart w:id="263" w:name="ref_Golosov2014Optimal"/>
    <w:p>
      <w:pPr>
        <w:pStyle w:val="Bibliography"/>
      </w:pPr>
      <w:r>
        <w:t xml:space="preserve">Golosov, Mikhail, John Hassler, Per Krusell y Aleh Tsyvinski (2014).</w:t>
      </w:r>
      <w:r>
        <w:t xml:space="preserve"> </w:t>
      </w:r>
      <w:r>
        <w:t xml:space="preserve">«Optimal Taxes on Fossil Fuel in General Equilibrium»</w:t>
      </w:r>
      <w:r>
        <w:t xml:space="preserve">.</w:t>
      </w:r>
      <w:r>
        <w:t xml:space="preserve"> </w:t>
      </w:r>
      <w:r>
        <w:rPr>
          <w:i/>
          <w:iCs/>
        </w:rPr>
        <w:t xml:space="preserve">Econometrica</w:t>
      </w:r>
      <w:r>
        <w:t xml:space="preserve"> </w:t>
      </w:r>
      <w:r>
        <w:t xml:space="preserve">82 (1): 41-88.</w:t>
      </w:r>
      <w:r>
        <w:t xml:space="preserve"> </w:t>
      </w:r>
      <w:hyperlink r:id="rId262">
        <w:r>
          <w:rPr>
            <w:rStyle w:val="Hyperlink"/>
          </w:rPr>
          <w:t xml:space="preserve">https://doi.org/10.3982/ECTA10217</w:t>
        </w:r>
      </w:hyperlink>
      <w:r>
        <w:t xml:space="preserve">.</w:t>
      </w:r>
    </w:p>
    <w:bookmarkEnd w:id="263"/>
    <w:bookmarkStart w:id="265" w:name="ref_GCF2025COFIDES"/>
    <w:p>
      <w:pPr>
        <w:pStyle w:val="Bibliography"/>
      </w:pPr>
      <w:r>
        <w:t xml:space="preserve">Green Climate Fund (2025).</w:t>
      </w:r>
      <w:r>
        <w:t xml:space="preserve"> </w:t>
      </w:r>
      <w:r>
        <w:t xml:space="preserve">«Accredited entity: COFIDES»</w:t>
      </w:r>
      <w:r>
        <w:t xml:space="preserve">. 2025.</w:t>
      </w:r>
      <w:r>
        <w:t xml:space="preserve"> </w:t>
      </w:r>
      <w:hyperlink r:id="rId264">
        <w:r>
          <w:rPr>
            <w:rStyle w:val="Hyperlink"/>
          </w:rPr>
          <w:t xml:space="preserve">https://www.greenclimate.fund/ae/cofides</w:t>
        </w:r>
      </w:hyperlink>
      <w:r>
        <w:t xml:space="preserve">.</w:t>
      </w:r>
    </w:p>
    <w:bookmarkEnd w:id="265"/>
    <w:bookmarkStart w:id="267" w:name="ref_Hansel2020Climate"/>
    <w:p>
      <w:pPr>
        <w:pStyle w:val="Bibliography"/>
      </w:pPr>
      <w:r>
        <w:t xml:space="preserve">Hänsel, Martin C., Moritz A. Drupp, Daniel J. A. Johansson, Frikk Nesje, Christian Azar, Mark C. Freeman, Ben Groom y Thomas Sterner (2020).</w:t>
      </w:r>
      <w:r>
        <w:t xml:space="preserve"> </w:t>
      </w:r>
      <w:r>
        <w:t xml:space="preserve">«Climate Economics Support for the</w:t>
      </w:r>
      <w:r>
        <w:t xml:space="preserve"> </w:t>
      </w:r>
      <w:r>
        <w:t xml:space="preserve">UN</w:t>
      </w:r>
      <w:r>
        <w:t xml:space="preserve"> </w:t>
      </w:r>
      <w:r>
        <w:t xml:space="preserve">Climate Targets»</w:t>
      </w:r>
      <w:r>
        <w:t xml:space="preserve">.</w:t>
      </w:r>
      <w:r>
        <w:t xml:space="preserve"> </w:t>
      </w:r>
      <w:r>
        <w:rPr>
          <w:i/>
          <w:iCs/>
        </w:rPr>
        <w:t xml:space="preserve">Nature Climate Change</w:t>
      </w:r>
      <w:r>
        <w:t xml:space="preserve"> </w:t>
      </w:r>
      <w:r>
        <w:t xml:space="preserve">10 (8): 781-89.</w:t>
      </w:r>
      <w:r>
        <w:t xml:space="preserve"> </w:t>
      </w:r>
      <w:hyperlink r:id="rId266">
        <w:r>
          <w:rPr>
            <w:rStyle w:val="Hyperlink"/>
          </w:rPr>
          <w:t xml:space="preserve">https://doi.org/10.1038/s41558-020-0833-x</w:t>
        </w:r>
      </w:hyperlink>
      <w:r>
        <w:t xml:space="preserve">.</w:t>
      </w:r>
    </w:p>
    <w:bookmarkEnd w:id="267"/>
    <w:bookmarkStart w:id="268" w:name="ref_HelmHepburnMash2003Credible"/>
    <w:p>
      <w:pPr>
        <w:pStyle w:val="Bibliography"/>
      </w:pPr>
      <w:r>
        <w:t xml:space="preserve">Helm, Dieter, Cameron Hepburn y Richard Mash (2003).</w:t>
      </w:r>
      <w:r>
        <w:t xml:space="preserve"> </w:t>
      </w:r>
      <w:r>
        <w:t xml:space="preserve">«Credible Carbon Policy»</w:t>
      </w:r>
      <w:r>
        <w:t xml:space="preserve">.</w:t>
      </w:r>
      <w:r>
        <w:t xml:space="preserve"> </w:t>
      </w:r>
      <w:r>
        <w:rPr>
          <w:i/>
          <w:iCs/>
        </w:rPr>
        <w:t xml:space="preserve">Oxford Review of Economic Policy</w:t>
      </w:r>
      <w:r>
        <w:t xml:space="preserve"> </w:t>
      </w:r>
      <w:r>
        <w:t xml:space="preserve">19 (3): 438-50.</w:t>
      </w:r>
    </w:p>
    <w:bookmarkEnd w:id="268"/>
    <w:bookmarkStart w:id="269" w:name="ref_Hirshleifer1983Weakest"/>
    <w:p>
      <w:pPr>
        <w:pStyle w:val="Bibliography"/>
      </w:pPr>
      <w:r>
        <w:t xml:space="preserve">Hirshleifer, Jack (1983).</w:t>
      </w:r>
      <w:r>
        <w:t xml:space="preserve"> </w:t>
      </w:r>
      <w:r>
        <w:t xml:space="preserve">«From Weakest-Link to Best-Shot: The Voluntary Provision of Public Goods»</w:t>
      </w:r>
      <w:r>
        <w:t xml:space="preserve">.</w:t>
      </w:r>
      <w:r>
        <w:t xml:space="preserve"> </w:t>
      </w:r>
      <w:r>
        <w:rPr>
          <w:i/>
          <w:iCs/>
        </w:rPr>
        <w:t xml:space="preserve">Public Choice</w:t>
      </w:r>
      <w:r>
        <w:t xml:space="preserve"> </w:t>
      </w:r>
      <w:r>
        <w:t xml:space="preserve">41 (3): 371-86.</w:t>
      </w:r>
    </w:p>
    <w:bookmarkEnd w:id="269"/>
    <w:bookmarkStart w:id="271" w:name="ref_HMRC2025CBAM"/>
    <w:p>
      <w:pPr>
        <w:pStyle w:val="Bibliography"/>
      </w:pPr>
      <w:r>
        <w:t xml:space="preserve">HM Revenue &amp; Customs y HM Treasury (2025).</w:t>
      </w:r>
      <w:r>
        <w:t xml:space="preserve"> </w:t>
      </w:r>
      <w:r>
        <w:t xml:space="preserve">«Factsheet: Carbon Border Adjustment Mechanism (CBAM)»</w:t>
      </w:r>
      <w:r>
        <w:t xml:space="preserve">. 2025.</w:t>
      </w:r>
      <w:r>
        <w:t xml:space="preserve"> </w:t>
      </w:r>
      <w:hyperlink r:id="rId270">
        <w:r>
          <w:rPr>
            <w:rStyle w:val="Hyperlink"/>
          </w:rPr>
          <w:t xml:space="preserve">https://www.gov.uk/government/publications/factsheet-carbon-border-adjustment-mechanism-cbam/factsheet-carbon-border-adjustment-mechanism</w:t>
        </w:r>
      </w:hyperlink>
      <w:r>
        <w:t xml:space="preserve">.</w:t>
      </w:r>
    </w:p>
    <w:bookmarkEnd w:id="271"/>
    <w:bookmarkStart w:id="272" w:name="ref_Hope2006Marginal"/>
    <w:p>
      <w:pPr>
        <w:pStyle w:val="Bibliography"/>
      </w:pPr>
      <w:r>
        <w:t xml:space="preserve">Hope, Chris (2006).</w:t>
      </w:r>
      <w:r>
        <w:t xml:space="preserve"> </w:t>
      </w:r>
      <w:r>
        <w:t xml:space="preserve">«The Marginal Impact of</w:t>
      </w:r>
      <w:r>
        <w:t xml:space="preserve"> </w:t>
      </w:r>
      <w:r>
        <w:t xml:space="preserve">CO2</w:t>
      </w:r>
      <w:r>
        <w:t xml:space="preserve"> </w:t>
      </w:r>
      <w:r>
        <w:t xml:space="preserve">from</w:t>
      </w:r>
      <w:r>
        <w:t xml:space="preserve"> </w:t>
      </w:r>
      <w:r>
        <w:t xml:space="preserve">PAGE2002</w:t>
      </w:r>
      <w:r>
        <w:t xml:space="preserve">: An Integrated Assessment Model Incorporating the</w:t>
      </w:r>
      <w:r>
        <w:t xml:space="preserve"> </w:t>
      </w:r>
      <w:r>
        <w:t xml:space="preserve">IPCC</w:t>
      </w:r>
      <w:r>
        <w:t xml:space="preserve">’s Five Reasons for Concern»</w:t>
      </w:r>
      <w:r>
        <w:t xml:space="preserve">.</w:t>
      </w:r>
      <w:r>
        <w:t xml:space="preserve"> </w:t>
      </w:r>
      <w:r>
        <w:rPr>
          <w:i/>
          <w:iCs/>
        </w:rPr>
        <w:t xml:space="preserve">Integrated Assessment Journal</w:t>
      </w:r>
      <w:r>
        <w:t xml:space="preserve"> </w:t>
      </w:r>
      <w:r>
        <w:t xml:space="preserve">6 (1): 19-56.</w:t>
      </w:r>
    </w:p>
    <w:bookmarkEnd w:id="272"/>
    <w:bookmarkStart w:id="274" w:name="ref_Hotelling1931Economics"/>
    <w:p>
      <w:pPr>
        <w:pStyle w:val="Bibliography"/>
      </w:pPr>
      <w:r>
        <w:t xml:space="preserve">Hotelling, Harold (1931).</w:t>
      </w:r>
      <w:r>
        <w:t xml:space="preserve"> </w:t>
      </w:r>
      <w:r>
        <w:t xml:space="preserve">«The Economics of Exhaustible Resources»</w:t>
      </w:r>
      <w:r>
        <w:t xml:space="preserve">.</w:t>
      </w:r>
      <w:r>
        <w:t xml:space="preserve"> </w:t>
      </w:r>
      <w:r>
        <w:rPr>
          <w:i/>
          <w:iCs/>
        </w:rPr>
        <w:t xml:space="preserve">Journal of Political Economy</w:t>
      </w:r>
      <w:r>
        <w:t xml:space="preserve"> </w:t>
      </w:r>
      <w:r>
        <w:t xml:space="preserve">39 (2): 137-75.</w:t>
      </w:r>
      <w:r>
        <w:t xml:space="preserve"> </w:t>
      </w:r>
      <w:hyperlink r:id="rId273">
        <w:r>
          <w:rPr>
            <w:rStyle w:val="Hyperlink"/>
          </w:rPr>
          <w:t xml:space="preserve">https://doi.org/10.1086/254195</w:t>
        </w:r>
      </w:hyperlink>
      <w:r>
        <w:t xml:space="preserve">.</w:t>
      </w:r>
    </w:p>
    <w:bookmarkEnd w:id="274"/>
    <w:bookmarkStart w:id="276" w:name="ref_HowardSterner2017Few"/>
    <w:p>
      <w:pPr>
        <w:pStyle w:val="Bibliography"/>
      </w:pPr>
      <w:r>
        <w:t xml:space="preserve">Howard, Peter H. y Thomas Sterner (2017).</w:t>
      </w:r>
      <w:r>
        <w:t xml:space="preserve"> </w:t>
      </w:r>
      <w:r>
        <w:t xml:space="preserve">«Few and Not So Far Between: A Meta-Analysis of Climate Damage Estimates»</w:t>
      </w:r>
      <w:r>
        <w:t xml:space="preserve">.</w:t>
      </w:r>
      <w:r>
        <w:t xml:space="preserve"> </w:t>
      </w:r>
      <w:r>
        <w:rPr>
          <w:i/>
          <w:iCs/>
        </w:rPr>
        <w:t xml:space="preserve">Environmental and Resource Economics</w:t>
      </w:r>
      <w:r>
        <w:t xml:space="preserve"> </w:t>
      </w:r>
      <w:r>
        <w:t xml:space="preserve">68 (1): 197-225.</w:t>
      </w:r>
      <w:r>
        <w:t xml:space="preserve"> </w:t>
      </w:r>
      <w:hyperlink r:id="rId275">
        <w:r>
          <w:rPr>
            <w:rStyle w:val="Hyperlink"/>
          </w:rPr>
          <w:t xml:space="preserve">https://doi.org/10.1007/s10640-017-0166-z</w:t>
        </w:r>
      </w:hyperlink>
      <w:r>
        <w:t xml:space="preserve">.</w:t>
      </w:r>
    </w:p>
    <w:bookmarkEnd w:id="276"/>
    <w:bookmarkStart w:id="278" w:name="ref_Hsiang2016Climate"/>
    <w:p>
      <w:pPr>
        <w:pStyle w:val="Bibliography"/>
      </w:pPr>
      <w:r>
        <w:t xml:space="preserve">Hsiang, Solomon (2016).</w:t>
      </w:r>
      <w:r>
        <w:t xml:space="preserve"> </w:t>
      </w:r>
      <w:r>
        <w:t xml:space="preserve">«Climate Econometrics»</w:t>
      </w:r>
      <w:r>
        <w:t xml:space="preserve">.</w:t>
      </w:r>
      <w:r>
        <w:t xml:space="preserve"> </w:t>
      </w:r>
      <w:r>
        <w:rPr>
          <w:i/>
          <w:iCs/>
        </w:rPr>
        <w:t xml:space="preserve">Annual Review of Resource Economics</w:t>
      </w:r>
      <w:r>
        <w:t xml:space="preserve"> </w:t>
      </w:r>
      <w:r>
        <w:t xml:space="preserve">8: 43-75.</w:t>
      </w:r>
      <w:r>
        <w:t xml:space="preserve"> </w:t>
      </w:r>
      <w:hyperlink r:id="rId277">
        <w:r>
          <w:rPr>
            <w:rStyle w:val="Hyperlink"/>
          </w:rPr>
          <w:t xml:space="preserve">https://doi.org/10.1146/annurev-resource-100815-095343</w:t>
        </w:r>
      </w:hyperlink>
      <w:r>
        <w:t xml:space="preserve">.</w:t>
      </w:r>
    </w:p>
    <w:bookmarkEnd w:id="278"/>
    <w:bookmarkStart w:id="280" w:name="ref_ICAP2025China"/>
    <w:p>
      <w:pPr>
        <w:pStyle w:val="Bibliography"/>
      </w:pPr>
      <w:r>
        <w:t xml:space="preserve">International Carbon Action Partnership (2025).</w:t>
      </w:r>
      <w:r>
        <w:t xml:space="preserve"> </w:t>
      </w:r>
      <w:r>
        <w:t xml:space="preserve">«China officially expands national ETS to cement, steel, and aluminum sectors»</w:t>
      </w:r>
      <w:r>
        <w:t xml:space="preserve">. 2025.</w:t>
      </w:r>
      <w:r>
        <w:t xml:space="preserve"> </w:t>
      </w:r>
      <w:hyperlink r:id="rId279">
        <w:r>
          <w:rPr>
            <w:rStyle w:val="Hyperlink"/>
          </w:rPr>
          <w:t xml:space="preserve">https://icapcarbonaction.com/en/news/china-officially-expands-national-ets-cement-steel-and-aluminum-sectors</w:t>
        </w:r>
      </w:hyperlink>
      <w:r>
        <w:t xml:space="preserve">.</w:t>
      </w:r>
    </w:p>
    <w:bookmarkEnd w:id="280"/>
    <w:bookmarkStart w:id="282" w:name="ref_IPCC2021SPM"/>
    <w:p>
      <w:pPr>
        <w:pStyle w:val="Bibliography"/>
      </w:pPr>
      <w:r>
        <w:t xml:space="preserve">IPCC (2021).</w:t>
      </w:r>
      <w:r>
        <w:t xml:space="preserve"> </w:t>
      </w:r>
      <w:r>
        <w:t xml:space="preserve">«Summary for Policymakers»</w:t>
      </w:r>
      <w:r>
        <w:t xml:space="preserve">. En</w:t>
      </w:r>
      <w:r>
        <w:t xml:space="preserve"> </w:t>
      </w:r>
      <w:r>
        <w:rPr>
          <w:i/>
          <w:iCs/>
        </w:rPr>
        <w:t xml:space="preserve">Climate Change 2021: The Physical Science Basis. Contribution of Working Group I to the Sixth Assessment Report of the Intergovernmental Panel on Climate Change</w:t>
      </w:r>
      <w:r>
        <w:t xml:space="preserve">, editado por Valérie Masson-Delmotte et al., 3-32. Cambridge: Cambridge University Press.</w:t>
      </w:r>
      <w:r>
        <w:t xml:space="preserve"> </w:t>
      </w:r>
      <w:hyperlink r:id="rId281">
        <w:r>
          <w:rPr>
            <w:rStyle w:val="Hyperlink"/>
          </w:rPr>
          <w:t xml:space="preserve">https://doi.org/10.1017/9781009157896.001</w:t>
        </w:r>
      </w:hyperlink>
      <w:r>
        <w:t xml:space="preserve">.</w:t>
      </w:r>
    </w:p>
    <w:bookmarkEnd w:id="282"/>
    <w:bookmarkStart w:id="284" w:name="ref_IPCC2023SYR"/>
    <w:p>
      <w:pPr>
        <w:pStyle w:val="Bibliography"/>
      </w:pPr>
      <w:r>
        <w:t xml:space="preserve">IPCC (2023).</w:t>
      </w:r>
      <w:r>
        <w:t xml:space="preserve"> </w:t>
      </w:r>
      <w:r>
        <w:rPr>
          <w:i/>
          <w:iCs/>
        </w:rPr>
        <w:t xml:space="preserve">Climate Change 2023: Synthesis Report. Contribution of Working Groups I, II and III to the Sixth Assessment Report of the Intergovernmental Panel on Climate Change</w:t>
      </w:r>
      <w:r>
        <w:t xml:space="preserve">. Editado por Core Writing Team, Hoesung Lee y José Romero. Ginebra: IPCC.</w:t>
      </w:r>
      <w:r>
        <w:t xml:space="preserve"> </w:t>
      </w:r>
      <w:hyperlink r:id="rId283">
        <w:r>
          <w:rPr>
            <w:rStyle w:val="Hyperlink"/>
          </w:rPr>
          <w:t xml:space="preserve">https://doi.org/10.59327/IPCC/AR6-9789291691647</w:t>
        </w:r>
      </w:hyperlink>
      <w:r>
        <w:t xml:space="preserve">.</w:t>
      </w:r>
    </w:p>
    <w:bookmarkEnd w:id="284"/>
    <w:bookmarkStart w:id="286" w:name="ref_BOE2021Ley7"/>
    <w:p>
      <w:pPr>
        <w:pStyle w:val="Bibliography"/>
      </w:pPr>
      <w:r>
        <w:t xml:space="preserve">Jefatura del Estado (2021).</w:t>
      </w:r>
      <w:r>
        <w:t xml:space="preserve"> </w:t>
      </w:r>
      <w:r>
        <w:t xml:space="preserve">«Ley 7/2021, de 20 de mayo, de cambio climático y transición energética»</w:t>
      </w:r>
      <w:r>
        <w:t xml:space="preserve">. 2021.</w:t>
      </w:r>
      <w:r>
        <w:t xml:space="preserve"> </w:t>
      </w:r>
      <w:hyperlink r:id="rId285">
        <w:r>
          <w:rPr>
            <w:rStyle w:val="Hyperlink"/>
          </w:rPr>
          <w:t xml:space="preserve">https://www.boe.es/buscar/act.php?id=BOE-A-2021-8447</w:t>
        </w:r>
      </w:hyperlink>
      <w:r>
        <w:t xml:space="preserve">.</w:t>
      </w:r>
    </w:p>
    <w:bookmarkEnd w:id="286"/>
    <w:bookmarkStart w:id="287" w:name="ref_Jevons1865Coal"/>
    <w:p>
      <w:pPr>
        <w:pStyle w:val="Bibliography"/>
      </w:pPr>
      <w:r>
        <w:t xml:space="preserve">Jevons, William Stanley (1865).</w:t>
      </w:r>
      <w:r>
        <w:t xml:space="preserve"> </w:t>
      </w:r>
      <w:r>
        <w:rPr>
          <w:i/>
          <w:iCs/>
        </w:rPr>
        <w:t xml:space="preserve">The Coal Question</w:t>
      </w:r>
      <w:r>
        <w:t xml:space="preserve">. Londres: Macmillan.</w:t>
      </w:r>
    </w:p>
    <w:bookmarkEnd w:id="287"/>
    <w:bookmarkStart w:id="288" w:name="ref_Kindleberger1986International"/>
    <w:p>
      <w:pPr>
        <w:pStyle w:val="Bibliography"/>
      </w:pPr>
      <w:r>
        <w:t xml:space="preserve">Kindleberger, Charles P. (1986).</w:t>
      </w:r>
      <w:r>
        <w:t xml:space="preserve"> </w:t>
      </w:r>
      <w:r>
        <w:t xml:space="preserve">«International Public Goods without International Government»</w:t>
      </w:r>
      <w:r>
        <w:t xml:space="preserve">.</w:t>
      </w:r>
      <w:r>
        <w:t xml:space="preserve"> </w:t>
      </w:r>
      <w:r>
        <w:rPr>
          <w:i/>
          <w:iCs/>
        </w:rPr>
        <w:t xml:space="preserve">American Economic Review</w:t>
      </w:r>
      <w:r>
        <w:t xml:space="preserve"> </w:t>
      </w:r>
      <w:r>
        <w:t xml:space="preserve">76 (1): 1-13.</w:t>
      </w:r>
    </w:p>
    <w:bookmarkEnd w:id="288"/>
    <w:bookmarkStart w:id="290" w:name="ref_Kotz2024Economic"/>
    <w:p>
      <w:pPr>
        <w:pStyle w:val="Bibliography"/>
      </w:pPr>
      <w:r>
        <w:t xml:space="preserve">Kotz, Maximilian, Anders Levermann y Leonie Wenz (2024).</w:t>
      </w:r>
      <w:r>
        <w:t xml:space="preserve"> </w:t>
      </w:r>
      <w:r>
        <w:t xml:space="preserve">«The Economic Commitment of Climate Change»</w:t>
      </w:r>
      <w:r>
        <w:t xml:space="preserve">.</w:t>
      </w:r>
      <w:r>
        <w:t xml:space="preserve"> </w:t>
      </w:r>
      <w:r>
        <w:rPr>
          <w:i/>
          <w:iCs/>
        </w:rPr>
        <w:t xml:space="preserve">Nature</w:t>
      </w:r>
      <w:r>
        <w:t xml:space="preserve"> </w:t>
      </w:r>
      <w:r>
        <w:t xml:space="preserve">628 (8008): 551-57.</w:t>
      </w:r>
      <w:r>
        <w:t xml:space="preserve"> </w:t>
      </w:r>
      <w:hyperlink r:id="rId289">
        <w:r>
          <w:rPr>
            <w:rStyle w:val="Hyperlink"/>
          </w:rPr>
          <w:t xml:space="preserve">https://doi.org/10.1038/s41586-024-07219-0</w:t>
        </w:r>
      </w:hyperlink>
      <w:r>
        <w:t xml:space="preserve">.</w:t>
      </w:r>
    </w:p>
    <w:bookmarkEnd w:id="290"/>
    <w:bookmarkStart w:id="292" w:name="ref_Nature2025RetraccionKotz"/>
    <w:p>
      <w:pPr>
        <w:pStyle w:val="Bibliography"/>
      </w:pPr>
      <w:r>
        <w:t xml:space="preserve">Kotz, Maximilian, Anders Levermann y Leonie Wenz (2025).</w:t>
      </w:r>
      <w:r>
        <w:t xml:space="preserve"> </w:t>
      </w:r>
      <w:r>
        <w:t xml:space="preserve">«Retraction Note: The Economic Commitment of Climate Change»</w:t>
      </w:r>
      <w:r>
        <w:t xml:space="preserve">.</w:t>
      </w:r>
      <w:r>
        <w:t xml:space="preserve"> </w:t>
      </w:r>
      <w:r>
        <w:rPr>
          <w:i/>
          <w:iCs/>
        </w:rPr>
        <w:t xml:space="preserve">Nature</w:t>
      </w:r>
      <w:r>
        <w:t xml:space="preserve"> </w:t>
      </w:r>
      <w:r>
        <w:t xml:space="preserve">648 (diciembre): 764.</w:t>
      </w:r>
      <w:r>
        <w:t xml:space="preserve"> </w:t>
      </w:r>
      <w:hyperlink r:id="rId291">
        <w:r>
          <w:rPr>
            <w:rStyle w:val="Hyperlink"/>
          </w:rPr>
          <w:t xml:space="preserve">https://doi.org/10.1038/s41586-025-09726-0</w:t>
        </w:r>
      </w:hyperlink>
      <w:r>
        <w:t xml:space="preserve">.</w:t>
      </w:r>
    </w:p>
    <w:bookmarkEnd w:id="292"/>
    <w:bookmarkStart w:id="294" w:name="ref_Lenton2025GTPR"/>
    <w:p>
      <w:pPr>
        <w:pStyle w:val="Bibliography"/>
      </w:pPr>
      <w:r>
        <w:t xml:space="preserve">Lenton, Timothy M. et al. (2025).</w:t>
      </w:r>
      <w:r>
        <w:t xml:space="preserve"> </w:t>
      </w:r>
      <w:r>
        <w:t xml:space="preserve">«The Global Tipping Points Report 2025»</w:t>
      </w:r>
      <w:r>
        <w:t xml:space="preserve">. Exeter: University of Exeter. 13 de octubre de 2025.</w:t>
      </w:r>
      <w:r>
        <w:t xml:space="preserve"> </w:t>
      </w:r>
      <w:hyperlink r:id="rId293">
        <w:r>
          <w:rPr>
            <w:rStyle w:val="Hyperlink"/>
          </w:rPr>
          <w:t xml:space="preserve">https://global-tipping-points.org/</w:t>
        </w:r>
      </w:hyperlink>
      <w:r>
        <w:t xml:space="preserve">.</w:t>
      </w:r>
    </w:p>
    <w:bookmarkEnd w:id="294"/>
    <w:bookmarkStart w:id="295" w:name="ref_Malthus1798Essay"/>
    <w:p>
      <w:pPr>
        <w:pStyle w:val="Bibliography"/>
      </w:pPr>
      <w:r>
        <w:t xml:space="preserve">Malthus, Thomas Robert (1798).</w:t>
      </w:r>
      <w:r>
        <w:t xml:space="preserve"> </w:t>
      </w:r>
      <w:r>
        <w:rPr>
          <w:i/>
          <w:iCs/>
        </w:rPr>
        <w:t xml:space="preserve">An Essay on the Principle of Population</w:t>
      </w:r>
      <w:r>
        <w:t xml:space="preserve">. Londres: J. Johnson.</w:t>
      </w:r>
    </w:p>
    <w:bookmarkEnd w:id="295"/>
    <w:bookmarkStart w:id="297" w:name="ref_MayerBrown2026CBAM"/>
    <w:p>
      <w:pPr>
        <w:pStyle w:val="Bibliography"/>
      </w:pPr>
      <w:r>
        <w:t xml:space="preserve">Mayer Brown (2026).</w:t>
      </w:r>
      <w:r>
        <w:t xml:space="preserve"> </w:t>
      </w:r>
      <w:r>
        <w:t xml:space="preserve">«EU’s CBAM Downstream Extension and Anti-Circumvention Amendments: The Road to Trilogue»</w:t>
      </w:r>
      <w:r>
        <w:t xml:space="preserve">. 7 de octubre de 2026.</w:t>
      </w:r>
      <w:r>
        <w:t xml:space="preserve"> </w:t>
      </w:r>
      <w:hyperlink r:id="rId296">
        <w:r>
          <w:rPr>
            <w:rStyle w:val="Hyperlink"/>
          </w:rPr>
          <w:t xml:space="preserve">https://www.mayerbrown.com/es/insights/publications/2026/10/eus-cbam-downstream-extension-and-anti-circumvention-amendments-the-road-to-trilogue</w:t>
        </w:r>
      </w:hyperlink>
      <w:r>
        <w:t xml:space="preserve">.</w:t>
      </w:r>
    </w:p>
    <w:bookmarkEnd w:id="297"/>
    <w:bookmarkStart w:id="299" w:name="ref_McGladeEkins2015Geographical"/>
    <w:p>
      <w:pPr>
        <w:pStyle w:val="Bibliography"/>
      </w:pPr>
      <w:r>
        <w:t xml:space="preserve">McGlade, Christophe y Paul Ekins (2015).</w:t>
      </w:r>
      <w:r>
        <w:t xml:space="preserve"> </w:t>
      </w:r>
      <w:r>
        <w:t xml:space="preserve">«The Geographical Distribution of Fossil Fuels Unused When Limiting Global Warming to 2°</w:t>
      </w:r>
      <w:r>
        <w:t xml:space="preserve">C</w:t>
      </w:r>
      <w:r>
        <w:t xml:space="preserve">»</w:t>
      </w:r>
      <w:r>
        <w:t xml:space="preserve">.</w:t>
      </w:r>
      <w:r>
        <w:t xml:space="preserve"> </w:t>
      </w:r>
      <w:r>
        <w:rPr>
          <w:i/>
          <w:iCs/>
        </w:rPr>
        <w:t xml:space="preserve">Nature</w:t>
      </w:r>
      <w:r>
        <w:t xml:space="preserve"> </w:t>
      </w:r>
      <w:r>
        <w:t xml:space="preserve">517 (7533): 187-90.</w:t>
      </w:r>
      <w:r>
        <w:t xml:space="preserve"> </w:t>
      </w:r>
      <w:hyperlink r:id="rId298">
        <w:r>
          <w:rPr>
            <w:rStyle w:val="Hyperlink"/>
          </w:rPr>
          <w:t xml:space="preserve">https://doi.org/10.1038/nature14016</w:t>
        </w:r>
      </w:hyperlink>
      <w:r>
        <w:t xml:space="preserve">.</w:t>
      </w:r>
    </w:p>
    <w:bookmarkEnd w:id="299"/>
    <w:bookmarkStart w:id="300" w:name="ref_Meadows1972Limits"/>
    <w:p>
      <w:pPr>
        <w:pStyle w:val="Bibliography"/>
      </w:pPr>
      <w:r>
        <w:t xml:space="preserve">Meadows, Donella H., Dennis L. Meadows, Jørgen Randers y William W. Behrens III (1972).</w:t>
      </w:r>
      <w:r>
        <w:t xml:space="preserve"> </w:t>
      </w:r>
      <w:r>
        <w:rPr>
          <w:i/>
          <w:iCs/>
        </w:rPr>
        <w:t xml:space="preserve">The Limits to Growth</w:t>
      </w:r>
      <w:r>
        <w:t xml:space="preserve">. Nueva York: Universe Books.</w:t>
      </w:r>
    </w:p>
    <w:bookmarkEnd w:id="300"/>
    <w:bookmarkStart w:id="302" w:name="ref_MITECO2020PNACC"/>
    <w:p>
      <w:pPr>
        <w:pStyle w:val="Bibliography"/>
      </w:pPr>
      <w:r>
        <w:t xml:space="preserve">Ministerio para la Transición Ecológica y el Reto Demográfico (2020).</w:t>
      </w:r>
      <w:r>
        <w:t xml:space="preserve"> </w:t>
      </w:r>
      <w:r>
        <w:t xml:space="preserve">«Plan Nacional de Adaptación al Cambio Climático 2021-2030»</w:t>
      </w:r>
      <w:r>
        <w:t xml:space="preserve">. Madrid. 2020.</w:t>
      </w:r>
      <w:r>
        <w:t xml:space="preserve"> </w:t>
      </w:r>
      <w:hyperlink r:id="rId301">
        <w:r>
          <w:rPr>
            <w:rStyle w:val="Hyperlink"/>
          </w:rPr>
          <w:t xml:space="preserve">https://www.miteco.gob.es/es/cambio-climatico/temas/impactos-vulnerabilidad-y-adaptacion/plan-nacional-adaptacion-cambio-climatico.html</w:t>
        </w:r>
      </w:hyperlink>
      <w:r>
        <w:t xml:space="preserve">.</w:t>
      </w:r>
    </w:p>
    <w:bookmarkEnd w:id="302"/>
    <w:bookmarkStart w:id="304" w:name="ref_MITECO2024PNIEC"/>
    <w:p>
      <w:pPr>
        <w:pStyle w:val="Bibliography"/>
      </w:pPr>
      <w:r>
        <w:t xml:space="preserve">Ministerio para la Transición Ecológica y el Reto Demográfico (2024).</w:t>
      </w:r>
      <w:r>
        <w:t xml:space="preserve"> </w:t>
      </w:r>
      <w:r>
        <w:t xml:space="preserve">«El Gobierno aprueba la actualización del Plan Nacional Integrado de Energía y Clima 2023-2030»</w:t>
      </w:r>
      <w:r>
        <w:t xml:space="preserve">. 24 de septiembre de 2024.</w:t>
      </w:r>
      <w:r>
        <w:t xml:space="preserve"> </w:t>
      </w:r>
      <w:hyperlink r:id="rId303">
        <w:r>
          <w:rPr>
            <w:rStyle w:val="Hyperlink"/>
          </w:rPr>
          <w:t xml:space="preserve">https://www.miteco.gob.es/es/prensa/ultimas-noticias/2024/septiembre/el-gobierno-aprueba-la-actualizacion-del-plan-nacional-integrado.html</w:t>
        </w:r>
      </w:hyperlink>
      <w:r>
        <w:t xml:space="preserve">.</w:t>
      </w:r>
    </w:p>
    <w:bookmarkEnd w:id="304"/>
    <w:bookmarkStart w:id="306" w:name="ref_Montgomery1972Markets"/>
    <w:p>
      <w:pPr>
        <w:pStyle w:val="Bibliography"/>
      </w:pPr>
      <w:r>
        <w:t xml:space="preserve">Montgomery, W. David (1972).</w:t>
      </w:r>
      <w:r>
        <w:t xml:space="preserve"> </w:t>
      </w:r>
      <w:r>
        <w:t xml:space="preserve">«Markets in Licenses and Efficient Pollution Control Programs»</w:t>
      </w:r>
      <w:r>
        <w:t xml:space="preserve">.</w:t>
      </w:r>
      <w:r>
        <w:t xml:space="preserve"> </w:t>
      </w:r>
      <w:r>
        <w:rPr>
          <w:i/>
          <w:iCs/>
        </w:rPr>
        <w:t xml:space="preserve">Journal of Economic Theory</w:t>
      </w:r>
      <w:r>
        <w:t xml:space="preserve"> </w:t>
      </w:r>
      <w:r>
        <w:t xml:space="preserve">5 (3): 395-418.</w:t>
      </w:r>
      <w:r>
        <w:t xml:space="preserve"> </w:t>
      </w:r>
      <w:hyperlink r:id="rId305">
        <w:r>
          <w:rPr>
            <w:rStyle w:val="Hyperlink"/>
          </w:rPr>
          <w:t xml:space="preserve">https://doi.org/10.1016/0022-0531(72)90049-X</w:t>
        </w:r>
      </w:hyperlink>
      <w:r>
        <w:t xml:space="preserve">.</w:t>
      </w:r>
    </w:p>
    <w:bookmarkEnd w:id="306"/>
    <w:bookmarkStart w:id="308" w:name="ref_CMNUCC1992Convencion"/>
    <w:p>
      <w:pPr>
        <w:pStyle w:val="Bibliography"/>
      </w:pPr>
      <w:r>
        <w:t xml:space="preserve">Naciones Unidas (1992).</w:t>
      </w:r>
      <w:r>
        <w:t xml:space="preserve"> </w:t>
      </w:r>
      <w:r>
        <w:t xml:space="preserve">«Convención Marco de las Naciones Unidas sobre el Cambio Climático»</w:t>
      </w:r>
      <w:r>
        <w:t xml:space="preserve">. Nueva York. 9 de mayo de 1992.</w:t>
      </w:r>
      <w:r>
        <w:t xml:space="preserve"> </w:t>
      </w:r>
      <w:hyperlink r:id="rId307">
        <w:r>
          <w:rPr>
            <w:rStyle w:val="Hyperlink"/>
          </w:rPr>
          <w:t xml:space="preserve">https://unfccc.int/resource/docs/convkp/convsp.pdf</w:t>
        </w:r>
      </w:hyperlink>
      <w:r>
        <w:t xml:space="preserve">.</w:t>
      </w:r>
    </w:p>
    <w:bookmarkEnd w:id="308"/>
    <w:bookmarkStart w:id="310" w:name="ref_CMNUCC2015Paris"/>
    <w:p>
      <w:pPr>
        <w:pStyle w:val="Bibliography"/>
      </w:pPr>
      <w:r>
        <w:t xml:space="preserve">Naciones Unidas (2015).</w:t>
      </w:r>
      <w:r>
        <w:t xml:space="preserve"> </w:t>
      </w:r>
      <w:r>
        <w:t xml:space="preserve">«Acuerdo de París»</w:t>
      </w:r>
      <w:r>
        <w:t xml:space="preserve">. París. 12 de diciembre de 2015.</w:t>
      </w:r>
      <w:r>
        <w:t xml:space="preserve"> </w:t>
      </w:r>
      <w:hyperlink r:id="rId309">
        <w:r>
          <w:rPr>
            <w:rStyle w:val="Hyperlink"/>
          </w:rPr>
          <w:t xml:space="preserve">https://unfccc.int/sites/default/files/spanish_paris_agreement.pdf</w:t>
        </w:r>
      </w:hyperlink>
      <w:r>
        <w:t xml:space="preserve">.</w:t>
      </w:r>
    </w:p>
    <w:bookmarkEnd w:id="310"/>
    <w:bookmarkStart w:id="312" w:name="ref_ONU1997Kioto"/>
    <w:p>
      <w:pPr>
        <w:pStyle w:val="Bibliography"/>
      </w:pPr>
      <w:r>
        <w:t xml:space="preserve">Naciones Unidas, Colección de Tratados (2026a).</w:t>
      </w:r>
      <w:r>
        <w:t xml:space="preserve"> </w:t>
      </w:r>
      <w:r>
        <w:t xml:space="preserve">«Kyoto Protocol to the United Nations Framework Convention on Climate Change, Kyoto, 11 December 1997: Status»</w:t>
      </w:r>
      <w:r>
        <w:t xml:space="preserve">. 2026.</w:t>
      </w:r>
      <w:r>
        <w:t xml:space="preserve"> </w:t>
      </w:r>
      <w:hyperlink r:id="rId311">
        <w:r>
          <w:rPr>
            <w:rStyle w:val="Hyperlink"/>
          </w:rPr>
          <w:t xml:space="preserve">https://treaties.un.org/Pages/ViewDetails.aspx?src=TREATY&amp;mtdsg_no=XXVII-7-a&amp;chapter=27&amp;clang=_en</w:t>
        </w:r>
      </w:hyperlink>
      <w:r>
        <w:t xml:space="preserve">.</w:t>
      </w:r>
    </w:p>
    <w:bookmarkEnd w:id="312"/>
    <w:bookmarkStart w:id="314" w:name="ref_ONU1987Montreal"/>
    <w:p>
      <w:pPr>
        <w:pStyle w:val="Bibliography"/>
      </w:pPr>
      <w:r>
        <w:t xml:space="preserve">Naciones Unidas, Colección de Tratados (2026b).</w:t>
      </w:r>
      <w:r>
        <w:t xml:space="preserve"> </w:t>
      </w:r>
      <w:r>
        <w:t xml:space="preserve">«Montreal Protocol on Substances that Deplete the Ozone Layer, Montreal, 16 September 1987: Status»</w:t>
      </w:r>
      <w:r>
        <w:t xml:space="preserve">. 2026.</w:t>
      </w:r>
      <w:r>
        <w:t xml:space="preserve"> </w:t>
      </w:r>
      <w:hyperlink r:id="rId313">
        <w:r>
          <w:rPr>
            <w:rStyle w:val="Hyperlink"/>
          </w:rPr>
          <w:t xml:space="preserve">https://treaties.un.org/Pages/ViewDetails.aspx?src=TREATY&amp;mtdsg_no=XXVII-2-a&amp;chapter=27&amp;clang=_en</w:t>
        </w:r>
      </w:hyperlink>
      <w:r>
        <w:t xml:space="preserve">.</w:t>
      </w:r>
    </w:p>
    <w:bookmarkEnd w:id="314"/>
    <w:bookmarkStart w:id="316" w:name="ref_ONU2026Paris"/>
    <w:p>
      <w:pPr>
        <w:pStyle w:val="Bibliography"/>
      </w:pPr>
      <w:r>
        <w:t xml:space="preserve">Naciones Unidas, Colección de Tratados (2026c).</w:t>
      </w:r>
      <w:r>
        <w:t xml:space="preserve"> </w:t>
      </w:r>
      <w:r>
        <w:t xml:space="preserve">«Paris Agreement, Paris, 12 December 2015: Status»</w:t>
      </w:r>
      <w:r>
        <w:t xml:space="preserve">. 2026.</w:t>
      </w:r>
      <w:r>
        <w:t xml:space="preserve"> </w:t>
      </w:r>
      <w:hyperlink r:id="rId315">
        <w:r>
          <w:rPr>
            <w:rStyle w:val="Hyperlink"/>
          </w:rPr>
          <w:t xml:space="preserve">https://treaties.un.org/Pages/ViewDetails.aspx?src=TREATY&amp;mtdsg_no=XXVII-7-d&amp;chapter=27&amp;clang=_en</w:t>
        </w:r>
      </w:hyperlink>
      <w:r>
        <w:t xml:space="preserve">.</w:t>
      </w:r>
    </w:p>
    <w:bookmarkEnd w:id="316"/>
    <w:bookmarkStart w:id="318" w:name="ref_ONU2026CMNUCC"/>
    <w:p>
      <w:pPr>
        <w:pStyle w:val="Bibliography"/>
      </w:pPr>
      <w:r>
        <w:t xml:space="preserve">Naciones Unidas, Colección de Tratados (2026d).</w:t>
      </w:r>
      <w:r>
        <w:t xml:space="preserve"> </w:t>
      </w:r>
      <w:r>
        <w:t xml:space="preserve">«United Nations Framework Convention on Climate Change, New York, 9 May 1992: Status»</w:t>
      </w:r>
      <w:r>
        <w:t xml:space="preserve">. 2026.</w:t>
      </w:r>
      <w:r>
        <w:t xml:space="preserve"> </w:t>
      </w:r>
      <w:hyperlink r:id="rId317">
        <w:r>
          <w:rPr>
            <w:rStyle w:val="Hyperlink"/>
          </w:rPr>
          <w:t xml:space="preserve">https://treaties.un.org/Pages/ViewDetails.aspx?src=TREATY&amp;mtdsg_no=XXVII-7&amp;chapter=27&amp;clang=_en</w:t>
        </w:r>
      </w:hyperlink>
      <w:r>
        <w:t xml:space="preserve">.</w:t>
      </w:r>
    </w:p>
    <w:bookmarkEnd w:id="318"/>
    <w:bookmarkStart w:id="320" w:name="ref_NOAA2026CO2"/>
    <w:p>
      <w:pPr>
        <w:pStyle w:val="Bibliography"/>
      </w:pPr>
      <w:r>
        <w:t xml:space="preserve">National Oceanic and Atmospheric Administration, Global Monitoring Laboratory (2026).</w:t>
      </w:r>
      <w:r>
        <w:t xml:space="preserve"> </w:t>
      </w:r>
      <w:r>
        <w:t xml:space="preserve">«Trends in Atmospheric Carbon Dioxide»</w:t>
      </w:r>
      <w:r>
        <w:t xml:space="preserve">. 2026.</w:t>
      </w:r>
      <w:r>
        <w:t xml:space="preserve"> </w:t>
      </w:r>
      <w:hyperlink r:id="rId319">
        <w:r>
          <w:rPr>
            <w:rStyle w:val="Hyperlink"/>
          </w:rPr>
          <w:t xml:space="preserve">https://gml.noaa.gov/ccgg/trends/</w:t>
        </w:r>
      </w:hyperlink>
      <w:r>
        <w:t xml:space="preserve">.</w:t>
      </w:r>
    </w:p>
    <w:bookmarkEnd w:id="320"/>
    <w:bookmarkStart w:id="322" w:name="ref_NGFS2019Call"/>
    <w:p>
      <w:pPr>
        <w:pStyle w:val="Bibliography"/>
      </w:pPr>
      <w:r>
        <w:t xml:space="preserve">Network for Greening the Financial System (2019).</w:t>
      </w:r>
      <w:r>
        <w:t xml:space="preserve"> </w:t>
      </w:r>
      <w:r>
        <w:t xml:space="preserve">«A Call for Action: Climate Change as a Source of Financial Risk»</w:t>
      </w:r>
      <w:r>
        <w:t xml:space="preserve">. 2019.</w:t>
      </w:r>
      <w:r>
        <w:t xml:space="preserve"> </w:t>
      </w:r>
      <w:hyperlink r:id="rId321">
        <w:r>
          <w:rPr>
            <w:rStyle w:val="Hyperlink"/>
          </w:rPr>
          <w:t xml:space="preserve">https://www.ngfs.net/en/first-comprehensive-report-call-action</w:t>
        </w:r>
      </w:hyperlink>
      <w:r>
        <w:t xml:space="preserve">.</w:t>
      </w:r>
    </w:p>
    <w:bookmarkEnd w:id="322"/>
    <w:bookmarkStart w:id="324" w:name="ref_Nordhaus2015Climate"/>
    <w:p>
      <w:pPr>
        <w:pStyle w:val="Bibliography"/>
      </w:pPr>
      <w:r>
        <w:t xml:space="preserve">Nordhaus, William (2015).</w:t>
      </w:r>
      <w:r>
        <w:t xml:space="preserve"> </w:t>
      </w:r>
      <w:r>
        <w:t xml:space="preserve">«Climate Clubs: Overcoming Free-Riding in International Climate Policy»</w:t>
      </w:r>
      <w:r>
        <w:t xml:space="preserve">.</w:t>
      </w:r>
      <w:r>
        <w:t xml:space="preserve"> </w:t>
      </w:r>
      <w:r>
        <w:rPr>
          <w:i/>
          <w:iCs/>
        </w:rPr>
        <w:t xml:space="preserve">American Economic Review</w:t>
      </w:r>
      <w:r>
        <w:t xml:space="preserve"> </w:t>
      </w:r>
      <w:r>
        <w:t xml:space="preserve">105 (4): 1339-70.</w:t>
      </w:r>
      <w:r>
        <w:t xml:space="preserve"> </w:t>
      </w:r>
      <w:hyperlink r:id="rId323">
        <w:r>
          <w:rPr>
            <w:rStyle w:val="Hyperlink"/>
          </w:rPr>
          <w:t xml:space="preserve">https://doi.org/10.1257/aer.15000001</w:t>
        </w:r>
      </w:hyperlink>
      <w:r>
        <w:t xml:space="preserve">.</w:t>
      </w:r>
    </w:p>
    <w:bookmarkEnd w:id="324"/>
    <w:bookmarkStart w:id="326" w:name="ref_Nordhaus2019Climate"/>
    <w:p>
      <w:pPr>
        <w:pStyle w:val="Bibliography"/>
      </w:pPr>
      <w:r>
        <w:t xml:space="preserve">Nordhaus, William (2019).</w:t>
      </w:r>
      <w:r>
        <w:t xml:space="preserve"> </w:t>
      </w:r>
      <w:r>
        <w:t xml:space="preserve">«Climate Change: The Ultimate Challenge for Economics»</w:t>
      </w:r>
      <w:r>
        <w:t xml:space="preserve">.</w:t>
      </w:r>
      <w:r>
        <w:t xml:space="preserve"> </w:t>
      </w:r>
      <w:r>
        <w:rPr>
          <w:i/>
          <w:iCs/>
        </w:rPr>
        <w:t xml:space="preserve">American Economic Review</w:t>
      </w:r>
      <w:r>
        <w:t xml:space="preserve"> </w:t>
      </w:r>
      <w:r>
        <w:t xml:space="preserve">109 (6): 1991-2014.</w:t>
      </w:r>
      <w:r>
        <w:t xml:space="preserve"> </w:t>
      </w:r>
      <w:hyperlink r:id="rId325">
        <w:r>
          <w:rPr>
            <w:rStyle w:val="Hyperlink"/>
          </w:rPr>
          <w:t xml:space="preserve">https://doi.org/10.1257/aer.109.6.1991</w:t>
        </w:r>
      </w:hyperlink>
      <w:r>
        <w:t xml:space="preserve">.</w:t>
      </w:r>
    </w:p>
    <w:bookmarkEnd w:id="326"/>
    <w:bookmarkStart w:id="328" w:name="ref_Nordhaus1992Optimal"/>
    <w:p>
      <w:pPr>
        <w:pStyle w:val="Bibliography"/>
      </w:pPr>
      <w:r>
        <w:t xml:space="preserve">Nordhaus, William D. (1992).</w:t>
      </w:r>
      <w:r>
        <w:t xml:space="preserve"> </w:t>
      </w:r>
      <w:r>
        <w:t xml:space="preserve">«An Optimal Transition Path for Controlling Greenhouse Gases»</w:t>
      </w:r>
      <w:r>
        <w:t xml:space="preserve">.</w:t>
      </w:r>
      <w:r>
        <w:t xml:space="preserve"> </w:t>
      </w:r>
      <w:r>
        <w:rPr>
          <w:i/>
          <w:iCs/>
        </w:rPr>
        <w:t xml:space="preserve">Science</w:t>
      </w:r>
      <w:r>
        <w:t xml:space="preserve"> </w:t>
      </w:r>
      <w:r>
        <w:t xml:space="preserve">258 (5086): 1315-19.</w:t>
      </w:r>
      <w:r>
        <w:t xml:space="preserve"> </w:t>
      </w:r>
      <w:hyperlink r:id="rId327">
        <w:r>
          <w:rPr>
            <w:rStyle w:val="Hyperlink"/>
          </w:rPr>
          <w:t xml:space="preserve">https://doi.org/10.1126/science.258.5086.1315</w:t>
        </w:r>
      </w:hyperlink>
      <w:r>
        <w:t xml:space="preserve">.</w:t>
      </w:r>
    </w:p>
    <w:bookmarkEnd w:id="328"/>
    <w:bookmarkStart w:id="329" w:name="ref_Nordhaus2002Modeling"/>
    <w:p>
      <w:pPr>
        <w:pStyle w:val="Bibliography"/>
      </w:pPr>
      <w:r>
        <w:t xml:space="preserve">Nordhaus, William D. (2002).</w:t>
      </w:r>
      <w:r>
        <w:t xml:space="preserve"> </w:t>
      </w:r>
      <w:r>
        <w:t xml:space="preserve">«Modeling Induced Innovation in Climate-Change Policy»</w:t>
      </w:r>
      <w:r>
        <w:t xml:space="preserve">. En</w:t>
      </w:r>
      <w:r>
        <w:t xml:space="preserve"> </w:t>
      </w:r>
      <w:r>
        <w:rPr>
          <w:i/>
          <w:iCs/>
        </w:rPr>
        <w:t xml:space="preserve">Technological Change and the Environment</w:t>
      </w:r>
      <w:r>
        <w:t xml:space="preserve">, editado por Arnulf Grübler, Nebojša Nakićenović y William D. Nordhaus, 182-209. Washington, D.C.: Resources for the Future.</w:t>
      </w:r>
    </w:p>
    <w:bookmarkEnd w:id="329"/>
    <w:bookmarkStart w:id="331" w:name="ref_Nordhaus2006Geography"/>
    <w:p>
      <w:pPr>
        <w:pStyle w:val="Bibliography"/>
      </w:pPr>
      <w:r>
        <w:t xml:space="preserve">Nordhaus, William D. (2006).</w:t>
      </w:r>
      <w:r>
        <w:t xml:space="preserve"> </w:t>
      </w:r>
      <w:r>
        <w:t xml:space="preserve">«Geography and Macroeconomics: New Data and New Findings»</w:t>
      </w:r>
      <w:r>
        <w:t xml:space="preserve">.</w:t>
      </w:r>
      <w:r>
        <w:t xml:space="preserve"> </w:t>
      </w:r>
      <w:r>
        <w:rPr>
          <w:i/>
          <w:iCs/>
        </w:rPr>
        <w:t xml:space="preserve">Proceedings of the National Academy of Sciences</w:t>
      </w:r>
      <w:r>
        <w:t xml:space="preserve"> </w:t>
      </w:r>
      <w:r>
        <w:t xml:space="preserve">103 (10): 3510-17.</w:t>
      </w:r>
      <w:r>
        <w:t xml:space="preserve"> </w:t>
      </w:r>
      <w:hyperlink r:id="rId330">
        <w:r>
          <w:rPr>
            <w:rStyle w:val="Hyperlink"/>
          </w:rPr>
          <w:t xml:space="preserve">https://doi.org/10.1073/pnas.0509842103</w:t>
        </w:r>
      </w:hyperlink>
      <w:r>
        <w:t xml:space="preserve">.</w:t>
      </w:r>
    </w:p>
    <w:bookmarkEnd w:id="331"/>
    <w:bookmarkStart w:id="332" w:name="ref_Nordhaus2007Review"/>
    <w:p>
      <w:pPr>
        <w:pStyle w:val="Bibliography"/>
      </w:pPr>
      <w:r>
        <w:t xml:space="preserve">Nordhaus, William D. (2007).</w:t>
      </w:r>
      <w:r>
        <w:t xml:space="preserve"> </w:t>
      </w:r>
      <w:r>
        <w:t xml:space="preserve">«A Review of the</w:t>
      </w:r>
      <w:r>
        <w:t xml:space="preserve"> </w:t>
      </w:r>
      <w:r>
        <w:t xml:space="preserve">Stern Review</w:t>
      </w:r>
      <w:r>
        <w:t xml:space="preserve"> </w:t>
      </w:r>
      <w:r>
        <w:t xml:space="preserve">on the Economics of Climate Change»</w:t>
      </w:r>
      <w:r>
        <w:t xml:space="preserve">.</w:t>
      </w:r>
      <w:r>
        <w:t xml:space="preserve"> </w:t>
      </w:r>
      <w:r>
        <w:rPr>
          <w:i/>
          <w:iCs/>
        </w:rPr>
        <w:t xml:space="preserve">Journal of Economic Literature</w:t>
      </w:r>
      <w:r>
        <w:t xml:space="preserve"> </w:t>
      </w:r>
      <w:r>
        <w:t xml:space="preserve">45 (3): 686-702.</w:t>
      </w:r>
    </w:p>
    <w:bookmarkEnd w:id="332"/>
    <w:bookmarkStart w:id="334" w:name="ref_Nordhaus2010Economics"/>
    <w:p>
      <w:pPr>
        <w:pStyle w:val="Bibliography"/>
      </w:pPr>
      <w:r>
        <w:t xml:space="preserve">Nordhaus, William D. (2010).</w:t>
      </w:r>
      <w:r>
        <w:t xml:space="preserve"> </w:t>
      </w:r>
      <w:r>
        <w:t xml:space="preserve">«The Economics of Hurricanes and Implications of Global Warming»</w:t>
      </w:r>
      <w:r>
        <w:t xml:space="preserve">.</w:t>
      </w:r>
      <w:r>
        <w:t xml:space="preserve"> </w:t>
      </w:r>
      <w:r>
        <w:rPr>
          <w:i/>
          <w:iCs/>
        </w:rPr>
        <w:t xml:space="preserve">Climate Change Economics</w:t>
      </w:r>
      <w:r>
        <w:t xml:space="preserve"> </w:t>
      </w:r>
      <w:r>
        <w:t xml:space="preserve">1 (1): 1-20.</w:t>
      </w:r>
      <w:r>
        <w:t xml:space="preserve"> </w:t>
      </w:r>
      <w:hyperlink r:id="rId333">
        <w:r>
          <w:rPr>
            <w:rStyle w:val="Hyperlink"/>
          </w:rPr>
          <w:t xml:space="preserve">https://doi.org/10.1142/S2010007810000054</w:t>
        </w:r>
      </w:hyperlink>
      <w:r>
        <w:t xml:space="preserve">.</w:t>
      </w:r>
    </w:p>
    <w:bookmarkEnd w:id="334"/>
    <w:bookmarkStart w:id="335" w:name="ref_Nordhaus2011Economics"/>
    <w:p>
      <w:pPr>
        <w:pStyle w:val="Bibliography"/>
      </w:pPr>
      <w:r>
        <w:t xml:space="preserve">Nordhaus, William D. (2011).</w:t>
      </w:r>
      <w:r>
        <w:t xml:space="preserve"> </w:t>
      </w:r>
      <w:r>
        <w:t xml:space="preserve">«The Economics of Tail Events with an Application to Climate Change»</w:t>
      </w:r>
      <w:r>
        <w:t xml:space="preserve">.</w:t>
      </w:r>
      <w:r>
        <w:t xml:space="preserve"> </w:t>
      </w:r>
      <w:r>
        <w:rPr>
          <w:i/>
          <w:iCs/>
        </w:rPr>
        <w:t xml:space="preserve">Review of Environmental Economics and Policy</w:t>
      </w:r>
      <w:r>
        <w:t xml:space="preserve"> </w:t>
      </w:r>
      <w:r>
        <w:t xml:space="preserve">5 (2): 240-57.</w:t>
      </w:r>
    </w:p>
    <w:bookmarkEnd w:id="335"/>
    <w:bookmarkStart w:id="336" w:name="ref_NordhausYang1996Regional"/>
    <w:p>
      <w:pPr>
        <w:pStyle w:val="Bibliography"/>
      </w:pPr>
      <w:r>
        <w:t xml:space="preserve">Nordhaus, William D. y Zili Yang (1996).</w:t>
      </w:r>
      <w:r>
        <w:t xml:space="preserve"> </w:t>
      </w:r>
      <w:r>
        <w:t xml:space="preserve">«A Regional Dynamic General-Equilibrium Model of Alternative Climate-Change Strategies»</w:t>
      </w:r>
      <w:r>
        <w:t xml:space="preserve">.</w:t>
      </w:r>
      <w:r>
        <w:t xml:space="preserve"> </w:t>
      </w:r>
      <w:r>
        <w:rPr>
          <w:i/>
          <w:iCs/>
        </w:rPr>
        <w:t xml:space="preserve">American Economic Review</w:t>
      </w:r>
      <w:r>
        <w:t xml:space="preserve"> </w:t>
      </w:r>
      <w:r>
        <w:t xml:space="preserve">86 (4): 741-65.</w:t>
      </w:r>
    </w:p>
    <w:bookmarkEnd w:id="336"/>
    <w:bookmarkStart w:id="338" w:name="ref_OCDE2024Financiacion"/>
    <w:p>
      <w:pPr>
        <w:pStyle w:val="Bibliography"/>
      </w:pPr>
      <w:r>
        <w:t xml:space="preserve">OCDE (2024).</w:t>
      </w:r>
      <w:r>
        <w:t xml:space="preserve"> </w:t>
      </w:r>
      <w:r>
        <w:t xml:space="preserve">«Developed countries materially surpassed their USD 100 billion climate finance commitment in 2022»</w:t>
      </w:r>
      <w:r>
        <w:t xml:space="preserve">. 29 de mayo de 2024.</w:t>
      </w:r>
      <w:r>
        <w:t xml:space="preserve"> </w:t>
      </w:r>
      <w:hyperlink r:id="rId337">
        <w:r>
          <w:rPr>
            <w:rStyle w:val="Hyperlink"/>
          </w:rPr>
          <w:t xml:space="preserve">https://www.oecd.org/en/about/news/press-releases/2024/05/developed-countries-materially-surpassed-their-usd-100-billion-climate-finance-commitment-in-2022-oecd.html</w:t>
        </w:r>
      </w:hyperlink>
      <w:r>
        <w:t xml:space="preserve">.</w:t>
      </w:r>
    </w:p>
    <w:bookmarkEnd w:id="338"/>
    <w:bookmarkStart w:id="340" w:name="ref_OMB2025M2527"/>
    <w:p>
      <w:pPr>
        <w:pStyle w:val="Bibliography"/>
      </w:pPr>
      <w:r>
        <w:t xml:space="preserve">Office of Management and Budget (2025).</w:t>
      </w:r>
      <w:r>
        <w:t xml:space="preserve"> </w:t>
      </w:r>
      <w:r>
        <w:t xml:space="preserve">«M-25-27: Guidance Implementing Section 6 of Executive Order 14154, Entitled «Unleashing American Energy»»</w:t>
      </w:r>
      <w:r>
        <w:t xml:space="preserve">. 5 de mayo de 2025.</w:t>
      </w:r>
      <w:r>
        <w:t xml:space="preserve"> </w:t>
      </w:r>
      <w:hyperlink r:id="rId339">
        <w:r>
          <w:rPr>
            <w:rStyle w:val="Hyperlink"/>
          </w:rPr>
          <w:t xml:space="preserve">https://www.whitehouse.gov/wp-content/uploads/2025/02/M-25-27-Guidance-Implementing-Section-6-of-Executive-Order-14154-Entitled-Unleashing-American-Energy.pdf</w:t>
        </w:r>
      </w:hyperlink>
      <w:r>
        <w:t xml:space="preserve">.</w:t>
      </w:r>
    </w:p>
    <w:bookmarkEnd w:id="340"/>
    <w:bookmarkStart w:id="342" w:name="ref_OMM2026BoletinGEI22"/>
    <w:p>
      <w:pPr>
        <w:pStyle w:val="Bibliography"/>
      </w:pPr>
      <w:r>
        <w:t xml:space="preserve">Organización Meteorológica Mundial (2026).</w:t>
      </w:r>
      <w:r>
        <w:t xml:space="preserve"> </w:t>
      </w:r>
      <w:r>
        <w:t xml:space="preserve">«Greenhouse gas levels once again reach record high. WMO Greenhouse Gas Bulletin n.º 22»</w:t>
      </w:r>
      <w:r>
        <w:t xml:space="preserve">. 27 de octubre de 2026.</w:t>
      </w:r>
      <w:r>
        <w:t xml:space="preserve"> </w:t>
      </w:r>
      <w:hyperlink r:id="rId341">
        <w:r>
          <w:rPr>
            <w:rStyle w:val="Hyperlink"/>
          </w:rPr>
          <w:t xml:space="preserve">https://wmo.int/news/media-centre/greenhouse-gas-levels-once-again-reach-record-high</w:t>
        </w:r>
      </w:hyperlink>
      <w:r>
        <w:t xml:space="preserve">.</w:t>
      </w:r>
    </w:p>
    <w:bookmarkEnd w:id="342"/>
    <w:bookmarkStart w:id="344" w:name="ref_UE2003Directiva87"/>
    <w:p>
      <w:pPr>
        <w:pStyle w:val="Bibliography"/>
      </w:pPr>
      <w:r>
        <w:t xml:space="preserve">Parlamento Europeo y Consejo de la Unión Europea (2003).</w:t>
      </w:r>
      <w:r>
        <w:t xml:space="preserve"> </w:t>
      </w:r>
      <w:r>
        <w:t xml:space="preserve">«Directiva 2003/87/CE, de 13 de octubre de 2003, por la que se establece un régimen para el comercio de derechos de emisión de gases de efecto invernadero en la Comunidad»</w:t>
      </w:r>
      <w:r>
        <w:t xml:space="preserve">. 2003.</w:t>
      </w:r>
      <w:r>
        <w:t xml:space="preserve"> </w:t>
      </w:r>
      <w:hyperlink r:id="rId343">
        <w:r>
          <w:rPr>
            <w:rStyle w:val="Hyperlink"/>
          </w:rPr>
          <w:t xml:space="preserve">http://data.europa.eu/eli/dir/2003/87/oj</w:t>
        </w:r>
      </w:hyperlink>
      <w:r>
        <w:t xml:space="preserve">.</w:t>
      </w:r>
    </w:p>
    <w:bookmarkEnd w:id="344"/>
    <w:bookmarkStart w:id="346" w:name="ref_UE2021Reglamento1119"/>
    <w:p>
      <w:pPr>
        <w:pStyle w:val="Bibliography"/>
      </w:pPr>
      <w:r>
        <w:t xml:space="preserve">Parlamento Europeo y Consejo de la Unión Europea (2021a).</w:t>
      </w:r>
      <w:r>
        <w:t xml:space="preserve"> </w:t>
      </w:r>
      <w:r>
        <w:t xml:space="preserve">«Reglamento (UE) 2021/1119, de 30 de junio de 2021, por el que se establece el marco para lograr la neutralidad climática (Legislación europea sobre el clima)»</w:t>
      </w:r>
      <w:r>
        <w:t xml:space="preserve">. 2021.</w:t>
      </w:r>
      <w:r>
        <w:t xml:space="preserve"> </w:t>
      </w:r>
      <w:hyperlink r:id="rId345">
        <w:r>
          <w:rPr>
            <w:rStyle w:val="Hyperlink"/>
          </w:rPr>
          <w:t xml:space="preserve">http://data.europa.eu/eli/reg/2021/1119/oj</w:t>
        </w:r>
      </w:hyperlink>
      <w:r>
        <w:t xml:space="preserve">.</w:t>
      </w:r>
    </w:p>
    <w:bookmarkEnd w:id="346"/>
    <w:bookmarkStart w:id="348" w:name="ref_UE2021Reglamento241"/>
    <w:p>
      <w:pPr>
        <w:pStyle w:val="Bibliography"/>
      </w:pPr>
      <w:r>
        <w:t xml:space="preserve">Parlamento Europeo y Consejo de la Unión Europea (2021b).</w:t>
      </w:r>
      <w:r>
        <w:t xml:space="preserve"> </w:t>
      </w:r>
      <w:r>
        <w:t xml:space="preserve">«Reglamento (UE) 2021/241, de 12 de febrero de 2021, por el que se establece el Mecanismo de Recuperación y Resiliencia»</w:t>
      </w:r>
      <w:r>
        <w:t xml:space="preserve">. 2021.</w:t>
      </w:r>
      <w:r>
        <w:t xml:space="preserve"> </w:t>
      </w:r>
      <w:hyperlink r:id="rId347">
        <w:r>
          <w:rPr>
            <w:rStyle w:val="Hyperlink"/>
          </w:rPr>
          <w:t xml:space="preserve">http://data.europa.eu/eli/reg/2021/241/oj</w:t>
        </w:r>
      </w:hyperlink>
      <w:r>
        <w:t xml:space="preserve">.</w:t>
      </w:r>
    </w:p>
    <w:bookmarkEnd w:id="348"/>
    <w:bookmarkStart w:id="350" w:name="ref_UE2023Directiva959"/>
    <w:p>
      <w:pPr>
        <w:pStyle w:val="Bibliography"/>
      </w:pPr>
      <w:r>
        <w:t xml:space="preserve">Parlamento Europeo y Consejo de la Unión Europea (2023a).</w:t>
      </w:r>
      <w:r>
        <w:t xml:space="preserve"> </w:t>
      </w:r>
      <w:r>
        <w:t xml:space="preserve">«Directiva (UE) 2023/959, de 10 de mayo de 2023, por la que se modifica la Directiva 2003/87/CE por la que se establece un régimen para el comercio de derechos de emisión de gases de efecto invernadero en la Unión»</w:t>
      </w:r>
      <w:r>
        <w:t xml:space="preserve">. 2023.</w:t>
      </w:r>
      <w:r>
        <w:t xml:space="preserve"> </w:t>
      </w:r>
      <w:hyperlink r:id="rId349">
        <w:r>
          <w:rPr>
            <w:rStyle w:val="Hyperlink"/>
          </w:rPr>
          <w:t xml:space="preserve">http://data.europa.eu/eli/dir/2023/959/oj</w:t>
        </w:r>
      </w:hyperlink>
      <w:r>
        <w:t xml:space="preserve">.</w:t>
      </w:r>
    </w:p>
    <w:bookmarkEnd w:id="350"/>
    <w:bookmarkStart w:id="352" w:name="ref_UE2023Reglamento955"/>
    <w:p>
      <w:pPr>
        <w:pStyle w:val="Bibliography"/>
      </w:pPr>
      <w:r>
        <w:t xml:space="preserve">Parlamento Europeo y Consejo de la Unión Europea (2023b).</w:t>
      </w:r>
      <w:r>
        <w:t xml:space="preserve"> </w:t>
      </w:r>
      <w:r>
        <w:t xml:space="preserve">«Reglamento (UE) 2023/955, de 10 de mayo de 2023, por el que se establece un Fondo Social para el Clima»</w:t>
      </w:r>
      <w:r>
        <w:t xml:space="preserve">. 2023.</w:t>
      </w:r>
      <w:r>
        <w:t xml:space="preserve"> </w:t>
      </w:r>
      <w:hyperlink r:id="rId351">
        <w:r>
          <w:rPr>
            <w:rStyle w:val="Hyperlink"/>
          </w:rPr>
          <w:t xml:space="preserve">http://data.europa.eu/eli/reg/2023/955/oj</w:t>
        </w:r>
      </w:hyperlink>
      <w:r>
        <w:t xml:space="preserve">.</w:t>
      </w:r>
    </w:p>
    <w:bookmarkEnd w:id="352"/>
    <w:bookmarkStart w:id="354" w:name="ref_UE2023Reglamento956"/>
    <w:p>
      <w:pPr>
        <w:pStyle w:val="Bibliography"/>
      </w:pPr>
      <w:r>
        <w:t xml:space="preserve">Parlamento Europeo y Consejo de la Unión Europea (2023c).</w:t>
      </w:r>
      <w:r>
        <w:t xml:space="preserve"> </w:t>
      </w:r>
      <w:r>
        <w:t xml:space="preserve">«Reglamento (UE) 2023/956, de 10 de mayo de 2023, por el que se establece un Mecanismo de Ajuste en Frontera por Carbono»</w:t>
      </w:r>
      <w:r>
        <w:t xml:space="preserve">. 2023.</w:t>
      </w:r>
      <w:r>
        <w:t xml:space="preserve"> </w:t>
      </w:r>
      <w:hyperlink r:id="rId353">
        <w:r>
          <w:rPr>
            <w:rStyle w:val="Hyperlink"/>
          </w:rPr>
          <w:t xml:space="preserve">http://data.europa.eu/eli/reg/2023/956/oj</w:t>
        </w:r>
      </w:hyperlink>
      <w:r>
        <w:t xml:space="preserve">.</w:t>
      </w:r>
    </w:p>
    <w:bookmarkEnd w:id="354"/>
    <w:bookmarkStart w:id="356" w:name="ref_UE2025Reglamento2083"/>
    <w:p>
      <w:pPr>
        <w:pStyle w:val="Bibliography"/>
      </w:pPr>
      <w:r>
        <w:t xml:space="preserve">Parlamento Europeo y Consejo de la Unión Europea (2025).</w:t>
      </w:r>
      <w:r>
        <w:t xml:space="preserve"> </w:t>
      </w:r>
      <w:r>
        <w:t xml:space="preserve">«Reglamento (UE) 2025/2083, de 8 de octubre de 2025, por el que se modifica el Reglamento (UE) 2023/956 en lo que respecta a la simplificación y el refuerzo del Mecanismo de Ajuste en Frontera por Carbono»</w:t>
      </w:r>
      <w:r>
        <w:t xml:space="preserve">. 2025.</w:t>
      </w:r>
      <w:r>
        <w:t xml:space="preserve"> </w:t>
      </w:r>
      <w:hyperlink r:id="rId355">
        <w:r>
          <w:rPr>
            <w:rStyle w:val="Hyperlink"/>
          </w:rPr>
          <w:t xml:space="preserve">https://eur-lex.europa.eu/legal-content/EN/TXT/HTML/?uri=OJ:L_202502083</w:t>
        </w:r>
      </w:hyperlink>
      <w:r>
        <w:t xml:space="preserve">.</w:t>
      </w:r>
    </w:p>
    <w:bookmarkEnd w:id="356"/>
    <w:bookmarkStart w:id="358" w:name="ref_UE2026Reglamento667"/>
    <w:p>
      <w:pPr>
        <w:pStyle w:val="Bibliography"/>
      </w:pPr>
      <w:r>
        <w:t xml:space="preserve">Parlamento Europeo y Consejo de la Unión Europea (2026).</w:t>
      </w:r>
      <w:r>
        <w:t xml:space="preserve"> </w:t>
      </w:r>
      <w:r>
        <w:t xml:space="preserve">«Reglamento (UE) 2026/667, de 11 de marzo de 2026, por el que se modifica el Reglamento (UE) 2021/1119 en lo que respecta al establecimiento de un objetivo climático intermedio de la Unión para 2040»</w:t>
      </w:r>
      <w:r>
        <w:t xml:space="preserve">. 2026.</w:t>
      </w:r>
      <w:r>
        <w:t xml:space="preserve"> </w:t>
      </w:r>
      <w:hyperlink r:id="rId357">
        <w:r>
          <w:rPr>
            <w:rStyle w:val="Hyperlink"/>
          </w:rPr>
          <w:t xml:space="preserve">https://eur-lex.europa.eu/eli/reg/2026/667/oj</w:t>
        </w:r>
      </w:hyperlink>
      <w:r>
        <w:t xml:space="preserve">.</w:t>
      </w:r>
    </w:p>
    <w:bookmarkEnd w:id="358"/>
    <w:bookmarkStart w:id="360" w:name="ref_Pigou1920Economics"/>
    <w:p>
      <w:pPr>
        <w:pStyle w:val="Bibliography"/>
      </w:pPr>
      <w:r>
        <w:t xml:space="preserve">Pigou, Arthur Cecil (1920).</w:t>
      </w:r>
      <w:r>
        <w:t xml:space="preserve"> </w:t>
      </w:r>
      <w:r>
        <w:rPr>
          <w:i/>
          <w:iCs/>
        </w:rPr>
        <w:t xml:space="preserve">The Economics of Welfare</w:t>
      </w:r>
      <w:r>
        <w:t xml:space="preserve">. Londres: Macmillan.</w:t>
      </w:r>
      <w:r>
        <w:t xml:space="preserve"> </w:t>
      </w:r>
      <w:hyperlink r:id="rId359">
        <w:r>
          <w:rPr>
            <w:rStyle w:val="Hyperlink"/>
          </w:rPr>
          <w:t xml:space="preserve">https://www.econlib.org/library/NPDBooks/Pigou/pgEW.html</w:t>
        </w:r>
      </w:hyperlink>
      <w:r>
        <w:t xml:space="preserve">.</w:t>
      </w:r>
    </w:p>
    <w:bookmarkEnd w:id="360"/>
    <w:bookmarkStart w:id="362" w:name="ref_Pindyck2013Climate"/>
    <w:p>
      <w:pPr>
        <w:pStyle w:val="Bibliography"/>
      </w:pPr>
      <w:r>
        <w:t xml:space="preserve">Pindyck, Robert S. (2013).</w:t>
      </w:r>
      <w:r>
        <w:t xml:space="preserve"> </w:t>
      </w:r>
      <w:r>
        <w:t xml:space="preserve">«Climate Change Policy: What Do the Models Tell Us?»</w:t>
      </w:r>
      <w:r>
        <w:t xml:space="preserve"> </w:t>
      </w:r>
      <w:r>
        <w:rPr>
          <w:i/>
          <w:iCs/>
        </w:rPr>
        <w:t xml:space="preserve">Journal of Economic Literature</w:t>
      </w:r>
      <w:r>
        <w:t xml:space="preserve"> </w:t>
      </w:r>
      <w:r>
        <w:t xml:space="preserve">51 (3): 860-72.</w:t>
      </w:r>
      <w:r>
        <w:t xml:space="preserve"> </w:t>
      </w:r>
      <w:hyperlink r:id="rId361">
        <w:r>
          <w:rPr>
            <w:rStyle w:val="Hyperlink"/>
          </w:rPr>
          <w:t xml:space="preserve">https://doi.org/10.1257/jel.51.3.860</w:t>
        </w:r>
      </w:hyperlink>
      <w:r>
        <w:t xml:space="preserve">.</w:t>
      </w:r>
    </w:p>
    <w:bookmarkEnd w:id="362"/>
    <w:bookmarkStart w:id="363" w:name="ref_Pizer2002Combining"/>
    <w:p>
      <w:pPr>
        <w:pStyle w:val="Bibliography"/>
      </w:pPr>
      <w:r>
        <w:t xml:space="preserve">Pizer, William A. (2002).</w:t>
      </w:r>
      <w:r>
        <w:t xml:space="preserve"> </w:t>
      </w:r>
      <w:r>
        <w:t xml:space="preserve">«Combining Price and Quantity Controls to Mitigate Global Climate Change»</w:t>
      </w:r>
      <w:r>
        <w:t xml:space="preserve">.</w:t>
      </w:r>
      <w:r>
        <w:t xml:space="preserve"> </w:t>
      </w:r>
      <w:r>
        <w:rPr>
          <w:i/>
          <w:iCs/>
        </w:rPr>
        <w:t xml:space="preserve">Journal of Public Economics</w:t>
      </w:r>
      <w:r>
        <w:t xml:space="preserve"> </w:t>
      </w:r>
      <w:r>
        <w:t xml:space="preserve">85 (3): 409-34.</w:t>
      </w:r>
    </w:p>
    <w:bookmarkEnd w:id="363"/>
    <w:bookmarkStart w:id="364" w:name="ref_Popp2004ENTICE"/>
    <w:p>
      <w:pPr>
        <w:pStyle w:val="Bibliography"/>
      </w:pPr>
      <w:r>
        <w:t xml:space="preserve">Popp, David (2004).</w:t>
      </w:r>
      <w:r>
        <w:t xml:space="preserve"> </w:t>
      </w:r>
      <w:r>
        <w:t xml:space="preserve">«</w:t>
      </w:r>
      <w:r>
        <w:t xml:space="preserve">ENTICE</w:t>
      </w:r>
      <w:r>
        <w:t xml:space="preserve">: Endogenous Technological Change in the</w:t>
      </w:r>
      <w:r>
        <w:t xml:space="preserve"> </w:t>
      </w:r>
      <w:r>
        <w:t xml:space="preserve">DICE</w:t>
      </w:r>
      <w:r>
        <w:t xml:space="preserve"> </w:t>
      </w:r>
      <w:r>
        <w:t xml:space="preserve">Model of Global Warming»</w:t>
      </w:r>
      <w:r>
        <w:t xml:space="preserve">.</w:t>
      </w:r>
      <w:r>
        <w:t xml:space="preserve"> </w:t>
      </w:r>
      <w:r>
        <w:rPr>
          <w:i/>
          <w:iCs/>
        </w:rPr>
        <w:t xml:space="preserve">Journal of Environmental Economics and Management</w:t>
      </w:r>
      <w:r>
        <w:t xml:space="preserve"> </w:t>
      </w:r>
      <w:r>
        <w:t xml:space="preserve">48 (1): 742-68.</w:t>
      </w:r>
    </w:p>
    <w:bookmarkEnd w:id="364"/>
    <w:bookmarkStart w:id="365" w:name="ref_UNEP2025Emissions"/>
    <w:p>
      <w:pPr>
        <w:pStyle w:val="Bibliography"/>
      </w:pPr>
      <w:r>
        <w:t xml:space="preserve">Programa de las Naciones Unidas para el Medio Ambiente (2025).</w:t>
      </w:r>
      <w:r>
        <w:t xml:space="preserve"> </w:t>
      </w:r>
      <w:r>
        <w:rPr>
          <w:i/>
          <w:iCs/>
        </w:rPr>
        <w:t xml:space="preserve">Emissions Gap Report 2025</w:t>
      </w:r>
      <w:r>
        <w:t xml:space="preserve">. Nairobi: PNUMA.</w:t>
      </w:r>
    </w:p>
    <w:bookmarkEnd w:id="365"/>
    <w:bookmarkStart w:id="367" w:name="ref_Ramsey1928Mathematical"/>
    <w:p>
      <w:pPr>
        <w:pStyle w:val="Bibliography"/>
      </w:pPr>
      <w:r>
        <w:t xml:space="preserve">Ramsey, Frank P. (1928).</w:t>
      </w:r>
      <w:r>
        <w:t xml:space="preserve"> </w:t>
      </w:r>
      <w:r>
        <w:t xml:space="preserve">«A Mathematical Theory of Saving»</w:t>
      </w:r>
      <w:r>
        <w:t xml:space="preserve">.</w:t>
      </w:r>
      <w:r>
        <w:t xml:space="preserve"> </w:t>
      </w:r>
      <w:r>
        <w:rPr>
          <w:i/>
          <w:iCs/>
        </w:rPr>
        <w:t xml:space="preserve">The Economic Journal</w:t>
      </w:r>
      <w:r>
        <w:t xml:space="preserve"> </w:t>
      </w:r>
      <w:r>
        <w:t xml:space="preserve">38 (152): 543-59.</w:t>
      </w:r>
      <w:r>
        <w:t xml:space="preserve"> </w:t>
      </w:r>
      <w:hyperlink r:id="rId366">
        <w:r>
          <w:rPr>
            <w:rStyle w:val="Hyperlink"/>
          </w:rPr>
          <w:t xml:space="preserve">https://doi.org/10.2307/2224098</w:t>
        </w:r>
      </w:hyperlink>
      <w:r>
        <w:t xml:space="preserve">.</w:t>
      </w:r>
    </w:p>
    <w:bookmarkEnd w:id="367"/>
    <w:bookmarkStart w:id="369" w:name="ref_Rennert2022Comprehensive"/>
    <w:p>
      <w:pPr>
        <w:pStyle w:val="Bibliography"/>
      </w:pPr>
      <w:r>
        <w:t xml:space="preserve">Rennert, Kevin et al. (2022).</w:t>
      </w:r>
      <w:r>
        <w:t xml:space="preserve"> </w:t>
      </w:r>
      <w:r>
        <w:t xml:space="preserve">«Comprehensive Evidence Implies a Higher Social Cost of</w:t>
      </w:r>
      <w:r>
        <w:t xml:space="preserve"> </w:t>
      </w:r>
      <w:r>
        <w:t xml:space="preserve">CO2</w:t>
      </w:r>
      <w:r>
        <w:t xml:space="preserve">»</w:t>
      </w:r>
      <w:r>
        <w:t xml:space="preserve">.</w:t>
      </w:r>
      <w:r>
        <w:t xml:space="preserve"> </w:t>
      </w:r>
      <w:r>
        <w:rPr>
          <w:i/>
          <w:iCs/>
        </w:rPr>
        <w:t xml:space="preserve">Nature</w:t>
      </w:r>
      <w:r>
        <w:t xml:space="preserve"> </w:t>
      </w:r>
      <w:r>
        <w:t xml:space="preserve">610 (7933): 687-92.</w:t>
      </w:r>
      <w:r>
        <w:t xml:space="preserve"> </w:t>
      </w:r>
      <w:hyperlink r:id="rId368">
        <w:r>
          <w:rPr>
            <w:rStyle w:val="Hyperlink"/>
          </w:rPr>
          <w:t xml:space="preserve">https://doi.org/10.1038/s41586-022-05224-9</w:t>
        </w:r>
      </w:hyperlink>
      <w:r>
        <w:t xml:space="preserve">.</w:t>
      </w:r>
    </w:p>
    <w:bookmarkEnd w:id="369"/>
    <w:bookmarkStart w:id="371" w:name="ref_Samuelson1954Pure"/>
    <w:p>
      <w:pPr>
        <w:pStyle w:val="Bibliography"/>
      </w:pPr>
      <w:r>
        <w:t xml:space="preserve">Samuelson, Paul A. (1954).</w:t>
      </w:r>
      <w:r>
        <w:t xml:space="preserve"> </w:t>
      </w:r>
      <w:r>
        <w:t xml:space="preserve">«The Pure Theory of Public Expenditure»</w:t>
      </w:r>
      <w:r>
        <w:t xml:space="preserve">.</w:t>
      </w:r>
      <w:r>
        <w:t xml:space="preserve"> </w:t>
      </w:r>
      <w:r>
        <w:rPr>
          <w:i/>
          <w:iCs/>
        </w:rPr>
        <w:t xml:space="preserve">Review of Economics and Statistics</w:t>
      </w:r>
      <w:r>
        <w:t xml:space="preserve"> </w:t>
      </w:r>
      <w:r>
        <w:t xml:space="preserve">36 (4): 387-89.</w:t>
      </w:r>
      <w:r>
        <w:t xml:space="preserve"> </w:t>
      </w:r>
      <w:hyperlink r:id="rId370">
        <w:r>
          <w:rPr>
            <w:rStyle w:val="Hyperlink"/>
          </w:rPr>
          <w:t xml:space="preserve">https://doi.org/10.2307/1925895</w:t>
        </w:r>
      </w:hyperlink>
      <w:r>
        <w:t xml:space="preserve">.</w:t>
      </w:r>
    </w:p>
    <w:bookmarkEnd w:id="371"/>
    <w:bookmarkStart w:id="373" w:name="ref_Schnabel2022New"/>
    <w:p>
      <w:pPr>
        <w:pStyle w:val="Bibliography"/>
      </w:pPr>
      <w:r>
        <w:t xml:space="preserve">Schnabel, Isabel (2022).</w:t>
      </w:r>
      <w:r>
        <w:t xml:space="preserve"> </w:t>
      </w:r>
      <w:r>
        <w:t xml:space="preserve">«A New Age of Energy Inflation: Climateflation, Fossilflation and Greenflation. Discurso en la conferencia «The ECB and its Watchers XXII», Fráncfort»</w:t>
      </w:r>
      <w:r>
        <w:t xml:space="preserve">. 17 de marzo de 2022.</w:t>
      </w:r>
      <w:r>
        <w:t xml:space="preserve"> </w:t>
      </w:r>
      <w:hyperlink r:id="rId372">
        <w:r>
          <w:rPr>
            <w:rStyle w:val="Hyperlink"/>
          </w:rPr>
          <w:t xml:space="preserve">https://www.ecb.europa.eu/press/key/date/2022/html/ecb.sp220317_2~dbb3582f0a.en.html</w:t>
        </w:r>
      </w:hyperlink>
      <w:r>
        <w:t xml:space="preserve">.</w:t>
      </w:r>
    </w:p>
    <w:bookmarkEnd w:id="373"/>
    <w:bookmarkStart w:id="375" w:name="ref_ONU2025RetiradaParis"/>
    <w:p>
      <w:pPr>
        <w:pStyle w:val="Bibliography"/>
      </w:pPr>
      <w:r>
        <w:t xml:space="preserve">Secretario General de las Naciones Unidas (depositario) (2025).</w:t>
      </w:r>
      <w:r>
        <w:t xml:space="preserve"> </w:t>
      </w:r>
      <w:r>
        <w:t xml:space="preserve">«Paris Agreement: United States of America: Withdrawal»</w:t>
      </w:r>
      <w:r>
        <w:t xml:space="preserve">. 27 de enero de 2025.</w:t>
      </w:r>
      <w:r>
        <w:t xml:space="preserve"> </w:t>
      </w:r>
      <w:hyperlink r:id="rId374">
        <w:r>
          <w:rPr>
            <w:rStyle w:val="Hyperlink"/>
          </w:rPr>
          <w:t xml:space="preserve">https://treaties.un.org/doc/Publication/CN/2025/CN.71.2025-Eng.pdf</w:t>
        </w:r>
      </w:hyperlink>
      <w:r>
        <w:t xml:space="preserve">.</w:t>
      </w:r>
    </w:p>
    <w:bookmarkEnd w:id="375"/>
    <w:bookmarkStart w:id="377" w:name="ref_ONU2026RetiradaCMNUCC"/>
    <w:p>
      <w:pPr>
        <w:pStyle w:val="Bibliography"/>
      </w:pPr>
      <w:r>
        <w:t xml:space="preserve">Secretario General de las Naciones Unidas (depositario) (2026).</w:t>
      </w:r>
      <w:r>
        <w:t xml:space="preserve"> </w:t>
      </w:r>
      <w:r>
        <w:t xml:space="preserve">«United Nations Framework Convention on Climate Change: United States of America: Withdrawal»</w:t>
      </w:r>
      <w:r>
        <w:t xml:space="preserve">. 27 de febrero de 2026.</w:t>
      </w:r>
      <w:r>
        <w:t xml:space="preserve"> </w:t>
      </w:r>
      <w:hyperlink r:id="rId376">
        <w:r>
          <w:rPr>
            <w:rStyle w:val="Hyperlink"/>
          </w:rPr>
          <w:t xml:space="preserve">https://treaties.un.org/doc/Publication/CN/2026/CN.102.2026-Eng.pdf</w:t>
        </w:r>
      </w:hyperlink>
      <w:r>
        <w:t xml:space="preserve">.</w:t>
      </w:r>
    </w:p>
    <w:bookmarkEnd w:id="377"/>
    <w:bookmarkStart w:id="379" w:name="ref_EPRS2026RevisionETS"/>
    <w:p>
      <w:pPr>
        <w:pStyle w:val="Bibliography"/>
      </w:pPr>
      <w:r>
        <w:t xml:space="preserve">Servicio de Estudios del Parlamento Europeo (2026).</w:t>
      </w:r>
      <w:r>
        <w:t xml:space="preserve"> </w:t>
      </w:r>
      <w:r>
        <w:t xml:space="preserve">«Revision of the EU emissions trading system and the market stability reserve»</w:t>
      </w:r>
      <w:r>
        <w:t xml:space="preserve">. 2026.</w:t>
      </w:r>
      <w:r>
        <w:t xml:space="preserve"> </w:t>
      </w:r>
      <w:hyperlink r:id="rId378">
        <w:r>
          <w:rPr>
            <w:rStyle w:val="Hyperlink"/>
          </w:rPr>
          <w:t xml:space="preserve">https://eprs.europarl.europa.eu/contents/publications/EPRS/2026/09/EPRS_BRI(2026)791491.html?locale=EN</w:t>
        </w:r>
      </w:hyperlink>
      <w:r>
        <w:t xml:space="preserve">.</w:t>
      </w:r>
    </w:p>
    <w:bookmarkEnd w:id="379"/>
    <w:bookmarkStart w:id="380" w:name="ref_Sinn2008Public"/>
    <w:p>
      <w:pPr>
        <w:pStyle w:val="Bibliography"/>
      </w:pPr>
      <w:r>
        <w:t xml:space="preserve">Sinn, Hans-Werner (2008).</w:t>
      </w:r>
      <w:r>
        <w:t xml:space="preserve"> </w:t>
      </w:r>
      <w:r>
        <w:t xml:space="preserve">«Public Policies against Global Warming: A Supply Side Approach»</w:t>
      </w:r>
      <w:r>
        <w:t xml:space="preserve">.</w:t>
      </w:r>
      <w:r>
        <w:t xml:space="preserve"> </w:t>
      </w:r>
      <w:r>
        <w:rPr>
          <w:i/>
          <w:iCs/>
        </w:rPr>
        <w:t xml:space="preserve">International Tax and Public Finance</w:t>
      </w:r>
      <w:r>
        <w:t xml:space="preserve"> </w:t>
      </w:r>
      <w:r>
        <w:t xml:space="preserve">15 (4): 360-94.</w:t>
      </w:r>
    </w:p>
    <w:bookmarkEnd w:id="380"/>
    <w:bookmarkStart w:id="382" w:name="ref_Solow1974Intergenerational"/>
    <w:p>
      <w:pPr>
        <w:pStyle w:val="Bibliography"/>
      </w:pPr>
      <w:r>
        <w:t xml:space="preserve">Solow, Robert M. (1974).</w:t>
      </w:r>
      <w:r>
        <w:t xml:space="preserve"> </w:t>
      </w:r>
      <w:r>
        <w:t xml:space="preserve">«Intergenerational Equity and Exhaustible Resources»</w:t>
      </w:r>
      <w:r>
        <w:t xml:space="preserve">.</w:t>
      </w:r>
      <w:r>
        <w:t xml:space="preserve"> </w:t>
      </w:r>
      <w:r>
        <w:rPr>
          <w:i/>
          <w:iCs/>
        </w:rPr>
        <w:t xml:space="preserve">Review of Economic Studies</w:t>
      </w:r>
      <w:r>
        <w:t xml:space="preserve"> </w:t>
      </w:r>
      <w:r>
        <w:t xml:space="preserve">41: 29-45.</w:t>
      </w:r>
      <w:r>
        <w:t xml:space="preserve"> </w:t>
      </w:r>
      <w:hyperlink r:id="rId381">
        <w:r>
          <w:rPr>
            <w:rStyle w:val="Hyperlink"/>
          </w:rPr>
          <w:t xml:space="preserve">https://doi.org/10.2307/2296370</w:t>
        </w:r>
      </w:hyperlink>
      <w:r>
        <w:t xml:space="preserve">.</w:t>
      </w:r>
    </w:p>
    <w:bookmarkEnd w:id="382"/>
    <w:bookmarkStart w:id="383" w:name="ref_Stern2007Economics"/>
    <w:p>
      <w:pPr>
        <w:pStyle w:val="Bibliography"/>
      </w:pPr>
      <w:r>
        <w:t xml:space="preserve">Stern, Nicholas (2007).</w:t>
      </w:r>
      <w:r>
        <w:t xml:space="preserve"> </w:t>
      </w:r>
      <w:r>
        <w:rPr>
          <w:i/>
          <w:iCs/>
        </w:rPr>
        <w:t xml:space="preserve">The Economics of Climate Change: The Stern Review</w:t>
      </w:r>
      <w:r>
        <w:t xml:space="preserve">. Cambridge: Cambridge University Press.</w:t>
      </w:r>
    </w:p>
    <w:bookmarkEnd w:id="383"/>
    <w:bookmarkStart w:id="385" w:name="ref_Stiglitz1974Growth"/>
    <w:p>
      <w:pPr>
        <w:pStyle w:val="Bibliography"/>
      </w:pPr>
      <w:r>
        <w:t xml:space="preserve">Stiglitz, Joseph (1974).</w:t>
      </w:r>
      <w:r>
        <w:t xml:space="preserve"> </w:t>
      </w:r>
      <w:r>
        <w:t xml:space="preserve">«Growth with Exhaustible Natural Resources: Efficient and Optimal Growth Paths»</w:t>
      </w:r>
      <w:r>
        <w:t xml:space="preserve">.</w:t>
      </w:r>
      <w:r>
        <w:t xml:space="preserve"> </w:t>
      </w:r>
      <w:r>
        <w:rPr>
          <w:i/>
          <w:iCs/>
        </w:rPr>
        <w:t xml:space="preserve">Review of Economic Studies</w:t>
      </w:r>
      <w:r>
        <w:t xml:space="preserve"> </w:t>
      </w:r>
      <w:r>
        <w:t xml:space="preserve">41: 123-37.</w:t>
      </w:r>
      <w:r>
        <w:t xml:space="preserve"> </w:t>
      </w:r>
      <w:hyperlink r:id="rId384">
        <w:r>
          <w:rPr>
            <w:rStyle w:val="Hyperlink"/>
          </w:rPr>
          <w:t xml:space="preserve">https://doi.org/10.2307/2296377</w:t>
        </w:r>
      </w:hyperlink>
      <w:r>
        <w:t xml:space="preserve">.</w:t>
      </w:r>
    </w:p>
    <w:bookmarkEnd w:id="385"/>
    <w:bookmarkStart w:id="387" w:name="ref_Nobel2018Nordhaus"/>
    <w:p>
      <w:pPr>
        <w:pStyle w:val="Bibliography"/>
      </w:pPr>
      <w:r>
        <w:t xml:space="preserve">The Nobel Prize (2018).</w:t>
      </w:r>
      <w:r>
        <w:t xml:space="preserve"> </w:t>
      </w:r>
      <w:r>
        <w:t xml:space="preserve">«The Sveriges Riksbank Prize in Economic Sciences in Memory of Alfred Nobel 2018: William D. Nordhaus and Paul M. Romer»</w:t>
      </w:r>
      <w:r>
        <w:t xml:space="preserve">. 2018.</w:t>
      </w:r>
      <w:r>
        <w:t xml:space="preserve"> </w:t>
      </w:r>
      <w:hyperlink r:id="rId386">
        <w:r>
          <w:rPr>
            <w:rStyle w:val="Hyperlink"/>
          </w:rPr>
          <w:t xml:space="preserve">https://www.nobelprize.org/prizes/economic-sciences/2018/summary/</w:t>
        </w:r>
      </w:hyperlink>
      <w:r>
        <w:t xml:space="preserve">.</w:t>
      </w:r>
    </w:p>
    <w:bookmarkEnd w:id="387"/>
    <w:bookmarkStart w:id="389" w:name="ref_EPA2023SCGHG"/>
    <w:p>
      <w:pPr>
        <w:pStyle w:val="Bibliography"/>
      </w:pPr>
      <w:r>
        <w:t xml:space="preserve">U.S. Environmental Protection Agency (2023).</w:t>
      </w:r>
      <w:r>
        <w:t xml:space="preserve"> </w:t>
      </w:r>
      <w:r>
        <w:t xml:space="preserve">«EPA Report on the Social Cost of Greenhouse Gases: Estimates Incorporating Recent Scientific Advances»</w:t>
      </w:r>
      <w:r>
        <w:t xml:space="preserve">. 2023.</w:t>
      </w:r>
      <w:r>
        <w:t xml:space="preserve"> </w:t>
      </w:r>
      <w:hyperlink r:id="rId388">
        <w:r>
          <w:rPr>
            <w:rStyle w:val="Hyperlink"/>
          </w:rPr>
          <w:t xml:space="preserve">https://www.epa.gov/system/files/documents/2023-12/epa_scghg_2023_report_final.pdf</w:t>
        </w:r>
      </w:hyperlink>
      <w:r>
        <w:t xml:space="preserve">.</w:t>
      </w:r>
    </w:p>
    <w:bookmarkEnd w:id="389"/>
    <w:bookmarkStart w:id="391" w:name="ref_Weitzman1974Prices"/>
    <w:p>
      <w:pPr>
        <w:pStyle w:val="Bibliography"/>
      </w:pPr>
      <w:r>
        <w:t xml:space="preserve">Weitzman, Martin L. (1974).</w:t>
      </w:r>
      <w:r>
        <w:t xml:space="preserve"> </w:t>
      </w:r>
      <w:r>
        <w:t xml:space="preserve">«Prices vs. Quantities»</w:t>
      </w:r>
      <w:r>
        <w:t xml:space="preserve">.</w:t>
      </w:r>
      <w:r>
        <w:t xml:space="preserve"> </w:t>
      </w:r>
      <w:r>
        <w:rPr>
          <w:i/>
          <w:iCs/>
        </w:rPr>
        <w:t xml:space="preserve">Review of Economic Studies</w:t>
      </w:r>
      <w:r>
        <w:t xml:space="preserve"> </w:t>
      </w:r>
      <w:r>
        <w:t xml:space="preserve">41 (4): 477-91.</w:t>
      </w:r>
      <w:r>
        <w:t xml:space="preserve"> </w:t>
      </w:r>
      <w:hyperlink r:id="rId390">
        <w:r>
          <w:rPr>
            <w:rStyle w:val="Hyperlink"/>
          </w:rPr>
          <w:t xml:space="preserve">https://doi.org/10.2307/2296698</w:t>
        </w:r>
      </w:hyperlink>
      <w:r>
        <w:t xml:space="preserve">.</w:t>
      </w:r>
    </w:p>
    <w:bookmarkEnd w:id="391"/>
    <w:bookmarkStart w:id="393" w:name="ref_Weitzman2009Modeling"/>
    <w:p>
      <w:pPr>
        <w:pStyle w:val="Bibliography"/>
      </w:pPr>
      <w:r>
        <w:t xml:space="preserve">Weitzman, Martin L. (2009).</w:t>
      </w:r>
      <w:r>
        <w:t xml:space="preserve"> </w:t>
      </w:r>
      <w:r>
        <w:t xml:space="preserve">«On Modeling and Interpreting the Economics of Catastrophic Climate Change»</w:t>
      </w:r>
      <w:r>
        <w:t xml:space="preserve">.</w:t>
      </w:r>
      <w:r>
        <w:t xml:space="preserve"> </w:t>
      </w:r>
      <w:r>
        <w:rPr>
          <w:i/>
          <w:iCs/>
        </w:rPr>
        <w:t xml:space="preserve">Review of Economics and Statistics</w:t>
      </w:r>
      <w:r>
        <w:t xml:space="preserve"> </w:t>
      </w:r>
      <w:r>
        <w:t xml:space="preserve">91 (1): 1-19.</w:t>
      </w:r>
      <w:r>
        <w:t xml:space="preserve"> </w:t>
      </w:r>
      <w:hyperlink r:id="rId392">
        <w:r>
          <w:rPr>
            <w:rStyle w:val="Hyperlink"/>
          </w:rPr>
          <w:t xml:space="preserve">https://doi.org/10.1162/rest.91.1.1</w:t>
        </w:r>
      </w:hyperlink>
      <w:r>
        <w:t xml:space="preserve">.</w:t>
      </w:r>
    </w:p>
    <w:bookmarkEnd w:id="393"/>
    <w:bookmarkEnd w:id="394"/>
    <w:bookmarkEnd w:id="395"/>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3">
    <w:p>
      <w:pPr>
        <w:pStyle w:val="FootnoteText"/>
      </w:pPr>
      <w:r>
        <w:rPr>
          <w:rStyle w:val="FootnoteReference"/>
        </w:rPr>
        <w:footnoteRef/>
      </w:r>
      <w:r>
        <w:t xml:space="preserve"> </w:t>
      </w:r>
      <w:r>
        <w:t xml:space="preserve">Las primeras versiones de este trabajo, como documento de trabajo (2024), daban un efecto menor, en torno al 12 % del PIB, que es la cifra que recogen muchos apuntes. La versión publicada en el</w:t>
      </w:r>
      <w:r>
        <w:t xml:space="preserve"> </w:t>
      </w:r>
      <w:r>
        <w:rPr>
          <w:i/>
          <w:iCs/>
        </w:rPr>
        <w:t xml:space="preserve">Quarterly Journal of Economics</w:t>
      </w:r>
      <w:r>
        <w:t xml:space="preserve"> </w:t>
      </w:r>
      <w:r>
        <w:t xml:space="preserve">(2026) la eleva.</w:t>
      </w:r>
    </w:p>
  </w:footnote>
  <w:footnote w:id="103">
    <w:p>
      <w:pPr>
        <w:pStyle w:val="FootnoteText"/>
      </w:pPr>
      <w:r>
        <w:rPr>
          <w:rStyle w:val="FootnoteReference"/>
        </w:rPr>
        <w:footnoteRef/>
      </w:r>
      <w:r>
        <w:t xml:space="preserve"> </w:t>
      </w:r>
      <w:r>
        <w:t xml:space="preserve">Si además el país que reduce se quedara con lo recaudado por el arancel, su pago frente al que emite subiría de 0 a 3, y reducir sería una estrategia dominante. El ejemplo de la tabla es el caso prudente: el arancel castiga al que emite, pero no premia al que reduce.</w:t>
      </w:r>
    </w:p>
  </w:footnote>
  <w:footnote w:id="115">
    <w:p>
      <w:pPr>
        <w:pStyle w:val="FootnoteText"/>
      </w:pPr>
      <w:r>
        <w:rPr>
          <w:rStyle w:val="FootnoteReference"/>
        </w:rPr>
        <w:footnoteRef/>
      </w:r>
      <w:r>
        <w:t xml:space="preserve"> </w:t>
      </w:r>
      <w:r>
        <w:t xml:space="preserve">El Fondo Verde para el Clima financia proyectos de mitigación y adaptación en países en desarrollo a través de entidades acreditadas; en España, COFIDES lo está desde 2018</w:t>
      </w:r>
      <w:r>
        <w:t xml:space="preserve"> </w:t>
      </w:r>
      <w:r>
        <w:t xml:space="preserve">(</w:t>
      </w:r>
      <w:hyperlink w:anchor="ref_GCF2025COFIDES">
        <w:r>
          <w:rPr>
            <w:rStyle w:val="Hyperlink"/>
            <w:smallCaps/>
          </w:rPr>
          <w:t xml:space="preserve">Green Climate Fund</w:t>
        </w:r>
        <w:r>
          <w:rPr>
            <w:rStyle w:val="Hyperlink"/>
          </w:rPr>
          <w:t xml:space="preserve">, 2025</w:t>
        </w:r>
      </w:hyperlink>
      <w:r>
        <w:t xml:space="preserve">)</w:t>
      </w:r>
      <w:r>
        <w:t xml:space="preserve">. La financiación climática multilateral, con el Fondo para el Medio Ambiente Mundial y los fondos del Grupo Banco Mundial, se estudia con las instituciones financieras multilaterales</w:t>
      </w:r>
      <w:r>
        <w:t xml:space="preserve"> </w:t>
      </w:r>
      <w:hyperlink r:id="rId116">
        <w:r>
          <w:rPr>
            <w:rStyle w:val="Referenciaatema"/>
          </w:rPr>
          <w:t xml:space="preserve">[ver tema 3.B.30]</w:t>
        </w:r>
      </w:hyperlink>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130" Target="media/rId130.png" /><Relationship Type="http://schemas.openxmlformats.org/officeDocument/2006/relationships/image" Id="rId123" Target="media/rId123.png" /><Relationship Type="http://schemas.openxmlformats.org/officeDocument/2006/relationships/image" Id="rId30" Target="media/rId30.png" /><Relationship Type="http://schemas.openxmlformats.org/officeDocument/2006/relationships/image" Id="rId59" Target="media/rId59.png" /><Relationship Type="http://schemas.openxmlformats.org/officeDocument/2006/relationships/hyperlink" Id="rId343" Target="http://data.europa.eu/eli/dir/2003/87/oj" TargetMode="External" /><Relationship Type="http://schemas.openxmlformats.org/officeDocument/2006/relationships/hyperlink" Id="rId349" Target="http://data.europa.eu/eli/dir/2023/959/oj" TargetMode="External" /><Relationship Type="http://schemas.openxmlformats.org/officeDocument/2006/relationships/hyperlink" Id="rId345" Target="http://data.europa.eu/eli/reg/2021/1119/oj" TargetMode="External" /><Relationship Type="http://schemas.openxmlformats.org/officeDocument/2006/relationships/hyperlink" Id="rId347" Target="http://data.europa.eu/eli/reg/2021/241/oj" TargetMode="External" /><Relationship Type="http://schemas.openxmlformats.org/officeDocument/2006/relationships/hyperlink" Id="rId351" Target="http://data.europa.eu/eli/reg/2023/955/oj" TargetMode="External" /><Relationship Type="http://schemas.openxmlformats.org/officeDocument/2006/relationships/hyperlink" Id="rId353" Target="http://data.europa.eu/eli/reg/2023/956/oj" TargetMode="External" /><Relationship Type="http://schemas.openxmlformats.org/officeDocument/2006/relationships/hyperlink" Id="rId234" Target="https://climate.copernicus.eu/copernicus-2025-was-third-hottest-year-record" TargetMode="External" /><Relationship Type="http://schemas.openxmlformats.org/officeDocument/2006/relationships/hyperlink" Id="rId203" Target="https://climate.ec.europa.eu/eu-action/carbon-markets/eu-emissions-trading-system-eu-ets/eu-ets-emissions-cap_en" TargetMode="External" /><Relationship Type="http://schemas.openxmlformats.org/officeDocument/2006/relationships/hyperlink" Id="rId211" Target="https://climate.ec.europa.eu/eu-action/carbon-markets/social-climate-fund_en" TargetMode="External" /><Relationship Type="http://schemas.openxmlformats.org/officeDocument/2006/relationships/hyperlink" Id="rId215" Target="https://climate.ec.europa.eu/news-other-reads/news/190-million-eu-ets-allowances-be-placed-market-stability-reserve-between-september-2026-and-august-2026-05-29_en" TargetMode="External" /><Relationship Type="http://schemas.openxmlformats.org/officeDocument/2006/relationships/hyperlink" Id="rId213" Target="https://climate.ec.europa.eu/news-other-reads/news/eu-emissions-trading-system-sustains-downward-trend-covered-emissions-2026-04-10_en" TargetMode="External" /><Relationship Type="http://schemas.openxmlformats.org/officeDocument/2006/relationships/hyperlink" Id="rId164" Target="https://doi.org/10.1007/s10584-013-0706-7" TargetMode="External" /><Relationship Type="http://schemas.openxmlformats.org/officeDocument/2006/relationships/hyperlink" Id="rId275" Target="https://doi.org/10.1007/s10640-017-0166-z" TargetMode="External" /><Relationship Type="http://schemas.openxmlformats.org/officeDocument/2006/relationships/hyperlink" Id="rId305" Target="https://doi.org/10.1016/0022-0531(72)90049-X" TargetMode="External" /><Relationship Type="http://schemas.openxmlformats.org/officeDocument/2006/relationships/hyperlink" Id="rId186" Target="https://doi.org/10.1016/j.eneco.2012.10.003" TargetMode="External" /><Relationship Type="http://schemas.openxmlformats.org/officeDocument/2006/relationships/hyperlink" Id="rId281" Target="https://doi.org/10.1017/9781009157896.001" TargetMode="External" /><Relationship Type="http://schemas.openxmlformats.org/officeDocument/2006/relationships/hyperlink" Id="rId298" Target="https://doi.org/10.1038/nature14016" TargetMode="External" /><Relationship Type="http://schemas.openxmlformats.org/officeDocument/2006/relationships/hyperlink" Id="rId192" Target="https://doi.org/10.1038/nature15725" TargetMode="External" /><Relationship Type="http://schemas.openxmlformats.org/officeDocument/2006/relationships/hyperlink" Id="rId266" Target="https://doi.org/10.1038/s41558-020-0833-x" TargetMode="External" /><Relationship Type="http://schemas.openxmlformats.org/officeDocument/2006/relationships/hyperlink" Id="rId188" Target="https://doi.org/10.1038/s41558-021-01250-z" TargetMode="External" /><Relationship Type="http://schemas.openxmlformats.org/officeDocument/2006/relationships/hyperlink" Id="rId368" Target="https://doi.org/10.1038/s41586-022-05224-9" TargetMode="External" /><Relationship Type="http://schemas.openxmlformats.org/officeDocument/2006/relationships/hyperlink" Id="rId289" Target="https://doi.org/10.1038/s41586-024-07219-0" TargetMode="External" /><Relationship Type="http://schemas.openxmlformats.org/officeDocument/2006/relationships/hyperlink" Id="rId291" Target="https://doi.org/10.1038/s41586-025-09726-0" TargetMode="External" /><Relationship Type="http://schemas.openxmlformats.org/officeDocument/2006/relationships/hyperlink" Id="rId199" Target="https://doi.org/10.1038/s41893-022-00955-z" TargetMode="External" /><Relationship Type="http://schemas.openxmlformats.org/officeDocument/2006/relationships/hyperlink" Id="rId330" Target="https://doi.org/10.1073/pnas.0509842103" TargetMode="External" /><Relationship Type="http://schemas.openxmlformats.org/officeDocument/2006/relationships/hyperlink" Id="rId178" Target="https://doi.org/10.1073/pnas.2312030121" TargetMode="External" /><Relationship Type="http://schemas.openxmlformats.org/officeDocument/2006/relationships/hyperlink" Id="rId273" Target="https://doi.org/10.1086/254195" TargetMode="External" /><Relationship Type="http://schemas.openxmlformats.org/officeDocument/2006/relationships/hyperlink" Id="rId180" Target="https://doi.org/10.1093/oep/46.Supplement_1.878" TargetMode="External" /><Relationship Type="http://schemas.openxmlformats.org/officeDocument/2006/relationships/hyperlink" Id="rId184" Target="https://doi.org/10.1093/qje/qjag011" TargetMode="External" /><Relationship Type="http://schemas.openxmlformats.org/officeDocument/2006/relationships/hyperlink" Id="rId239" Target="https://doi.org/10.1093/reep/rex013" TargetMode="External" /><Relationship Type="http://schemas.openxmlformats.org/officeDocument/2006/relationships/hyperlink" Id="rId201" Target="https://doi.org/10.1093/restud/rdae055" TargetMode="External" /><Relationship Type="http://schemas.openxmlformats.org/officeDocument/2006/relationships/hyperlink" Id="rId327" Target="https://doi.org/10.1126/science.258.5086.1315" TargetMode="External" /><Relationship Type="http://schemas.openxmlformats.org/officeDocument/2006/relationships/hyperlink" Id="rId166" Target="https://doi.org/10.1126/science.abn7950" TargetMode="External" /><Relationship Type="http://schemas.openxmlformats.org/officeDocument/2006/relationships/hyperlink" Id="rId333" Target="https://doi.org/10.1142/S2010007810000054" TargetMode="External" /><Relationship Type="http://schemas.openxmlformats.org/officeDocument/2006/relationships/hyperlink" Id="rId277" Target="https://doi.org/10.1146/annurev-resource-100815-095343" TargetMode="External" /><Relationship Type="http://schemas.openxmlformats.org/officeDocument/2006/relationships/hyperlink" Id="rId392" Target="https://doi.org/10.1162/rest.91.1.1" TargetMode="External" /><Relationship Type="http://schemas.openxmlformats.org/officeDocument/2006/relationships/hyperlink" Id="rId158" Target="https://doi.org/10.1257/aer.102.1.131" TargetMode="External" /><Relationship Type="http://schemas.openxmlformats.org/officeDocument/2006/relationships/hyperlink" Id="rId325" Target="https://doi.org/10.1257/aer.109.6.1991" TargetMode="External" /><Relationship Type="http://schemas.openxmlformats.org/officeDocument/2006/relationships/hyperlink" Id="rId323" Target="https://doi.org/10.1257/aer.15000001" TargetMode="External" /><Relationship Type="http://schemas.openxmlformats.org/officeDocument/2006/relationships/hyperlink" Id="rId241" Target="https://doi.org/10.1257/aer.99.2.198" TargetMode="External" /><Relationship Type="http://schemas.openxmlformats.org/officeDocument/2006/relationships/hyperlink" Id="rId361" Target="https://doi.org/10.1257/jel.51.3.860" TargetMode="External" /><Relationship Type="http://schemas.openxmlformats.org/officeDocument/2006/relationships/hyperlink" Id="rId245" Target="https://doi.org/10.1257/jel.52.3.740" TargetMode="External" /><Relationship Type="http://schemas.openxmlformats.org/officeDocument/2006/relationships/hyperlink" Id="rId243" Target="https://doi.org/10.1257/mac.4.3.66" TargetMode="External" /><Relationship Type="http://schemas.openxmlformats.org/officeDocument/2006/relationships/hyperlink" Id="rId247" Target="https://doi.org/10.1257/pol.20200092" TargetMode="External" /><Relationship Type="http://schemas.openxmlformats.org/officeDocument/2006/relationships/hyperlink" Id="rId258" Target="https://doi.org/10.1515/9781400835881" TargetMode="External" /><Relationship Type="http://schemas.openxmlformats.org/officeDocument/2006/relationships/hyperlink" Id="rId370" Target="https://doi.org/10.2307/1925895" TargetMode="External" /><Relationship Type="http://schemas.openxmlformats.org/officeDocument/2006/relationships/hyperlink" Id="rId366" Target="https://doi.org/10.2307/2224098" TargetMode="External" /><Relationship Type="http://schemas.openxmlformats.org/officeDocument/2006/relationships/hyperlink" Id="rId381" Target="https://doi.org/10.2307/2296370" TargetMode="External" /><Relationship Type="http://schemas.openxmlformats.org/officeDocument/2006/relationships/hyperlink" Id="rId384" Target="https://doi.org/10.2307/2296377" TargetMode="External" /><Relationship Type="http://schemas.openxmlformats.org/officeDocument/2006/relationships/hyperlink" Id="rId390" Target="https://doi.org/10.2307/2296698" TargetMode="External" /><Relationship Type="http://schemas.openxmlformats.org/officeDocument/2006/relationships/hyperlink" Id="rId190" Target="https://doi.org/10.2307/2552442" TargetMode="External" /><Relationship Type="http://schemas.openxmlformats.org/officeDocument/2006/relationships/hyperlink" Id="rId236" Target="https://doi.org/10.2760/7717504" TargetMode="External" /><Relationship Type="http://schemas.openxmlformats.org/officeDocument/2006/relationships/hyperlink" Id="rId176" Target="https://doi.org/10.3386/w31112" TargetMode="External" /><Relationship Type="http://schemas.openxmlformats.org/officeDocument/2006/relationships/hyperlink" Id="rId262" Target="https://doi.org/10.3982/ECTA10217" TargetMode="External" /><Relationship Type="http://schemas.openxmlformats.org/officeDocument/2006/relationships/hyperlink" Id="rId254" Target="https://doi.org/10.5194/essd-18-3889-2026" TargetMode="External" /><Relationship Type="http://schemas.openxmlformats.org/officeDocument/2006/relationships/hyperlink" Id="rId283" Target="https://doi.org/10.59327/IPCC/AR6-9789291691647" TargetMode="External" /><Relationship Type="http://schemas.openxmlformats.org/officeDocument/2006/relationships/hyperlink" Id="rId378" Target="https://eprs.europarl.europa.eu/contents/publications/EPRS/2026/09/EPRS_BRI(2026)791491.html?locale=EN" TargetMode="External" /><Relationship Type="http://schemas.openxmlformats.org/officeDocument/2006/relationships/hyperlink" Id="rId357" Target="https://eur-lex.europa.eu/eli/reg/2026/667/oj" TargetMode="External" /><Relationship Type="http://schemas.openxmlformats.org/officeDocument/2006/relationships/hyperlink" Id="rId355" Target="https://eur-lex.europa.eu/legal-content/EN/TXT/HTML/?uri=OJ:L_202502083" TargetMode="External" /><Relationship Type="http://schemas.openxmlformats.org/officeDocument/2006/relationships/hyperlink" Id="rId205" Target="https://eur-lex.europa.eu/legal-content/ES/TXT/?uri=CELEX:52025PC0989" TargetMode="External" /><Relationship Type="http://schemas.openxmlformats.org/officeDocument/2006/relationships/hyperlink" Id="rId293" Target="https://global-tipping-points.org/" TargetMode="External" /><Relationship Type="http://schemas.openxmlformats.org/officeDocument/2006/relationships/hyperlink" Id="rId260" Target="https://globalcarbonbudget.org/fossil-fuel-co2-emissions-hit-record-high-in-2025/" TargetMode="External" /><Relationship Type="http://schemas.openxmlformats.org/officeDocument/2006/relationships/hyperlink" Id="rId319" Target="https://gml.noaa.gov/ccgg/trends/" TargetMode="External" /><Relationship Type="http://schemas.openxmlformats.org/officeDocument/2006/relationships/hyperlink" Id="rId279" Target="https://icapcarbonaction.com/en/news/china-officially-expands-national-ets-cement-steel-and-aluminum-sectors" TargetMode="External" /><Relationship Type="http://schemas.openxmlformats.org/officeDocument/2006/relationships/hyperlink" Id="rId250" Target="https://public.eex-group.com/eex/eua-auction-report/emission-spot-primary-market-auction-report-2026-data.xlsx" TargetMode="External" /><Relationship Type="http://schemas.openxmlformats.org/officeDocument/2006/relationships/hyperlink" Id="rId207" Target="https://taxation-customs.ec.europa.eu/carbon-border-adjustment-mechanism/cbam-definitive-regime_en" TargetMode="External" /><Relationship Type="http://schemas.openxmlformats.org/officeDocument/2006/relationships/hyperlink" Id="rId209" Target="https://taxation-customs.ec.europa.eu/carbon-border-adjustment-mechanism/price-cbam-certificates_en" TargetMode="External" /><Relationship Type="http://schemas.openxmlformats.org/officeDocument/2006/relationships/hyperlink" Id="rId252" Target="https://taxnews.ey.com/news/2025-1565" TargetMode="External" /><Relationship Type="http://schemas.openxmlformats.org/officeDocument/2006/relationships/hyperlink" Id="rId313" Target="https://treaties.un.org/Pages/ViewDetails.aspx?src=TREATY&amp;mtdsg_no=XXVII-2-a&amp;chapter=27&amp;clang=_en" TargetMode="External" /><Relationship Type="http://schemas.openxmlformats.org/officeDocument/2006/relationships/hyperlink" Id="rId317" Target="https://treaties.un.org/Pages/ViewDetails.aspx?src=TREATY&amp;mtdsg_no=XXVII-7&amp;chapter=27&amp;clang=_en" TargetMode="External" /><Relationship Type="http://schemas.openxmlformats.org/officeDocument/2006/relationships/hyperlink" Id="rId311" Target="https://treaties.un.org/Pages/ViewDetails.aspx?src=TREATY&amp;mtdsg_no=XXVII-7-a&amp;chapter=27&amp;clang=_en" TargetMode="External" /><Relationship Type="http://schemas.openxmlformats.org/officeDocument/2006/relationships/hyperlink" Id="rId315" Target="https://treaties.un.org/Pages/ViewDetails.aspx?src=TREATY&amp;mtdsg_no=XXVII-7-d&amp;chapter=27&amp;clang=_en" TargetMode="External" /><Relationship Type="http://schemas.openxmlformats.org/officeDocument/2006/relationships/hyperlink" Id="rId374" Target="https://treaties.un.org/doc/Publication/CN/2025/CN.71.2025-Eng.pdf" TargetMode="External" /><Relationship Type="http://schemas.openxmlformats.org/officeDocument/2006/relationships/hyperlink" Id="rId376" Target="https://treaties.un.org/doc/Publication/CN/2026/CN.102.2026-Eng.pdf" TargetMode="External" /><Relationship Type="http://schemas.openxmlformats.org/officeDocument/2006/relationships/hyperlink" Id="rId222" Target="https://unfccc.int/cop30" TargetMode="External" /><Relationship Type="http://schemas.openxmlformats.org/officeDocument/2006/relationships/hyperlink" Id="rId232" Target="https://unfccc.int/cop31" TargetMode="External" /><Relationship Type="http://schemas.openxmlformats.org/officeDocument/2006/relationships/hyperlink" Id="rId230" Target="https://unfccc.int/news/cop29-un-climate-conference-agrees-to-triple-finance-to-developing-countries-protecting-lives-and" TargetMode="External" /><Relationship Type="http://schemas.openxmlformats.org/officeDocument/2006/relationships/hyperlink" Id="rId218" Target="https://unfccc.int/resource/docs/2009/cop15/spa/11a01s.pdf" TargetMode="External" /><Relationship Type="http://schemas.openxmlformats.org/officeDocument/2006/relationships/hyperlink" Id="rId220" Target="https://unfccc.int/resource/docs/2010/cop16/spa/07a01s.pdf" TargetMode="External" /><Relationship Type="http://schemas.openxmlformats.org/officeDocument/2006/relationships/hyperlink" Id="rId307" Target="https://unfccc.int/resource/docs/convkp/convsp.pdf" TargetMode="External" /><Relationship Type="http://schemas.openxmlformats.org/officeDocument/2006/relationships/hyperlink" Id="rId309" Target="https://unfccc.int/sites/default/files/spanish_paris_agreement.pdf" TargetMode="External" /><Relationship Type="http://schemas.openxmlformats.org/officeDocument/2006/relationships/hyperlink" Id="rId228" Target="https://unfccc.int/topics/global-stocktake" TargetMode="External" /><Relationship Type="http://schemas.openxmlformats.org/officeDocument/2006/relationships/hyperlink" Id="rId341" Target="https://wmo.int/news/media-centre/greenhouse-gas-levels-once-again-reach-record-high" TargetMode="External" /><Relationship Type="http://schemas.openxmlformats.org/officeDocument/2006/relationships/hyperlink" Id="rId172" Target="https://www.bankingsupervision.europa.eu/ecb/pub/pdf/ssm.climate_stress_test_report.20220708~2e3cc0999f.en.pdf" TargetMode="External" /><Relationship Type="http://schemas.openxmlformats.org/officeDocument/2006/relationships/hyperlink" Id="rId194" Target="https://www.bankofengland.co.uk/speech/2015/breaking-the-tragedy-of-the-horizon-climate-change-and-financial-stability" TargetMode="External" /><Relationship Type="http://schemas.openxmlformats.org/officeDocument/2006/relationships/hyperlink" Id="rId285" Target="https://www.boe.es/buscar/act.php?id=BOE-A-2021-8447" TargetMode="External" /><Relationship Type="http://schemas.openxmlformats.org/officeDocument/2006/relationships/hyperlink" Id="rId197" Target="https://www.c2es.org/wp-content/uploads/2026/02/COP30-Summary-FINAL5.pdf" TargetMode="External" /><Relationship Type="http://schemas.openxmlformats.org/officeDocument/2006/relationships/hyperlink" Id="rId224" Target="https://www.congress.gov/117/plaws/publ169/PLAW-117publ169.pdf" TargetMode="External" /><Relationship Type="http://schemas.openxmlformats.org/officeDocument/2006/relationships/hyperlink" Id="rId226" Target="https://www.congress.gov/119/plaws/publ21/PLAW-119publ21.pdf" TargetMode="External" /><Relationship Type="http://schemas.openxmlformats.org/officeDocument/2006/relationships/hyperlink" Id="rId256" Target="https://www.consilium.europa.eu/en/press/press-releases/2022/12/12/g7-leaders-statement/" TargetMode="External" /><Relationship Type="http://schemas.openxmlformats.org/officeDocument/2006/relationships/hyperlink" Id="rId372" Target="https://www.ecb.europa.eu/press/key/date/2022/html/ecb.sp220317_2~dbb3582f0a.en.html" TargetMode="External" /><Relationship Type="http://schemas.openxmlformats.org/officeDocument/2006/relationships/hyperlink" Id="rId170" Target="https://www.ecb.europa.eu/press/pr/date/2021/html/ecb.pr210708_1~f104919225.en.html" TargetMode="External" /><Relationship Type="http://schemas.openxmlformats.org/officeDocument/2006/relationships/hyperlink" Id="rId359" Target="https://www.econlib.org/library/NPDBooks/Pigou/pgEW.html" TargetMode="External" /><Relationship Type="http://schemas.openxmlformats.org/officeDocument/2006/relationships/hyperlink" Id="rId162" Target="https://www.eea.europa.eu/en/analysis/indicators/total-greenhouse-gas-emission-trends" TargetMode="External" /><Relationship Type="http://schemas.openxmlformats.org/officeDocument/2006/relationships/hyperlink" Id="rId160" Target="https://www.eea.europa.eu/en/analysis/publications/european-climate-risk-assessment" TargetMode="External" /><Relationship Type="http://schemas.openxmlformats.org/officeDocument/2006/relationships/hyperlink" Id="rId388" Target="https://www.epa.gov/system/files/documents/2023-12/epa_scghg_2023_report_final.pdf" TargetMode="External" /><Relationship Type="http://schemas.openxmlformats.org/officeDocument/2006/relationships/hyperlink" Id="rId270" Target="https://www.gov.uk/government/publications/factsheet-carbon-border-adjustment-mechanism-cbam/factsheet-carbon-border-adjustment-mechanism" TargetMode="External" /><Relationship Type="http://schemas.openxmlformats.org/officeDocument/2006/relationships/hyperlink" Id="rId264" Target="https://www.greenclimate.fund/ae/cofides" TargetMode="External" /><Relationship Type="http://schemas.openxmlformats.org/officeDocument/2006/relationships/hyperlink" Id="rId296" Target="https://www.mayerbrown.com/es/insights/publications/2026/10/eus-cbam-downstream-extension-and-anti-circumvention-amendments-the-road-to-trilogue" TargetMode="External" /><Relationship Type="http://schemas.openxmlformats.org/officeDocument/2006/relationships/hyperlink" Id="rId301" Target="https://www.miteco.gob.es/es/cambio-climatico/temas/impactos-vulnerabilidad-y-adaptacion/plan-nacional-adaptacion-cambio-climatico.html" TargetMode="External" /><Relationship Type="http://schemas.openxmlformats.org/officeDocument/2006/relationships/hyperlink" Id="rId303" Target="https://www.miteco.gob.es/es/prensa/ultimas-noticias/2024/septiembre/el-gobierno-aprueba-la-actualizacion-del-plan-nacional-integrado.html" TargetMode="External" /><Relationship Type="http://schemas.openxmlformats.org/officeDocument/2006/relationships/hyperlink" Id="rId321" Target="https://www.ngfs.net/en/first-comprehensive-report-call-action" TargetMode="External" /><Relationship Type="http://schemas.openxmlformats.org/officeDocument/2006/relationships/hyperlink" Id="rId386" Target="https://www.nobelprize.org/prizes/economic-sciences/2018/summary/" TargetMode="External" /><Relationship Type="http://schemas.openxmlformats.org/officeDocument/2006/relationships/hyperlink" Id="rId337" Target="https://www.oecd.org/en/about/news/press-releases/2024/05/developed-countries-materially-surpassed-their-usd-100-billion-climate-finance-commitment-in-2022-oecd.html" TargetMode="External" /><Relationship Type="http://schemas.openxmlformats.org/officeDocument/2006/relationships/hyperlink" Id="rId70" Target="https://www.victorgutierrezmarcos.es/oposicion/temario/cuarto-ejercicio/4B06.pdf" TargetMode="External" /><Relationship Type="http://schemas.openxmlformats.org/officeDocument/2006/relationships/hyperlink" Id="rId20" Target="https://www.victorgutierrezmarcos.es/oposicion/temario/cuarto-ejercicio/4B13.pdf" TargetMode="External" /><Relationship Type="http://schemas.openxmlformats.org/officeDocument/2006/relationships/hyperlink" Id="rId155" Target="https://www.victorgutierrezmarcos.es/oposicion/temario/primer-ejercicio/test/simulador.html" TargetMode="External" /><Relationship Type="http://schemas.openxmlformats.org/officeDocument/2006/relationships/hyperlink" Id="rId52" Target="https://www.victorgutierrezmarcos.es/oposicion/temario/tema-no-disponible.html?tema=3.A.40" TargetMode="External" /><Relationship Type="http://schemas.openxmlformats.org/officeDocument/2006/relationships/hyperlink" Id="rId116" Target="https://www.victorgutierrezmarcos.es/oposicion/temario/tema-no-disponible.html?tema=3.B.30" TargetMode="External" /><Relationship Type="http://schemas.openxmlformats.org/officeDocument/2006/relationships/hyperlink" Id="rId121" Target="https://www.victorgutierrezmarcos.es/oposicion/temario/tema-no-disponible.html?tema=3.B.45" TargetMode="External" /><Relationship Type="http://schemas.openxmlformats.org/officeDocument/2006/relationships/hyperlink" Id="rId23" Target="https://www.victorgutierrezmarcos.es/oposicion/temario/tema-no-disponible.html?tema=4.A.6" TargetMode="External" /><Relationship Type="http://schemas.openxmlformats.org/officeDocument/2006/relationships/hyperlink" Id="rId90" Target="https://www.victorgutierrezmarcos.es/oposicion/temario/tercer-ejercicio/3A10.pdf" TargetMode="External" /><Relationship Type="http://schemas.openxmlformats.org/officeDocument/2006/relationships/hyperlink" Id="rId98" Target="https://www.victorgutierrezmarcos.es/oposicion/temario/tercer-ejercicio/3A14.pdf" TargetMode="External" /><Relationship Type="http://schemas.openxmlformats.org/officeDocument/2006/relationships/hyperlink" Id="rId151" Target="https://www.victorgutierrezmarcos.es/oposicion/temario/tercer-ejercicio/3A16.pdf" TargetMode="External" /><Relationship Type="http://schemas.openxmlformats.org/officeDocument/2006/relationships/hyperlink" Id="rId43" Target="https://www.victorgutierrezmarcos.es/oposicion/temario/tercer-ejercicio/3A20.pdf" TargetMode="External" /><Relationship Type="http://schemas.openxmlformats.org/officeDocument/2006/relationships/hyperlink" Id="rId68" Target="https://www.victorgutierrezmarcos.es/oposicion/temario/tercer-ejercicio/3A21.pdf" TargetMode="External" /><Relationship Type="http://schemas.openxmlformats.org/officeDocument/2006/relationships/hyperlink" Id="rId36" Target="https://www.victorgutierrezmarcos.es/oposicion/temario/tercer-ejercicio/3A22.pdf" TargetMode="External" /><Relationship Type="http://schemas.openxmlformats.org/officeDocument/2006/relationships/hyperlink" Id="rId35" Target="https://www.victorgutierrezmarcos.es/oposicion/temario/tercer-ejercicio/3A23.pdf" TargetMode="External" /><Relationship Type="http://schemas.openxmlformats.org/officeDocument/2006/relationships/hyperlink" Id="rId87" Target="https://www.victorgutierrezmarcos.es/oposicion/temario/tercer-ejercicio/3A24.pdf" TargetMode="External" /><Relationship Type="http://schemas.openxmlformats.org/officeDocument/2006/relationships/hyperlink" Id="rId49" Target="https://www.victorgutierrezmarcos.es/oposicion/temario/tercer-ejercicio/3A36.pdf" TargetMode="External" /><Relationship Type="http://schemas.openxmlformats.org/officeDocument/2006/relationships/hyperlink" Id="rId24" Target="https://www.victorgutierrezmarcos.es/oposicion/temario/tercer-ejercicio/3A43.pdf" TargetMode="External" /><Relationship Type="http://schemas.openxmlformats.org/officeDocument/2006/relationships/hyperlink" Id="rId84" Target="https://www.victorgutierrezmarcos.es/oposicion/temario/tercer-ejercicio/3A44.pdf" TargetMode="External" /><Relationship Type="http://schemas.openxmlformats.org/officeDocument/2006/relationships/hyperlink" Id="rId47" Target="https://www.victorgutierrezmarcos.es/oposicion/temario/tercer-ejercicio/3A45.pdf" TargetMode="External" /><Relationship Type="http://schemas.openxmlformats.org/officeDocument/2006/relationships/hyperlink" Id="rId107" Target="https://www.victorgutierrezmarcos.es/oposicion/temario/tercer-ejercicio/3B19.pdf" TargetMode="External" /><Relationship Type="http://schemas.openxmlformats.org/officeDocument/2006/relationships/hyperlink" Id="rId54" Target="https://www.victorgutierrezmarcos.es/oposicion/temario/tercer-ejercicio/3B28.pdf" TargetMode="External" /><Relationship Type="http://schemas.openxmlformats.org/officeDocument/2006/relationships/hyperlink" Id="rId109" Target="https://www.victorgutierrezmarcos.es/oposicion/temario/tercer-ejercicio/3B33.pdf" TargetMode="External" /><Relationship Type="http://schemas.openxmlformats.org/officeDocument/2006/relationships/hyperlink" Id="rId22" Target="https://www.victorgutierrezmarcos.es/oposicion/temario/tercer-ejercicio/3B37.pdf" TargetMode="External" /><Relationship Type="http://schemas.openxmlformats.org/officeDocument/2006/relationships/hyperlink" Id="rId21" Target="https://www.victorgutierrezmarcos.es/oposicion/temario/tercer-ejercicio/3B41.pdf" TargetMode="External" /><Relationship Type="http://schemas.openxmlformats.org/officeDocument/2006/relationships/hyperlink" Id="rId339" Target="https://www.whitehouse.gov/wp-content/uploads/2025/02/M-25-27-Guidance-Implementing-Section-6-of-Executive-Order-14154-Entitled-Unleashing-American-Energy.pdf" TargetMode="External" /><Relationship Type="http://schemas.openxmlformats.org/officeDocument/2006/relationships/hyperlink" Id="rId174" Target="https://www.worldbank.org/en/news/press-release/2026/05/19/direct-carbon-pricing-covers-nearly-one-third-of-global-emissions"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43" Target="http://data.europa.eu/eli/dir/2003/87/oj" TargetMode="External" /><Relationship Type="http://schemas.openxmlformats.org/officeDocument/2006/relationships/hyperlink" Id="rId349" Target="http://data.europa.eu/eli/dir/2023/959/oj" TargetMode="External" /><Relationship Type="http://schemas.openxmlformats.org/officeDocument/2006/relationships/hyperlink" Id="rId345" Target="http://data.europa.eu/eli/reg/2021/1119/oj" TargetMode="External" /><Relationship Type="http://schemas.openxmlformats.org/officeDocument/2006/relationships/hyperlink" Id="rId347" Target="http://data.europa.eu/eli/reg/2021/241/oj" TargetMode="External" /><Relationship Type="http://schemas.openxmlformats.org/officeDocument/2006/relationships/hyperlink" Id="rId351" Target="http://data.europa.eu/eli/reg/2023/955/oj" TargetMode="External" /><Relationship Type="http://schemas.openxmlformats.org/officeDocument/2006/relationships/hyperlink" Id="rId353" Target="http://data.europa.eu/eli/reg/2023/956/oj" TargetMode="External" /><Relationship Type="http://schemas.openxmlformats.org/officeDocument/2006/relationships/hyperlink" Id="rId234" Target="https://climate.copernicus.eu/copernicus-2025-was-third-hottest-year-record" TargetMode="External" /><Relationship Type="http://schemas.openxmlformats.org/officeDocument/2006/relationships/hyperlink" Id="rId203" Target="https://climate.ec.europa.eu/eu-action/carbon-markets/eu-emissions-trading-system-eu-ets/eu-ets-emissions-cap_en" TargetMode="External" /><Relationship Type="http://schemas.openxmlformats.org/officeDocument/2006/relationships/hyperlink" Id="rId211" Target="https://climate.ec.europa.eu/eu-action/carbon-markets/social-climate-fund_en" TargetMode="External" /><Relationship Type="http://schemas.openxmlformats.org/officeDocument/2006/relationships/hyperlink" Id="rId215" Target="https://climate.ec.europa.eu/news-other-reads/news/190-million-eu-ets-allowances-be-placed-market-stability-reserve-between-september-2026-and-august-2026-05-29_en" TargetMode="External" /><Relationship Type="http://schemas.openxmlformats.org/officeDocument/2006/relationships/hyperlink" Id="rId213" Target="https://climate.ec.europa.eu/news-other-reads/news/eu-emissions-trading-system-sustains-downward-trend-covered-emissions-2026-04-10_en" TargetMode="External" /><Relationship Type="http://schemas.openxmlformats.org/officeDocument/2006/relationships/hyperlink" Id="rId164" Target="https://doi.org/10.1007/s10584-013-0706-7" TargetMode="External" /><Relationship Type="http://schemas.openxmlformats.org/officeDocument/2006/relationships/hyperlink" Id="rId275" Target="https://doi.org/10.1007/s10640-017-0166-z" TargetMode="External" /><Relationship Type="http://schemas.openxmlformats.org/officeDocument/2006/relationships/hyperlink" Id="rId305" Target="https://doi.org/10.1016/0022-0531(72)90049-X" TargetMode="External" /><Relationship Type="http://schemas.openxmlformats.org/officeDocument/2006/relationships/hyperlink" Id="rId186" Target="https://doi.org/10.1016/j.eneco.2012.10.003" TargetMode="External" /><Relationship Type="http://schemas.openxmlformats.org/officeDocument/2006/relationships/hyperlink" Id="rId281" Target="https://doi.org/10.1017/9781009157896.001" TargetMode="External" /><Relationship Type="http://schemas.openxmlformats.org/officeDocument/2006/relationships/hyperlink" Id="rId298" Target="https://doi.org/10.1038/nature14016" TargetMode="External" /><Relationship Type="http://schemas.openxmlformats.org/officeDocument/2006/relationships/hyperlink" Id="rId192" Target="https://doi.org/10.1038/nature15725" TargetMode="External" /><Relationship Type="http://schemas.openxmlformats.org/officeDocument/2006/relationships/hyperlink" Id="rId266" Target="https://doi.org/10.1038/s41558-020-0833-x" TargetMode="External" /><Relationship Type="http://schemas.openxmlformats.org/officeDocument/2006/relationships/hyperlink" Id="rId188" Target="https://doi.org/10.1038/s41558-021-01250-z" TargetMode="External" /><Relationship Type="http://schemas.openxmlformats.org/officeDocument/2006/relationships/hyperlink" Id="rId368" Target="https://doi.org/10.1038/s41586-022-05224-9" TargetMode="External" /><Relationship Type="http://schemas.openxmlformats.org/officeDocument/2006/relationships/hyperlink" Id="rId289" Target="https://doi.org/10.1038/s41586-024-07219-0" TargetMode="External" /><Relationship Type="http://schemas.openxmlformats.org/officeDocument/2006/relationships/hyperlink" Id="rId291" Target="https://doi.org/10.1038/s41586-025-09726-0" TargetMode="External" /><Relationship Type="http://schemas.openxmlformats.org/officeDocument/2006/relationships/hyperlink" Id="rId199" Target="https://doi.org/10.1038/s41893-022-00955-z" TargetMode="External" /><Relationship Type="http://schemas.openxmlformats.org/officeDocument/2006/relationships/hyperlink" Id="rId330" Target="https://doi.org/10.1073/pnas.0509842103" TargetMode="External" /><Relationship Type="http://schemas.openxmlformats.org/officeDocument/2006/relationships/hyperlink" Id="rId178" Target="https://doi.org/10.1073/pnas.2312030121" TargetMode="External" /><Relationship Type="http://schemas.openxmlformats.org/officeDocument/2006/relationships/hyperlink" Id="rId273" Target="https://doi.org/10.1086/254195" TargetMode="External" /><Relationship Type="http://schemas.openxmlformats.org/officeDocument/2006/relationships/hyperlink" Id="rId180" Target="https://doi.org/10.1093/oep/46.Supplement_1.878" TargetMode="External" /><Relationship Type="http://schemas.openxmlformats.org/officeDocument/2006/relationships/hyperlink" Id="rId184" Target="https://doi.org/10.1093/qje/qjag011" TargetMode="External" /><Relationship Type="http://schemas.openxmlformats.org/officeDocument/2006/relationships/hyperlink" Id="rId239" Target="https://doi.org/10.1093/reep/rex013" TargetMode="External" /><Relationship Type="http://schemas.openxmlformats.org/officeDocument/2006/relationships/hyperlink" Id="rId201" Target="https://doi.org/10.1093/restud/rdae055" TargetMode="External" /><Relationship Type="http://schemas.openxmlformats.org/officeDocument/2006/relationships/hyperlink" Id="rId327" Target="https://doi.org/10.1126/science.258.5086.1315" TargetMode="External" /><Relationship Type="http://schemas.openxmlformats.org/officeDocument/2006/relationships/hyperlink" Id="rId166" Target="https://doi.org/10.1126/science.abn7950" TargetMode="External" /><Relationship Type="http://schemas.openxmlformats.org/officeDocument/2006/relationships/hyperlink" Id="rId333" Target="https://doi.org/10.1142/S2010007810000054" TargetMode="External" /><Relationship Type="http://schemas.openxmlformats.org/officeDocument/2006/relationships/hyperlink" Id="rId277" Target="https://doi.org/10.1146/annurev-resource-100815-095343" TargetMode="External" /><Relationship Type="http://schemas.openxmlformats.org/officeDocument/2006/relationships/hyperlink" Id="rId392" Target="https://doi.org/10.1162/rest.91.1.1" TargetMode="External" /><Relationship Type="http://schemas.openxmlformats.org/officeDocument/2006/relationships/hyperlink" Id="rId158" Target="https://doi.org/10.1257/aer.102.1.131" TargetMode="External" /><Relationship Type="http://schemas.openxmlformats.org/officeDocument/2006/relationships/hyperlink" Id="rId325" Target="https://doi.org/10.1257/aer.109.6.1991" TargetMode="External" /><Relationship Type="http://schemas.openxmlformats.org/officeDocument/2006/relationships/hyperlink" Id="rId323" Target="https://doi.org/10.1257/aer.15000001" TargetMode="External" /><Relationship Type="http://schemas.openxmlformats.org/officeDocument/2006/relationships/hyperlink" Id="rId241" Target="https://doi.org/10.1257/aer.99.2.198" TargetMode="External" /><Relationship Type="http://schemas.openxmlformats.org/officeDocument/2006/relationships/hyperlink" Id="rId361" Target="https://doi.org/10.1257/jel.51.3.860" TargetMode="External" /><Relationship Type="http://schemas.openxmlformats.org/officeDocument/2006/relationships/hyperlink" Id="rId245" Target="https://doi.org/10.1257/jel.52.3.740" TargetMode="External" /><Relationship Type="http://schemas.openxmlformats.org/officeDocument/2006/relationships/hyperlink" Id="rId243" Target="https://doi.org/10.1257/mac.4.3.66" TargetMode="External" /><Relationship Type="http://schemas.openxmlformats.org/officeDocument/2006/relationships/hyperlink" Id="rId247" Target="https://doi.org/10.1257/pol.20200092" TargetMode="External" /><Relationship Type="http://schemas.openxmlformats.org/officeDocument/2006/relationships/hyperlink" Id="rId258" Target="https://doi.org/10.1515/9781400835881" TargetMode="External" /><Relationship Type="http://schemas.openxmlformats.org/officeDocument/2006/relationships/hyperlink" Id="rId370" Target="https://doi.org/10.2307/1925895" TargetMode="External" /><Relationship Type="http://schemas.openxmlformats.org/officeDocument/2006/relationships/hyperlink" Id="rId366" Target="https://doi.org/10.2307/2224098" TargetMode="External" /><Relationship Type="http://schemas.openxmlformats.org/officeDocument/2006/relationships/hyperlink" Id="rId381" Target="https://doi.org/10.2307/2296370" TargetMode="External" /><Relationship Type="http://schemas.openxmlformats.org/officeDocument/2006/relationships/hyperlink" Id="rId384" Target="https://doi.org/10.2307/2296377" TargetMode="External" /><Relationship Type="http://schemas.openxmlformats.org/officeDocument/2006/relationships/hyperlink" Id="rId390" Target="https://doi.org/10.2307/2296698" TargetMode="External" /><Relationship Type="http://schemas.openxmlformats.org/officeDocument/2006/relationships/hyperlink" Id="rId190" Target="https://doi.org/10.2307/2552442" TargetMode="External" /><Relationship Type="http://schemas.openxmlformats.org/officeDocument/2006/relationships/hyperlink" Id="rId236" Target="https://doi.org/10.2760/7717504" TargetMode="External" /><Relationship Type="http://schemas.openxmlformats.org/officeDocument/2006/relationships/hyperlink" Id="rId176" Target="https://doi.org/10.3386/w31112" TargetMode="External" /><Relationship Type="http://schemas.openxmlformats.org/officeDocument/2006/relationships/hyperlink" Id="rId262" Target="https://doi.org/10.3982/ECTA10217" TargetMode="External" /><Relationship Type="http://schemas.openxmlformats.org/officeDocument/2006/relationships/hyperlink" Id="rId254" Target="https://doi.org/10.5194/essd-18-3889-2026" TargetMode="External" /><Relationship Type="http://schemas.openxmlformats.org/officeDocument/2006/relationships/hyperlink" Id="rId283" Target="https://doi.org/10.59327/IPCC/AR6-9789291691647" TargetMode="External" /><Relationship Type="http://schemas.openxmlformats.org/officeDocument/2006/relationships/hyperlink" Id="rId378" Target="https://eprs.europarl.europa.eu/contents/publications/EPRS/2026/09/EPRS_BRI(2026)791491.html?locale=EN" TargetMode="External" /><Relationship Type="http://schemas.openxmlformats.org/officeDocument/2006/relationships/hyperlink" Id="rId357" Target="https://eur-lex.europa.eu/eli/reg/2026/667/oj" TargetMode="External" /><Relationship Type="http://schemas.openxmlformats.org/officeDocument/2006/relationships/hyperlink" Id="rId355" Target="https://eur-lex.europa.eu/legal-content/EN/TXT/HTML/?uri=OJ:L_202502083" TargetMode="External" /><Relationship Type="http://schemas.openxmlformats.org/officeDocument/2006/relationships/hyperlink" Id="rId205" Target="https://eur-lex.europa.eu/legal-content/ES/TXT/?uri=CELEX:52025PC0989" TargetMode="External" /><Relationship Type="http://schemas.openxmlformats.org/officeDocument/2006/relationships/hyperlink" Id="rId293" Target="https://global-tipping-points.org/" TargetMode="External" /><Relationship Type="http://schemas.openxmlformats.org/officeDocument/2006/relationships/hyperlink" Id="rId260" Target="https://globalcarbonbudget.org/fossil-fuel-co2-emissions-hit-record-high-in-2025/" TargetMode="External" /><Relationship Type="http://schemas.openxmlformats.org/officeDocument/2006/relationships/hyperlink" Id="rId319" Target="https://gml.noaa.gov/ccgg/trends/" TargetMode="External" /><Relationship Type="http://schemas.openxmlformats.org/officeDocument/2006/relationships/hyperlink" Id="rId279" Target="https://icapcarbonaction.com/en/news/china-officially-expands-national-ets-cement-steel-and-aluminum-sectors" TargetMode="External" /><Relationship Type="http://schemas.openxmlformats.org/officeDocument/2006/relationships/hyperlink" Id="rId250" Target="https://public.eex-group.com/eex/eua-auction-report/emission-spot-primary-market-auction-report-2026-data.xlsx" TargetMode="External" /><Relationship Type="http://schemas.openxmlformats.org/officeDocument/2006/relationships/hyperlink" Id="rId207" Target="https://taxation-customs.ec.europa.eu/carbon-border-adjustment-mechanism/cbam-definitive-regime_en" TargetMode="External" /><Relationship Type="http://schemas.openxmlformats.org/officeDocument/2006/relationships/hyperlink" Id="rId209" Target="https://taxation-customs.ec.europa.eu/carbon-border-adjustment-mechanism/price-cbam-certificates_en" TargetMode="External" /><Relationship Type="http://schemas.openxmlformats.org/officeDocument/2006/relationships/hyperlink" Id="rId252" Target="https://taxnews.ey.com/news/2025-1565" TargetMode="External" /><Relationship Type="http://schemas.openxmlformats.org/officeDocument/2006/relationships/hyperlink" Id="rId313" Target="https://treaties.un.org/Pages/ViewDetails.aspx?src=TREATY&amp;mtdsg_no=XXVII-2-a&amp;chapter=27&amp;clang=_en" TargetMode="External" /><Relationship Type="http://schemas.openxmlformats.org/officeDocument/2006/relationships/hyperlink" Id="rId317" Target="https://treaties.un.org/Pages/ViewDetails.aspx?src=TREATY&amp;mtdsg_no=XXVII-7&amp;chapter=27&amp;clang=_en" TargetMode="External" /><Relationship Type="http://schemas.openxmlformats.org/officeDocument/2006/relationships/hyperlink" Id="rId311" Target="https://treaties.un.org/Pages/ViewDetails.aspx?src=TREATY&amp;mtdsg_no=XXVII-7-a&amp;chapter=27&amp;clang=_en" TargetMode="External" /><Relationship Type="http://schemas.openxmlformats.org/officeDocument/2006/relationships/hyperlink" Id="rId315" Target="https://treaties.un.org/Pages/ViewDetails.aspx?src=TREATY&amp;mtdsg_no=XXVII-7-d&amp;chapter=27&amp;clang=_en" TargetMode="External" /><Relationship Type="http://schemas.openxmlformats.org/officeDocument/2006/relationships/hyperlink" Id="rId374" Target="https://treaties.un.org/doc/Publication/CN/2025/CN.71.2025-Eng.pdf" TargetMode="External" /><Relationship Type="http://schemas.openxmlformats.org/officeDocument/2006/relationships/hyperlink" Id="rId376" Target="https://treaties.un.org/doc/Publication/CN/2026/CN.102.2026-Eng.pdf" TargetMode="External" /><Relationship Type="http://schemas.openxmlformats.org/officeDocument/2006/relationships/hyperlink" Id="rId222" Target="https://unfccc.int/cop30" TargetMode="External" /><Relationship Type="http://schemas.openxmlformats.org/officeDocument/2006/relationships/hyperlink" Id="rId232" Target="https://unfccc.int/cop31" TargetMode="External" /><Relationship Type="http://schemas.openxmlformats.org/officeDocument/2006/relationships/hyperlink" Id="rId230" Target="https://unfccc.int/news/cop29-un-climate-conference-agrees-to-triple-finance-to-developing-countries-protecting-lives-and" TargetMode="External" /><Relationship Type="http://schemas.openxmlformats.org/officeDocument/2006/relationships/hyperlink" Id="rId218" Target="https://unfccc.int/resource/docs/2009/cop15/spa/11a01s.pdf" TargetMode="External" /><Relationship Type="http://schemas.openxmlformats.org/officeDocument/2006/relationships/hyperlink" Id="rId220" Target="https://unfccc.int/resource/docs/2010/cop16/spa/07a01s.pdf" TargetMode="External" /><Relationship Type="http://schemas.openxmlformats.org/officeDocument/2006/relationships/hyperlink" Id="rId307" Target="https://unfccc.int/resource/docs/convkp/convsp.pdf" TargetMode="External" /><Relationship Type="http://schemas.openxmlformats.org/officeDocument/2006/relationships/hyperlink" Id="rId309" Target="https://unfccc.int/sites/default/files/spanish_paris_agreement.pdf" TargetMode="External" /><Relationship Type="http://schemas.openxmlformats.org/officeDocument/2006/relationships/hyperlink" Id="rId228" Target="https://unfccc.int/topics/global-stocktake" TargetMode="External" /><Relationship Type="http://schemas.openxmlformats.org/officeDocument/2006/relationships/hyperlink" Id="rId341" Target="https://wmo.int/news/media-centre/greenhouse-gas-levels-once-again-reach-record-high" TargetMode="External" /><Relationship Type="http://schemas.openxmlformats.org/officeDocument/2006/relationships/hyperlink" Id="rId172" Target="https://www.bankingsupervision.europa.eu/ecb/pub/pdf/ssm.climate_stress_test_report.20220708~2e3cc0999f.en.pdf" TargetMode="External" /><Relationship Type="http://schemas.openxmlformats.org/officeDocument/2006/relationships/hyperlink" Id="rId194" Target="https://www.bankofengland.co.uk/speech/2015/breaking-the-tragedy-of-the-horizon-climate-change-and-financial-stability" TargetMode="External" /><Relationship Type="http://schemas.openxmlformats.org/officeDocument/2006/relationships/hyperlink" Id="rId285" Target="https://www.boe.es/buscar/act.php?id=BOE-A-2021-8447" TargetMode="External" /><Relationship Type="http://schemas.openxmlformats.org/officeDocument/2006/relationships/hyperlink" Id="rId197" Target="https://www.c2es.org/wp-content/uploads/2026/02/COP30-Summary-FINAL5.pdf" TargetMode="External" /><Relationship Type="http://schemas.openxmlformats.org/officeDocument/2006/relationships/hyperlink" Id="rId224" Target="https://www.congress.gov/117/plaws/publ169/PLAW-117publ169.pdf" TargetMode="External" /><Relationship Type="http://schemas.openxmlformats.org/officeDocument/2006/relationships/hyperlink" Id="rId226" Target="https://www.congress.gov/119/plaws/publ21/PLAW-119publ21.pdf" TargetMode="External" /><Relationship Type="http://schemas.openxmlformats.org/officeDocument/2006/relationships/hyperlink" Id="rId256" Target="https://www.consilium.europa.eu/en/press/press-releases/2022/12/12/g7-leaders-statement/" TargetMode="External" /><Relationship Type="http://schemas.openxmlformats.org/officeDocument/2006/relationships/hyperlink" Id="rId372" Target="https://www.ecb.europa.eu/press/key/date/2022/html/ecb.sp220317_2~dbb3582f0a.en.html" TargetMode="External" /><Relationship Type="http://schemas.openxmlformats.org/officeDocument/2006/relationships/hyperlink" Id="rId170" Target="https://www.ecb.europa.eu/press/pr/date/2021/html/ecb.pr210708_1~f104919225.en.html" TargetMode="External" /><Relationship Type="http://schemas.openxmlformats.org/officeDocument/2006/relationships/hyperlink" Id="rId359" Target="https://www.econlib.org/library/NPDBooks/Pigou/pgEW.html" TargetMode="External" /><Relationship Type="http://schemas.openxmlformats.org/officeDocument/2006/relationships/hyperlink" Id="rId162" Target="https://www.eea.europa.eu/en/analysis/indicators/total-greenhouse-gas-emission-trends" TargetMode="External" /><Relationship Type="http://schemas.openxmlformats.org/officeDocument/2006/relationships/hyperlink" Id="rId160" Target="https://www.eea.europa.eu/en/analysis/publications/european-climate-risk-assessment" TargetMode="External" /><Relationship Type="http://schemas.openxmlformats.org/officeDocument/2006/relationships/hyperlink" Id="rId388" Target="https://www.epa.gov/system/files/documents/2023-12/epa_scghg_2023_report_final.pdf" TargetMode="External" /><Relationship Type="http://schemas.openxmlformats.org/officeDocument/2006/relationships/hyperlink" Id="rId270" Target="https://www.gov.uk/government/publications/factsheet-carbon-border-adjustment-mechanism-cbam/factsheet-carbon-border-adjustment-mechanism" TargetMode="External" /><Relationship Type="http://schemas.openxmlformats.org/officeDocument/2006/relationships/hyperlink" Id="rId264" Target="https://www.greenclimate.fund/ae/cofides" TargetMode="External" /><Relationship Type="http://schemas.openxmlformats.org/officeDocument/2006/relationships/hyperlink" Id="rId296" Target="https://www.mayerbrown.com/es/insights/publications/2026/10/eus-cbam-downstream-extension-and-anti-circumvention-amendments-the-road-to-trilogue" TargetMode="External" /><Relationship Type="http://schemas.openxmlformats.org/officeDocument/2006/relationships/hyperlink" Id="rId301" Target="https://www.miteco.gob.es/es/cambio-climatico/temas/impactos-vulnerabilidad-y-adaptacion/plan-nacional-adaptacion-cambio-climatico.html" TargetMode="External" /><Relationship Type="http://schemas.openxmlformats.org/officeDocument/2006/relationships/hyperlink" Id="rId303" Target="https://www.miteco.gob.es/es/prensa/ultimas-noticias/2024/septiembre/el-gobierno-aprueba-la-actualizacion-del-plan-nacional-integrado.html" TargetMode="External" /><Relationship Type="http://schemas.openxmlformats.org/officeDocument/2006/relationships/hyperlink" Id="rId321" Target="https://www.ngfs.net/en/first-comprehensive-report-call-action" TargetMode="External" /><Relationship Type="http://schemas.openxmlformats.org/officeDocument/2006/relationships/hyperlink" Id="rId386" Target="https://www.nobelprize.org/prizes/economic-sciences/2018/summary/" TargetMode="External" /><Relationship Type="http://schemas.openxmlformats.org/officeDocument/2006/relationships/hyperlink" Id="rId337" Target="https://www.oecd.org/en/about/news/press-releases/2024/05/developed-countries-materially-surpassed-their-usd-100-billion-climate-finance-commitment-in-2022-oecd.html" TargetMode="External" /><Relationship Type="http://schemas.openxmlformats.org/officeDocument/2006/relationships/hyperlink" Id="rId70" Target="https://www.victorgutierrezmarcos.es/oposicion/temario/cuarto-ejercicio/4B06.pdf" TargetMode="External" /><Relationship Type="http://schemas.openxmlformats.org/officeDocument/2006/relationships/hyperlink" Id="rId20" Target="https://www.victorgutierrezmarcos.es/oposicion/temario/cuarto-ejercicio/4B13.pdf" TargetMode="External" /><Relationship Type="http://schemas.openxmlformats.org/officeDocument/2006/relationships/hyperlink" Id="rId155" Target="https://www.victorgutierrezmarcos.es/oposicion/temario/primer-ejercicio/test/simulador.html" TargetMode="External" /><Relationship Type="http://schemas.openxmlformats.org/officeDocument/2006/relationships/hyperlink" Id="rId52" Target="https://www.victorgutierrezmarcos.es/oposicion/temario/tema-no-disponible.html?tema=3.A.40" TargetMode="External" /><Relationship Type="http://schemas.openxmlformats.org/officeDocument/2006/relationships/hyperlink" Id="rId116" Target="https://www.victorgutierrezmarcos.es/oposicion/temario/tema-no-disponible.html?tema=3.B.30" TargetMode="External" /><Relationship Type="http://schemas.openxmlformats.org/officeDocument/2006/relationships/hyperlink" Id="rId121" Target="https://www.victorgutierrezmarcos.es/oposicion/temario/tema-no-disponible.html?tema=3.B.45" TargetMode="External" /><Relationship Type="http://schemas.openxmlformats.org/officeDocument/2006/relationships/hyperlink" Id="rId23" Target="https://www.victorgutierrezmarcos.es/oposicion/temario/tema-no-disponible.html?tema=4.A.6" TargetMode="External" /><Relationship Type="http://schemas.openxmlformats.org/officeDocument/2006/relationships/hyperlink" Id="rId90" Target="https://www.victorgutierrezmarcos.es/oposicion/temario/tercer-ejercicio/3A10.pdf" TargetMode="External" /><Relationship Type="http://schemas.openxmlformats.org/officeDocument/2006/relationships/hyperlink" Id="rId98" Target="https://www.victorgutierrezmarcos.es/oposicion/temario/tercer-ejercicio/3A14.pdf" TargetMode="External" /><Relationship Type="http://schemas.openxmlformats.org/officeDocument/2006/relationships/hyperlink" Id="rId151" Target="https://www.victorgutierrezmarcos.es/oposicion/temario/tercer-ejercicio/3A16.pdf" TargetMode="External" /><Relationship Type="http://schemas.openxmlformats.org/officeDocument/2006/relationships/hyperlink" Id="rId43" Target="https://www.victorgutierrezmarcos.es/oposicion/temario/tercer-ejercicio/3A20.pdf" TargetMode="External" /><Relationship Type="http://schemas.openxmlformats.org/officeDocument/2006/relationships/hyperlink" Id="rId68" Target="https://www.victorgutierrezmarcos.es/oposicion/temario/tercer-ejercicio/3A21.pdf" TargetMode="External" /><Relationship Type="http://schemas.openxmlformats.org/officeDocument/2006/relationships/hyperlink" Id="rId36" Target="https://www.victorgutierrezmarcos.es/oposicion/temario/tercer-ejercicio/3A22.pdf" TargetMode="External" /><Relationship Type="http://schemas.openxmlformats.org/officeDocument/2006/relationships/hyperlink" Id="rId35" Target="https://www.victorgutierrezmarcos.es/oposicion/temario/tercer-ejercicio/3A23.pdf" TargetMode="External" /><Relationship Type="http://schemas.openxmlformats.org/officeDocument/2006/relationships/hyperlink" Id="rId87" Target="https://www.victorgutierrezmarcos.es/oposicion/temario/tercer-ejercicio/3A24.pdf" TargetMode="External" /><Relationship Type="http://schemas.openxmlformats.org/officeDocument/2006/relationships/hyperlink" Id="rId49" Target="https://www.victorgutierrezmarcos.es/oposicion/temario/tercer-ejercicio/3A36.pdf" TargetMode="External" /><Relationship Type="http://schemas.openxmlformats.org/officeDocument/2006/relationships/hyperlink" Id="rId24" Target="https://www.victorgutierrezmarcos.es/oposicion/temario/tercer-ejercicio/3A43.pdf" TargetMode="External" /><Relationship Type="http://schemas.openxmlformats.org/officeDocument/2006/relationships/hyperlink" Id="rId84" Target="https://www.victorgutierrezmarcos.es/oposicion/temario/tercer-ejercicio/3A44.pdf" TargetMode="External" /><Relationship Type="http://schemas.openxmlformats.org/officeDocument/2006/relationships/hyperlink" Id="rId47" Target="https://www.victorgutierrezmarcos.es/oposicion/temario/tercer-ejercicio/3A45.pdf" TargetMode="External" /><Relationship Type="http://schemas.openxmlformats.org/officeDocument/2006/relationships/hyperlink" Id="rId107" Target="https://www.victorgutierrezmarcos.es/oposicion/temario/tercer-ejercicio/3B19.pdf" TargetMode="External" /><Relationship Type="http://schemas.openxmlformats.org/officeDocument/2006/relationships/hyperlink" Id="rId54" Target="https://www.victorgutierrezmarcos.es/oposicion/temario/tercer-ejercicio/3B28.pdf" TargetMode="External" /><Relationship Type="http://schemas.openxmlformats.org/officeDocument/2006/relationships/hyperlink" Id="rId109" Target="https://www.victorgutierrezmarcos.es/oposicion/temario/tercer-ejercicio/3B33.pdf" TargetMode="External" /><Relationship Type="http://schemas.openxmlformats.org/officeDocument/2006/relationships/hyperlink" Id="rId22" Target="https://www.victorgutierrezmarcos.es/oposicion/temario/tercer-ejercicio/3B37.pdf" TargetMode="External" /><Relationship Type="http://schemas.openxmlformats.org/officeDocument/2006/relationships/hyperlink" Id="rId21" Target="https://www.victorgutierrezmarcos.es/oposicion/temario/tercer-ejercicio/3B41.pdf" TargetMode="External" /><Relationship Type="http://schemas.openxmlformats.org/officeDocument/2006/relationships/hyperlink" Id="rId339" Target="https://www.whitehouse.gov/wp-content/uploads/2025/02/M-25-27-Guidance-Implementing-Section-6-of-Executive-Order-14154-Entitled-Unleashing-American-Energy.pdf" TargetMode="External" /><Relationship Type="http://schemas.openxmlformats.org/officeDocument/2006/relationships/hyperlink" Id="rId174" Target="https://www.worldbank.org/en/news/press-release/2026/05/19/direct-carbon-pricing-covers-nearly-one-third-of-global-emis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3.B.31: El cambio climático y su impacto en la economía. Evidencia y modelos integrados de evaluación. Acuerdos internacionales y principales medidas adoptadas para hacer frente al cambio climático.</dc:title>
  <dc:creator>Víctor Gutiérrez Marcos</dc:creator>
  <dc:description>© 2026 Víctor Gutiérrez Marcos. Todos los derechos reservados. Material exclusivo de victorgutierrezmarcos.es y la app Oposición TCEE · DCE. Puedes usarlo libremente para tu estudio personal. No se autoriza su incorporación a otras plataformas, aplicaciones o servicios. Se reserva expresamente el derecho de minería de textos y datos (art. 4 de la Directiva (UE) 2019/790). Condiciones: https://www.victorgutierrezmarcos.es/condiciones-materiales.html</dc:description>
  <dc:language>es-ES</dc:language>
  <cp:keywords/>
  <dcterms:created xsi:type="dcterms:W3CDTF">2026-10-31T10:23:42Z</dcterms:created>
  <dcterms:modified xsi:type="dcterms:W3CDTF">2026-10-31T10:23:42Z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Exclusivo de victorgutierrezmarcos.es y la app Oposición TCEE · DCE</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3B31</vt:lpwstr>
  </property>
  <property fmtid="{D5CDD505-2E9C-101B-9397-08002B2CF9AE}" pid="6" name="bibliography">
    <vt:lpwstr>C:\Users\vgutierrez\Documents\src\victorgutierrezmarcos.github.io-revision\oposicion\temario\fuentes\3B31\3B31.bib</vt:lpwstr>
  </property>
  <property fmtid="{D5CDD505-2E9C-101B-9397-08002B2CF9AE}" pid="7" name="carpeta">
    <vt:lpwstr>tercer-ejercicio</vt:lpwstr>
  </property>
  <property fmtid="{D5CDD505-2E9C-101B-9397-08002B2CF9AE}" pid="8" name="codigo">
    <vt:lpwstr>3.B.31</vt:lpwstr>
  </property>
  <property fmtid="{D5CDD505-2E9C-101B-9397-08002B2CF9AE}" pid="9" name="condiciones-url">
    <vt:lpwstr>https://www.victorgutierrezmarcos.es/condiciones-materiales.html</vt:lpwstr>
  </property>
  <property fmtid="{D5CDD505-2E9C-101B-9397-08002B2CF9AE}" pid="10" name="csl">
    <vt:lpwstr>C:\Users\vgutierrez\Documents\src\victorgutierrezmarcos.github.io-revision\oposicion\temario\latex\tcee.csl</vt:lpwstr>
  </property>
  <property fmtid="{D5CDD505-2E9C-101B-9397-08002B2CF9AE}" pid="11" name="date">
    <vt:lpwstr>Última actualización: 31/10/2026</vt:lpwstr>
  </property>
  <property fmtid="{D5CDD505-2E9C-101B-9397-08002B2CF9AE}" pid="12" name="ejercicio">
    <vt:lpwstr>Tercer ejercicio</vt:lpwstr>
  </property>
  <property fmtid="{D5CDD505-2E9C-101B-9397-08002B2CF9AE}" pid="13" name="etiqueta">
    <vt:lpwstr>Tema 3.B.31</vt:lpwstr>
  </property>
  <property fmtid="{D5CDD505-2E9C-101B-9397-08002B2CF9AE}" pid="14" name="exclusivo">
    <vt:lpwstr>True</vt:lpwstr>
  </property>
  <property fmtid="{D5CDD505-2E9C-101B-9397-08002B2CF9AE}" pid="15" name="fecha">
    <vt:lpwstr>31/10/2026</vt:lpwstr>
  </property>
  <property fmtid="{D5CDD505-2E9C-101B-9397-08002B2CF9AE}" pid="16" name="fecha-cita">
    <vt:lpwstr>2026/10/31</vt:lpwstr>
  </property>
  <property fmtid="{D5CDD505-2E9C-101B-9397-08002B2CF9AE}" pid="17" name="fecha-iso">
    <vt:lpwstr>2026-10-31</vt:lpwstr>
  </property>
  <property fmtid="{D5CDD505-2E9C-101B-9397-08002B2CF9AE}" pid="18" name="graficos-docx">
    <vt:lpwstr>C:\Users\vgutierrez\Documents\src\victorgutierrezmarcos.github.io-revision\oposicion\temario\fuentes\3B31\graficos</vt:lpwstr>
  </property>
  <property fmtid="{D5CDD505-2E9C-101B-9397-08002B2CF9AE}" pid="19" name="link-citations">
    <vt:lpwstr>True</vt:lpwstr>
  </property>
  <property fmtid="{D5CDD505-2E9C-101B-9397-08002B2CF9AE}" pid="20" name="materia">
    <vt:lpwstr>Economía del medio ambiente</vt:lpwstr>
  </property>
  <property fmtid="{D5CDD505-2E9C-101B-9397-08002B2CF9AE}" pid="21" name="paginas">
    <vt:lpwstr>Tema: 32 págs. · Anexos: 6 · Bibliografía: 8</vt:lpwstr>
  </property>
  <property fmtid="{D5CDD505-2E9C-101B-9397-08002B2CF9AE}" pid="22" name="palabras-clave">
    <vt:lpwstr>cambio climático, economía del cambio climático, externalidad global, coste social del carbono, modelos integrados de evaluación, modelo DICE, Nordhaus, informe Stern, fórmula de Ramsey del descuento, teorema lúgubre de Weitzman, clubes climáticos, Protocolo de Kioto, Acuerdo de París, RCDE, MAFC, CBAM, fuga de carbono, economía del medio ambiente</vt:lpwstr>
  </property>
  <property fmtid="{D5CDD505-2E9C-101B-9397-08002B2CF9AE}" pid="23" name="reference-section-title">
    <vt:lpwstr>Bibliografía</vt:lpwstr>
  </property>
  <property fmtid="{D5CDD505-2E9C-101B-9397-08002B2CF9AE}" pid="24" name="resumen">
    <vt:lpwstr>Externalidad climática, evidencia de daños, coste social del carbono, modelo DICE de Nordhaus, descuento de Stern, clubes climáticos, Kioto, París, RCDE y MAFC.</vt:lpwstr>
  </property>
  <property fmtid="{D5CDD505-2E9C-101B-9397-08002B2CF9AE}" pid="25" name="titulo">
    <vt:lpwstr>El cambio climático y su impacto en la economía. Evidencia y modelos integrados de evaluación. Acuerdos internacionales y principales medidas adoptadas para hacer frente al cambio climático.</vt:lpwstr>
  </property>
  <property fmtid="{D5CDD505-2E9C-101B-9397-08002B2CF9AE}" pid="26" name="titulo-cita">
    <vt:lpwstr>El cambio climático y su impacto en la economía. Evidencia y modelos integrados de evaluación. Acuerdos internacionales y principales medidas adoptadas para hacer frente al cambio climático</vt:lpwstr>
  </property>
  <property fmtid="{D5CDD505-2E9C-101B-9397-08002B2CF9AE}" pid="27" name="titulo-seo">
    <vt:lpwstr>Cambio climático y economía: DICE y acuerdos</vt:lpwstr>
  </property>
</Properties>
</file>