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fia"/>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Hahn, Frank H.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Celdatceegrisclaro" w:type="paragraph">
    <w:name w:val="Celda tceegrisclaro"/>
    <w:basedOn w:val="Normal"/>
    <w:qFormat/>
    <w:pPr>
      <w:spacing w:after="0"/>
      <w:jc w:val="center"/>
      <w:shd w:color="auto" w:fill="E7E6E6" w:val="clear"/>
    </w:pPr>
    <w:rPr>
      <w:rFonts w:ascii="Palatino Linotype" w:cs="Palatino Linotype" w:eastAsia="Palatino Linotype" w:hAnsi="Palatino Linotype"/>
      <w:sz w:val="20"/>
    </w:rPr>
  </w:style>
  <w:style w:customStyle="1" w:styleId="Celdatceecrema" w:type="paragraph">
    <w:name w:val="Celda tceecrema"/>
    <w:basedOn w:val="Normal"/>
    <w:qFormat/>
    <w:pPr>
      <w:spacing w:after="0"/>
      <w:jc w:val="center"/>
      <w:shd w:color="auto" w:fill="FAF9F6" w:val="clear"/>
    </w:pPr>
    <w:rPr>
      <w:rFonts w:ascii="Palatino Linotype" w:cs="Palatino Linotype" w:eastAsia="Palatino Linotype" w:hAnsi="Palatino Linotype"/>
      <w:sz w:val="20"/>
    </w:rPr>
  </w:style>
  <w:style w:customStyle="1" w:styleId="Celdatceemorado" w:type="paragraph">
    <w:name w:val="Celda tceemorado"/>
    <w:basedOn w:val="Normal"/>
    <w:qFormat/>
    <w:pPr>
      <w:spacing w:after="0"/>
      <w:jc w:val="center"/>
      <w:shd w:color="auto" w:fill="5F2987" w:val="clear"/>
    </w:pPr>
    <w:rPr>
      <w:rFonts w:ascii="Palatino Linotype" w:cs="Palatino Linotype" w:eastAsia="Palatino Linotype" w:hAnsi="Palatino Linotype"/>
      <w:color w:val="FFFFFF"/>
      <w:sz w:val="20"/>
    </w:rPr>
  </w:style>
  <w:style w:customStyle="1" w:styleId="Celdatceeverde" w:type="paragraph">
    <w:name w:val="Celda tceeverde"/>
    <w:basedOn w:val="Normal"/>
    <w:qFormat/>
    <w:pPr>
      <w:spacing w:after="0"/>
      <w:jc w:val="center"/>
      <w:shd w:color="auto" w:fill="3C7D3A" w:val="clear"/>
    </w:pPr>
    <w:rPr>
      <w:rFonts w:ascii="Palatino Linotype" w:cs="Palatino Linotype" w:eastAsia="Palatino Linotype" w:hAnsi="Palatino Linotype"/>
      <w:color w:val="FFFFFF"/>
      <w:sz w:val="20"/>
    </w:rPr>
  </w:style>
  <w:style w:customStyle="1" w:styleId="Celdatceeazul" w:type="paragraph">
    <w:name w:val="Celda tceeazul"/>
    <w:basedOn w:val="Normal"/>
    <w:qFormat/>
    <w:pPr>
      <w:spacing w:after="0"/>
      <w:jc w:val="center"/>
      <w:shd w:color="auto" w:fill="1F5F99" w:val="clear"/>
    </w:pPr>
    <w:rPr>
      <w:rFonts w:ascii="Palatino Linotype" w:cs="Palatino Linotype" w:eastAsia="Palatino Linotype" w:hAnsi="Palatino Linotype"/>
      <w:color w:val="FFFFFF"/>
      <w:sz w:val="20"/>
    </w:rPr>
  </w:style>
  <w:style w:customStyle="1" w:styleId="Celdatceerojo" w:type="paragraph">
    <w:name w:val="Celda tceerojo"/>
    <w:basedOn w:val="Normal"/>
    <w:qFormat/>
    <w:pPr>
      <w:spacing w:after="0"/>
      <w:jc w:val="center"/>
      <w:shd w:color="auto" w:fill="B22222" w:val="clear"/>
    </w:pPr>
    <w:rPr>
      <w:rFonts w:ascii="Palatino Linotype" w:cs="Palatino Linotype" w:eastAsia="Palatino Linotype" w:hAnsi="Palatino Linotype"/>
      <w:color w:val="FFFFFF"/>
      <w:sz w:val="20"/>
    </w:rPr>
  </w:style>
  <w:style w:customStyle="1" w:styleId="Celdatceedorado" w:type="paragraph">
    <w:name w:val="Celda tceedorado"/>
    <w:basedOn w:val="Normal"/>
    <w:qFormat/>
    <w:pPr>
      <w:spacing w:after="0"/>
      <w:jc w:val="center"/>
      <w:shd w:color="auto" w:fill="B8860B" w:val="clear"/>
    </w:pPr>
    <w:rPr>
      <w:rFonts w:ascii="Palatino Linotype" w:cs="Palatino Linotype" w:eastAsia="Palatino Linotype" w:hAnsi="Palatino Linotype"/>
      <w:color w:val="FFFFFF"/>
      <w:sz w:val="20"/>
    </w:rPr>
  </w:style>
  <w:style w:customStyle="1" w:styleId="Celdatceenaranja" w:type="paragraph">
    <w:name w:val="Celda tceenaranja"/>
    <w:basedOn w:val="Normal"/>
    <w:qFormat/>
    <w:pPr>
      <w:spacing w:after="0"/>
      <w:jc w:val="center"/>
      <w:shd w:color="auto" w:fill="E07B28" w:val="clear"/>
    </w:pPr>
    <w:rPr>
      <w:rFonts w:ascii="Palatino Linotype" w:cs="Palatino Linotype" w:eastAsia="Palatino Linotype" w:hAnsi="Palatino Linotype"/>
      <w:color w:val="FFFFFF"/>
      <w:sz w:val="20"/>
    </w:rPr>
  </w:style>
  <w:style w:customStyle="1" w:styleId="Celdatceegris" w:type="paragraph">
    <w:name w:val="Celda tceegris"/>
    <w:basedOn w:val="Normal"/>
    <w:qFormat/>
    <w:pPr>
      <w:spacing w:after="0"/>
      <w:jc w:val="center"/>
      <w:shd w:color="auto" w:fill="767171" w:val="clear"/>
    </w:pPr>
    <w:rPr>
      <w:rFonts w:ascii="Palatino Linotype" w:cs="Palatino Linotype" w:eastAsia="Palatino Linotype" w:hAnsi="Palatino Linotype"/>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93" Target="https://www.victorgutierrezmarcos.es/oposicion/temario/tema-no-disponible.html?tema=3.A.14"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2026-10-19T15:31:52Z</dcterms:created>
  <dcterms:modified xsi:type="dcterms:W3CDTF">2026-10-19T15:31:52Z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C:\Users\vgutierrez\Documents\src\victorgutierrezmarcos.github.io-revision\oposicion\temario\fuentes\3A21\graficos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39 págs. · Anexos: 15 · Bibliografía: 7</vt:lpwstr>
  </property>
  <property fmtid="{D5CDD505-2E9C-101B-9397-08002B2CF9AE}" pid="20"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1" name="reference-section-title">
    <vt:lpwstr>Bibliografía</vt:lpwstr>
  </property>
  <property fmtid="{D5CDD505-2E9C-101B-9397-08002B2CF9AE}" pid="22" name="resumen">
    <vt:lpwstr>Modelos de Walras y Arrow-Debreu, existencia, unicidad y estabilidad, teoremas del bienestar, núcleo, Sonnenschein-Mantel-Debreu y modelos MEGC.</vt:lpwstr>
  </property>
  <property fmtid="{D5CDD505-2E9C-101B-9397-08002B2CF9AE}" pid="23" name="titulo">
    <vt:lpwstr>La teoría del equilibrio general.</vt:lpwstr>
  </property>
  <property fmtid="{D5CDD505-2E9C-101B-9397-08002B2CF9AE}" pid="24" name="titulo-cita">
    <vt:lpwstr>La teoría del equilibrio general</vt:lpwstr>
  </property>
  <property fmtid="{D5CDD505-2E9C-101B-9397-08002B2CF9AE}" pid="25" name="titulo-seo">
    <vt:lpwstr>Equilibrio general: Walras y Arrow-Debreu</vt:lpwstr>
  </property>
</Properties>
</file>