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2.png" ContentType="image/png"/>
  <Override PartName="/word/media/rId153.png" ContentType="image/png"/>
  <Override PartName="/word/media/rId108.png" ContentType="image/png"/>
  <Override PartName="/word/media/rId376.png" ContentType="image/png"/>
  <Override PartName="/word/media/rId32.png" ContentType="image/png"/>
  <Override PartName="/word/media/rId43.png" ContentType="image/png"/>
  <Override PartName="/word/media/rId79.png" ContentType="image/png"/>
  <Override PartName="/word/media/rId67.png" ContentType="image/png"/>
  <Override PartName="/word/media/rId123.png" ContentType="image/png"/>
  <Override PartName="/word/media/rId262.png" ContentType="image/png"/>
  <Override PartName="/word/media/rId248.png" ContentType="image/png"/>
  <Override PartName="/word/media/rId134.png" ContentType="image/png"/>
  <Override PartName="/word/media/rId221.png" ContentType="image/png"/>
  <Override PartName="/word/media/rId321.png" ContentType="image/png"/>
  <Override PartName="/word/media/rId295.png" ContentType="image/png"/>
  <Override PartName="/word/media/rId197.png" ContentType="image/png"/>
  <Override PartName="/word/media/rId169.png" ContentType="image/png"/>
  <Override PartName="/word/media/rId183.png" ContentType="image/png"/>
  <Override PartName="/word/media/rId23.png" ContentType="image/png"/>
  <Override PartName="/word/media/rId270.png" ContentType="image/png"/>
  <Override PartName="/word/media/rId144.png" ContentType="image/png"/>
  <Override PartName="/word/media/rId242.png" ContentType="image/png"/>
  <Override PartName="/word/media/rId330.png" ContentType="image/png"/>
  <Override PartName="/word/media/rId37.png" ContentType="image/png"/>
  <Override PartName="/word/media/rId176.png" ContentType="image/png"/>
  <Override PartName="/word/media/rId285.png" ContentType="image/png"/>
  <Override PartName="/word/media/rId302.png" ContentType="image/png"/>
  <Override PartName="/word/media/rId93.png" ContentType="image/png"/>
  <Override PartName="/word/media/rId128.png" ContentType="image/png"/>
  <Override PartName="/word/media/rId313.png" ContentType="image/png"/>
  <Override PartName="/word/media/rId25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25/10/2026</w:t>
      </w:r>
    </w:p>
    <w:p>
      <w:pPr>
        <w:pStyle w:val="Paginasdeltema"/>
      </w:pPr>
      <w:r>
        <w:t xml:space="preserve">Guía: 74 págs. · Anexos: 32 · Bibliografía: 11 (PDF)</w:t>
      </w:r>
    </w:p>
    <w:bookmarkStart w:id="22"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w:t>
      </w:r>
      <w:r>
        <w:t xml:space="preserve"> </w:t>
      </w:r>
      <w:r>
        <w:rPr>
          <w:b/>
          <w:bCs/>
        </w:rPr>
        <w:t xml:space="preserve">cuadro macroeconómico</w:t>
      </w:r>
      <w:r>
        <w:t xml:space="preserve"> </w:t>
      </w:r>
      <w:r>
        <w:t xml:space="preserve">y unos</w:t>
      </w:r>
      <w:r>
        <w:t xml:space="preserve"> </w:t>
      </w:r>
      <w:r>
        <w:rPr>
          <w:b/>
          <w:bCs/>
        </w:rPr>
        <w:t xml:space="preserve">gráficos</w:t>
      </w:r>
      <w:r>
        <w:t xml:space="preserve"> </w:t>
      </w:r>
      <w:r>
        <w:t xml:space="preserve">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w:t>
      </w:r>
      <w:r>
        <w:t xml:space="preserve"> </w:t>
      </w:r>
      <w:r>
        <w:rPr>
          <w:u w:val="single"/>
        </w:rPr>
        <w:t xml:space="preserve">hay que</w:t>
      </w:r>
      <w:r>
        <w:rPr>
          <w:u w:val="single"/>
        </w:rPr>
        <w:t xml:space="preserve"> </w:t>
      </w:r>
      <w:r>
        <w:rPr>
          <w:i/>
          <w:iCs/>
          <w:u w:val="single"/>
        </w:rPr>
        <w:t xml:space="preserve">interpretar</w:t>
      </w:r>
      <w:r>
        <w:rPr>
          <w:u w:val="single"/>
        </w:rPr>
        <w:t xml:space="preserve"> </w:t>
      </w:r>
      <w:r>
        <w:rPr>
          <w:u w:val="single"/>
        </w:rPr>
        <w:t xml:space="preserve">los datos, no describirlos</w:t>
      </w:r>
      <w:r>
        <w:t xml:space="preserve">, proponer relaciones causales con prudencia y decir qué importa en</w:t>
      </w:r>
      <w:r>
        <w:t xml:space="preserve"> </w:t>
      </w:r>
      <w:r>
        <w:rPr>
          <w:i/>
          <w:iCs/>
        </w:rPr>
        <w:t xml:space="preserve">ese</w:t>
      </w:r>
      <w:r>
        <w:t xml:space="preserve"> </w:t>
      </w:r>
      <w:r>
        <w:t xml:space="preserve">país.</w:t>
      </w:r>
    </w:p>
    <w:p>
      <w:pPr>
        <w:keepNext/>
        <w:numPr>
          <w:ilvl w:val="1"/>
          <w:numId w:val="1002"/>
        </w:numPr>
      </w:pPr>
      <w:r>
        <w:t xml:space="preserve">Un análisis completo de la situación económica de un país tiene 3 partes:</w:t>
      </w:r>
    </w:p>
    <w:p>
      <w:pPr>
        <w:numPr>
          <w:ilvl w:val="2"/>
          <w:numId w:val="1003"/>
        </w:numPr>
      </w:pPr>
      <w:r>
        <w:t xml:space="preserve">una</w:t>
      </w:r>
      <w:r>
        <w:t xml:space="preserve"> </w:t>
      </w:r>
      <w:r>
        <w:rPr>
          <w:b/>
          <w:bCs/>
        </w:rPr>
        <w:t xml:space="preserve">idea de conjunto</w:t>
      </w:r>
      <w:r>
        <w:t xml:space="preserve"> </w:t>
      </w:r>
      <w:r>
        <w:t xml:space="preserve">del estado actual de la economía, con sus principales fortalezas y debilidades;</w:t>
      </w:r>
    </w:p>
    <w:p>
      <w:pPr>
        <w:numPr>
          <w:ilvl w:val="2"/>
          <w:numId w:val="1003"/>
        </w:numPr>
      </w:pPr>
      <w:r>
        <w:t xml:space="preserve">los</w:t>
      </w:r>
      <w:r>
        <w:t xml:space="preserve"> </w:t>
      </w:r>
      <w:r>
        <w:rPr>
          <w:b/>
          <w:bCs/>
        </w:rPr>
        <w:t xml:space="preserve">factores</w:t>
      </w:r>
      <w:r>
        <w:t xml:space="preserve"> </w:t>
      </w:r>
      <w:r>
        <w:t xml:space="preserve">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w:t>
      </w:r>
      <w:r>
        <w:t xml:space="preserve"> </w:t>
      </w:r>
      <w:r>
        <w:rPr>
          <w:b/>
          <w:bCs/>
        </w:rPr>
        <w:t xml:space="preserve">evolución futura</w:t>
      </w:r>
      <w:r>
        <w:t xml:space="preserve"> </w:t>
      </w:r>
      <w:r>
        <w:t xml:space="preserve">y de las</w:t>
      </w:r>
      <w:r>
        <w:t xml:space="preserve"> </w:t>
      </w:r>
      <w:r>
        <w:rPr>
          <w:b/>
          <w:bCs/>
        </w:rPr>
        <w:t xml:space="preserve">políticas</w:t>
      </w:r>
      <w:r>
        <w:t xml:space="preserve"> </w:t>
      </w:r>
      <w:r>
        <w:t xml:space="preserve">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w:t>
      </w:r>
      <w:r>
        <w:t xml:space="preserve"> </w:t>
      </w:r>
      <w:r>
        <w:rPr>
          <w:b/>
          <w:bCs/>
        </w:rPr>
        <w:t xml:space="preserve">teoría económica</w:t>
      </w:r>
      <w:r>
        <w:t xml:space="preserve"> </w:t>
      </w:r>
      <w:r>
        <w:t xml:space="preserve">y en</w:t>
      </w:r>
      <w:r>
        <w:t xml:space="preserve"> </w:t>
      </w:r>
      <w:r>
        <w:rPr>
          <w:b/>
          <w:bCs/>
        </w:rPr>
        <w:t xml:space="preserve">cómo interpretar los datos</w:t>
      </w:r>
      <w:r>
        <w:t xml:space="preserve"> </w:t>
      </w:r>
      <w:r>
        <w:t xml:space="preserve">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Es una guía para</w:t>
      </w:r>
      <w:r>
        <w:t xml:space="preserve"> </w:t>
      </w:r>
      <w:r>
        <w:rPr>
          <w:i/>
          <w:iCs/>
        </w:rPr>
        <w:t xml:space="preserve">ver</w:t>
      </w:r>
      <w:r>
        <w:t xml:space="preserve">: cada bloque se apoya en</w:t>
      </w:r>
      <w:r>
        <w:t xml:space="preserve"> </w:t>
      </w:r>
      <w:r>
        <w:rPr>
          <w:b/>
          <w:bCs/>
        </w:rPr>
        <w:t xml:space="preserve">esquemas</w:t>
      </w:r>
      <w:r>
        <w:t xml:space="preserve"> </w:t>
      </w:r>
      <w:r>
        <w:t xml:space="preserve">(las mismas infografías del resumen) y en</w:t>
      </w:r>
      <w:r>
        <w:t xml:space="preserve"> </w:t>
      </w:r>
      <w:r>
        <w:rPr>
          <w:b/>
          <w:bCs/>
        </w:rPr>
        <w:t xml:space="preserve">gráficos con datos reales</w:t>
      </w:r>
      <w:r>
        <w:t xml:space="preserve"> </w:t>
      </w:r>
      <w:r>
        <w:t xml:space="preserve">de la zona del euro, España y el mundo, cada uno con un pie que dice</w:t>
      </w:r>
      <w:r>
        <w:t xml:space="preserve"> </w:t>
      </w:r>
      <w:r>
        <w:rPr>
          <w:i/>
          <w:iCs/>
        </w:rPr>
        <w:t xml:space="preserve">qué hay que ver</w:t>
      </w:r>
      <w:r>
        <w:t xml:space="preserve"> </w:t>
      </w:r>
      <w:r>
        <w:t xml:space="preserve">en él. Las fórmulas que conviene llevar a la pizarra van en cuadros morados.</w:t>
      </w:r>
    </w:p>
    <w:p>
      <w:pPr>
        <w:numPr>
          <w:ilvl w:val="1"/>
          <w:numId w:val="1004"/>
        </w:numPr>
      </w:pPr>
      <w:r>
        <w:t xml:space="preserve">Un código de lectura fijo: en</w:t>
      </w:r>
      <w:r>
        <w:t xml:space="preserve"> </w:t>
      </w:r>
      <w:r>
        <w:rPr>
          <w:b/>
          <w:bCs/>
        </w:rPr>
        <w:t xml:space="preserve">negrita</w:t>
      </w:r>
      <w:r>
        <w:t xml:space="preserve">, las palabras clave; en</w:t>
      </w:r>
      <w:r>
        <w:t xml:space="preserve"> </w:t>
      </w:r>
      <w:r>
        <w:rPr>
          <w:i/>
          <w:iCs/>
        </w:rPr>
        <w:t xml:space="preserve">cursiva</w:t>
      </w:r>
      <w:r>
        <w:t xml:space="preserve">, los términos técnicos y los matices;</w:t>
      </w:r>
      <w:r>
        <w:t xml:space="preserve"> </w:t>
      </w:r>
      <w:r>
        <w:rPr>
          <w:u w:val="single"/>
        </w:rPr>
        <w:t xml:space="preserve">subrayado, la idea que hay que decir sí o sí en el examen</w:t>
      </w:r>
      <w:r>
        <w:t xml:space="preserve">.</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Los anexos recogen lo que se consulta y no se memoriza entero: primero la economía y después el examen. El anexo </w:t>
      </w:r>
      <w:hyperlink w:anchor="anexo_indicadores">
        <w:r>
          <w:rPr>
            <w:rStyle w:val="Hyperlink"/>
          </w:rPr>
          <w:t xml:space="preserve">A</w:t>
        </w:r>
      </w:hyperlink>
      <w:r>
        <w:t xml:space="preserve"> </w:t>
      </w:r>
      <w:r>
        <w:t xml:space="preserve">reúne los indicadores, los umbrales y las fórmulas, con cálculos tipo; el anexo </w:t>
      </w:r>
      <w:hyperlink w:anchor="anexo_casos">
        <w:r>
          <w:rPr>
            <w:rStyle w:val="Hyperlink"/>
          </w:rPr>
          <w:t xml:space="preserve">B</w:t>
        </w:r>
      </w:hyperlink>
      <w:r>
        <w:t xml:space="preserve">, los casos que más se repiten (demografía, aranceles, un brote de inflación, un choque externo…) y las expresiones útiles para redactar; el anexo </w:t>
      </w:r>
      <w:hyperlink w:anchor="anexo_fmi">
        <w:r>
          <w:rPr>
            <w:rStyle w:val="Hyperlink"/>
          </w:rPr>
          <w:t xml:space="preserve">C</w:t>
        </w:r>
      </w:hyperlink>
      <w:r>
        <w:t xml:space="preserve">, la programación financiera del FMI, un caso de España y los temas que sostienen cada bloque; y el anexo </w:t>
      </w:r>
      <w:hyperlink w:anchor="anexo_metodo">
        <w:r>
          <w:rPr>
            <w:rStyle w:val="Hyperlink"/>
          </w:rPr>
          <w:t xml:space="preserve">D</w:t>
        </w:r>
      </w:hyperlink>
      <w:r>
        <w:t xml:space="preserve">, el ejercicio y el método (qué valora el tribunal, el reparto del tiempo, cómo leer el cuadernillo y redactar, la matriz de fortalezas y debilidades) y lo que se ha preguntado.</w:t>
      </w:r>
    </w:p>
    <w:p>
      <w:pPr>
        <w:numPr>
          <w:ilvl w:val="1"/>
          <w:numId w:val="1004"/>
        </w:numPr>
      </w:pPr>
      <w:r>
        <w:t xml:space="preserve">Se aprende con dictámenes resueltos: primero el método y el perfil cíclico, después un dictamen oficial completo con el reloj delante, y luego los demás bloques.</w:t>
      </w:r>
    </w:p>
    <w:p>
      <w:pPr>
        <w:numPr>
          <w:ilvl w:val="1"/>
          <w:numId w:val="1004"/>
        </w:numPr>
      </w:pPr>
      <w:r>
        <w:t xml:space="preserve">Los gráficos y las filas poco habituales del cuadernillo</w:t>
      </w:r>
      <w:r>
        <w:t xml:space="preserve"> </w:t>
      </w:r>
      <w:r>
        <w:rPr>
          <w:b/>
          <w:bCs/>
        </w:rPr>
        <w:t xml:space="preserve">no suelen ser gratuitos</w:t>
      </w:r>
      <w:r>
        <w:t xml:space="preserve"> </w:t>
      </w:r>
      <w:r>
        <w:t xml:space="preserve">(días de huelga, uso de la capacidad productiva, precios de los activos o de las materias primas): si el tribunal los da, es para usarlos en alguna respuesta (anexo </w:t>
      </w:r>
      <w:hyperlink w:anchor="anexo_leer">
        <w:r>
          <w:rPr>
            <w:rStyle w:val="Hyperlink"/>
          </w:rPr>
          <w:t xml:space="preserve">D.4</w:t>
        </w:r>
      </w:hyperlink>
      <w:r>
        <w:t xml:space="preserve">).</w:t>
      </w:r>
    </w:p>
    <w:p>
      <w:pPr>
        <w:numPr>
          <w:ilvl w:val="1"/>
          <w:numId w:val="1004"/>
        </w:numPr>
      </w:pPr>
      <w:r>
        <w:t xml:space="preserve">Se pide ser</w:t>
      </w:r>
      <w:r>
        <w:t xml:space="preserve"> </w:t>
      </w:r>
      <w:r>
        <w:rPr>
          <w:b/>
          <w:bCs/>
        </w:rPr>
        <w:t xml:space="preserve">perspicaz, no descriptivo</w:t>
      </w:r>
      <w:r>
        <w:t xml:space="preserve">: explicar qué hay detrás de los datos y no contarlos año a año (ejemplo en el apartado </w:t>
      </w:r>
      <w:hyperlink w:anchor="sec_demanda">
        <w:r>
          <w:rPr>
            <w:rStyle w:val="Hyperlink"/>
          </w:rPr>
          <w:t xml:space="preserve">I.4</w:t>
        </w:r>
      </w:hyperlink>
      <w:r>
        <w:t xml:space="preserve">).</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D.3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w:t>
      </w:r>
      <w:r>
        <w:t xml:space="preserve"> </w:t>
      </w:r>
      <w:r>
        <w:rPr>
          <w:b/>
          <w:bCs/>
        </w:rPr>
        <w:t xml:space="preserve">lectura</w:t>
      </w:r>
      <w:r>
        <w:t xml:space="preserve"> </w:t>
      </w:r>
      <w:r>
        <w:t xml:space="preserve">(en torno al 10 % del tiempo), sin escribir en las hojas de respuesta; al final, unos minutos de</w:t>
      </w:r>
      <w:r>
        <w:t xml:space="preserve"> </w:t>
      </w:r>
      <w:r>
        <w:rPr>
          <w:b/>
          <w:bCs/>
        </w:rPr>
        <w:t xml:space="preserve">repaso</w:t>
      </w:r>
      <w:r>
        <w:t xml:space="preserve"> </w:t>
      </w:r>
      <w:r>
        <w:t xml:space="preserve">(en torno al 5 %).</w:t>
      </w:r>
    </w:p>
    <w:p>
      <w:pPr>
        <w:numPr>
          <w:ilvl w:val="1"/>
          <w:numId w:val="1005"/>
        </w:numPr>
      </w:pPr>
      <w:r>
        <w:t xml:space="preserve">El resto se reparte entre las preguntas, pero no a partes iguales:</w:t>
      </w:r>
      <w:r>
        <w:t xml:space="preserve"> </w:t>
      </w:r>
      <w:r>
        <w:rPr>
          <w:u w:val="single"/>
        </w:rPr>
        <w:t xml:space="preserve">más tiempo a las que tocan los retos reales de esa economía</w:t>
      </w:r>
      <w:r>
        <w:t xml:space="preserve"> </w:t>
      </w:r>
      <w:r>
        <w:t xml:space="preserve">(sus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rPr>
          <w:b/>
          <w:bCs/>
        </w:rPr>
        <w:t xml:space="preserve">Ninguna pregunta en blanco</w:t>
      </w:r>
      <w:r>
        <w:t xml:space="preserve">: si se acaba el tiempo de una, se cierra con una frase de conclusión y se pasa a la siguiente. Cada pregunta se relee nada más redactarla.</w:t>
      </w:r>
    </w:p>
    <w:p>
      <w:pPr>
        <w:pStyle w:val="Esquema"/>
      </w:pPr>
      <w:r>
        <w:rPr>
          <w:b/>
          <w:bCs/>
        </w:rPr>
        <w:t xml:space="preserve">Esquema del tema. </w:t>
      </w:r>
      <w:r>
        <w:rPr>
          <w:b/>
          <w:bCs/>
        </w:rPr>
        <w:t xml:space="preserve">Guía para el dictamen de coyuntura económica</w:t>
      </w:r>
      <w:r>
        <w:br/>
      </w:r>
      <w:r>
        <w:t xml:space="preserve">Introducción: qué es la guía, cómo se usa y el tiempo en pocas reglas</w:t>
      </w:r>
      <w:r>
        <w:br/>
      </w:r>
      <w:hyperlink w:anchor="sec_perfil">
        <w:r>
          <w:rPr>
            <w:rStyle w:val="Hyperlink"/>
          </w:rPr>
          <w:t xml:space="preserve">I</w:t>
        </w:r>
      </w:hyperlink>
      <w:r>
        <w:t xml:space="preserve">Perfil cíclico de la economía</w:t>
      </w:r>
      <w:r>
        <w:br/>
      </w:r>
      <w:hyperlink w:anchor="sec_pib">
        <w:r>
          <w:rPr>
            <w:rStyle w:val="Hyperlink"/>
          </w:rPr>
          <w:t xml:space="preserve">I.1</w:t>
        </w:r>
      </w:hyperlink>
      <w:r>
        <w:t xml:space="preserve">Conceptos generales: el PIB y sus 3 enfoques; PIB, RNB y renta disponible</w:t>
      </w:r>
      <w:r>
        <w:br/>
      </w:r>
      <w:hyperlink w:anchor="sec_etapas">
        <w:r>
          <w:rPr>
            <w:rStyle w:val="Hyperlink"/>
          </w:rPr>
          <w:t xml:space="preserve">I.2</w:t>
        </w:r>
      </w:hyperlink>
      <w:r>
        <w:t xml:space="preserve">Diagnóstico y etapas del ciclo: la frase ejecutiva; tendencia y ciclo; las 4 fases; hechos estilizados</w:t>
      </w:r>
      <w:r>
        <w:br/>
      </w:r>
      <w:hyperlink w:anchor="sec_medidores">
        <w:r>
          <w:rPr>
            <w:rStyle w:val="Hyperlink"/>
          </w:rPr>
          <w:t xml:space="preserve">I.3</w:t>
        </w:r>
      </w:hyperlink>
      <w:r>
        <w:t xml:space="preserve">Medidores: crecimiento del PIB real; brecha de producción y PIB potencial; PIB frente a RNB; indicadores adelantados y de alta frecuencia</w:t>
      </w:r>
      <w:r>
        <w:br/>
      </w:r>
      <w:hyperlink w:anchor="sec_demanda">
        <w:r>
          <w:rPr>
            <w:rStyle w:val="Hyperlink"/>
          </w:rPr>
          <w:t xml:space="preserve">I.4</w:t>
        </w:r>
      </w:hyperlink>
      <w:r>
        <w:t xml:space="preserve">Demanda: el motor (contribuciones); consumo privado; inversión; consumo e inversión públicos; demanda externa</w:t>
      </w:r>
      <w:r>
        <w:br/>
      </w:r>
      <w:hyperlink w:anchor="sec_oferta">
        <w:r>
          <w:rPr>
            <w:rStyle w:val="Hyperlink"/>
          </w:rPr>
          <w:t xml:space="preserve">I.5</w:t>
        </w:r>
      </w:hyperlink>
      <w:r>
        <w:t xml:space="preserve">Oferta: productividad o acumulación de factores; sectores; un sector dominante (petróleo y materias primas)</w:t>
      </w:r>
      <w:r>
        <w:br/>
      </w:r>
      <w:hyperlink w:anchor="sec_anticipar">
        <w:r>
          <w:rPr>
            <w:rStyle w:val="Hyperlink"/>
          </w:rPr>
          <w:t xml:space="preserve">I.6</w:t>
        </w:r>
      </w:hyperlink>
      <w:r>
        <w:t xml:space="preserve">Anticipar el diagnóstico: economía avanzada o emergente; desequilibrios y fortalezas</w:t>
      </w:r>
      <w:r>
        <w:br/>
      </w:r>
      <w:hyperlink w:anchor="sec_factores">
        <w:r>
          <w:rPr>
            <w:rStyle w:val="Hyperlink"/>
          </w:rPr>
          <w:t xml:space="preserve">II</w:t>
        </w:r>
      </w:hyperlink>
      <w:r>
        <w:t xml:space="preserve">Mercados de factores</w:t>
      </w:r>
      <w:r>
        <w:br/>
      </w:r>
      <w:hyperlink w:anchor="sec_trabajo">
        <w:r>
          <w:rPr>
            <w:rStyle w:val="Hyperlink"/>
          </w:rPr>
          <w:t xml:space="preserve">II.1</w:t>
        </w:r>
      </w:hyperlink>
      <w:r>
        <w:t xml:space="preserve">Mercado de trabajo: cantidades; productividad; salarios, CLU y margen; demanda y oferta de trabajo; tipos de paro, NAIRU e histéresis;</w:t>
      </w:r>
      <w:r>
        <w:t xml:space="preserve"> </w:t>
      </w:r>
      <w:r>
        <w:rPr>
          <w:smallCaps/>
        </w:rPr>
        <w:t xml:space="preserve">Okun</w:t>
      </w:r>
      <w:r>
        <w:t xml:space="preserve"> </w:t>
      </w:r>
      <w:r>
        <w:t xml:space="preserve">y</w:t>
      </w:r>
      <w:r>
        <w:t xml:space="preserve"> </w:t>
      </w:r>
      <w:r>
        <w:rPr>
          <w:smallCaps/>
        </w:rPr>
        <w:t xml:space="preserve">Phillips</w:t>
      </w:r>
      <w:r>
        <w:t xml:space="preserve">; curva de</w:t>
      </w:r>
      <w:r>
        <w:t xml:space="preserve"> </w:t>
      </w:r>
      <w:r>
        <w:rPr>
          <w:smallCaps/>
        </w:rPr>
        <w:t xml:space="preserve">Beveridge</w:t>
      </w:r>
      <w:r>
        <w:t xml:space="preserve">; demografía, migración y salario mínimo</w:t>
      </w:r>
      <w:r>
        <w:br/>
      </w:r>
      <w:hyperlink w:anchor="sec_capitales">
        <w:r>
          <w:rPr>
            <w:rStyle w:val="Hyperlink"/>
          </w:rPr>
          <w:t xml:space="preserve">II.2</w:t>
        </w:r>
      </w:hyperlink>
      <w:r>
        <w:t xml:space="preserve">Mercado de capitales: capital físico; crédito y financiación</w:t>
      </w:r>
      <w:r>
        <w:br/>
      </w:r>
      <w:hyperlink w:anchor="sec_competitividad">
        <w:r>
          <w:rPr>
            <w:rStyle w:val="Hyperlink"/>
          </w:rPr>
          <w:t xml:space="preserve">III</w:t>
        </w:r>
      </w:hyperlink>
      <w:r>
        <w:t xml:space="preserve">Competitividad</w:t>
      </w:r>
      <w:r>
        <w:br/>
      </w:r>
      <w:hyperlink w:anchor="sec_precios">
        <w:r>
          <w:rPr>
            <w:rStyle w:val="Hyperlink"/>
          </w:rPr>
          <w:t xml:space="preserve">III.1</w:t>
        </w:r>
      </w:hyperlink>
      <w:r>
        <w:t xml:space="preserve">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choques de oferta y de demanda; origen de la inflación; efectos indirectos y de segunda ronda; política que requiere</w:t>
      </w:r>
      <w:r>
        <w:br/>
      </w:r>
      <w:hyperlink w:anchor="sec_tipo_cambio">
        <w:r>
          <w:rPr>
            <w:rStyle w:val="Hyperlink"/>
          </w:rPr>
          <w:t xml:space="preserve">III.2</w:t>
        </w:r>
      </w:hyperlink>
      <w:r>
        <w:t xml:space="preserve">Tipo de cambio: traspaso; PPA y tipo de cambio real;</w:t>
      </w:r>
      <w:r>
        <w:t xml:space="preserve"> </w:t>
      </w:r>
      <w:r>
        <w:rPr>
          <w:smallCaps/>
        </w:rPr>
        <w:t xml:space="preserve">Marshall</w:t>
      </w:r>
      <w:r>
        <w:t xml:space="preserve">-</w:t>
      </w:r>
      <w:r>
        <w:rPr>
          <w:smallCaps/>
        </w:rPr>
        <w:t xml:space="preserve">Lerner</w:t>
      </w:r>
      <w:r>
        <w:t xml:space="preserve"> </w:t>
      </w:r>
      <w:r>
        <w:t xml:space="preserve">y curva J; devaluación; régimen cambiario y entradas de capital</w:t>
      </w:r>
      <w:r>
        <w:br/>
      </w:r>
      <w:hyperlink w:anchor="sec_no_precio">
        <w:r>
          <w:rPr>
            <w:rStyle w:val="Hyperlink"/>
          </w:rPr>
          <w:t xml:space="preserve">III.3</w:t>
        </w:r>
      </w:hyperlink>
      <w:r>
        <w:t xml:space="preserve">Competitividad no precio y política comercial</w:t>
      </w:r>
      <w:r>
        <w:br/>
      </w:r>
      <w:hyperlink w:anchor="sec_exterior">
        <w:r>
          <w:rPr>
            <w:rStyle w:val="Hyperlink"/>
          </w:rPr>
          <w:t xml:space="preserve">IV</w:t>
        </w:r>
      </w:hyperlink>
      <w:r>
        <w:t xml:space="preserve">Sector exterior</w:t>
      </w:r>
      <w:r>
        <w:br/>
      </w:r>
      <w:hyperlink w:anchor="sec_cuenta_corriente">
        <w:r>
          <w:rPr>
            <w:rStyle w:val="Hyperlink"/>
          </w:rPr>
          <w:t xml:space="preserve">IV.1</w:t>
        </w:r>
      </w:hyperlink>
      <w:r>
        <w:t xml:space="preserve">¿Capacidad o necesidad de financiación? La balanza de pagos; ahorro, inversión y saldos sectoriales; déficits razonables y no razonables</w:t>
      </w:r>
      <w:r>
        <w:br/>
      </w:r>
      <w:hyperlink w:anchor="sec_financiacion">
        <w:r>
          <w:rPr>
            <w:rStyle w:val="Hyperlink"/>
          </w:rPr>
          <w:t xml:space="preserve">IV.2</w:t>
        </w:r>
      </w:hyperlink>
      <w:r>
        <w:t xml:space="preserve">¿Cómo se financia? La cuenta financiera, la presentación analítica y las reservas</w:t>
      </w:r>
      <w:r>
        <w:br/>
      </w:r>
      <w:hyperlink w:anchor="sec_piin">
        <w:r>
          <w:rPr>
            <w:rStyle w:val="Hyperlink"/>
          </w:rPr>
          <w:t xml:space="preserve">IV.3</w:t>
        </w:r>
      </w:hyperlink>
      <w:r>
        <w:t xml:space="preserve">Posición de inversión internacional y deuda externa: efecto valoración; enfoque de balances; indicadores de deuda externa</w:t>
      </w:r>
      <w:r>
        <w:br/>
      </w:r>
      <w:hyperlink w:anchor="sec_sostenibilidad_exterior">
        <w:r>
          <w:rPr>
            <w:rStyle w:val="Hyperlink"/>
          </w:rPr>
          <w:t xml:space="preserve">IV.4</w:t>
        </w:r>
      </w:hyperlink>
      <w:r>
        <w:t xml:space="preserve">¿Es sostenible? Financiar o ajustar</w:t>
      </w:r>
      <w:r>
        <w:br/>
      </w:r>
      <w:hyperlink w:anchor="sec_politicas">
        <w:r>
          <w:rPr>
            <w:rStyle w:val="Hyperlink"/>
          </w:rPr>
          <w:t xml:space="preserve">V</w:t>
        </w:r>
      </w:hyperlink>
      <w:r>
        <w:t xml:space="preserve">Políticas</w:t>
      </w:r>
      <w:r>
        <w:br/>
      </w:r>
      <w:hyperlink w:anchor="sec_monetaria">
        <w:r>
          <w:rPr>
            <w:rStyle w:val="Hyperlink"/>
          </w:rPr>
          <w:t xml:space="preserve">V.1</w:t>
        </w:r>
      </w:hyperlink>
      <w:r>
        <w:t xml:space="preserve">Política monetaria: diseño, objetivo aparente, tono, canales y retardos, eficacia, balance</w:t>
      </w:r>
      <w:r>
        <w:br/>
      </w:r>
      <w:hyperlink w:anchor="sec_estabilidad">
        <w:r>
          <w:rPr>
            <w:rStyle w:val="Hyperlink"/>
          </w:rPr>
          <w:t xml:space="preserve">V.2</w:t>
        </w:r>
      </w:hyperlink>
      <w:r>
        <w:t xml:space="preserve">Estabilidad financiera y política macroprudencial: endeudamiento, indicadores bancarios, riesgos, regulación micro y macroprudencial, supervisión y unión bancaria, gestión de crisis</w:t>
      </w:r>
      <w:r>
        <w:br/>
      </w:r>
      <w:hyperlink w:anchor="sec_fiscal">
        <w:r>
          <w:rPr>
            <w:rStyle w:val="Hyperlink"/>
          </w:rPr>
          <w:t xml:space="preserve">V.3</w:t>
        </w:r>
      </w:hyperlink>
      <w:r>
        <w:t xml:space="preserve">Política fiscal y deuda pública: saldos y tono; reglas; sostenibilidad; financiación del déficit; inflación y cuentas públicas; otros análisis (estabilizadores, deuda a corto y regional, calificación, vida media)</w:t>
      </w:r>
      <w:r>
        <w:br/>
      </w:r>
      <w:hyperlink w:anchor="sec_policy_mix">
        <w:r>
          <w:rPr>
            <w:rStyle w:val="Hyperlink"/>
          </w:rPr>
          <w:t xml:space="preserve">V.4</w:t>
        </w:r>
      </w:hyperlink>
      <w:r>
        <w:t xml:space="preserve">Combinación de políticas (</w:t>
      </w:r>
      <w:r>
        <w:rPr>
          <w:i/>
          <w:iCs/>
        </w:rPr>
        <w:t xml:space="preserve">policy mix</w:t>
      </w:r>
      <w:r>
        <w:t xml:space="preserve">)</w:t>
      </w:r>
      <w:r>
        <w:br/>
      </w:r>
      <w:hyperlink w:anchor="sec_politicas_oferta">
        <w:r>
          <w:rPr>
            <w:rStyle w:val="Hyperlink"/>
          </w:rPr>
          <w:t xml:space="preserve">V.5</w:t>
        </w:r>
      </w:hyperlink>
      <w:r>
        <w:t xml:space="preserve">Políticas de oferta: progreso técnico, capital, mercado de trabajo, competencia</w:t>
      </w:r>
      <w:r>
        <w:br/>
      </w:r>
      <w:hyperlink w:anchor="sec_recomendaciones">
        <w:r>
          <w:rPr>
            <w:rStyle w:val="Hyperlink"/>
          </w:rPr>
          <w:t xml:space="preserve">VI</w:t>
        </w:r>
      </w:hyperlink>
      <w:r>
        <w:t xml:space="preserve">Recomendaciones de política económica: cómo se plantea; naturaleza y gravedad del desequilibrio; recomendaciones por desequilibrio.</w:t>
      </w:r>
    </w:p>
    <w:bookmarkEnd w:id="22"/>
    <w:bookmarkStart w:id="118" w:name="sec_perfil"/>
    <w:p>
      <w:pPr>
        <w:pStyle w:val="Heading1"/>
      </w:pPr>
      <w:r>
        <w:t xml:space="preserve">I.</w:t>
      </w:r>
      <w:r>
        <w:t xml:space="preserve"> </w:t>
      </w:r>
      <w:r>
        <w:t xml:space="preserve">Perfil cíclico de la economía</w:t>
      </w:r>
    </w:p>
    <w:p>
      <w:pPr>
        <w:keepNext/>
        <w:numPr>
          <w:ilvl w:val="0"/>
          <w:numId w:val="1006"/>
        </w:numPr>
      </w:pPr>
      <w:r>
        <w:t xml:space="preserve">La conclusión por adelantado: la pregunta del perfil cíclico se contesta en 3 pasos, siempre los mismos:</w:t>
      </w:r>
    </w:p>
    <w:p>
      <w:pPr>
        <w:numPr>
          <w:ilvl w:val="1"/>
          <w:numId w:val="1007"/>
        </w:numPr>
      </w:pPr>
      <w:r>
        <w:t xml:space="preserve">dividir la serie en fases con el crecimiento del PIB real y la brecha de producción;</w:t>
      </w:r>
    </w:p>
    <w:p>
      <w:pPr>
        <w:numPr>
          <w:ilvl w:val="1"/>
          <w:numId w:val="1007"/>
        </w:numPr>
      </w:pPr>
      <w:r>
        <w:t xml:space="preserve">explicar qué tira del crecimiento, por el lado de la demanda (interna o externa) y, si hay datos, por el de la oferta (empleo o productividad);</w:t>
      </w:r>
    </w:p>
    <w:p>
      <w:pPr>
        <w:numPr>
          <w:ilvl w:val="1"/>
          <w:numId w:val="1007"/>
        </w:numPr>
      </w:pPr>
      <w:r>
        <w:t xml:space="preserve">anticipar el diagnóstico, con los desequilibrios y las fortalezas.</w:t>
      </w:r>
    </w:p>
    <w:bookmarkStart w:id="26" w:name="fig_esquema_perfil"/>
    <w:p>
      <w:pPr>
        <w:pStyle w:val="ImageCaption"/>
      </w:pPr>
      <w:r>
        <w:t xml:space="preserve">Gráfico 1.–</w:t>
      </w:r>
      <w:r>
        <w:t xml:space="preserve"> </w:t>
      </w:r>
      <w:r>
        <w:t xml:space="preserve">Los 3 pasos del perfil cíclico</w:t>
      </w:r>
    </w:p>
    <w:p>
      <w:pPr>
        <w:pStyle w:val="CaptionedFigure"/>
      </w:pPr>
      <w:r>
        <w:drawing>
          <wp:inline>
            <wp:extent cx="3195812" cy="1584144"/>
            <wp:effectExtent b="0" l="0" r="0" t="0"/>
            <wp:docPr descr="Gráfico 1.– Los 3 pasos del perfil cíclico" title="" id="24" name="Picture"/>
            <a:graphic>
              <a:graphicData uri="http://schemas.openxmlformats.org/drawingml/2006/picture">
                <pic:pic>
                  <pic:nvPicPr>
                    <pic:cNvPr descr="C:\Users\vgutierrez\Documents\src\victorgutierrezmarcos.github.io-revision\oposicion\temario\fuentes\1D01\graficos/esquema-perfil-ciclico.png" id="25" name="Picture"/>
                    <pic:cNvPicPr>
                      <a:picLocks noChangeArrowheads="1" noChangeAspect="1"/>
                    </pic:cNvPicPr>
                  </pic:nvPicPr>
                  <pic:blipFill>
                    <a:blip r:embed="rId23"/>
                    <a:stretch>
                      <a:fillRect/>
                    </a:stretch>
                  </pic:blipFill>
                  <pic:spPr bwMode="auto">
                    <a:xfrm>
                      <a:off x="0" y="0"/>
                      <a:ext cx="3195812" cy="1584144"/>
                    </a:xfrm>
                    <a:prstGeom prst="rect">
                      <a:avLst/>
                    </a:prstGeom>
                    <a:noFill/>
                    <a:ln w="9525">
                      <a:noFill/>
                      <a:headEnd/>
                      <a:tailEnd/>
                    </a:ln>
                  </pic:spPr>
                </pic:pic>
              </a:graphicData>
            </a:graphic>
          </wp:inline>
        </w:drawing>
      </w:r>
    </w:p>
    <w:bookmarkEnd w:id="26"/>
    <w:p>
      <w:pPr>
        <w:pStyle w:val="Piedeimagen"/>
      </w:pPr>
      <w:r>
        <w:t xml:space="preserve">Fuente: Elaboración propia. Qué hay que ver: siempre el mismo orden; primero las fases (con el PIB y la brecha), después el motor por la demanda (contribuciones) y por la oferta (empleo frente a productividad), y al final el diagnóstico que anuncia el resto del dictamen.</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8" w:name="sec_pib"/>
    <w:p>
      <w:pPr>
        <w:pStyle w:val="Heading2"/>
      </w:pPr>
      <w:r>
        <w:t xml:space="preserve">I.1.</w:t>
      </w:r>
      <w:r>
        <w:t xml:space="preserve"> </w:t>
      </w:r>
      <w:r>
        <w:t xml:space="preserve">Conceptos generales: el PIB</w:t>
      </w:r>
    </w:p>
    <w:p>
      <w:pPr>
        <w:numPr>
          <w:ilvl w:val="0"/>
          <w:numId w:val="1008"/>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08"/>
        </w:numPr>
      </w:pPr>
      <w:r>
        <w:rPr>
          <w:i/>
          <w:iCs/>
        </w:rPr>
        <w:t xml:space="preserve">Los 3 enfoques</w:t>
      </w:r>
      <w:r>
        <w:t xml:space="preserve">, que también son las 3 formas de descomponer el PIB en el análisis:</w:t>
      </w:r>
    </w:p>
    <w:p>
      <w:pPr>
        <w:numPr>
          <w:ilvl w:val="1"/>
          <w:numId w:val="1009"/>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09"/>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7"/>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09"/>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08"/>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08"/>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8"/>
    <w:bookmarkStart w:id="49" w:name="sec_etapas"/>
    <w:p>
      <w:pPr>
        <w:pStyle w:val="Heading2"/>
      </w:pPr>
      <w:r>
        <w:t xml:space="preserve">I.2.</w:t>
      </w:r>
      <w:r>
        <w:t xml:space="preserve"> </w:t>
      </w:r>
      <w:r>
        <w:t xml:space="preserve">Diagnóstico y etapas del ciclo</w:t>
      </w:r>
    </w:p>
    <w:bookmarkStart w:id="30" w:name="la_frase_ejecutiva"/>
    <w:p>
      <w:pPr>
        <w:pStyle w:val="Heading4"/>
      </w:pPr>
      <w:r>
        <w:t xml:space="preserve">La frase ejecutiva</w:t>
      </w:r>
    </w:p>
    <w:p>
      <w:pPr>
        <w:numPr>
          <w:ilvl w:val="0"/>
          <w:numId w:val="1010"/>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0"/>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0"/>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9"/>
      </w:r>
    </w:p>
    <w:p>
      <w:pPr>
        <w:numPr>
          <w:ilvl w:val="0"/>
          <w:numId w:val="1010"/>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B.2.1</w:t>
        </w:r>
      </w:hyperlink>
      <w:r>
        <w:t xml:space="preserve">).</w:t>
      </w:r>
    </w:p>
    <w:bookmarkEnd w:id="30"/>
    <w:bookmarkStart w:id="36" w:name="tendencia_y_ciclo"/>
    <w:p>
      <w:pPr>
        <w:pStyle w:val="Heading4"/>
      </w:pPr>
      <w:r>
        <w:t xml:space="preserve">Tendencia y ciclo</w:t>
      </w:r>
    </w:p>
    <w:p>
      <w:pPr>
        <w:numPr>
          <w:ilvl w:val="0"/>
          <w:numId w:val="1011"/>
        </w:numPr>
      </w:pPr>
      <w:r>
        <w:t xml:space="preserve">Para dividir la serie en fases hay que separar 2 movimientos que el cuadro mezcla: la</w:t>
      </w:r>
      <w:r>
        <w:t xml:space="preserve"> </w:t>
      </w:r>
      <w:r>
        <w:rPr>
          <w:b/>
          <w:bCs/>
        </w:rPr>
        <w:t xml:space="preserve">tendencia</w:t>
      </w:r>
      <w:r>
        <w:t xml:space="preserve">, que dice hacia dónde va la economía a largo plazo, y el</w:t>
      </w:r>
      <w:r>
        <w:t xml:space="preserve"> </w:t>
      </w:r>
      <w:r>
        <w:rPr>
          <w:b/>
          <w:bCs/>
        </w:rPr>
        <w:t xml:space="preserve">ciclo</w:t>
      </w:r>
      <w:r>
        <w:t xml:space="preserve">, las oscilaciones alrededor de ella (gráfico </w:t>
      </w:r>
      <w:hyperlink w:anchor="fig_ciclo_tendencia">
        <w:r>
          <w:rPr>
            <w:rStyle w:val="Hyperlink"/>
          </w:rPr>
          <w:t xml:space="preserve">2</w:t>
        </w:r>
      </w:hyperlink>
      <w:r>
        <w:t xml:space="preserve">)</w:t>
      </w:r>
      <w:r>
        <w:t xml:space="preserve"> </w:t>
      </w:r>
      <w:hyperlink r:id="rId21">
        <w:r>
          <w:rPr>
            <w:rStyle w:val="Referenciaatema"/>
          </w:rPr>
          <w:t xml:space="preserve">[ver tema 3.A.42]</w:t>
        </w:r>
      </w:hyperlink>
      <w:r>
        <w:t xml:space="preserve">.</w:t>
      </w:r>
    </w:p>
    <w:p>
      <w:pPr>
        <w:numPr>
          <w:ilvl w:val="0"/>
          <w:numId w:val="1011"/>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keepNext/>
        <w:numPr>
          <w:ilvl w:val="0"/>
          <w:numId w:val="1011"/>
        </w:numPr>
      </w:pPr>
      <w:r>
        <w:rPr>
          <w:i/>
          <w:iCs/>
        </w:rPr>
        <w:t xml:space="preserve">Ciclo</w:t>
      </w:r>
      <w:r>
        <w:t xml:space="preserve">: el</w:t>
      </w:r>
      <w:r>
        <w:t xml:space="preserve"> </w:t>
      </w:r>
      <w:r>
        <w:rPr>
          <w:b/>
          <w:bCs/>
        </w:rPr>
        <w:t xml:space="preserve">ciclo económico</w:t>
      </w:r>
      <w:r>
        <w:t xml:space="preserve"> </w:t>
      </w:r>
      <w:r>
        <w:t xml:space="preserve">son las fluctuaciones de la actividad alrededor de su tendencia (las desviaciones del PIB respecto a ella), que se repiten en periodos relativamente cortos.</w:t>
      </w:r>
    </w:p>
    <w:p>
      <w:pPr>
        <w:numPr>
          <w:ilvl w:val="1"/>
          <w:numId w:val="1012"/>
        </w:numPr>
      </w:pPr>
      <w:r>
        <w:t xml:space="preserve">Tiene 2</w:t>
      </w:r>
      <w:r>
        <w:t xml:space="preserve"> </w:t>
      </w:r>
      <w:r>
        <w:rPr>
          <w:b/>
          <w:bCs/>
        </w:rPr>
        <w:t xml:space="preserve">puntos de giro</w:t>
      </w:r>
      <w:r>
        <w:t xml:space="preserve">, el</w:t>
      </w:r>
      <w:r>
        <w:t xml:space="preserve"> </w:t>
      </w:r>
      <w:r>
        <w:rPr>
          <w:i/>
          <w:iCs/>
        </w:rPr>
        <w:t xml:space="preserve">pico</w:t>
      </w:r>
      <w:r>
        <w:t xml:space="preserve"> </w:t>
      </w:r>
      <w:r>
        <w:t xml:space="preserve">(la cima, el máximo) y el</w:t>
      </w:r>
      <w:r>
        <w:t xml:space="preserve"> </w:t>
      </w:r>
      <w:r>
        <w:rPr>
          <w:i/>
          <w:iCs/>
        </w:rPr>
        <w:t xml:space="preserve">valle</w:t>
      </w:r>
      <w:r>
        <w:t xml:space="preserve"> </w:t>
      </w:r>
      <w:r>
        <w:t xml:space="preserve">(el fondo, el mínimo), y 2</w:t>
      </w:r>
      <w:r>
        <w:t xml:space="preserve"> </w:t>
      </w:r>
      <w:r>
        <w:rPr>
          <w:b/>
          <w:bCs/>
        </w:rPr>
        <w:t xml:space="preserve">fases</w:t>
      </w:r>
      <w:r>
        <w:t xml:space="preserve">: la</w:t>
      </w:r>
      <w:r>
        <w:t xml:space="preserve"> </w:t>
      </w:r>
      <w:r>
        <w:rPr>
          <w:i/>
          <w:iCs/>
        </w:rPr>
        <w:t xml:space="preserve">contracción</w:t>
      </w:r>
      <w:r>
        <w:t xml:space="preserve">, del pico al valle (recesión si es grave; depresión o crisis si es mayor y más persistente), y la</w:t>
      </w:r>
      <w:r>
        <w:t xml:space="preserve"> </w:t>
      </w:r>
      <w:r>
        <w:rPr>
          <w:i/>
          <w:iCs/>
        </w:rPr>
        <w:t xml:space="preserve">expansión</w:t>
      </w:r>
      <w:r>
        <w:t xml:space="preserve">, del valle al pico.</w:t>
      </w:r>
    </w:p>
    <w:p>
      <w:pPr>
        <w:numPr>
          <w:ilvl w:val="1"/>
          <w:numId w:val="1012"/>
        </w:numPr>
      </w:pPr>
      <w:r>
        <w:t xml:space="preserve">Una serie puede alejarse de su tendencia por un</w:t>
      </w:r>
      <w:r>
        <w:t xml:space="preserve"> </w:t>
      </w:r>
      <w:r>
        <w:rPr>
          <w:i/>
          <w:iCs/>
        </w:rPr>
        <w:t xml:space="preserve">cambio estructural</w:t>
      </w:r>
      <w:r>
        <w:t xml:space="preserve"> </w:t>
      </w:r>
      <w:r>
        <w:t xml:space="preserve">y no por el ciclo: un salto de nivel que no se deshace no es una recesión pasajera.</w:t>
      </w:r>
    </w:p>
    <w:p>
      <w:pPr>
        <w:numPr>
          <w:ilvl w:val="0"/>
          <w:numId w:val="1011"/>
        </w:numPr>
      </w:pPr>
      <w:r>
        <w:rPr>
          <w:i/>
          <w:iCs/>
        </w:rPr>
        <w:t xml:space="preserve">Frecuencia del ciclo</w:t>
      </w:r>
      <w:r>
        <w:t xml:space="preserve">: los ciclos no son periódicos, sino</w:t>
      </w:r>
      <w:r>
        <w:t xml:space="preserve"> </w:t>
      </w:r>
      <w:r>
        <w:rPr>
          <w:i/>
          <w:iCs/>
        </w:rPr>
        <w:t xml:space="preserve">irregulares</w:t>
      </w:r>
      <w:r>
        <w:t xml:space="preserve"> </w:t>
      </w:r>
      <w:r>
        <w:t xml:space="preserve">(aleatoriedad) y</w:t>
      </w:r>
      <w:r>
        <w:t xml:space="preserve"> </w:t>
      </w:r>
      <w:r>
        <w:rPr>
          <w:i/>
          <w:iCs/>
        </w:rPr>
        <w:t xml:space="preserve">recurrentes</w:t>
      </w:r>
      <w:r>
        <w:t xml:space="preserve"> </w:t>
      </w:r>
      <w:r>
        <w:t xml:space="preserve">(autocorrelación). Entender el ciclo sirve para prever el corto plazo; entender la tendencia, para el largo.</w:t>
      </w:r>
    </w:p>
    <w:p>
      <w:pPr>
        <w:numPr>
          <w:ilvl w:val="0"/>
          <w:numId w:val="1011"/>
        </w:numPr>
      </w:pPr>
      <w:r>
        <w:rPr>
          <w:i/>
          <w:iCs/>
        </w:rPr>
        <w:t xml:space="preserve">Estacionariedad</w:t>
      </w:r>
      <w:r>
        <w:t xml:space="preserve">: una serie estacionaria vuelve a su media tras un choque; una no estacionaria, no</w:t>
      </w:r>
      <w:r>
        <w:t xml:space="preserve"> </w:t>
      </w:r>
      <w:hyperlink r:id="rId31">
        <w:r>
          <w:rPr>
            <w:rStyle w:val="Referenciaatema"/>
          </w:rPr>
          <w:t xml:space="preserve">[ver tema 5.B.5]</w:t>
        </w:r>
      </w:hyperlink>
      <w:r>
        <w:t xml:space="preserve">.</w:t>
      </w:r>
      <w:r>
        <w:t xml:space="preserve"> </w:t>
      </w: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bookmarkStart w:id="35" w:name="fig_ciclo_tendencia"/>
    <w:p>
      <w:pPr>
        <w:pStyle w:val="ImageCaption"/>
      </w:pPr>
      <w:r>
        <w:t xml:space="preserve">Gráfico 2.–</w:t>
      </w:r>
      <w:r>
        <w:t xml:space="preserve"> </w:t>
      </w:r>
      <w:r>
        <w:t xml:space="preserve">El ciclo económico: tendencia, fases y brecha de producción</w:t>
      </w:r>
    </w:p>
    <w:p>
      <w:pPr>
        <w:pStyle w:val="CaptionedFigure"/>
      </w:pPr>
      <w:r>
        <w:drawing>
          <wp:inline>
            <wp:extent cx="3581400" cy="1874593"/>
            <wp:effectExtent b="0" l="0" r="0" t="0"/>
            <wp:docPr descr="Gráfico 2.– El ciclo económico: tendencia, fases y brecha de producción" title="" id="33" name="Picture"/>
            <a:graphic>
              <a:graphicData uri="http://schemas.openxmlformats.org/drawingml/2006/picture">
                <pic:pic>
                  <pic:nvPicPr>
                    <pic:cNvPr descr="C:\Users\vgutierrez\Documents\src\victorgutierrezmarcos.github.io-revision\oposicion\temario\fuentes\1D01\graficos/ciclo-tendencia.png" id="34" name="Picture"/>
                    <pic:cNvPicPr>
                      <a:picLocks noChangeArrowheads="1" noChangeAspect="1"/>
                    </pic:cNvPicPr>
                  </pic:nvPicPr>
                  <pic:blipFill>
                    <a:blip r:embed="rId32"/>
                    <a:stretch>
                      <a:fillRect/>
                    </a:stretch>
                  </pic:blipFill>
                  <pic:spPr bwMode="auto">
                    <a:xfrm>
                      <a:off x="0" y="0"/>
                      <a:ext cx="3581400" cy="1874593"/>
                    </a:xfrm>
                    <a:prstGeom prst="rect">
                      <a:avLst/>
                    </a:prstGeom>
                    <a:noFill/>
                    <a:ln w="9525">
                      <a:noFill/>
                      <a:headEnd/>
                      <a:tailEnd/>
                    </a:ln>
                  </pic:spPr>
                </pic:pic>
              </a:graphicData>
            </a:graphic>
          </wp:inline>
        </w:drawing>
      </w:r>
    </w:p>
    <w:bookmarkEnd w:id="35"/>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End w:id="36"/>
    <w:bookmarkStart w:id="42" w:name="las_4_fases_del_dictamen"/>
    <w:p>
      <w:pPr>
        <w:pStyle w:val="Heading4"/>
      </w:pPr>
      <w:r>
        <w:t xml:space="preserve">Las 4 fases del dictamen</w:t>
      </w:r>
    </w:p>
    <w:p>
      <w:pPr>
        <w:keepNext/>
        <w:numPr>
          <w:ilvl w:val="0"/>
          <w:numId w:val="1013"/>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4"/>
        </w:numPr>
      </w:pPr>
      <w:r>
        <w:rPr>
          <w:b/>
          <w:bCs/>
        </w:rPr>
        <w:t xml:space="preserve">recuperación</w:t>
      </w:r>
      <w:r>
        <w:t xml:space="preserve">: el PIB crece y más que el potencial, pero la brecha aún es negativa (se está cerrando);</w:t>
      </w:r>
    </w:p>
    <w:p>
      <w:pPr>
        <w:numPr>
          <w:ilvl w:val="1"/>
          <w:numId w:val="1014"/>
        </w:numPr>
      </w:pPr>
      <w:r>
        <w:rPr>
          <w:b/>
          <w:bCs/>
        </w:rPr>
        <w:t xml:space="preserve">expansión</w:t>
      </w:r>
      <w:r>
        <w:t xml:space="preserve">: la brecha es positiva y se sigue abriendo;</w:t>
      </w:r>
    </w:p>
    <w:p>
      <w:pPr>
        <w:numPr>
          <w:ilvl w:val="1"/>
          <w:numId w:val="1014"/>
        </w:numPr>
      </w:pPr>
      <w:r>
        <w:rPr>
          <w:b/>
          <w:bCs/>
        </w:rPr>
        <w:t xml:space="preserve">desaceleración</w:t>
      </w:r>
      <w:r>
        <w:t xml:space="preserve">: el PIB aún crece, pero menos que el potencial, y la brecha se reduce;</w:t>
      </w:r>
    </w:p>
    <w:p>
      <w:pPr>
        <w:numPr>
          <w:ilvl w:val="1"/>
          <w:numId w:val="1014"/>
        </w:numPr>
      </w:pPr>
      <w:r>
        <w:rPr>
          <w:b/>
          <w:bCs/>
        </w:rPr>
        <w:t xml:space="preserve">recesión</w:t>
      </w:r>
      <w:r>
        <w:t xml:space="preserve">: el PIB cae y la brecha se vuelve negativa.</w:t>
      </w:r>
    </w:p>
    <w:p>
      <w:pPr>
        <w:numPr>
          <w:ilvl w:val="0"/>
          <w:numId w:val="1013"/>
        </w:numPr>
      </w:pPr>
      <w:r>
        <w:rPr>
          <w:u w:val="single"/>
        </w:rPr>
        <w:t xml:space="preserve">Pasar de caer un 7 % a caer un 1 % no es una recuperación</w:t>
      </w:r>
      <w:r>
        <w:t xml:space="preserve">: mientras el PIB cae, la economía sigue en contracción; la recuperación empieza cuando vuelve a crecer.</w:t>
      </w:r>
    </w:p>
    <w:bookmarkStart w:id="40" w:name="fig_fases_ciclo"/>
    <w:p>
      <w:pPr>
        <w:pStyle w:val="ImageCaption"/>
      </w:pPr>
      <w:r>
        <w:t xml:space="preserve">Gráfico 3.–</w:t>
      </w:r>
      <w:r>
        <w:t xml:space="preserve"> </w:t>
      </w:r>
      <w:r>
        <w:t xml:space="preserve">Las 4 fases del ciclo según la brecha de producción</w:t>
      </w:r>
    </w:p>
    <w:p>
      <w:pPr>
        <w:pStyle w:val="CaptionedFigure"/>
      </w:pPr>
      <w:r>
        <w:drawing>
          <wp:inline>
            <wp:extent cx="3342640" cy="1145921"/>
            <wp:effectExtent b="0" l="0" r="0" t="0"/>
            <wp:docPr descr="Gráfico 3.– Las 4 fases del ciclo según la brecha de producción" title="" id="38" name="Picture"/>
            <a:graphic>
              <a:graphicData uri="http://schemas.openxmlformats.org/drawingml/2006/picture">
                <pic:pic>
                  <pic:nvPicPr>
                    <pic:cNvPr descr="C:\Users\vgutierrez\Documents\src\victorgutierrezmarcos.github.io-revision\oposicion\temario\fuentes\1D01\graficos/fases-ciclo-brecha.png" id="39" name="Picture"/>
                    <pic:cNvPicPr>
                      <a:picLocks noChangeArrowheads="1" noChangeAspect="1"/>
                    </pic:cNvPicPr>
                  </pic:nvPicPr>
                  <pic:blipFill>
                    <a:blip r:embed="rId37"/>
                    <a:stretch>
                      <a:fillRect/>
                    </a:stretch>
                  </pic:blipFill>
                  <pic:spPr bwMode="auto">
                    <a:xfrm>
                      <a:off x="0" y="0"/>
                      <a:ext cx="3342640" cy="1145921"/>
                    </a:xfrm>
                    <a:prstGeom prst="rect">
                      <a:avLst/>
                    </a:prstGeom>
                    <a:noFill/>
                    <a:ln w="9525">
                      <a:noFill/>
                      <a:headEnd/>
                      <a:tailEnd/>
                    </a:ln>
                  </pic:spPr>
                </pic:pic>
              </a:graphicData>
            </a:graphic>
          </wp:inline>
        </w:drawing>
      </w:r>
    </w:p>
    <w:bookmarkEnd w:id="40"/>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5"/>
        </w:numPr>
      </w:pPr>
      <w:r>
        <w:t xml:space="preserve">La</w:t>
      </w:r>
      <w:r>
        <w:t xml:space="preserve"> </w:t>
      </w:r>
      <w:r>
        <w:rPr>
          <w:b/>
          <w:bCs/>
        </w:rPr>
        <w:t xml:space="preserve">forma de la recesión</w:t>
      </w:r>
      <w:r>
        <w:t xml:space="preserve"> </w:t>
      </w:r>
      <w:r>
        <w:t xml:space="preserve">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5"/>
        </w:numPr>
      </w:pPr>
      <w:r>
        <w:rPr>
          <w:b/>
          <w:bCs/>
        </w:rPr>
        <w:t xml:space="preserve">Recesión</w:t>
      </w:r>
      <w:r>
        <w:t xml:space="preserve"> </w:t>
      </w:r>
      <w:r>
        <w:t xml:space="preserve">es, como regla práctica, una caída del PIB real durante 2 trimestres seguidos;</w:t>
      </w:r>
      <w:r>
        <w:t xml:space="preserve"> </w:t>
      </w:r>
      <w:r>
        <w:rPr>
          <w:b/>
          <w:bCs/>
        </w:rPr>
        <w:t xml:space="preserve">depresión</w:t>
      </w:r>
      <w:r>
        <w:t xml:space="preserve">, una caída de más del 10 % o una recesión de más de 3 años.</w:t>
      </w:r>
      <w:r>
        <w:rPr>
          <w:rStyle w:val="FootnoteReference"/>
        </w:rPr>
        <w:footnoteReference w:id="41"/>
      </w:r>
    </w:p>
    <w:p>
      <w:pPr>
        <w:numPr>
          <w:ilvl w:val="0"/>
          <w:numId w:val="1015"/>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5"/>
        </w:numPr>
      </w:pPr>
      <w:r>
        <w:rPr>
          <w:i/>
          <w:iCs/>
        </w:rPr>
        <w:t xml:space="preserve">Visión de conjunto</w:t>
      </w:r>
      <w:r>
        <w:t xml:space="preserve">: lo atípico se señala como excepción («crecimiento sostenido entre 20xx y 20xx, salvo una ligera desaceleración en 20xx»), sin contar la serie año a año.</w:t>
      </w:r>
    </w:p>
    <w:bookmarkEnd w:id="42"/>
    <w:bookmarkStart w:id="48" w:name="hechos_estilizados_c__mo_se_mueve__59939"/>
    <w:p>
      <w:pPr>
        <w:pStyle w:val="Heading4"/>
      </w:pPr>
      <w:r>
        <w:t xml:space="preserve">Hechos estilizados: cómo se mueve cada variable con el ciclo</w:t>
      </w:r>
    </w:p>
    <w:p>
      <w:pPr>
        <w:keepNext/>
        <w:numPr>
          <w:ilvl w:val="0"/>
          <w:numId w:val="1016"/>
        </w:numPr>
      </w:pPr>
      <w:r>
        <w:t xml:space="preserve">Antes de explicar un dato raro, conviene saber qué es lo</w:t>
      </w:r>
      <w:r>
        <w:t xml:space="preserve"> </w:t>
      </w:r>
      <w:r>
        <w:rPr>
          <w:i/>
          <w:iCs/>
        </w:rPr>
        <w:t xml:space="preserve">normal</w:t>
      </w:r>
      <w:r>
        <w:t xml:space="preserve">: cada variable tiene un patrón típico frente al PIB, y lo que se aparta de él es lo que hay que explicar. El</w:t>
      </w:r>
      <w:r>
        <w:t xml:space="preserve"> </w:t>
      </w:r>
      <w:r>
        <w:rPr>
          <w:b/>
          <w:bCs/>
        </w:rPr>
        <w:t xml:space="preserve">comovimiento</w:t>
      </w:r>
      <w:r>
        <w:t xml:space="preserve"> </w:t>
      </w:r>
      <w:r>
        <w:t xml:space="preserve">con el PIB se describe con 5 rasgos (gráfico </w:t>
      </w:r>
      <w:hyperlink w:anchor="fig_comovimientos">
        <w:r>
          <w:rPr>
            <w:rStyle w:val="Hyperlink"/>
          </w:rPr>
          <w:t xml:space="preserve">4</w:t>
        </w:r>
      </w:hyperlink>
      <w:r>
        <w:t xml:space="preserve">):</w:t>
      </w:r>
    </w:p>
    <w:p>
      <w:pPr>
        <w:numPr>
          <w:ilvl w:val="1"/>
          <w:numId w:val="1017"/>
        </w:numPr>
      </w:pPr>
      <w:r>
        <w:rPr>
          <w:i/>
          <w:iCs/>
        </w:rPr>
        <w:t xml:space="preserve">dirección</w:t>
      </w:r>
      <w:r>
        <w:t xml:space="preserve">:</w:t>
      </w:r>
      <w:r>
        <w:t xml:space="preserve"> </w:t>
      </w:r>
      <w:r>
        <w:rPr>
          <w:b/>
          <w:bCs/>
        </w:rPr>
        <w:t xml:space="preserve">procíclica</w:t>
      </w:r>
      <w:r>
        <w:t xml:space="preserve">, si crece cuando crece el PIB y cae cuando cae;</w:t>
      </w:r>
      <w:r>
        <w:t xml:space="preserve"> </w:t>
      </w:r>
      <w:r>
        <w:rPr>
          <w:b/>
          <w:bCs/>
        </w:rPr>
        <w:t xml:space="preserve">contracíclica</w:t>
      </w:r>
      <w:r>
        <w:t xml:space="preserve">, al revés;</w:t>
      </w:r>
      <w:r>
        <w:t xml:space="preserve"> </w:t>
      </w:r>
      <w:r>
        <w:rPr>
          <w:b/>
          <w:bCs/>
        </w:rPr>
        <w:t xml:space="preserve">acíclica</w:t>
      </w:r>
      <w:r>
        <w:t xml:space="preserve">, sin relación (se mide con la correlación entre la variable y el PIB);</w:t>
      </w:r>
    </w:p>
    <w:p>
      <w:pPr>
        <w:numPr>
          <w:ilvl w:val="1"/>
          <w:numId w:val="1017"/>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017"/>
        </w:numPr>
      </w:pPr>
      <w:r>
        <w:rPr>
          <w:i/>
          <w:iCs/>
        </w:rPr>
        <w:t xml:space="preserve">adelanto o retraso</w:t>
      </w:r>
      <w:r>
        <w:t xml:space="preserve">: una variable se</w:t>
      </w:r>
      <w:r>
        <w:t xml:space="preserve"> </w:t>
      </w:r>
      <w:r>
        <w:rPr>
          <w:b/>
          <w:bCs/>
        </w:rPr>
        <w:t xml:space="preserve">adelanta</w:t>
      </w:r>
      <w:r>
        <w:t xml:space="preserve"> </w:t>
      </w:r>
      <w:r>
        <w:t xml:space="preserve">si describe ciclos como los del PIB pero antes, y se</w:t>
      </w:r>
      <w:r>
        <w:t xml:space="preserve"> </w:t>
      </w:r>
      <w:r>
        <w:rPr>
          <w:b/>
          <w:bCs/>
        </w:rPr>
        <w:t xml:space="preserve">retrasa</w:t>
      </w:r>
      <w:r>
        <w:t xml:space="preserve"> </w:t>
      </w:r>
      <w:r>
        <w:t xml:space="preserve">si los describe después (solo se habla de adelanto o retraso si es menor que medio ciclo);</w:t>
      </w:r>
    </w:p>
    <w:p>
      <w:pPr>
        <w:numPr>
          <w:ilvl w:val="1"/>
          <w:numId w:val="1017"/>
        </w:numPr>
      </w:pPr>
      <w:r>
        <w:rPr>
          <w:i/>
          <w:iCs/>
        </w:rPr>
        <w:t xml:space="preserve">persistencia</w:t>
      </w:r>
      <w:r>
        <w:t xml:space="preserve">: cuánto dura una desviación;</w:t>
      </w:r>
    </w:p>
    <w:p>
      <w:pPr>
        <w:numPr>
          <w:ilvl w:val="1"/>
          <w:numId w:val="1017"/>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46" w:name="fig_comovimientos"/>
    <w:p>
      <w:pPr>
        <w:pStyle w:val="ImageCaption"/>
      </w:pPr>
      <w:r>
        <w:t xml:space="preserve">Gráfico 4.–</w:t>
      </w:r>
      <w:r>
        <w:t xml:space="preserve"> </w:t>
      </w:r>
      <w:r>
        <w:t xml:space="preserve">Comovimientos con el PIB: procíclica, contracíclica y adelantada, y el orden de los indicadores adelantados, coincidentes y retrasados</w:t>
      </w:r>
    </w:p>
    <w:p>
      <w:pPr>
        <w:pStyle w:val="CaptionedFigure"/>
      </w:pPr>
      <w:r>
        <w:drawing>
          <wp:inline>
            <wp:extent cx="4417060" cy="4422602"/>
            <wp:effectExtent b="0" l="0" r="0" t="0"/>
            <wp:docPr descr="Gráfico 4.– Comovimientos con el PIB: procíclica, contracíclica y adelantada, y el orden de los indicadores adelantados, coincidentes y retrasados" title="" id="44" name="Picture"/>
            <a:graphic>
              <a:graphicData uri="http://schemas.openxmlformats.org/drawingml/2006/picture">
                <pic:pic>
                  <pic:nvPicPr>
                    <pic:cNvPr descr="C:\Users\vgutierrez\Documents\src\victorgutierrezmarcos.github.io-revision\oposicion\temario\fuentes\1D01\graficos/comovimientos.png" id="45" name="Picture"/>
                    <pic:cNvPicPr>
                      <a:picLocks noChangeArrowheads="1" noChangeAspect="1"/>
                    </pic:cNvPicPr>
                  </pic:nvPicPr>
                  <pic:blipFill>
                    <a:blip r:embed="rId43"/>
                    <a:stretch>
                      <a:fillRect/>
                    </a:stretch>
                  </pic:blipFill>
                  <pic:spPr bwMode="auto">
                    <a:xfrm>
                      <a:off x="0" y="0"/>
                      <a:ext cx="4417060" cy="4422602"/>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p>
      <w:pPr>
        <w:keepNext/>
        <w:numPr>
          <w:ilvl w:val="0"/>
          <w:numId w:val="1018"/>
        </w:numPr>
      </w:pPr>
      <w:r>
        <w:t xml:space="preserve">Los patrones de las economías avanzadas están en la tabla </w:t>
      </w:r>
      <w:hyperlink w:anchor="tab_hechos_ciclo">
        <w:r>
          <w:rPr>
            <w:rStyle w:val="Hyperlink"/>
          </w:rPr>
          <w:t xml:space="preserve">1</w:t>
        </w:r>
      </w:hyperlink>
      <w:r>
        <w:t xml:space="preserve">. Los que más se usan en el dictamen:</w:t>
      </w:r>
    </w:p>
    <w:p>
      <w:pPr>
        <w:numPr>
          <w:ilvl w:val="1"/>
          <w:numId w:val="1019"/>
        </w:numPr>
      </w:pPr>
      <w:r>
        <w:t xml:space="preserve">el</w:t>
      </w:r>
      <w:r>
        <w:t xml:space="preserve"> </w:t>
      </w:r>
      <w:r>
        <w:rPr>
          <w:b/>
          <w:bCs/>
        </w:rPr>
        <w:t xml:space="preserve">consumo</w:t>
      </w:r>
      <w:r>
        <w:t xml:space="preserve"> </w:t>
      </w:r>
      <w:r>
        <w:t xml:space="preserve">es procíclico pero menos volátil que el PIB, y la</w:t>
      </w:r>
      <w:r>
        <w:t xml:space="preserve"> </w:t>
      </w:r>
      <w:r>
        <w:rPr>
          <w:b/>
          <w:bCs/>
        </w:rPr>
        <w:t xml:space="preserve">inversión</w:t>
      </w:r>
      <w:r>
        <w:t xml:space="preserve">, varias veces más volátil: si en el cuadro el consumo oscila más que el PIB, algo raro pasa (sobrecalentamiento, un choque a los hogares);</w:t>
      </w:r>
    </w:p>
    <w:p>
      <w:pPr>
        <w:numPr>
          <w:ilvl w:val="1"/>
          <w:numId w:val="1019"/>
        </w:numPr>
      </w:pPr>
      <w:r>
        <w:t xml:space="preserve">las</w:t>
      </w:r>
      <w:r>
        <w:t xml:space="preserve"> </w:t>
      </w:r>
      <w:r>
        <w:rPr>
          <w:b/>
          <w:bCs/>
        </w:rPr>
        <w:t xml:space="preserve">existencias</w:t>
      </w:r>
      <w:r>
        <w:t xml:space="preserve"> </w:t>
      </w:r>
      <w:r>
        <w:t xml:space="preserve">explican buena parte de las caídas del PIB en las recesiones, aunque pesen poco;</w:t>
      </w:r>
    </w:p>
    <w:p>
      <w:pPr>
        <w:numPr>
          <w:ilvl w:val="1"/>
          <w:numId w:val="1019"/>
        </w:numPr>
      </w:pPr>
      <w:r>
        <w:t xml:space="preserve">la</w:t>
      </w:r>
      <w:r>
        <w:t xml:space="preserve"> </w:t>
      </w:r>
      <w:r>
        <w:rPr>
          <w:b/>
          <w:bCs/>
        </w:rPr>
        <w:t xml:space="preserve">demanda externa neta</w:t>
      </w:r>
      <w:r>
        <w:t xml:space="preserve"> </w:t>
      </w:r>
      <w:r>
        <w:t xml:space="preserve">es contracíclica, porque las importaciones caen con la renta;</w:t>
      </w:r>
    </w:p>
    <w:p>
      <w:pPr>
        <w:numPr>
          <w:ilvl w:val="1"/>
          <w:numId w:val="1019"/>
        </w:numPr>
      </w:pPr>
      <w:r>
        <w:t xml:space="preserve">el</w:t>
      </w:r>
      <w:r>
        <w:t xml:space="preserve"> </w:t>
      </w:r>
      <w:r>
        <w:rPr>
          <w:b/>
          <w:bCs/>
        </w:rPr>
        <w:t xml:space="preserve">paro</w:t>
      </w:r>
      <w:r>
        <w:t xml:space="preserve"> </w:t>
      </w:r>
      <w:r>
        <w:t xml:space="preserve">y la</w:t>
      </w:r>
      <w:r>
        <w:t xml:space="preserve"> </w:t>
      </w:r>
      <w:r>
        <w:rPr>
          <w:b/>
          <w:bCs/>
        </w:rPr>
        <w:t xml:space="preserve">inflación</w:t>
      </w:r>
      <w:r>
        <w:t xml:space="preserve"> </w:t>
      </w:r>
      <w:r>
        <w:t xml:space="preserve">van retrasados: siguen subiendo un tiempo después del giro del PIB.</w:t>
      </w:r>
    </w:p>
    <w:bookmarkStart w:id="47" w:name="tab_hechos_ciclo"/>
    <w:p>
      <w:pPr>
        <w:pStyle w:val="TableCaption"/>
      </w:pPr>
      <w:r>
        <w:t xml:space="preserve">Tabla 1.–</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47"/>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48"/>
    <w:bookmarkEnd w:id="49"/>
    <w:bookmarkStart w:id="64" w:name="sec_medidores"/>
    <w:p>
      <w:pPr>
        <w:pStyle w:val="Heading2"/>
      </w:pPr>
      <w:r>
        <w:t xml:space="preserve">I.3.</w:t>
      </w:r>
      <w:r>
        <w:t xml:space="preserve"> </w:t>
      </w:r>
      <w:r>
        <w:t xml:space="preserve">Medidores</w:t>
      </w:r>
    </w:p>
    <w:p>
      <w:pPr>
        <w:numPr>
          <w:ilvl w:val="0"/>
          <w:numId w:val="1020"/>
        </w:numPr>
      </w:pPr>
      <w:r>
        <w:t xml:space="preserve">La idea: para dividir la serie se usa el</w:t>
      </w:r>
      <w:r>
        <w:t xml:space="preserve"> </w:t>
      </w:r>
      <w:r>
        <w:rPr>
          <w:b/>
          <w:bCs/>
        </w:rPr>
        <w:t xml:space="preserve">crecimiento del PIB real</w:t>
      </w:r>
      <w:r>
        <w:t xml:space="preserve">, que el cuadro da siempre, y se completa con la</w:t>
      </w:r>
      <w:r>
        <w:t xml:space="preserve"> </w:t>
      </w:r>
      <w:r>
        <w:rPr>
          <w:b/>
          <w:bCs/>
        </w:rPr>
        <w:t xml:space="preserve">brecha de producción</w:t>
      </w:r>
      <w:r>
        <w:t xml:space="preserve">,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51"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51"/>
    <w:bookmarkStart w:id="57"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52"/>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54">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B.2</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55"/>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rPr>
          <w:u w:val="single"/>
        </w:rPr>
        <w:t xml:space="preserve">Si la economía crece con fuerza y la brecha no se cierra, el potencial crece mucho</w:t>
      </w:r>
      <w:r>
        <w:t xml:space="preserve">: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56">
        <w:r>
          <w:rPr>
            <w:rStyle w:val="Referenciaatema"/>
          </w:rPr>
          <w:t xml:space="preserve">[ver tema 3.A.45]</w:t>
        </w:r>
      </w:hyperlink>
      <w:r>
        <w:t xml:space="preserve"> </w:t>
      </w:r>
      <w:hyperlink r:id="rId53">
        <w:r>
          <w:rPr>
            <w:rStyle w:val="Referenciaatema"/>
          </w:rPr>
          <w:t xml:space="preserve">[ver tema 3.A.28]</w:t>
        </w:r>
      </w:hyperlink>
      <w:r>
        <w:t xml:space="preserve"> </w:t>
      </w:r>
      <w:hyperlink r:id="rId54">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57"/>
    <w:bookmarkStart w:id="60"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58">
        <w:r>
          <w:rPr>
            <w:rStyle w:val="Referenciaatema"/>
          </w:rPr>
          <w:t xml:space="preserve">[ver tema 3.B.11]</w:t>
        </w:r>
      </w:hyperlink>
      <w:r>
        <w:t xml:space="preserve"> </w:t>
      </w:r>
      <w:hyperlink r:id="rId59">
        <w:r>
          <w:rPr>
            <w:rStyle w:val="Referenciaatema"/>
          </w:rPr>
          <w:t xml:space="preserve">[ver tema 4.A.21]</w:t>
        </w:r>
      </w:hyperlink>
      <w:r>
        <w:t xml:space="preserve">.</w:t>
      </w:r>
    </w:p>
    <w:bookmarkEnd w:id="60"/>
    <w:bookmarkStart w:id="63"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w:t>
      </w:r>
      <w:r>
        <w:t xml:space="preserve"> </w:t>
      </w:r>
      <w:r>
        <w:rPr>
          <w:u w:val="single"/>
        </w:rPr>
        <w:t xml:space="preserve">Por encima de 50, la actividad</w:t>
      </w:r>
      <w:r>
        <w:rPr>
          <w:u w:val="single"/>
        </w:rPr>
        <w:t xml:space="preserve"> </w:t>
      </w:r>
      <w:r>
        <w:rPr>
          <w:i/>
          <w:iCs/>
          <w:u w:val="single"/>
        </w:rPr>
        <w:t xml:space="preserve">crece</w:t>
      </w:r>
      <w:r>
        <w:rPr>
          <w:u w:val="single"/>
        </w:rPr>
        <w:t xml:space="preserve"> </w:t>
      </w:r>
      <w:r>
        <w:rPr>
          <w:u w:val="single"/>
        </w:rPr>
        <w:t xml:space="preserve">respecto al mes anterior, no que esté alta</w:t>
      </w:r>
      <w:r>
        <w:t xml:space="preserve">;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61"/>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4</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50">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63"/>
    <w:bookmarkEnd w:id="64"/>
    <w:bookmarkStart w:id="98"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71"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bookmarkStart w:id="65" w:name="eq_contribuciones"/>
    <w:bookmarkEnd w:id="65"/>
    <w:p>
      <w:pPr>
        <w:pStyle w:val="Funcionclave"/>
        <w:keepLines/>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A.3.1</w:t>
        </w:r>
      </w:hyperlink>
      <w:r>
        <w:t xml:space="preserve">.</w:t>
      </w:r>
    </w:p>
    <w:p>
      <w:pPr>
        <w:numPr>
          <w:ilvl w:val="0"/>
          <w:numId w:val="1030"/>
        </w:numPr>
      </w:pPr>
      <w:r>
        <w:rPr>
          <w:i/>
          <w:iCs/>
        </w:rPr>
        <w:t xml:space="preserve">Unidades</w:t>
      </w:r>
      <w:r>
        <w:t xml:space="preserve">:</w:t>
      </w:r>
      <w:r>
        <w:t xml:space="preserve"> </w:t>
      </w:r>
      <w:r>
        <w:rPr>
          <w:u w:val="single"/>
        </w:rPr>
        <w:t xml:space="preserve">las contribuciones se miden en puntos porcentuales, no en porcentaje</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Contribución real frente a saldo nominal</w:t>
      </w:r>
      <w:r>
        <w:t xml:space="preserve">: la contribución de la demanda externa se calcula en</w:t>
      </w:r>
      <w:r>
        <w:t xml:space="preserve"> </w:t>
      </w:r>
      <w:r>
        <w:rPr>
          <w:i/>
          <w:iCs/>
        </w:rPr>
        <w:t xml:space="preserve">volumen</w:t>
      </w:r>
      <w:r>
        <w:t xml:space="preserve">, y el saldo comercial de la balanza de pagos, en</w:t>
      </w:r>
      <w:r>
        <w:t xml:space="preserve"> </w:t>
      </w:r>
      <w:r>
        <w:rPr>
          <w:i/>
          <w:iCs/>
        </w:rPr>
        <w:t xml:space="preserve">valor</w:t>
      </w:r>
      <w:r>
        <w:t xml:space="preserve">. Pueden ir en sentido contrario por un</w:t>
      </w:r>
      <w:r>
        <w:t xml:space="preserve"> </w:t>
      </w:r>
      <w:r>
        <w:rPr>
          <w:b/>
          <w:bCs/>
        </w:rPr>
        <w:t xml:space="preserve">efecto precio</w:t>
      </w:r>
      <w:r>
        <w:t xml:space="preserve">: si se encarece el petróleo importado, la contribución externa puede mejorar (se importa menos volumen) mientras el saldo comercial empeora (cada barril cuesta más). Cuando el cuadro muestra las 2 cosas a la vez, conviene decirlo para no parecer contradictorio.</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66">
        <w:r>
          <w:rPr>
            <w:rStyle w:val="Referenciaatema"/>
          </w:rPr>
          <w:t xml:space="preserve">[ver tema 4.A.29]</w:t>
        </w:r>
      </w:hyperlink>
      <w:r>
        <w:t xml:space="preserve">.</w:t>
      </w:r>
    </w:p>
    <w:bookmarkStart w:id="70" w:name="fig_contribuciones_pib_zona_euro"/>
    <w:p>
      <w:pPr>
        <w:pStyle w:val="ImageCaption"/>
      </w:pPr>
      <w:r>
        <w:t xml:space="preserve">Gráfico 5.–</w:t>
      </w:r>
      <w:r>
        <w:t xml:space="preserve"> </w:t>
      </w:r>
      <w:r>
        <w:t xml:space="preserve">Contribuciones al crecimiento del PIB real de la zona del euro</w:t>
      </w:r>
    </w:p>
    <w:p>
      <w:pPr>
        <w:pStyle w:val="CaptionedFigure"/>
      </w:pPr>
      <w:r>
        <w:drawing>
          <wp:inline>
            <wp:extent cx="4058920" cy="2259279"/>
            <wp:effectExtent b="0" l="0" r="0" t="0"/>
            <wp:docPr descr="Gráfico 5.– Contribuciones al crecimiento del PIB real de la zona del euro" title="" id="68" name="Picture"/>
            <a:graphic>
              <a:graphicData uri="http://schemas.openxmlformats.org/drawingml/2006/picture">
                <pic:pic>
                  <pic:nvPicPr>
                    <pic:cNvPr descr="C:\Users\vgutierrez\Documents\src\victorgutierrezmarcos.github.io-revision\oposicion\temario\fuentes\1D01\graficos/contribuciones-pib-zona-euro.png" id="69" name="Picture"/>
                    <pic:cNvPicPr>
                      <a:picLocks noChangeArrowheads="1" noChangeAspect="1"/>
                    </pic:cNvPicPr>
                  </pic:nvPicPr>
                  <pic:blipFill>
                    <a:blip r:embed="rId67"/>
                    <a:stretch>
                      <a:fillRect/>
                    </a:stretch>
                  </pic:blipFill>
                  <pic:spPr bwMode="auto">
                    <a:xfrm>
                      <a:off x="0" y="0"/>
                      <a:ext cx="4058920" cy="2259279"/>
                    </a:xfrm>
                    <a:prstGeom prst="rect">
                      <a:avLst/>
                    </a:prstGeom>
                    <a:noFill/>
                    <a:ln w="9525">
                      <a:noFill/>
                      <a:headEnd/>
                      <a:tailEnd/>
                    </a:ln>
                  </pic:spPr>
                </pic:pic>
              </a:graphicData>
            </a:graphic>
          </wp:inline>
        </w:drawing>
      </w:r>
    </w:p>
    <w:bookmarkEnd w:id="70"/>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p>
      <w:pPr>
        <w:pStyle w:val="Cajadeanotaciones"/>
        <w:keepNext/>
        <w:keepLines/>
      </w:pPr>
      <w:r>
        <w:rPr>
          <w:b/>
          <w:bCs/>
        </w:rPr>
        <w:t xml:space="preserve">Ejemplo de redacción: descriptivo frente a perspicaz.</w:t>
      </w:r>
      <w:r>
        <w:t xml:space="preserve"> </w:t>
      </w:r>
      <w:r>
        <w:t xml:space="preserve">Descriptivo (a evitar): «la contribución de la demanda interna es positiva en 20x1, negativa en 20x2 y vuelve a ser positiva en 20x3». Perspicaz: «la demanda interna contribuye con fuerza al PIB en las épocas de bonanza, pero se desploma en las recesiones, cuando la demanda externa amortigua en parte la caída; la demanda interna tiene, pues, un papel procíclico y la externa, uno contracíclico».</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B.2</w:t>
        </w:r>
      </w:hyperlink>
      <w:r>
        <w:t xml:space="preserve">.</w:t>
      </w:r>
    </w:p>
    <w:bookmarkEnd w:id="71"/>
    <w:bookmarkStart w:id="83"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 y comovimiento</w:t>
      </w:r>
      <w:r>
        <w:t xml:space="preserve">: el menos volátil de los componentes privados, porque los hogares suavizan el consumo según su renta permanente</w:t>
      </w:r>
      <w:r>
        <w:t xml:space="preserve"> </w:t>
      </w:r>
      <w:hyperlink r:id="rId72">
        <w:r>
          <w:rPr>
            <w:rStyle w:val="Referenciaatema"/>
          </w:rPr>
          <w:t xml:space="preserve">[ver tema 3.A.33]</w:t>
        </w:r>
      </w:hyperlink>
      <w:r>
        <w:t xml:space="preserve">; procíclico y contemporáneo (tabla </w:t>
      </w:r>
      <w:hyperlink w:anchor="tab_hechos_ciclo">
        <w:r>
          <w:rPr>
            <w:rStyle w:val="Hyperlink"/>
          </w:rPr>
          <w:t xml:space="preserve">1</w:t>
        </w:r>
      </w:hyperlink>
      <w:r>
        <w:t xml:space="preserve">). Si en el cuadro es más volátil que el PIB, puede haber sobrecalentamiento e inflación de demanda.</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72">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73"/>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r>
        <w:rPr>
          <w:rStyle w:val="FootnoteReference"/>
        </w:rPr>
        <w:footnoteReference w:id="74"/>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75"/>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76">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77">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78"/>
      </w:r>
    </w:p>
    <w:p>
      <w:pPr>
        <w:numPr>
          <w:ilvl w:val="0"/>
          <w:numId w:val="1032"/>
        </w:numPr>
      </w:pPr>
      <w:r>
        <w:rPr>
          <w:i/>
          <w:iCs/>
        </w:rPr>
        <w:t xml:space="preserve">Un ejemplo de lectura</w:t>
      </w:r>
      <w:r>
        <w:t xml:space="preserve">: el consumo, la renta disponible y el ahorro de los hogares de la zona del euro desde 2012 (gráfico </w:t>
      </w:r>
      <w:hyperlink w:anchor="fig_consumo_renta_ahorro">
        <w:r>
          <w:rPr>
            <w:rStyle w:val="Hyperlink"/>
          </w:rPr>
          <w:t xml:space="preserve">6</w:t>
        </w:r>
      </w:hyperlink>
      <w:r>
        <w:t xml:space="preserve">). En 2020 el ahorro se dispara por 2 motivos distintos: el</w:t>
      </w:r>
      <w:r>
        <w:t xml:space="preserve"> </w:t>
      </w:r>
      <w:r>
        <w:rPr>
          <w:b/>
          <w:bCs/>
        </w:rPr>
        <w:t xml:space="preserve">ahorro forzoso</w:t>
      </w:r>
      <w:r>
        <w:t xml:space="preserve"> </w:t>
      </w:r>
      <w:r>
        <w:t xml:space="preserve">(no se podía gastar en viajes, restaurantes u ocio) y el</w:t>
      </w:r>
      <w:r>
        <w:t xml:space="preserve"> </w:t>
      </w:r>
      <w:r>
        <w:rPr>
          <w:b/>
          <w:bCs/>
        </w:rPr>
        <w:t xml:space="preserve">ahorro por precaución</w:t>
      </w:r>
      <w:r>
        <w:t xml:space="preserve"> </w:t>
      </w:r>
      <w:r>
        <w:t xml:space="preserve">(miedo al paro). El forzoso se gasta en cuanto se reabre la economía; el precautorio, despacio. Por eso la «demanda embalsada» se libera más lentamente de lo que se espera: los servicios perdidos no se recuperan, el exceso de ahorro está sobre todo en los hogares de renta alta (que consumen una parte menor de lo que ganan), la incertidumbre y la inflación siguen pesando y parte de los hábitos cambian</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bookmarkStart w:id="82" w:name="fig_consumo_renta_ahorro"/>
    <w:p>
      <w:pPr>
        <w:pStyle w:val="ImageCaption"/>
      </w:pPr>
      <w:r>
        <w:t xml:space="preserve">Gráfico 6.–</w:t>
      </w:r>
      <w:r>
        <w:t xml:space="preserve"> </w:t>
      </w:r>
      <w:r>
        <w:t xml:space="preserve">Consumo, renta disponible y tasa de ahorro de los hogares de la zona del euro</w:t>
      </w:r>
    </w:p>
    <w:p>
      <w:pPr>
        <w:pStyle w:val="CaptionedFigure"/>
      </w:pPr>
      <w:r>
        <w:drawing>
          <wp:inline>
            <wp:extent cx="4297680" cy="2116517"/>
            <wp:effectExtent b="0" l="0" r="0" t="0"/>
            <wp:docPr descr="Gráfico 6.– Consumo, renta disponible y tasa de ahorro de los hogares de la zona del euro" title="" id="80" name="Picture"/>
            <a:graphic>
              <a:graphicData uri="http://schemas.openxmlformats.org/drawingml/2006/picture">
                <pic:pic>
                  <pic:nvPicPr>
                    <pic:cNvPr descr="C:\Users\vgutierrez\Documents\src\victorgutierrezmarcos.github.io-revision\oposicion\temario\fuentes\1D01\graficos/consumo-renta-ahorro-zona-euro.png" id="81" name="Picture"/>
                    <pic:cNvPicPr>
                      <a:picLocks noChangeArrowheads="1" noChangeAspect="1"/>
                    </pic:cNvPicPr>
                  </pic:nvPicPr>
                  <pic:blipFill>
                    <a:blip r:embed="rId79"/>
                    <a:stretch>
                      <a:fillRect/>
                    </a:stretch>
                  </pic:blipFill>
                  <pic:spPr bwMode="auto">
                    <a:xfrm>
                      <a:off x="0" y="0"/>
                      <a:ext cx="4297680" cy="2116517"/>
                    </a:xfrm>
                    <a:prstGeom prst="rect">
                      <a:avLst/>
                    </a:prstGeom>
                    <a:noFill/>
                    <a:ln w="9525">
                      <a:noFill/>
                      <a:headEnd/>
                      <a:tailEnd/>
                    </a:ln>
                  </pic:spPr>
                </pic:pic>
              </a:graphicData>
            </a:graphic>
          </wp:inline>
        </w:drawing>
      </w:r>
    </w:p>
    <w:bookmarkEnd w:id="82"/>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83"/>
    <w:bookmarkStart w:id="90"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84"/>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86"/>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w:t>
      </w:r>
      <w:r>
        <w:t xml:space="preserve"> </w:t>
      </w:r>
      <w:r>
        <w:rPr>
          <w:u w:val="single"/>
        </w:rPr>
        <w:t xml:space="preserve">la inversión es demanda hoy y oferta mañana</w:t>
      </w:r>
      <w:r>
        <w:t xml:space="preserve">, porque acumula capital y eleva el potencial</w:t>
      </w:r>
      <w:r>
        <w:t xml:space="preserve"> </w:t>
      </w:r>
      <w:hyperlink r:id="rId56">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 y comovimiento</w:t>
      </w:r>
      <w:r>
        <w:t xml:space="preserve">: el componente más volátil,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 y procíclica; la residencial, adelantada (tabla </w:t>
      </w:r>
      <w:hyperlink w:anchor="tab_hechos_ciclo">
        <w:r>
          <w:rPr>
            <w:rStyle w:val="Hyperlink"/>
          </w:rPr>
          <w:t xml:space="preserve">1</w:t>
        </w:r>
      </w:hyperlink>
      <w:r>
        <w:t xml:space="preserve">, en los anexos).</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87"/>
      </w:r>
      <w:r>
        <w:t xml:space="preserve"> </w:t>
      </w:r>
      <w:r>
        <w:t xml:space="preserve">inflación actual (encarece los costes y aumenta la incertidumbre); costes de construcción y precio real del equipo; coste de otros insumos (energía, consumos intermedios), que encarece el uso del capital; incertidumbre económica y política, y</w:t>
      </w:r>
      <w:r>
        <w:t xml:space="preserve"> </w:t>
      </w:r>
      <w:r>
        <w:rPr>
          <w:b/>
          <w:bCs/>
        </w:rPr>
        <w:t xml:space="preserve">volatilidad</w:t>
      </w:r>
      <w:r>
        <w:t xml:space="preserve"> </w:t>
      </w:r>
      <w:r>
        <w:t xml:space="preserve">del tipo de cambio y de la inflación, que la alimenta</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r>
        <w:rPr>
          <w:rStyle w:val="FootnoteReference"/>
        </w:rPr>
        <w:footnoteReference w:id="88"/>
      </w:r>
    </w:p>
    <w:p>
      <w:pPr>
        <w:numPr>
          <w:ilvl w:val="1"/>
          <w:numId w:val="1038"/>
        </w:numPr>
      </w:pPr>
      <w:r>
        <w:rPr>
          <w:b/>
          <w:b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 (expulsión</w:t>
      </w:r>
      <w:r>
        <w:t xml:space="preserve"> </w:t>
      </w:r>
      <w:r>
        <w:rPr>
          <w:i/>
          <w:iCs/>
        </w:rPr>
        <w:t xml:space="preserve">financiera</w:t>
      </w:r>
      <w:r>
        <w:t xml:space="preserve">); si la inversión pública se superpone a la privada, la expulsión es</w:t>
      </w:r>
      <w:r>
        <w:t xml:space="preserve"> </w:t>
      </w:r>
      <w:r>
        <w:rPr>
          <w:i/>
          <w:iCs/>
        </w:rPr>
        <w:t xml:space="preserve">real</w:t>
      </w:r>
      <w:r>
        <w:t xml:space="preserve">.</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89">
        <w:r>
          <w:rPr>
            <w:rStyle w:val="Referenciaatema"/>
          </w:rPr>
          <w:t xml:space="preserve">[ver tema 3.A.34]</w:t>
        </w:r>
      </w:hyperlink>
      <w:r>
        <w:t xml:space="preserve"> </w:t>
      </w:r>
      <w:hyperlink r:id="rId66">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90"/>
    <w:bookmarkStart w:id="91"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91"/>
    <w:bookmarkStart w:id="97"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7</w:t>
        </w:r>
      </w:hyperlink>
      <w:r>
        <w:t xml:space="preserve">.</w:t>
      </w:r>
      <w:r>
        <w:rPr>
          <w:rStyle w:val="FootnoteReference"/>
        </w:rPr>
        <w:footnoteReference w:id="92"/>
      </w:r>
    </w:p>
    <w:bookmarkStart w:id="96" w:name="fig_pib_comercio_mundial"/>
    <w:p>
      <w:pPr>
        <w:pStyle w:val="ImageCaption"/>
      </w:pPr>
      <w:r>
        <w:t xml:space="preserve">Gráfico 7.–</w:t>
      </w:r>
      <w:r>
        <w:t xml:space="preserve"> </w:t>
      </w:r>
      <w:r>
        <w:t xml:space="preserve">Crecimiento del PIB y del volumen de comercio mundiales</w:t>
      </w:r>
    </w:p>
    <w:p>
      <w:pPr>
        <w:pStyle w:val="CaptionedFigure"/>
      </w:pPr>
      <w:r>
        <w:drawing>
          <wp:inline>
            <wp:extent cx="4178300" cy="2393274"/>
            <wp:effectExtent b="0" l="0" r="0" t="0"/>
            <wp:docPr descr="Gráfico 7.– Crecimiento del PIB y del volumen de comercio mundiales" title="" id="94" name="Picture"/>
            <a:graphic>
              <a:graphicData uri="http://schemas.openxmlformats.org/drawingml/2006/picture">
                <pic:pic>
                  <pic:nvPicPr>
                    <pic:cNvPr descr="C:\Users\vgutierrez\Documents\src\victorgutierrezmarcos.github.io-revision\oposicion\temario\fuentes\1D01\graficos/pib-comercio-mundial.png" id="95" name="Picture"/>
                    <pic:cNvPicPr>
                      <a:picLocks noChangeArrowheads="1" noChangeAspect="1"/>
                    </pic:cNvPicPr>
                  </pic:nvPicPr>
                  <pic:blipFill>
                    <a:blip r:embed="rId93"/>
                    <a:stretch>
                      <a:fillRect/>
                    </a:stretch>
                  </pic:blipFill>
                  <pic:spPr bwMode="auto">
                    <a:xfrm>
                      <a:off x="0" y="0"/>
                      <a:ext cx="4178300" cy="2393274"/>
                    </a:xfrm>
                    <a:prstGeom prst="rect">
                      <a:avLst/>
                    </a:prstGeom>
                    <a:noFill/>
                    <a:ln w="9525">
                      <a:noFill/>
                      <a:headEnd/>
                      <a:tailEnd/>
                    </a:ln>
                  </pic:spPr>
                </pic:pic>
              </a:graphicData>
            </a:graphic>
          </wp:inline>
        </w:drawing>
      </w:r>
    </w:p>
    <w:bookmarkEnd w:id="96"/>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97"/>
    <w:bookmarkEnd w:id="98"/>
    <w:bookmarkStart w:id="113"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100"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56">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Funcionclave"/>
        <w:keepLines/>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w:t>
      </w:r>
      <w:r>
        <w:t xml:space="preserve"> </w:t>
      </w:r>
      <w:r>
        <w:rPr>
          <w:b/>
          <w:bCs/>
        </w:rPr>
        <w:t xml:space="preserve">extensivo</w:t>
      </w:r>
      <w:r>
        <w:t xml:space="preserve"> </w:t>
      </w:r>
      <w:r>
        <w:t xml:space="preserve">(más factores);</w:t>
      </w:r>
    </w:p>
    <w:p>
      <w:pPr>
        <w:numPr>
          <w:ilvl w:val="1"/>
          <w:numId w:val="1043"/>
        </w:numPr>
      </w:pPr>
      <w:r>
        <w:t xml:space="preserve">crecimiento con PAT al alza: patrón</w:t>
      </w:r>
      <w:r>
        <w:t xml:space="preserve"> </w:t>
      </w:r>
      <w:r>
        <w:rPr>
          <w:b/>
          <w:bCs/>
        </w:rPr>
        <w:t xml:space="preserve">intensivo</w:t>
      </w:r>
      <w:r>
        <w:t xml:space="preserve">,</w:t>
      </w:r>
      <w:r>
        <w:t xml:space="preserve"> </w:t>
      </w:r>
      <w:r>
        <w:rPr>
          <w:u w:val="single"/>
        </w:rPr>
        <w:t xml:space="preserve">más sostenible, porque a largo plazo solo la productividad eleva la renta por habitante</w:t>
      </w:r>
      <w:r>
        <w:t xml:space="preserv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56">
        <w:r>
          <w:rPr>
            <w:rStyle w:val="Referenciaatema"/>
          </w:rPr>
          <w:t xml:space="preserve">[ver tema 3.A.45]</w:t>
        </w:r>
      </w:hyperlink>
      <w:r>
        <w:t xml:space="preserve"> </w:t>
      </w:r>
      <w:hyperlink r:id="rId99">
        <w:r>
          <w:rPr>
            <w:rStyle w:val="Referenciaatema"/>
          </w:rPr>
          <w:t xml:space="preserve">[ver tema 3.A.43]</w:t>
        </w:r>
      </w:hyperlink>
      <w:r>
        <w:t xml:space="preserve"> </w:t>
      </w:r>
      <w:hyperlink r:id="rId66">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100"/>
    <w:bookmarkStart w:id="105"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101">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102">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85">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103">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104">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B.2.1</w:t>
        </w:r>
      </w:hyperlink>
      <w:r>
        <w:t xml:space="preserve">.</w:t>
      </w:r>
    </w:p>
    <w:bookmarkEnd w:id="105"/>
    <w:bookmarkStart w:id="112" w:name="un_sector_dominante_petr__leo_y_ma_15552"/>
    <w:p>
      <w:pPr>
        <w:pStyle w:val="Heading4"/>
      </w:pPr>
      <w:r>
        <w:t xml:space="preserve">Un sector dominante: petróleo y materias primas</w:t>
      </w:r>
    </w:p>
    <w:p>
      <w:pPr>
        <w:numPr>
          <w:ilvl w:val="0"/>
          <w:numId w:val="1046"/>
        </w:numPr>
      </w:pPr>
      <w:r>
        <w:t xml:space="preserve">Si un sector (petróleo, materias primas, turismo) pesa mucho en el VAB, en las exportaciones o en los ingresos públicos,</w:t>
      </w:r>
      <w:r>
        <w:t xml:space="preserve"> </w:t>
      </w:r>
      <w:r>
        <w:rPr>
          <w:b/>
          <w:bCs/>
        </w:rPr>
        <w:t xml:space="preserve">su precio mueve todo el cuadro</w:t>
      </w:r>
      <w:r>
        <w:t xml:space="preserve">: el PIB, la inflación, el saldo exterior y las cuentas públicas.</w:t>
      </w:r>
    </w:p>
    <w:p>
      <w:pPr>
        <w:numPr>
          <w:ilvl w:val="0"/>
          <w:numId w:val="1046"/>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8</w:t>
        </w:r>
      </w:hyperlink>
      <w:r>
        <w:t xml:space="preserve">).</w:t>
      </w:r>
    </w:p>
    <w:p>
      <w:pPr>
        <w:keepNext/>
        <w:numPr>
          <w:ilvl w:val="0"/>
          <w:numId w:val="1046"/>
        </w:numPr>
      </w:pPr>
      <w:r>
        <w:rPr>
          <w:i/>
          <w:iCs/>
        </w:rPr>
        <w:t xml:space="preserve">Canales de un cambio del precio del petróleo</w:t>
      </w:r>
      <w:r>
        <w:t xml:space="preserve">:</w:t>
      </w:r>
    </w:p>
    <w:p>
      <w:pPr>
        <w:numPr>
          <w:ilvl w:val="1"/>
          <w:numId w:val="1047"/>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047"/>
        </w:numPr>
      </w:pPr>
      <w:r>
        <w:rPr>
          <w:i/>
          <w:iCs/>
        </w:rPr>
        <w:t xml:space="preserve">Sector exterior</w:t>
      </w:r>
      <w:r>
        <w:t xml:space="preserve">: la balanza de bienes y la cuenta corriente siguen al precio; con tipo flexible, la moneda del exportador se aprecia.</w:t>
      </w:r>
    </w:p>
    <w:p>
      <w:pPr>
        <w:numPr>
          <w:ilvl w:val="1"/>
          <w:numId w:val="1047"/>
        </w:numPr>
      </w:pPr>
      <w:r>
        <w:rPr>
          <w:i/>
          <w:iCs/>
        </w:rPr>
        <w:t xml:space="preserve">Cuentas públicas</w:t>
      </w:r>
      <w:r>
        <w:t xml:space="preserve">: regalías e impuestos sobre el sector (exportador) o subvenciones a los combustibles; los ingresos se vuelven volátiles y procíclicos.</w:t>
      </w:r>
    </w:p>
    <w:p>
      <w:pPr>
        <w:numPr>
          <w:ilvl w:val="0"/>
          <w:numId w:val="1046"/>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046"/>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046"/>
        </w:numPr>
      </w:pPr>
      <w:r>
        <w:rPr>
          <w:i/>
          <w:iCs/>
        </w:rPr>
        <w:t xml:space="preserve">Tema</w:t>
      </w:r>
      <w:r>
        <w:t xml:space="preserve">:</w:t>
      </w:r>
      <w:r>
        <w:t xml:space="preserve"> </w:t>
      </w:r>
      <w:hyperlink r:id="rId106">
        <w:r>
          <w:rPr>
            <w:rStyle w:val="Referenciaatema"/>
          </w:rPr>
          <w:t xml:space="preserve">[ver tema 3.B.28]</w:t>
        </w:r>
      </w:hyperlink>
      <w:r>
        <w:t xml:space="preserve"> </w:t>
      </w:r>
      <w:hyperlink r:id="rId107">
        <w:r>
          <w:rPr>
            <w:rStyle w:val="Referenciaatema"/>
          </w:rPr>
          <w:t xml:space="preserve">[ver tema 3.B.32]</w:t>
        </w:r>
      </w:hyperlink>
      <w:r>
        <w:t xml:space="preserve"> </w:t>
      </w:r>
      <w:hyperlink r:id="rId102">
        <w:r>
          <w:rPr>
            <w:rStyle w:val="Referenciaatema"/>
          </w:rPr>
          <w:t xml:space="preserve">[ver tema 4.A.5]</w:t>
        </w:r>
      </w:hyperlink>
      <w:r>
        <w:t xml:space="preserve">.</w:t>
      </w:r>
    </w:p>
    <w:bookmarkStart w:id="111" w:name="fig_brent"/>
    <w:p>
      <w:pPr>
        <w:pStyle w:val="ImageCaption"/>
      </w:pPr>
      <w:r>
        <w:t xml:space="preserve">Gráfico 8.–</w:t>
      </w:r>
      <w:r>
        <w:t xml:space="preserve"> </w:t>
      </w:r>
      <w:r>
        <w:t xml:space="preserve">Precio del petróleo Brent en dólares y en euros</w:t>
      </w:r>
    </w:p>
    <w:p>
      <w:pPr>
        <w:pStyle w:val="CaptionedFigure"/>
      </w:pPr>
      <w:r>
        <w:drawing>
          <wp:inline>
            <wp:extent cx="4297680" cy="2157055"/>
            <wp:effectExtent b="0" l="0" r="0" t="0"/>
            <wp:docPr descr="Gráfico 8.– Precio del petróleo Brent en dólares y en euros" title="" id="109" name="Picture"/>
            <a:graphic>
              <a:graphicData uri="http://schemas.openxmlformats.org/drawingml/2006/picture">
                <pic:pic>
                  <pic:nvPicPr>
                    <pic:cNvPr descr="C:\Users\vgutierrez\Documents\src\victorgutierrezmarcos.github.io-revision\oposicion\temario\fuentes\1D01\graficos/brent.png" id="110" name="Picture"/>
                    <pic:cNvPicPr>
                      <a:picLocks noChangeArrowheads="1" noChangeAspect="1"/>
                    </pic:cNvPicPr>
                  </pic:nvPicPr>
                  <pic:blipFill>
                    <a:blip r:embed="rId108"/>
                    <a:stretch>
                      <a:fillRect/>
                    </a:stretch>
                  </pic:blipFill>
                  <pic:spPr bwMode="auto">
                    <a:xfrm>
                      <a:off x="0" y="0"/>
                      <a:ext cx="4297680" cy="2157055"/>
                    </a:xfrm>
                    <a:prstGeom prst="rect">
                      <a:avLst/>
                    </a:prstGeom>
                    <a:noFill/>
                    <a:ln w="9525">
                      <a:noFill/>
                      <a:headEnd/>
                      <a:tailEnd/>
                    </a:ln>
                  </pic:spPr>
                </pic:pic>
              </a:graphicData>
            </a:graphic>
          </wp:inline>
        </w:drawing>
      </w:r>
    </w:p>
    <w:bookmarkEnd w:id="111"/>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112"/>
    <w:bookmarkEnd w:id="113"/>
    <w:bookmarkStart w:id="117" w:name="sec_anticipar"/>
    <w:p>
      <w:pPr>
        <w:pStyle w:val="Heading2"/>
      </w:pPr>
      <w:r>
        <w:t xml:space="preserve">I.6.</w:t>
      </w:r>
      <w:r>
        <w:t xml:space="preserve"> </w:t>
      </w:r>
      <w:r>
        <w:t xml:space="preserve">Anticipar el diagnóstico</w:t>
      </w:r>
    </w:p>
    <w:p>
      <w:pPr>
        <w:numPr>
          <w:ilvl w:val="0"/>
          <w:numId w:val="1048"/>
        </w:numPr>
      </w:pPr>
      <w:r>
        <w:t xml:space="preserve">La idea: si está claro y da tiempo, la respuesta del perfil cíclico se cierra con un diagnóstico general que anuncia lo que se desarrollará después. Se deja hueco y se escribe al final.</w:t>
      </w:r>
    </w:p>
    <w:p>
      <w:pPr>
        <w:numPr>
          <w:ilvl w:val="0"/>
          <w:numId w:val="1048"/>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115" w:name="econom__a_avanzada_o_emergente_qu__95834"/>
    <w:p>
      <w:pPr>
        <w:pStyle w:val="Heading4"/>
      </w:pPr>
      <w:r>
        <w:t xml:space="preserve">Economía avanzada o emergente: qué cambia en el análisis</w:t>
      </w:r>
    </w:p>
    <w:p>
      <w:pPr>
        <w:numPr>
          <w:ilvl w:val="0"/>
          <w:numId w:val="1049"/>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2</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049"/>
        </w:numPr>
      </w:pPr>
      <w:r>
        <w:t xml:space="preserve">Ojo con los países exportadores de petróleo, con rentas per cápita altas y rasgos de emergente.</w:t>
      </w:r>
    </w:p>
    <w:bookmarkStart w:id="114" w:name="tab_avanzada_emergente"/>
    <w:p>
      <w:pPr>
        <w:pStyle w:val="TableCaption"/>
      </w:pPr>
      <w:r>
        <w:t xml:space="preserve">Tabla 2.–</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2.–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114"/>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115"/>
    <w:bookmarkStart w:id="116" w:name="desequilibrios_y_fortalezas_t__picos"/>
    <w:p>
      <w:pPr>
        <w:pStyle w:val="Heading4"/>
      </w:pPr>
      <w:r>
        <w:t xml:space="preserve">Desequilibrios y fortalezas típicos</w:t>
      </w:r>
    </w:p>
    <w:p>
      <w:pPr>
        <w:keepNext/>
        <w:numPr>
          <w:ilvl w:val="0"/>
          <w:numId w:val="1050"/>
        </w:numPr>
      </w:pPr>
      <w:r>
        <w:t xml:space="preserve">Los desequilibrios que más se repiten en los dictámenes, con el indicador que los delata:</w:t>
      </w:r>
    </w:p>
    <w:p>
      <w:pPr>
        <w:numPr>
          <w:ilvl w:val="1"/>
          <w:numId w:val="1051"/>
        </w:numPr>
      </w:pPr>
      <w:r>
        <w:rPr>
          <w:i/>
          <w:iCs/>
        </w:rPr>
        <w:t xml:space="preserve">Débil crecimiento o recesión</w:t>
      </w:r>
      <w:r>
        <w:t xml:space="preserve">: PIB real que crece poco o cae; crecimiento potencial bajo.</w:t>
      </w:r>
    </w:p>
    <w:p>
      <w:pPr>
        <w:numPr>
          <w:ilvl w:val="1"/>
          <w:numId w:val="1051"/>
        </w:numPr>
      </w:pPr>
      <w:r>
        <w:rPr>
          <w:i/>
          <w:iCs/>
        </w:rPr>
        <w:t xml:space="preserve">Demanda interna anémica</w:t>
      </w:r>
      <w:r>
        <w:t xml:space="preserve">: consumo privado que apenas crece.</w:t>
      </w:r>
    </w:p>
    <w:p>
      <w:pPr>
        <w:numPr>
          <w:ilvl w:val="1"/>
          <w:numId w:val="1051"/>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51"/>
        </w:numPr>
      </w:pPr>
      <w:r>
        <w:rPr>
          <w:i/>
          <w:iCs/>
        </w:rPr>
        <w:t xml:space="preserve">Mercado de trabajo deficiente</w:t>
      </w:r>
      <w:r>
        <w:t xml:space="preserve">: paro alto y persistente, CLU crecientes.</w:t>
      </w:r>
    </w:p>
    <w:p>
      <w:pPr>
        <w:numPr>
          <w:ilvl w:val="1"/>
          <w:numId w:val="1051"/>
        </w:numPr>
      </w:pPr>
      <w:r>
        <w:rPr>
          <w:i/>
          <w:iCs/>
        </w:rPr>
        <w:t xml:space="preserve">Déficit y deuda públicos</w:t>
      </w:r>
      <w:r>
        <w:t xml:space="preserve">: altos, persistentes o con trayectoria insostenible.</w:t>
      </w:r>
    </w:p>
    <w:p>
      <w:pPr>
        <w:numPr>
          <w:ilvl w:val="1"/>
          <w:numId w:val="1051"/>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51"/>
        </w:numPr>
      </w:pPr>
      <w:r>
        <w:rPr>
          <w:i/>
          <w:iCs/>
        </w:rPr>
        <w:t xml:space="preserve">Riesgos en el sistema financiero</w:t>
      </w:r>
      <w:r>
        <w:t xml:space="preserve">: prima de riesgo alta, endeudamiento privado y público alto, morosidad, racionamiento del crédito.</w:t>
      </w:r>
    </w:p>
    <w:p>
      <w:pPr>
        <w:numPr>
          <w:ilvl w:val="1"/>
          <w:numId w:val="1051"/>
        </w:numPr>
      </w:pPr>
      <w:r>
        <w:rPr>
          <w:i/>
          <w:iCs/>
        </w:rPr>
        <w:t xml:space="preserve">Estructura sectorial desequilibrada</w:t>
      </w:r>
      <w:r>
        <w:t xml:space="preserve">: dependencia de un sector (inmobiliario, energético, materias primas).</w:t>
      </w:r>
    </w:p>
    <w:p>
      <w:pPr>
        <w:numPr>
          <w:ilvl w:val="0"/>
          <w:numId w:val="1050"/>
        </w:numPr>
      </w:pPr>
      <w:r>
        <w:t xml:space="preserve">Las fortalezas son su reverso (tabla </w:t>
      </w:r>
      <w:hyperlink w:anchor="tab_matriz">
        <w:r>
          <w:rPr>
            <w:rStyle w:val="Hyperlink"/>
          </w:rPr>
          <w:t xml:space="preserve">20</w:t>
        </w:r>
      </w:hyperlink>
      <w:r>
        <w:t xml:space="preserve">, en el anexo </w:t>
      </w:r>
      <w:hyperlink w:anchor="anexo_matriz">
        <w:r>
          <w:rPr>
            <w:rStyle w:val="Hyperlink"/>
          </w:rPr>
          <w:t xml:space="preserve">D.8</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2"/>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116"/>
    <w:bookmarkEnd w:id="117"/>
    <w:bookmarkEnd w:id="118"/>
    <w:bookmarkStart w:id="165" w:name="sec_factores"/>
    <w:p>
      <w:pPr>
        <w:pStyle w:val="Heading1"/>
      </w:pPr>
      <w:r>
        <w:t xml:space="preserve">II.</w:t>
      </w:r>
      <w:r>
        <w:t xml:space="preserve"> </w:t>
      </w:r>
      <w:r>
        <w:t xml:space="preserve">Mercados de factores</w:t>
      </w:r>
    </w:p>
    <w:p>
      <w:pPr>
        <w:numPr>
          <w:ilvl w:val="0"/>
          <w:numId w:val="1053"/>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3"/>
        </w:numPr>
      </w:pPr>
      <w:r>
        <w:t xml:space="preserve">Desde el punto de vista macroeconómico, el trabajo es, junto con el capital, uno de los 2 factores de producción (la tierra se suele incluir en el capital).</w:t>
      </w:r>
    </w:p>
    <w:bookmarkStart w:id="159"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127" w:name="indicadores_de_cantidad"/>
    <w:p>
      <w:pPr>
        <w:pStyle w:val="Heading4"/>
      </w:pPr>
      <w:r>
        <w:t xml:space="preserve">Indicadores de cantidad</w:t>
      </w:r>
    </w:p>
    <w:p>
      <w:pPr>
        <w:numPr>
          <w:ilvl w:val="0"/>
          <w:numId w:val="1054"/>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4"/>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50">
        <w:r>
          <w:rPr>
            <w:rStyle w:val="Referenciaatema"/>
          </w:rPr>
          <w:t xml:space="preserve">[ver tema 4.A.1]</w:t>
        </w:r>
      </w:hyperlink>
      <w:r>
        <w:t xml:space="preserve">,</w:t>
      </w:r>
    </w:p>
    <w:p>
      <w:pPr>
        <w:pStyle w:val="Funcionclave"/>
        <w:keepLines/>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oMath>
      </m:oMathPara>
    </w:p>
    <w:p>
      <w:pPr>
        <w:numPr>
          <w:ilvl w:val="0"/>
          <w:numId w:val="1054"/>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Solo se comparan tasas con la misma definición.</w:t>
      </w:r>
    </w:p>
    <w:p>
      <w:pPr>
        <w:numPr>
          <w:ilvl w:val="0"/>
          <w:numId w:val="1054"/>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119">
        <w:r>
          <w:rPr>
            <w:rStyle w:val="Referenciaatema"/>
          </w:rPr>
          <w:t xml:space="preserve">[ver tema 4.A.30]</w:t>
        </w:r>
      </w:hyperlink>
      <w:r>
        <w:t xml:space="preserve">.</w:t>
      </w:r>
    </w:p>
    <w:p>
      <w:pPr>
        <w:numPr>
          <w:ilvl w:val="0"/>
          <w:numId w:val="1054"/>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120"/>
      </w:r>
    </w:p>
    <w:p>
      <w:pPr>
        <w:keepNext/>
        <w:numPr>
          <w:ilvl w:val="0"/>
          <w:numId w:val="1054"/>
        </w:numPr>
      </w:pPr>
      <w:r>
        <w:rPr>
          <w:i/>
          <w:iCs/>
        </w:rPr>
        <w:t xml:space="preserve">Cómo se lee</w:t>
      </w:r>
      <w:r>
        <w:t xml:space="preserve">:</w:t>
      </w:r>
    </w:p>
    <w:p>
      <w:pPr>
        <w:numPr>
          <w:ilvl w:val="1"/>
          <w:numId w:val="1055"/>
        </w:numPr>
      </w:pPr>
      <w:r>
        <w:t xml:space="preserve">la</w:t>
      </w:r>
      <w:r>
        <w:t xml:space="preserve"> </w:t>
      </w:r>
      <w:r>
        <w:rPr>
          <w:b/>
          <w:bCs/>
        </w:rPr>
        <w:t xml:space="preserve">tasa de actividad</w:t>
      </w:r>
      <w:r>
        <w:t xml:space="preserve"> </w:t>
      </w:r>
      <w:r>
        <w:t xml:space="preserve">depende de la demografía, de la incorporación de la mujer, de los años de estudio y de los incentivos (jubilación, prestaciones, fiscalidad), y es importante para la sostenibilidad del Estado del bienestar;</w:t>
      </w:r>
    </w:p>
    <w:p>
      <w:pPr>
        <w:numPr>
          <w:ilvl w:val="1"/>
          <w:numId w:val="1055"/>
        </w:numPr>
      </w:pPr>
      <w:r>
        <w:t xml:space="preserve">la</w:t>
      </w:r>
      <w:r>
        <w:t xml:space="preserve"> </w:t>
      </w:r>
      <w:r>
        <w:rPr>
          <w:b/>
          <w:bCs/>
        </w:rPr>
        <w:t xml:space="preserve">variación del empleo</w:t>
      </w:r>
      <w:r>
        <w:t xml:space="preserve"> </w:t>
      </w:r>
      <w:r>
        <w:t xml:space="preserve">es la creación menos la destrucción de empleo: hay que mirar a partir de qué crecimiento del PIB se crea empleo y con qué elasticidad;</w:t>
      </w:r>
    </w:p>
    <w:p>
      <w:pPr>
        <w:numPr>
          <w:ilvl w:val="1"/>
          <w:numId w:val="1055"/>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5"/>
        </w:numPr>
      </w:pPr>
      <w:r>
        <w:rPr>
          <w:b/>
          <w:bCs/>
        </w:rPr>
        <w:t xml:space="preserve">efecto desánimo</w:t>
      </w:r>
      <w:r>
        <w:t xml:space="preserve">: si el paro baja porque cae la población activa, y no porque sube el empleo, no es una buena noticia: puede haber trabajadores</w:t>
      </w:r>
      <w:r>
        <w:t xml:space="preserve"> </w:t>
      </w:r>
      <w:r>
        <w:rPr>
          <w:i/>
          <w:iCs/>
        </w:rPr>
        <w:t xml:space="preserve">desanimados</w:t>
      </w:r>
      <w:r>
        <w:t xml:space="preserve"> </w:t>
      </w:r>
      <w:r>
        <w:t xml:space="preserve">que han dejado de buscar empleo y que la estadística ya no cuenta como parados</w:t>
      </w:r>
      <w:r>
        <w:t xml:space="preserve"> </w:t>
      </w:r>
      <w:r>
        <w:t xml:space="preserve">(</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Un paro que baja sin que suba el empleo hay que leerlo con la tasa de actividad al lado</w:t>
      </w:r>
      <w:r>
        <w:t xml:space="preserve">;</w:t>
      </w:r>
    </w:p>
    <w:p>
      <w:pPr>
        <w:numPr>
          <w:ilvl w:val="1"/>
          <w:numId w:val="1055"/>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El gráfico </w:t>
      </w:r>
      <w:hyperlink w:anchor="fig_empleo_horas">
        <w:r>
          <w:rPr>
            <w:rStyle w:val="Hyperlink"/>
          </w:rPr>
          <w:t xml:space="preserve">9</w:t>
        </w:r>
      </w:hyperlink>
      <w:r>
        <w:t xml:space="preserve"> </w:t>
      </w:r>
      <w:r>
        <w:t xml:space="preserve">lo muestra para la zona del euro, y un párrafo del BCE que lo comenta está en el anexo </w:t>
      </w:r>
      <w:hyperlink w:anchor="anexo_parrafos">
        <w:r>
          <w:rPr>
            <w:rStyle w:val="Hyperlink"/>
          </w:rPr>
          <w:t xml:space="preserve">B.2.1</w:t>
        </w:r>
      </w:hyperlink>
      <w:r>
        <w:t xml:space="preserve">.</w:t>
      </w:r>
    </w:p>
    <w:p>
      <w:pPr>
        <w:numPr>
          <w:ilvl w:val="0"/>
          <w:numId w:val="1054"/>
        </w:numPr>
      </w:pPr>
      <w:r>
        <w:rPr>
          <w:i/>
          <w:iCs/>
        </w:rPr>
        <w:t xml:space="preserve">Tema</w:t>
      </w:r>
      <w:r>
        <w:t xml:space="preserve">:</w:t>
      </w:r>
      <w:r>
        <w:t xml:space="preserve"> </w:t>
      </w:r>
      <w:hyperlink r:id="rId121">
        <w:r>
          <w:rPr>
            <w:rStyle w:val="Referenciaatema"/>
          </w:rPr>
          <w:t xml:space="preserve">[ver tema 3.A.25]</w:t>
        </w:r>
      </w:hyperlink>
      <w:r>
        <w:t xml:space="preserve"> </w:t>
      </w:r>
      <w:hyperlink r:id="rId122">
        <w:r>
          <w:rPr>
            <w:rStyle w:val="Referenciaatema"/>
          </w:rPr>
          <w:t xml:space="preserve">[ver tema 4.A.16]</w:t>
        </w:r>
      </w:hyperlink>
      <w:r>
        <w:t xml:space="preserve">.</w:t>
      </w:r>
    </w:p>
    <w:bookmarkStart w:id="126" w:name="fig_empleo_horas"/>
    <w:p>
      <w:pPr>
        <w:pStyle w:val="ImageCaption"/>
      </w:pPr>
      <w:r>
        <w:t xml:space="preserve">Gráfico 9.–</w:t>
      </w:r>
      <w:r>
        <w:t xml:space="preserve"> </w:t>
      </w:r>
      <w:r>
        <w:t xml:space="preserve">Zona del euro: empleo, horas trabajadas, tasa de actividad y tasa de paro</w:t>
      </w:r>
    </w:p>
    <w:p>
      <w:pPr>
        <w:pStyle w:val="CaptionedFigure"/>
      </w:pPr>
      <w:r>
        <w:drawing>
          <wp:inline>
            <wp:extent cx="4417060" cy="2020570"/>
            <wp:effectExtent b="0" l="0" r="0" t="0"/>
            <wp:docPr descr="Gráfico 9.– Zona del euro: empleo, horas trabajadas, tasa de actividad y tasa de paro" title="" id="124" name="Picture"/>
            <a:graphic>
              <a:graphicData uri="http://schemas.openxmlformats.org/drawingml/2006/picture">
                <pic:pic>
                  <pic:nvPicPr>
                    <pic:cNvPr descr="C:\Users\vgutierrez\Documents\src\victorgutierrezmarcos.github.io-revision\oposicion\temario\fuentes\1D01\graficos/empleo-horas-actividad-zona-euro.png" id="125" name="Picture"/>
                    <pic:cNvPicPr>
                      <a:picLocks noChangeArrowheads="1" noChangeAspect="1"/>
                    </pic:cNvPicPr>
                  </pic:nvPicPr>
                  <pic:blipFill>
                    <a:blip r:embed="rId123"/>
                    <a:stretch>
                      <a:fillRect/>
                    </a:stretch>
                  </pic:blipFill>
                  <pic:spPr bwMode="auto">
                    <a:xfrm>
                      <a:off x="0" y="0"/>
                      <a:ext cx="4417060" cy="2020570"/>
                    </a:xfrm>
                    <a:prstGeom prst="rect">
                      <a:avLst/>
                    </a:prstGeom>
                    <a:noFill/>
                    <a:ln w="9525">
                      <a:noFill/>
                      <a:headEnd/>
                      <a:tailEnd/>
                    </a:ln>
                  </pic:spPr>
                </pic:pic>
              </a:graphicData>
            </a:graphic>
          </wp:inline>
        </w:drawing>
      </w:r>
    </w:p>
    <w:bookmarkEnd w:id="126"/>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en la pandemia el empleo apenas cayó (esquemas de mantenimiento del empleo) y el ajuste se hizo con las horas; hoy el empleo supera en un 6 % el nivel de 2019 y las horas solo en un 5 % (baja la jornada media); el paro, del 6,4 % a mediados de 2026, está cerca de su mínimo.</w:t>
      </w:r>
    </w:p>
    <w:bookmarkEnd w:id="127"/>
    <w:bookmarkStart w:id="132" w:name="productividad"/>
    <w:p>
      <w:pPr>
        <w:pStyle w:val="Heading4"/>
      </w:pPr>
      <w:r>
        <w:t xml:space="preserve">Productividad</w:t>
      </w:r>
    </w:p>
    <w:p>
      <w:pPr>
        <w:numPr>
          <w:ilvl w:val="0"/>
          <w:numId w:val="1056"/>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6"/>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 (gráfico </w:t>
      </w:r>
      <w:hyperlink w:anchor="fig_pib_por_pet">
        <w:r>
          <w:rPr>
            <w:rStyle w:val="Hyperlink"/>
          </w:rPr>
          <w:t xml:space="preserve">10</w:t>
        </w:r>
      </w:hyperlink>
      <w:r>
        <w:t xml:space="preserve">).</w:t>
      </w:r>
    </w:p>
    <w:p>
      <w:pPr>
        <w:numPr>
          <w:ilvl w:val="0"/>
          <w:numId w:val="1056"/>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b/>
          <w:bCs/>
        </w:rPr>
        <w:t xml:space="preserve">intensificación del capital</w:t>
      </w:r>
      <w:r>
        <w:t xml:space="preserve"> </w:t>
      </w:r>
      <w:r>
        <w:t xml:space="preserve">(más capital físico por trabajador, gracias a la inversión neta), por inversión en</w:t>
      </w:r>
      <w:r>
        <w:t xml:space="preserve"> </w:t>
      </w:r>
      <w:r>
        <w:rPr>
          <w:b/>
          <w:bCs/>
        </w:rPr>
        <w:t xml:space="preserve">capital intangible</w:t>
      </w:r>
      <w:r>
        <w:t xml:space="preserve"> </w:t>
      </w:r>
      <w:r>
        <w:t xml:space="preserve">(innovación, cambios organizativos, I+D) o por</w:t>
      </w:r>
      <w:r>
        <w:t xml:space="preserve"> </w:t>
      </w:r>
      <w:r>
        <w:rPr>
          <w:b/>
          <w:bCs/>
        </w:rPr>
        <w:t xml:space="preserve">progreso técnico</w:t>
      </w:r>
      <w:r>
        <w:t xml:space="preserve"> </w:t>
      </w:r>
      <w:r>
        <w:t xml:space="preserve">(sube la productividad total de los factores). Si cae el empleo menos productivo, la PAT sube sin que nadie trabaje mejor.</w:t>
      </w:r>
      <w:r>
        <w:t xml:space="preserve"> </w:t>
      </w:r>
      <w:r>
        <w:rPr>
          <w:u w:val="single"/>
        </w:rPr>
        <w:t xml:space="preserve">A largo plazo, la productividad es la que eleva la renta per cápita y los salarios reales.</w:t>
      </w:r>
    </w:p>
    <w:p>
      <w:pPr>
        <w:numPr>
          <w:ilvl w:val="0"/>
          <w:numId w:val="1056"/>
        </w:numPr>
      </w:pPr>
      <w:r>
        <w:rPr>
          <w:i/>
          <w:iCs/>
        </w:rPr>
        <w:t xml:space="preserve">El empleo se ajusta con retraso</w:t>
      </w:r>
      <w:r>
        <w:t xml:space="preserve"> </w:t>
      </w:r>
      <w:r>
        <w:t xml:space="preserve">(</w:t>
      </w:r>
      <w:r>
        <w:rPr>
          <w:i/>
          <w:iCs/>
        </w:rPr>
        <w:t xml:space="preserve">acaparamiento de trabajo</w:t>
      </w:r>
      <w:r>
        <w:t xml:space="preserve">,</w:t>
      </w:r>
      <w:r>
        <w:t xml:space="preserve"> </w:t>
      </w:r>
      <w:r>
        <w:rPr>
          <w:i/>
          <w:iCs/>
        </w:rPr>
        <w:t xml:space="preserve">labour hoarding</w:t>
      </w:r>
      <w:r>
        <w:t xml:space="preserve">): contratar y despedir cuesta, así que en una recesión las empresas retienen plantilla y reducen horas, y en la recuperación suben primero las horas y después contratan, cuando la demanda parece estable. Por eso el empleo va algo retrasado respecto al PIB y la productividad aparente es</w:t>
      </w:r>
      <w:r>
        <w:t xml:space="preserve"> </w:t>
      </w:r>
      <w:r>
        <w:rPr>
          <w:i/>
          <w:iCs/>
        </w:rPr>
        <w:t xml:space="preserve">procíclica</w:t>
      </w:r>
      <w:r>
        <w:t xml:space="preserve">: cae en la recesión (se produce menos con casi la misma plantilla) y repunta al principio de la recuperación</w:t>
      </w:r>
      <w:r>
        <w:t xml:space="preserve"> </w:t>
      </w:r>
      <w:r>
        <w:t xml:space="preserve">(</w:t>
      </w:r>
      <w:hyperlink w:anchor="ref_Biddle2014LaborHoarding">
        <w:r>
          <w:rPr>
            <w:rStyle w:val="Hyperlink"/>
            <w:smallCaps/>
          </w:rPr>
          <w:t xml:space="preserve">Biddle</w:t>
        </w:r>
        <w:r>
          <w:rPr>
            <w:rStyle w:val="Hyperlink"/>
          </w:rPr>
          <w:t xml:space="preserve">, 2014</w:t>
        </w:r>
      </w:hyperlink>
      <w:r>
        <w:t xml:space="preserve">)</w:t>
      </w:r>
      <w:r>
        <w:t xml:space="preserve">. Un año en que el PIB repunta sin empleo no es necesariamente un «milagro» de productividad.</w:t>
      </w:r>
    </w:p>
    <w:p>
      <w:pPr>
        <w:numPr>
          <w:ilvl w:val="0"/>
          <w:numId w:val="1056"/>
        </w:numPr>
      </w:pPr>
      <w:r>
        <w:rPr>
          <w:i/>
          <w:iCs/>
        </w:rPr>
        <w:t xml:space="preserve">Tema</w:t>
      </w:r>
      <w:r>
        <w:t xml:space="preserve">:</w:t>
      </w:r>
      <w:r>
        <w:t xml:space="preserve"> </w:t>
      </w:r>
      <w:hyperlink r:id="rId56">
        <w:r>
          <w:rPr>
            <w:rStyle w:val="Referenciaatema"/>
          </w:rPr>
          <w:t xml:space="preserve">[ver tema 3.A.45]</w:t>
        </w:r>
      </w:hyperlink>
      <w:r>
        <w:t xml:space="preserve"> </w:t>
      </w:r>
      <w:hyperlink r:id="rId66">
        <w:r>
          <w:rPr>
            <w:rStyle w:val="Referenciaatema"/>
          </w:rPr>
          <w:t xml:space="preserve">[ver tema 4.A.29]</w:t>
        </w:r>
      </w:hyperlink>
      <w:r>
        <w:t xml:space="preserve">.</w:t>
      </w:r>
    </w:p>
    <w:bookmarkStart w:id="131" w:name="fig_pib_por_pet"/>
    <w:p>
      <w:pPr>
        <w:pStyle w:val="ImageCaption"/>
      </w:pPr>
      <w:r>
        <w:t xml:space="preserve">Gráfico 10.–</w:t>
      </w:r>
      <w:r>
        <w:t xml:space="preserve"> </w:t>
      </w:r>
      <w:r>
        <w:t xml:space="preserve">España: PIB por persona en edad de trabajar, por hora y horas por persona (variación acumulada desde el cuarto trimestre de 2019)</w:t>
      </w:r>
    </w:p>
    <w:p>
      <w:pPr>
        <w:pStyle w:val="CaptionedFigure"/>
      </w:pPr>
      <w:r>
        <w:drawing>
          <wp:inline>
            <wp:extent cx="4178300" cy="2132578"/>
            <wp:effectExtent b="0" l="0" r="0" t="0"/>
            <wp:docPr descr="Gráfico 10.– España: PIB por persona en edad de trabajar, por hora y horas por persona (variación acumulada desde el cuarto trimestre de 2019)" title="" id="129" name="Picture"/>
            <a:graphic>
              <a:graphicData uri="http://schemas.openxmlformats.org/drawingml/2006/picture">
                <pic:pic>
                  <pic:nvPicPr>
                    <pic:cNvPr descr="C:\Users\vgutierrez\Documents\src\victorgutierrezmarcos.github.io-revision\oposicion\temario\fuentes\1D01\graficos/pib-por-pet-espana.png" id="130" name="Picture"/>
                    <pic:cNvPicPr>
                      <a:picLocks noChangeArrowheads="1" noChangeAspect="1"/>
                    </pic:cNvPicPr>
                  </pic:nvPicPr>
                  <pic:blipFill>
                    <a:blip r:embed="rId128"/>
                    <a:stretch>
                      <a:fillRect/>
                    </a:stretch>
                  </pic:blipFill>
                  <pic:spPr bwMode="auto">
                    <a:xfrm>
                      <a:off x="0" y="0"/>
                      <a:ext cx="4178300" cy="2132578"/>
                    </a:xfrm>
                    <a:prstGeom prst="rect">
                      <a:avLst/>
                    </a:prstGeom>
                    <a:noFill/>
                    <a:ln w="9525">
                      <a:noFill/>
                      <a:headEnd/>
                      <a:tailEnd/>
                    </a:ln>
                  </pic:spPr>
                </pic:pic>
              </a:graphicData>
            </a:graphic>
          </wp:inline>
        </w:drawing>
      </w:r>
    </w:p>
    <w:bookmarkEnd w:id="131"/>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End w:id="132"/>
    <w:bookmarkStart w:id="141" w:name="salarios_costes_laborales_unitario_37226"/>
    <w:p>
      <w:pPr>
        <w:pStyle w:val="Heading4"/>
      </w:pPr>
      <w:r>
        <w:t xml:space="preserve">Salarios, costes laborales unitarios y margen</w:t>
      </w:r>
    </w:p>
    <w:p>
      <w:pPr>
        <w:numPr>
          <w:ilvl w:val="0"/>
          <w:numId w:val="1057"/>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w:t>
      </w:r>
      <w:r>
        <w:t xml:space="preserve"> </w:t>
      </w:r>
      <w:r>
        <w:rPr>
          <w:b/>
          <w:bCs/>
        </w:rPr>
        <w:t xml:space="preserve">la medida de competitividad en costes que más se usa</w:t>
      </w:r>
      <w:r>
        <w:t xml:space="preserve">. Los salarios reales se obtienen deflactando los nominales con el índice de precios adecuado, y a largo plazo su crecimiento suele seguir al de la productividad.</w:t>
      </w:r>
    </w:p>
    <w:p>
      <w:pPr>
        <w:numPr>
          <w:ilvl w:val="0"/>
          <w:numId w:val="1057"/>
        </w:numPr>
      </w:pPr>
      <w:r>
        <w:rPr>
          <w:i/>
          <w:iCs/>
        </w:rPr>
        <w:t xml:space="preserve">Cómo se calcula</w:t>
      </w:r>
      <w:r>
        <w:t xml:space="preserve">:</w:t>
      </w:r>
    </w:p>
    <w:p>
      <w:pPr>
        <w:pStyle w:val="Funcionclave"/>
        <w:keepLines/>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133"/>
      </w:r>
    </w:p>
    <w:p>
      <w:pPr>
        <w:numPr>
          <w:ilvl w:val="0"/>
          <w:numId w:val="1057"/>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rPr>
          <w:u w:val="single"/>
        </w:rPr>
        <w:t xml:space="preserve">Los márgenes suben exactamente cuando caen los CLU reales.</w:t>
      </w:r>
      <w:r>
        <w:t xml:space="preserve"> </w:t>
      </w:r>
      <w:r>
        <w:t xml:space="preserve">Es una aproximación: supone constantes los impuestos indirectos netos y el peso de los consumos intermedios importados. El excedente bruto de explotación es otra cosa, un nivel de rentas, y su crecimiento no es el del margen. Las 4 fórmulas encadenadas están en el gráfico </w:t>
      </w:r>
      <w:hyperlink w:anchor="fig_esquema_clu">
        <w:r>
          <w:rPr>
            <w:rStyle w:val="Hyperlink"/>
          </w:rPr>
          <w:t xml:space="preserve">11</w:t>
        </w:r>
      </w:hyperlink>
      <w:r>
        <w:t xml:space="preserve">.</w:t>
      </w:r>
    </w:p>
    <w:bookmarkStart w:id="137" w:name="fig_esquema_clu"/>
    <w:p>
      <w:pPr>
        <w:pStyle w:val="ImageCaption"/>
      </w:pPr>
      <w:r>
        <w:t xml:space="preserve">Gráfico 11.–</w:t>
      </w:r>
      <w:r>
        <w:t xml:space="preserve"> </w:t>
      </w:r>
      <w:r>
        <w:t xml:space="preserve">De la productividad al margen: las 4 fórmulas encadenadas</w:t>
      </w:r>
    </w:p>
    <w:p>
      <w:pPr>
        <w:pStyle w:val="CaptionedFigure"/>
      </w:pPr>
      <w:r>
        <w:drawing>
          <wp:inline>
            <wp:extent cx="3312024" cy="1373129"/>
            <wp:effectExtent b="0" l="0" r="0" t="0"/>
            <wp:docPr descr="Gráfico 11.– De la productividad al margen: las 4 fórmulas encadenadas" title="" id="135" name="Picture"/>
            <a:graphic>
              <a:graphicData uri="http://schemas.openxmlformats.org/drawingml/2006/picture">
                <pic:pic>
                  <pic:nvPicPr>
                    <pic:cNvPr descr="C:\Users\vgutierrez\Documents\src\victorgutierrezmarcos.github.io-revision\oposicion\temario\fuentes\1D01\graficos/esquema-clu-margen.png" id="136" name="Picture"/>
                    <pic:cNvPicPr>
                      <a:picLocks noChangeArrowheads="1" noChangeAspect="1"/>
                    </pic:cNvPicPr>
                  </pic:nvPicPr>
                  <pic:blipFill>
                    <a:blip r:embed="rId134"/>
                    <a:stretch>
                      <a:fillRect/>
                    </a:stretch>
                  </pic:blipFill>
                  <pic:spPr bwMode="auto">
                    <a:xfrm>
                      <a:off x="0" y="0"/>
                      <a:ext cx="3312024" cy="1373129"/>
                    </a:xfrm>
                    <a:prstGeom prst="rect">
                      <a:avLst/>
                    </a:prstGeom>
                    <a:noFill/>
                    <a:ln w="9525">
                      <a:noFill/>
                      <a:headEnd/>
                      <a:tailEnd/>
                    </a:ln>
                  </pic:spPr>
                </pic:pic>
              </a:graphicData>
            </a:graphic>
          </wp:inline>
        </w:drawing>
      </w:r>
    </w:p>
    <w:bookmarkEnd w:id="137"/>
    <w:p>
      <w:pPr>
        <w:pStyle w:val="Piedeimagen"/>
      </w:pPr>
      <w:r>
        <w:t xml:space="preserve">Fuente: Elaboración propia. Qué hay que ver: cada paso usa el anterior; con el PIB real, el empleo, la remuneración por asalariado y el deflactor del PIB (</w:t>
      </w:r>
      <m:oMath>
        <m:r>
          <m:t>P</m:t>
        </m:r>
      </m:oMath>
      <w:r>
        <w:t xml:space="preserve">) se obtienen la productividad, los CLU nominales y reales y el margen,</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w:t>
      </w:r>
    </w:p>
    <w:p>
      <w:pPr>
        <w:numPr>
          <w:ilvl w:val="0"/>
          <w:numId w:val="1058"/>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138"/>
      </w:r>
    </w:p>
    <w:p>
      <w:pPr>
        <w:keepNext/>
        <w:numPr>
          <w:ilvl w:val="0"/>
          <w:numId w:val="1058"/>
        </w:numPr>
      </w:pPr>
      <w:r>
        <w:rPr>
          <w:i/>
          <w:iCs/>
        </w:rPr>
        <w:t xml:space="preserve">Cómo se lee</w:t>
      </w:r>
      <w:r>
        <w:t xml:space="preserve">:</w:t>
      </w:r>
    </w:p>
    <w:p>
      <w:pPr>
        <w:numPr>
          <w:ilvl w:val="1"/>
          <w:numId w:val="1059"/>
        </w:numPr>
      </w:pPr>
      <w:r>
        <w:t xml:space="preserve">CLU nominales que crecen</w:t>
      </w:r>
      <w:r>
        <w:t xml:space="preserve"> </w:t>
      </w:r>
      <w:r>
        <w:rPr>
          <w:b/>
          <w:b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9"/>
        </w:numPr>
      </w:pPr>
      <w:r>
        <w:t xml:space="preserve">CLU nominales que crecen</w:t>
      </w:r>
      <w:r>
        <w:t xml:space="preserve"> </w:t>
      </w:r>
      <w:r>
        <w:rPr>
          <w:b/>
          <w:b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9"/>
        </w:numPr>
      </w:pPr>
      <w:r>
        <w:t xml:space="preserve">CLU que crecen poco con paro alto: ajuste por salarios (</w:t>
      </w:r>
      <w:r>
        <w:rPr>
          <w:b/>
          <w:bCs/>
        </w:rPr>
        <w:t xml:space="preserve">devaluación interna</w:t>
      </w:r>
      <w:r>
        <w:t xml:space="preserve">).</w:t>
      </w:r>
    </w:p>
    <w:p>
      <w:pPr>
        <w:numPr>
          <w:ilvl w:val="1"/>
          <w:numId w:val="1059"/>
        </w:numPr>
      </w:pPr>
      <w:r>
        <w:t xml:space="preserve">CLU nominales que crecen</w:t>
      </w:r>
      <w:r>
        <w:t xml:space="preserve"> </w:t>
      </w:r>
      <w:r>
        <w:rPr>
          <w:b/>
          <w:bCs/>
        </w:rPr>
        <w:t xml:space="preserve">menos que la inflación</w:t>
      </w:r>
      <w:r>
        <w:t xml:space="preserve"> </w:t>
      </w:r>
      <w:r>
        <w:t xml:space="preserve">(CLU reales a la baja): no hay presiones inflacionistas desde los costes.</w:t>
      </w:r>
    </w:p>
    <w:p>
      <w:pPr>
        <w:numPr>
          <w:ilvl w:val="0"/>
          <w:numId w:val="1058"/>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8"/>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8"/>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8"/>
        </w:numPr>
      </w:pPr>
      <w:r>
        <w:rPr>
          <w:i/>
          <w:iCs/>
        </w:rPr>
        <w:t xml:space="preserve">Tema</w:t>
      </w:r>
      <w:r>
        <w:t xml:space="preserve">:</w:t>
      </w:r>
      <w:r>
        <w:t xml:space="preserve"> </w:t>
      </w:r>
      <w:hyperlink r:id="rId139">
        <w:r>
          <w:rPr>
            <w:rStyle w:val="Referenciaatema"/>
          </w:rPr>
          <w:t xml:space="preserve">[ver tema 3.A.27]</w:t>
        </w:r>
      </w:hyperlink>
      <w:r>
        <w:t xml:space="preserve"> </w:t>
      </w:r>
      <w:hyperlink r:id="rId53">
        <w:r>
          <w:rPr>
            <w:rStyle w:val="Referenciaatema"/>
          </w:rPr>
          <w:t xml:space="preserve">[ver tema 3.A.28]</w:t>
        </w:r>
      </w:hyperlink>
      <w:r>
        <w:t xml:space="preserve"> </w:t>
      </w:r>
      <w:hyperlink r:id="rId140">
        <w:r>
          <w:rPr>
            <w:rStyle w:val="Referenciaatema"/>
          </w:rPr>
          <w:t xml:space="preserve">[ver tema 4.A.22]</w:t>
        </w:r>
      </w:hyperlink>
      <w:r>
        <w:t xml:space="preserve">.</w:t>
      </w:r>
    </w:p>
    <w:bookmarkEnd w:id="141"/>
    <w:bookmarkStart w:id="142" w:name="demanda_y_oferta_de_trabajo"/>
    <w:p>
      <w:pPr>
        <w:pStyle w:val="Heading4"/>
      </w:pPr>
      <w:r>
        <w:t xml:space="preserve">Demanda y oferta de trabajo</w:t>
      </w:r>
    </w:p>
    <w:p>
      <w:pPr>
        <w:numPr>
          <w:ilvl w:val="0"/>
          <w:numId w:val="1060"/>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60"/>
        </w:numPr>
      </w:pPr>
      <w:r>
        <w:rPr>
          <w:i/>
          <w:iCs/>
        </w:rPr>
        <w:t xml:space="preserve">Oferta de trabajo</w:t>
      </w:r>
      <w:r>
        <w:t xml:space="preserve"> </w:t>
      </w:r>
      <w:r>
        <w:t xml:space="preserve">(los activos): depende del salario real y de la demografía y la inmigración, y la reducen las prestaciones mal diseñadas.</w:t>
      </w:r>
    </w:p>
    <w:p>
      <w:pPr>
        <w:numPr>
          <w:ilvl w:val="0"/>
          <w:numId w:val="1060"/>
        </w:numPr>
      </w:pPr>
      <w:r>
        <w:rPr>
          <w:i/>
          <w:iCs/>
        </w:rPr>
        <w:t xml:space="preserve">¿Es flexible el mercado de trabajo?</w:t>
      </w:r>
      <w:r>
        <w:t xml:space="preserve"> </w:t>
      </w:r>
      <w:r>
        <w:t xml:space="preserve">Se ve comparando cómo se ajusta al ciclo: si el empleo y el paro (</w:t>
      </w:r>
      <w:r>
        <w:rPr>
          <w:i/>
          <w:iCs/>
        </w:rPr>
        <w:t xml:space="preserve">cantidades</w:t>
      </w:r>
      <w:r>
        <w:t xml:space="preserve">) se mueven mucho con el PIB y los salarios y los CLU (</w:t>
      </w:r>
      <w:r>
        <w:rPr>
          <w:i/>
          <w:iCs/>
        </w:rPr>
        <w:t xml:space="preserve">precios</w:t>
      </w:r>
      <w:r>
        <w:t xml:space="preserve">) apenas reaccionan, el ajuste recae en el empleo, una señal de rigidez salarial y de dualidad (los temporales absorben el choque). Un mercado flexible reparte el ajuste entre salarios, horas y empleo, y destruye menos puestos en las recesiones.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B.2.1</w:t>
        </w:r>
      </w:hyperlink>
      <w:r>
        <w:t xml:space="preserve">.</w:t>
      </w:r>
    </w:p>
    <w:bookmarkEnd w:id="142"/>
    <w:bookmarkStart w:id="148" w:name="qu___tipo_de_paro_hay"/>
    <w:p>
      <w:pPr>
        <w:pStyle w:val="Heading4"/>
      </w:pPr>
      <w:r>
        <w:t xml:space="preserve">Qué tipo de paro hay</w:t>
      </w:r>
    </w:p>
    <w:p>
      <w:pPr>
        <w:keepNext/>
        <w:numPr>
          <w:ilvl w:val="0"/>
          <w:numId w:val="1061"/>
        </w:numPr>
      </w:pPr>
      <w:r>
        <w:rPr>
          <w:u w:val="single"/>
        </w:rPr>
        <w:t xml:space="preserve">La receta depende del diagnóstico</w:t>
      </w:r>
      <w:r>
        <w:t xml:space="preserve">, así que hay que identificar el tipo de paro (gráfico </w:t>
      </w:r>
      <w:hyperlink w:anchor="fig_esquema_paro">
        <w:r>
          <w:rPr>
            <w:rStyle w:val="Hyperlink"/>
          </w:rPr>
          <w:t xml:space="preserve">12</w:t>
        </w:r>
      </w:hyperlink>
      <w:r>
        <w:t xml:space="preserve">):</w:t>
      </w:r>
    </w:p>
    <w:p>
      <w:pPr>
        <w:numPr>
          <w:ilvl w:val="1"/>
          <w:numId w:val="1062"/>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r>
        <w:rPr>
          <w:rStyle w:val="FootnoteReference"/>
        </w:rPr>
        <w:footnoteReference w:id="143"/>
      </w:r>
    </w:p>
    <w:p>
      <w:pPr>
        <w:numPr>
          <w:ilvl w:val="1"/>
          <w:numId w:val="1062"/>
        </w:numPr>
      </w:pPr>
      <w:r>
        <w:rPr>
          <w:b/>
          <w:bCs/>
        </w:rPr>
        <w:t xml:space="preserve">keynesiano</w:t>
      </w:r>
      <w:r>
        <w:t xml:space="preserve">: demanda insuficiente; consumo y demanda interna anémicos;</w:t>
      </w:r>
    </w:p>
    <w:p>
      <w:pPr>
        <w:numPr>
          <w:ilvl w:val="1"/>
          <w:numId w:val="1062"/>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62"/>
        </w:numPr>
      </w:pPr>
      <w:r>
        <w:rPr>
          <w:b/>
          <w:bCs/>
        </w:rPr>
        <w:t xml:space="preserve">de larga duración</w:t>
      </w:r>
      <w:r>
        <w:t xml:space="preserve">: se retroalimenta (pérdida de cualificación, desánimo, estigma) y es causa de histéresis.</w:t>
      </w:r>
    </w:p>
    <w:bookmarkStart w:id="147" w:name="fig_esquema_paro"/>
    <w:p>
      <w:pPr>
        <w:pStyle w:val="ImageCaption"/>
      </w:pPr>
      <w:r>
        <w:t xml:space="preserve">Gráfico 12.–</w:t>
      </w:r>
      <w:r>
        <w:t xml:space="preserve"> </w:t>
      </w:r>
      <w:r>
        <w:t xml:space="preserve">Tipos de paro: cómo se detectan y qué receta tienen</w:t>
      </w:r>
    </w:p>
    <w:p>
      <w:pPr>
        <w:pStyle w:val="CaptionedFigure"/>
      </w:pPr>
      <w:r>
        <w:drawing>
          <wp:inline>
            <wp:extent cx="3140765" cy="1807392"/>
            <wp:effectExtent b="0" l="0" r="0" t="0"/>
            <wp:docPr descr="Gráfico 12.– Tipos de paro: cómo se detectan y qué receta tienen" title="" id="145" name="Picture"/>
            <a:graphic>
              <a:graphicData uri="http://schemas.openxmlformats.org/drawingml/2006/picture">
                <pic:pic>
                  <pic:nvPicPr>
                    <pic:cNvPr descr="C:\Users\vgutierrez\Documents\src\victorgutierrezmarcos.github.io-revision\oposicion\temario\fuentes\1D01\graficos/esquema-tipos-paro.png" id="146" name="Picture"/>
                    <pic:cNvPicPr>
                      <a:picLocks noChangeArrowheads="1" noChangeAspect="1"/>
                    </pic:cNvPicPr>
                  </pic:nvPicPr>
                  <pic:blipFill>
                    <a:blip r:embed="rId144"/>
                    <a:stretch>
                      <a:fillRect/>
                    </a:stretch>
                  </pic:blipFill>
                  <pic:spPr bwMode="auto">
                    <a:xfrm>
                      <a:off x="0" y="0"/>
                      <a:ext cx="3140765" cy="1807392"/>
                    </a:xfrm>
                    <a:prstGeom prst="rect">
                      <a:avLst/>
                    </a:prstGeom>
                    <a:noFill/>
                    <a:ln w="9525">
                      <a:noFill/>
                      <a:headEnd/>
                      <a:tailEnd/>
                    </a:ln>
                  </pic:spPr>
                </pic:pic>
              </a:graphicData>
            </a:graphic>
          </wp:inline>
        </w:drawing>
      </w:r>
    </w:p>
    <w:bookmarkEnd w:id="147"/>
    <w:p>
      <w:pPr>
        <w:pStyle w:val="Piedeimagen"/>
      </w:pPr>
      <w:r>
        <w:t xml:space="preserve">Fuente: Elaboración propia. Qué hay que ver: cada tipo de paro deja una huella distinta en el cuadro (CLU, consumo, vacantes, duración) y pide una política distinta; las recetas detalladas están en las políticas de oferta (apartado </w:t>
      </w:r>
      <w:hyperlink w:anchor="sec_politicas_oferta">
        <w:r>
          <w:rPr>
            <w:rStyle w:val="Hyperlink"/>
          </w:rPr>
          <w:t xml:space="preserve">V.5</w:t>
        </w:r>
      </w:hyperlink>
      <w:r>
        <w:t xml:space="preserve">).</w:t>
      </w:r>
    </w:p>
    <w:p>
      <w:pPr>
        <w:numPr>
          <w:ilvl w:val="0"/>
          <w:numId w:val="1063"/>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53">
        <w:r>
          <w:rPr>
            <w:rStyle w:val="Referenciaatema"/>
          </w:rPr>
          <w:t xml:space="preserve">[ver tema 3.A.28]</w:t>
        </w:r>
      </w:hyperlink>
      <w:r>
        <w:t xml:space="preserve">. En el examen se aproxima con el paro de los años en que la brecha de producción es nula, y ese valor sirve para toda la serie salvo que haya cambios estructurales.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63"/>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53">
        <w:r>
          <w:rPr>
            <w:rStyle w:val="Referenciaatema"/>
          </w:rPr>
          <w:t xml:space="preserve">[ver tema 3.A.28]</w:t>
        </w:r>
      </w:hyperlink>
      <w:r>
        <w:t xml:space="preserve">.</w:t>
      </w:r>
    </w:p>
    <w:p>
      <w:pPr>
        <w:numPr>
          <w:ilvl w:val="0"/>
          <w:numId w:val="1063"/>
        </w:numPr>
      </w:pPr>
      <w:r>
        <w:rPr>
          <w:i/>
          <w:iCs/>
        </w:rPr>
        <w:t xml:space="preserve">Secuelas de una recesión</w:t>
      </w:r>
      <w:r>
        <w:t xml:space="preserve">: más allá del paro, una crisis deja cicatrices en el potencial: menos capital (se invierte menos), menos capital humano (trabajadores que pierden cualificación o se desaniman) y menos productividad (menos I+D, recursos atrapados en empresas poco productivas). Son mayores si la recesión viene con una crisis financiera</w:t>
      </w:r>
      <w:r>
        <w:t xml:space="preserve"> </w:t>
      </w:r>
      <w:r>
        <w:t xml:space="preserve">(</w:t>
      </w:r>
      <w:hyperlink w:anchor="ref_FMI2021WEOabr">
        <w:r>
          <w:rPr>
            <w:rStyle w:val="Hyperlink"/>
            <w:smallCaps/>
          </w:rPr>
          <w:t xml:space="preserve">Fondo Monetario Internacional</w:t>
        </w:r>
        <w:r>
          <w:rPr>
            <w:rStyle w:val="Hyperlink"/>
          </w:rPr>
          <w:t xml:space="preserve">, 2021b</w:t>
        </w:r>
      </w:hyperlink>
      <w:r>
        <w:t xml:space="preserve">)</w:t>
      </w:r>
      <w:r>
        <w:t xml:space="preserve">.</w:t>
      </w:r>
    </w:p>
    <w:bookmarkEnd w:id="148"/>
    <w:bookmarkStart w:id="151" w:name="ley_de_okun_y_curva_de_phillips"/>
    <w:p>
      <w:pPr>
        <w:pStyle w:val="Heading4"/>
      </w:pPr>
      <w:r>
        <w:t xml:space="preserve">Ley de</w:t>
      </w:r>
      <w:r>
        <w:t xml:space="preserve"> </w:t>
      </w:r>
      <w:r>
        <w:rPr>
          <w:smallCaps/>
        </w:rPr>
        <w:t xml:space="preserve">Okun</w:t>
      </w:r>
      <w:r>
        <w:t xml:space="preserve"> </w:t>
      </w:r>
      <w:r>
        <w:t xml:space="preserve">y curva de</w:t>
      </w:r>
      <w:r>
        <w:t xml:space="preserve"> </w:t>
      </w:r>
      <w:r>
        <w:rPr>
          <w:smallCaps/>
        </w:rPr>
        <w:t xml:space="preserve">Phillips</w:t>
      </w:r>
    </w:p>
    <w:p>
      <w:pPr>
        <w:keepNext/>
        <w:numPr>
          <w:ilvl w:val="0"/>
          <w:numId w:val="1064"/>
        </w:numPr>
      </w:pPr>
      <w:r>
        <w:t xml:space="preserve">Relacionan el paro con el crecimiento y con la inflación, y sirven para cruzar el mercado de trabajo con el ciclo y con los precios</w:t>
      </w:r>
      <w:r>
        <w:t xml:space="preserve"> </w:t>
      </w:r>
      <w:hyperlink r:id="rId53">
        <w:r>
          <w:rPr>
            <w:rStyle w:val="Referenciaatema"/>
          </w:rPr>
          <w:t xml:space="preserve">[ver tema 3.A.28]</w:t>
        </w:r>
      </w:hyperlink>
      <w:r>
        <w:t xml:space="preserve">:</w:t>
      </w:r>
    </w:p>
    <w:p>
      <w:pPr>
        <w:numPr>
          <w:ilvl w:val="1"/>
          <w:numId w:val="1065"/>
        </w:numPr>
      </w:pPr>
      <w:r>
        <w:t xml:space="preserve">la</w:t>
      </w:r>
      <w:r>
        <w:t xml:space="preserve"> </w:t>
      </w:r>
      <w:r>
        <w:rPr>
          <w:b/>
          <w:bCs/>
        </w:rPr>
        <w:t xml:space="preserve">ley de</w:t>
      </w:r>
      <w:r>
        <w:rPr>
          <w:b/>
          <w:bCs/>
        </w:rPr>
        <w:t xml:space="preserve"> </w:t>
      </w:r>
      <w:r>
        <w:rPr>
          <w:b/>
          <w:bCs/>
          <w:smallCaps/>
        </w:rPr>
        <w:t xml:space="preserve">Okun</w:t>
      </w:r>
      <w:r>
        <w:t xml:space="preserve"> </w:t>
      </w:r>
      <w:r>
        <w:t xml:space="preserve">relaciona la variación del paro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w:t>
      </w:r>
      <w:r>
        <w:t xml:space="preserve"> </w:t>
      </w:r>
      <w:bookmarkStart w:id="149" w:name="eq_okun"/>
      <w:bookmarkEnd w:id="149"/>
    </w:p>
    <w:p>
      <w:pPr>
        <w:pStyle w:val="BodyText"/>
        <w:keepNext/>
      </w:pPr>
      <m:oMathPara>
        <m:oMathParaPr>
          <m:jc m:val="center"/>
        </m:oMathPara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r>
            <m:rPr>
              <m:sty m:val="p"/>
            </m:rPr>
            <m:t>.</m:t>
          </m:r>
        </m:oMath>
      </m:oMathPara>
    </w:p>
    <w:p>
      <w:pPr>
        <w:numPr>
          <w:ilvl w:val="1"/>
          <w:numId w:val="1000"/>
        </w:numPr>
      </w:pPr>
      <w:r>
        <w:t xml:space="preserve">En el cuadro sirve para ver a partir de qué crecimiento baja el paro (si el PIB crece mucho y el empleo poco, la elasticidad es baja);</w:t>
      </w:r>
    </w:p>
    <w:p>
      <w:pPr>
        <w:numPr>
          <w:ilvl w:val="1"/>
          <w:numId w:val="1065"/>
        </w:numPr>
      </w:pPr>
      <w:r>
        <w:t xml:space="preserve">la</w:t>
      </w:r>
      <w:r>
        <w:t xml:space="preserve"> </w:t>
      </w:r>
      <w:r>
        <w:rPr>
          <w:b/>
          <w:bCs/>
        </w:rPr>
        <w:t xml:space="preserve">curva de</w:t>
      </w:r>
      <w:r>
        <w:rPr>
          <w:b/>
          <w:bCs/>
        </w:rPr>
        <w:t xml:space="preserve"> </w:t>
      </w:r>
      <w:r>
        <w:rPr>
          <w:b/>
          <w:bCs/>
          <w:smallCaps/>
        </w:rPr>
        <w:t xml:space="preserve">Phillips</w:t>
      </w:r>
      <w:r>
        <w:t xml:space="preserve"> </w:t>
      </w:r>
      <w:r>
        <w:t xml:space="preserve">con expectativas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t xml:space="preserve">:</w:t>
      </w:r>
      <w:r>
        <w:rPr>
          <w:rStyle w:val="FootnoteReference"/>
        </w:rPr>
        <w:footnoteReference w:id="150"/>
      </w:r>
    </w:p>
    <w:p>
      <w:pPr>
        <w:pStyle w:val="Funcionclave"/>
        <w:keepLines/>
      </w:pPr>
      <m:oMathPara>
        <m:oMathParaPr>
          <m:jc m:val="center"/>
        </m:oMathParaP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m:oMathPara>
    </w:p>
    <w:p>
      <w:pPr>
        <w:numPr>
          <w:ilvl w:val="0"/>
          <w:numId w:val="1064"/>
        </w:numPr>
      </w:pPr>
      <w:r>
        <w:rPr>
          <w:i/>
          <w:iCs/>
        </w:rPr>
        <w:t xml:space="preserve">Cuándo usarlas</w:t>
      </w:r>
      <w:r>
        <w:t xml:space="preserve">: 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 Si la curva de</w:t>
      </w:r>
      <w:r>
        <w:t xml:space="preserve"> </w:t>
      </w:r>
      <w:r>
        <w:rPr>
          <w:smallCaps/>
        </w:rPr>
        <w:t xml:space="preserve">Phillips</w:t>
      </w:r>
      <w:r>
        <w:t xml:space="preserve"> </w:t>
      </w:r>
      <w:r>
        <w:t xml:space="preserve">es muy plana, el paro dice poco de la inflación (anexo </w:t>
      </w:r>
      <w:hyperlink w:anchor="anexo_casos">
        <w:r>
          <w:rPr>
            <w:rStyle w:val="Hyperlink"/>
          </w:rPr>
          <w:t xml:space="preserve">B</w:t>
        </w:r>
      </w:hyperlink>
      <w:r>
        <w:t xml:space="preserve">).</w:t>
      </w:r>
    </w:p>
    <w:bookmarkEnd w:id="151"/>
    <w:bookmarkStart w:id="157" w:name="curva_de_beveridge"/>
    <w:p>
      <w:pPr>
        <w:pStyle w:val="Heading4"/>
      </w:pPr>
      <w:r>
        <w:t xml:space="preserve">Curva de</w:t>
      </w:r>
      <w:r>
        <w:t xml:space="preserve"> </w:t>
      </w:r>
      <w:r>
        <w:rPr>
          <w:smallCaps/>
        </w:rPr>
        <w:t xml:space="preserve">Beveridge</w:t>
      </w:r>
    </w:p>
    <w:p>
      <w:pPr>
        <w:numPr>
          <w:ilvl w:val="0"/>
          <w:numId w:val="1066"/>
        </w:numPr>
      </w:pPr>
      <w:r>
        <w:rPr>
          <w:i/>
          <w:iCs/>
        </w:rPr>
        <w:t xml:space="preserve">Qué mide</w:t>
      </w:r>
      <w:r>
        <w:t xml:space="preserve">: la relación entre la tasa de vacantes y la de paro.</w:t>
      </w:r>
    </w:p>
    <w:p>
      <w:pPr>
        <w:numPr>
          <w:ilvl w:val="0"/>
          <w:numId w:val="1066"/>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Olivier Jean</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w:t>
      </w:r>
      <w:r>
        <w:t xml:space="preserve"> </w:t>
      </w:r>
      <w:r>
        <w:rPr>
          <w:u w:val="single"/>
        </w:rPr>
        <w:t xml:space="preserve">Si las vacantes suben y el paro no baja, el problema es estructural, no de demanda.</w:t>
      </w:r>
      <w:r>
        <w:t xml:space="preserve"> </w:t>
      </w:r>
      <w:r>
        <w:t xml:space="preserve">La ratio vacantes/parados resume la tensión del mercado: si sube, presiona sobre los salarios. El gráfico </w:t>
      </w:r>
      <w:hyperlink w:anchor="fig_beveridge">
        <w:r>
          <w:rPr>
            <w:rStyle w:val="Hyperlink"/>
          </w:rPr>
          <w:t xml:space="preserve">13</w:t>
        </w:r>
      </w:hyperlink>
      <w:r>
        <w:t xml:space="preserve"> </w:t>
      </w:r>
      <w:r>
        <w:t xml:space="preserve">compara España y la zona del euro, y un ejemplo de lectura, la curva española de 1994 a 2022, está en el anexo </w:t>
      </w:r>
      <w:hyperlink w:anchor="anexo_casos">
        <w:r>
          <w:rPr>
            <w:rStyle w:val="Hyperlink"/>
          </w:rPr>
          <w:t xml:space="preserve">B</w:t>
        </w:r>
      </w:hyperlink>
      <w:r>
        <w:t xml:space="preserve">.</w:t>
      </w:r>
    </w:p>
    <w:p>
      <w:pPr>
        <w:numPr>
          <w:ilvl w:val="0"/>
          <w:numId w:val="1066"/>
        </w:numPr>
      </w:pPr>
      <w:r>
        <w:rPr>
          <w:i/>
          <w:iCs/>
        </w:rPr>
        <w:t xml:space="preserve">Tema</w:t>
      </w:r>
      <w:r>
        <w:t xml:space="preserve">:</w:t>
      </w:r>
      <w:r>
        <w:t xml:space="preserve"> </w:t>
      </w:r>
      <w:hyperlink r:id="rId152">
        <w:r>
          <w:rPr>
            <w:rStyle w:val="Referenciaatema"/>
          </w:rPr>
          <w:t xml:space="preserve">[ver tema 3.A.26]</w:t>
        </w:r>
      </w:hyperlink>
      <w:r>
        <w:t xml:space="preserve">.</w:t>
      </w:r>
    </w:p>
    <w:bookmarkStart w:id="156" w:name="fig_beveridge"/>
    <w:p>
      <w:pPr>
        <w:pStyle w:val="ImageCaption"/>
      </w:pPr>
      <w:r>
        <w:t xml:space="preserve">Gráfico 13.–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223260" cy="2221069"/>
            <wp:effectExtent b="0" l="0" r="0" t="0"/>
            <wp:docPr descr="Gráfico 13.– Curva de Beveridge de España y de la zona del euro" title="" id="154" name="Picture"/>
            <a:graphic>
              <a:graphicData uri="http://schemas.openxmlformats.org/drawingml/2006/picture">
                <pic:pic>
                  <pic:nvPicPr>
                    <pic:cNvPr descr="C:\Users\vgutierrez\Documents\src\victorgutierrezmarcos.github.io-revision\oposicion\temario\fuentes\1D01\graficos/beveridge-espana-zona-euro.png" id="155" name="Picture"/>
                    <pic:cNvPicPr>
                      <a:picLocks noChangeArrowheads="1" noChangeAspect="1"/>
                    </pic:cNvPicPr>
                  </pic:nvPicPr>
                  <pic:blipFill>
                    <a:blip r:embed="rId153"/>
                    <a:stretch>
                      <a:fillRect/>
                    </a:stretch>
                  </pic:blipFill>
                  <pic:spPr bwMode="auto">
                    <a:xfrm>
                      <a:off x="0" y="0"/>
                      <a:ext cx="3223260" cy="2221069"/>
                    </a:xfrm>
                    <a:prstGeom prst="rect">
                      <a:avLst/>
                    </a:prstGeom>
                    <a:noFill/>
                    <a:ln w="9525">
                      <a:noFill/>
                      <a:headEnd/>
                      <a:tailEnd/>
                    </a:ln>
                  </pic:spPr>
                </pic:pic>
              </a:graphicData>
            </a:graphic>
          </wp:inline>
        </w:drawing>
      </w:r>
    </w:p>
    <w:bookmarkEnd w:id="156"/>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57"/>
    <w:bookmarkStart w:id="158" w:name="demograf__a_migraci__n_y_salario_m__nimo"/>
    <w:p>
      <w:pPr>
        <w:pStyle w:val="Heading4"/>
      </w:pPr>
      <w:r>
        <w:t xml:space="preserve">Demografía, migración y salario mínimo</w:t>
      </w:r>
    </w:p>
    <w:p>
      <w:pPr>
        <w:numPr>
          <w:ilvl w:val="0"/>
          <w:numId w:val="1067"/>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B</w:t>
        </w:r>
      </w:hyperlink>
      <w:r>
        <w:t xml:space="preserve">.</w:t>
      </w:r>
    </w:p>
    <w:bookmarkEnd w:id="158"/>
    <w:bookmarkEnd w:id="159"/>
    <w:bookmarkStart w:id="164"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60" w:name="capital_f__sico"/>
    <w:p>
      <w:pPr>
        <w:pStyle w:val="Heading4"/>
      </w:pPr>
      <w:r>
        <w:t xml:space="preserve">Capital físico</w:t>
      </w:r>
    </w:p>
    <w:p>
      <w:pPr>
        <w:numPr>
          <w:ilvl w:val="0"/>
          <w:numId w:val="1068"/>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60"/>
    <w:bookmarkStart w:id="163" w:name="cr__dito_y_financiaci__n_como_factor"/>
    <w:p>
      <w:pPr>
        <w:pStyle w:val="Heading4"/>
      </w:pPr>
      <w:r>
        <w:t xml:space="preserve">Crédito y financiación como factor</w:t>
      </w:r>
    </w:p>
    <w:p>
      <w:pPr>
        <w:numPr>
          <w:ilvl w:val="0"/>
          <w:numId w:val="1069"/>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9"/>
        </w:numPr>
      </w:pPr>
      <w:r>
        <w:rPr>
          <w:i/>
          <w:iCs/>
        </w:rPr>
        <w:t xml:space="preserve">Fuentes de financiación</w:t>
      </w:r>
      <w:r>
        <w:t xml:space="preserve">: el crédito bancario, fundamental para las pymes y los hogares; los valores (bonos y acciones), para las empresas grandes; el capital riesgo, para las empresas emergentes; y la banca pública. Una economía muy bancarizada depende de la salud de sus bancos; una con mercados de capitales profundos reparte mejor el riesgo</w:t>
      </w:r>
      <w:r>
        <w:t xml:space="preserve"> </w:t>
      </w:r>
      <w:r>
        <w:t xml:space="preserve">(</w:t>
      </w:r>
      <w:hyperlink w:anchor="ref_BCE2026SAFE">
        <w:r>
          <w:rPr>
            <w:rStyle w:val="Hyperlink"/>
            <w:smallCaps/>
          </w:rPr>
          <w:t xml:space="preserve">Banco Central Europeo</w:t>
        </w:r>
        <w:r>
          <w:rPr>
            <w:rStyle w:val="Hyperlink"/>
          </w:rPr>
          <w:t xml:space="preserve">, 2026g</w:t>
        </w:r>
      </w:hyperlink>
      <w:r>
        <w:t xml:space="preserve">)</w:t>
      </w:r>
      <w:r>
        <w:t xml:space="preserve">.</w:t>
      </w:r>
    </w:p>
    <w:p>
      <w:pPr>
        <w:numPr>
          <w:ilvl w:val="0"/>
          <w:numId w:val="1069"/>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9"/>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9"/>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070"/>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63"/>
    <w:bookmarkEnd w:id="164"/>
    <w:bookmarkEnd w:id="165"/>
    <w:bookmarkStart w:id="208" w:name="sec_competitividad"/>
    <w:p>
      <w:pPr>
        <w:pStyle w:val="Heading1"/>
      </w:pPr>
      <w:r>
        <w:t xml:space="preserve">III.</w:t>
      </w:r>
      <w:r>
        <w:t xml:space="preserve"> </w:t>
      </w:r>
      <w:r>
        <w:t xml:space="preserve">Competitividad</w:t>
      </w:r>
    </w:p>
    <w:p>
      <w:pPr>
        <w:numPr>
          <w:ilvl w:val="0"/>
          <w:numId w:val="1071"/>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91"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68" w:name="tc___ndices_de_precios"/>
    <w:p>
      <w:pPr>
        <w:pStyle w:val="Heading4"/>
      </w:pPr>
      <w:r>
        <w:t xml:space="preserve">Índices de precios</w:t>
      </w:r>
    </w:p>
    <w:p>
      <w:pPr>
        <w:numPr>
          <w:ilvl w:val="0"/>
          <w:numId w:val="1072"/>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72"/>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66"/>
      </w:r>
    </w:p>
    <w:p>
      <w:pPr>
        <w:keepNext/>
        <w:numPr>
          <w:ilvl w:val="0"/>
          <w:numId w:val="1072"/>
        </w:numPr>
      </w:pPr>
      <w:r>
        <w:rPr>
          <w:i/>
          <w:iCs/>
        </w:rPr>
        <w:t xml:space="preserve">Los índices especializados</w:t>
      </w:r>
      <w:r>
        <w:t xml:space="preserve">:</w:t>
      </w:r>
    </w:p>
    <w:p>
      <w:pPr>
        <w:numPr>
          <w:ilvl w:val="1"/>
          <w:numId w:val="1073"/>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73"/>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73"/>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73"/>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73"/>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73"/>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74"/>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74"/>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74"/>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74"/>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5"/>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5"/>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5"/>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5"/>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5"/>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67">
        <w:r>
          <w:rPr>
            <w:rStyle w:val="Referenciaatema"/>
          </w:rPr>
          <w:t xml:space="preserve">[ver tema 3.A.9]</w:t>
        </w:r>
      </w:hyperlink>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168"/>
    <w:bookmarkStart w:id="173" w:name="ipc_frente_a_deflactor_e_inflaci___23185"/>
    <w:p>
      <w:pPr>
        <w:pStyle w:val="Heading4"/>
      </w:pPr>
      <w:r>
        <w:t xml:space="preserve">IPC frente a deflactor e inflación importada</w:t>
      </w:r>
    </w:p>
    <w:p>
      <w:pPr>
        <w:keepNext/>
        <w:numPr>
          <w:ilvl w:val="0"/>
          <w:numId w:val="1076"/>
        </w:numPr>
      </w:pPr>
      <w:r>
        <w:t xml:space="preserve">Aunque los 2 se usan como medida del nivel general de precios, no siempre se mueven juntos, por 2 diferencias (gráfico </w:t>
      </w:r>
      <w:hyperlink w:anchor="fig_esquema_indices">
        <w:r>
          <w:rPr>
            <w:rStyle w:val="Hyperlink"/>
          </w:rPr>
          <w:t xml:space="preserve">14</w:t>
        </w:r>
      </w:hyperlink>
      <w:r>
        <w:t xml:space="preserve">):</w:t>
      </w:r>
    </w:p>
    <w:p>
      <w:pPr>
        <w:numPr>
          <w:ilvl w:val="1"/>
          <w:numId w:val="1077"/>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7"/>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6"/>
        </w:numPr>
      </w:pPr>
      <w:r>
        <w:t xml:space="preserve">En la práctica suelen dar resultados parecidos; cuando se separan, dicen algo:</w:t>
      </w:r>
    </w:p>
    <w:p>
      <w:pPr>
        <w:numPr>
          <w:ilvl w:val="1"/>
          <w:numId w:val="1078"/>
        </w:numPr>
      </w:pPr>
      <w:r>
        <w:t xml:space="preserve">IPC que crece</w:t>
      </w:r>
      <w:r>
        <w:t xml:space="preserve"> </w:t>
      </w:r>
      <w:r>
        <w:rPr>
          <w:b/>
          <w:b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8"/>
        </w:numPr>
      </w:pPr>
      <w:r>
        <w:t xml:space="preserve">IPC que crece</w:t>
      </w:r>
      <w:r>
        <w:t xml:space="preserve"> </w:t>
      </w:r>
      <w:r>
        <w:rPr>
          <w:b/>
          <w:b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6"/>
        </w:numPr>
      </w:pPr>
      <w:r>
        <w:rPr>
          <w:u w:val="single"/>
        </w:rPr>
        <w:t xml:space="preserve">El salario real del trabajador se deflacta con el IPC y el coste real para la empresa, con el deflactor</w:t>
      </w:r>
      <w:r>
        <w:t xml:space="preserve">: el deflactor aísla el efecto externo, pero refleja peor el poder adquisitivo.</w:t>
      </w:r>
    </w:p>
    <w:p>
      <w:pPr>
        <w:numPr>
          <w:ilvl w:val="0"/>
          <w:numId w:val="1076"/>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Start w:id="172" w:name="fig_esquema_indices"/>
    <w:p>
      <w:pPr>
        <w:pStyle w:val="ImageCaption"/>
      </w:pPr>
      <w:r>
        <w:t xml:space="preserve">Gráfico 14.–</w:t>
      </w:r>
      <w:r>
        <w:t xml:space="preserve"> </w:t>
      </w:r>
      <w:r>
        <w:t xml:space="preserve">IPC y deflactor del PIB: qué compara cada uno y por qué se separan</w:t>
      </w:r>
    </w:p>
    <w:p>
      <w:pPr>
        <w:pStyle w:val="CaptionedFigure"/>
      </w:pPr>
      <w:r>
        <w:drawing>
          <wp:inline>
            <wp:extent cx="3094892" cy="2110153"/>
            <wp:effectExtent b="0" l="0" r="0" t="0"/>
            <wp:docPr descr="Gráfico 14.– IPC y deflactor del PIB: qué compara cada uno y por qué se separan" title="" id="170" name="Picture"/>
            <a:graphic>
              <a:graphicData uri="http://schemas.openxmlformats.org/drawingml/2006/picture">
                <pic:pic>
                  <pic:nvPicPr>
                    <pic:cNvPr descr="C:\Users\vgutierrez\Documents\src\victorgutierrezmarcos.github.io-revision\oposicion\temario\fuentes\1D01\graficos/esquema-ipc-deflactor.png" id="171" name="Picture"/>
                    <pic:cNvPicPr>
                      <a:picLocks noChangeArrowheads="1" noChangeAspect="1"/>
                    </pic:cNvPicPr>
                  </pic:nvPicPr>
                  <pic:blipFill>
                    <a:blip r:embed="rId169"/>
                    <a:stretch>
                      <a:fillRect/>
                    </a:stretch>
                  </pic:blipFill>
                  <pic:spPr bwMode="auto">
                    <a:xfrm>
                      <a:off x="0" y="0"/>
                      <a:ext cx="3094892" cy="2110153"/>
                    </a:xfrm>
                    <a:prstGeom prst="rect">
                      <a:avLst/>
                    </a:prstGeom>
                    <a:noFill/>
                    <a:ln w="9525">
                      <a:noFill/>
                      <a:headEnd/>
                      <a:tailEnd/>
                    </a:ln>
                  </pic:spPr>
                </pic:pic>
              </a:graphicData>
            </a:graphic>
          </wp:inline>
        </w:drawing>
      </w:r>
    </w:p>
    <w:bookmarkEnd w:id="172"/>
    <w:p>
      <w:pPr>
        <w:pStyle w:val="Piedeimagen"/>
      </w:pPr>
      <w:r>
        <w:t xml:space="preserve">Fuente: Elaboración propia. Qué hay que ver: el IPC fija la cesta de consumo e incluye lo importado; el deflactor deja cambiar la cesta y solo mide lo producido dentro. Por eso un IPC por encima del deflactor apunta a inflación importada.</w:t>
      </w:r>
    </w:p>
    <w:bookmarkEnd w:id="173"/>
    <w:bookmarkStart w:id="180" w:name="inflaci__n_subyacente"/>
    <w:p>
      <w:pPr>
        <w:pStyle w:val="Heading4"/>
      </w:pPr>
      <w:r>
        <w:t xml:space="preserve">Inflación subyacente</w:t>
      </w:r>
    </w:p>
    <w:p>
      <w:pPr>
        <w:numPr>
          <w:ilvl w:val="0"/>
          <w:numId w:val="1079"/>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9"/>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y también el IPC nacional y el armonizado:</w:t>
      </w:r>
      <w:r>
        <w:t xml:space="preserve"> </w:t>
      </w:r>
      <w:r>
        <w:rPr>
          <w:b/>
          <w:bCs/>
        </w:rPr>
        <w:t xml:space="preserve">hay que decir cuál se usa</w:t>
      </w:r>
      <w:r>
        <w:t xml:space="preserve">.</w:t>
      </w:r>
      <w:r>
        <w:rPr>
          <w:rStyle w:val="FootnoteReference"/>
        </w:rPr>
        <w:footnoteReference w:id="174"/>
      </w:r>
    </w:p>
    <w:p>
      <w:pPr>
        <w:numPr>
          <w:ilvl w:val="0"/>
          <w:numId w:val="1079"/>
        </w:numPr>
      </w:pPr>
      <w:r>
        <w:rPr>
          <w:i/>
          <w:iCs/>
        </w:rPr>
        <w:t xml:space="preserve">Cómo se lee</w:t>
      </w:r>
      <w:r>
        <w:t xml:space="preserve">:</w:t>
      </w:r>
      <w:r>
        <w:t xml:space="preserve"> </w:t>
      </w:r>
      <w:r>
        <w:rPr>
          <w:u w:val="single"/>
        </w:rPr>
        <w:t xml:space="preserve">la subyacente dice si un choque de oferta (la energía) se está extendiendo al resto de la cesta</w:t>
      </w:r>
      <w:r>
        <w:t xml:space="preserve">. El gráfico </w:t>
      </w:r>
      <w:hyperlink w:anchor="fig_iapc_zona_euro">
        <w:r>
          <w:rPr>
            <w:rStyle w:val="Hyperlink"/>
          </w:rPr>
          <w:t xml:space="preserve">15</w:t>
        </w:r>
      </w:hyperlink>
      <w:r>
        <w:t xml:space="preserve"> </w:t>
      </w:r>
      <w:r>
        <w:t xml:space="preserve">lo muestra para la zona del euro: la energía empuja primero y la subyacente, que baja más despacio, delata la persistencia.</w:t>
      </w:r>
    </w:p>
    <w:p>
      <w:pPr>
        <w:numPr>
          <w:ilvl w:val="0"/>
          <w:numId w:val="1079"/>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 la variación de la tasa interanual es la tasa mensual que entra menos la que sale:</w:t>
      </w:r>
      <w:r>
        <w:t xml:space="preserve"> </w:t>
      </w:r>
      <w:bookmarkStart w:id="175" w:name="eq_efecto_base"/>
      <w:bookmarkEnd w:id="175"/>
    </w:p>
    <w:p>
      <w:pPr>
        <w:pStyle w:val="BodyText"/>
      </w:pPr>
      <m:oMathPara>
        <m:oMathParaPr>
          <m:jc m:val="center"/>
        </m:oMathPara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r>
            <m:rPr>
              <m:sty m:val="p"/>
            </m:rPr>
            <m:t>.</m:t>
          </m:r>
        </m:oMath>
      </m:oMathPara>
    </w:p>
    <w:bookmarkStart w:id="179" w:name="fig_iapc_zona_euro"/>
    <w:p>
      <w:pPr>
        <w:pStyle w:val="ImageCaption"/>
      </w:pPr>
      <w:r>
        <w:t xml:space="preserve">Gráfico 15.–</w:t>
      </w:r>
      <w:r>
        <w:t xml:space="preserve"> </w:t>
      </w:r>
      <w:r>
        <w:t xml:space="preserve">Inflación de la zona del euro y contribuciones de sus componentes</w:t>
      </w:r>
    </w:p>
    <w:p>
      <w:pPr>
        <w:pStyle w:val="CaptionedFigure"/>
      </w:pPr>
      <w:r>
        <w:drawing>
          <wp:inline>
            <wp:extent cx="4058920" cy="2246042"/>
            <wp:effectExtent b="0" l="0" r="0" t="0"/>
            <wp:docPr descr="Gráfico 15.– Inflación de la zona del euro y contribuciones de sus componentes" title="" id="177" name="Picture"/>
            <a:graphic>
              <a:graphicData uri="http://schemas.openxmlformats.org/drawingml/2006/picture">
                <pic:pic>
                  <pic:nvPicPr>
                    <pic:cNvPr descr="C:\Users\vgutierrez\Documents\src\victorgutierrezmarcos.github.io-revision\oposicion\temario\fuentes\1D01\graficos/iapc-zona-euro.png" id="178" name="Picture"/>
                    <pic:cNvPicPr>
                      <a:picLocks noChangeArrowheads="1" noChangeAspect="1"/>
                    </pic:cNvPicPr>
                  </pic:nvPicPr>
                  <pic:blipFill>
                    <a:blip r:embed="rId176"/>
                    <a:stretch>
                      <a:fillRect/>
                    </a:stretch>
                  </pic:blipFill>
                  <pic:spPr bwMode="auto">
                    <a:xfrm>
                      <a:off x="0" y="0"/>
                      <a:ext cx="4058920" cy="2246042"/>
                    </a:xfrm>
                    <a:prstGeom prst="rect">
                      <a:avLst/>
                    </a:prstGeom>
                    <a:noFill/>
                    <a:ln w="9525">
                      <a:noFill/>
                      <a:headEnd/>
                      <a:tailEnd/>
                    </a:ln>
                  </pic:spPr>
                </pic:pic>
              </a:graphicData>
            </a:graphic>
          </wp:inline>
        </w:drawing>
      </w:r>
    </w:p>
    <w:bookmarkEnd w:id="179"/>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180"/>
    <w:bookmarkStart w:id="181" w:name="choque_de_oferta_o_de_demanda"/>
    <w:p>
      <w:pPr>
        <w:pStyle w:val="Heading4"/>
      </w:pPr>
      <w:r>
        <w:t xml:space="preserve">¿Choque de oferta o de demanda?</w:t>
      </w:r>
    </w:p>
    <w:p>
      <w:pPr>
        <w:keepNext/>
        <w:numPr>
          <w:ilvl w:val="0"/>
          <w:numId w:val="1080"/>
        </w:numPr>
      </w:pPr>
      <w:r>
        <w:t xml:space="preserve">Antes de buscar el origen de la inflación conviene clasificar el choque que la provoca:</w:t>
      </w:r>
    </w:p>
    <w:p>
      <w:pPr>
        <w:numPr>
          <w:ilvl w:val="1"/>
          <w:numId w:val="1081"/>
        </w:numPr>
      </w:pPr>
      <w:r>
        <w:t xml:space="preserve">un</w:t>
      </w:r>
      <w:r>
        <w:t xml:space="preserve"> </w:t>
      </w:r>
      <w:r>
        <w:rPr>
          <w:b/>
          <w:bCs/>
        </w:rPr>
        <w:t xml:space="preserve">choque de demanda</w:t>
      </w:r>
      <w:r>
        <w:t xml:space="preserve"> </w:t>
      </w:r>
      <w:r>
        <w:t xml:space="preserve">mueve el gasto (incertidumbre, caída de rentas, estímulos, cambio de preferencias) y</w:t>
      </w:r>
      <w:r>
        <w:t xml:space="preserve"> </w:t>
      </w:r>
      <w:r>
        <w:rPr>
          <w:b/>
          <w:bCs/>
        </w:rPr>
        <w:t xml:space="preserve">lleva precios y cantidades en el mismo sentido</w:t>
      </w:r>
      <w:r>
        <w:t xml:space="preserve">: más demanda, más producción y más inflación;</w:t>
      </w:r>
    </w:p>
    <w:p>
      <w:pPr>
        <w:numPr>
          <w:ilvl w:val="1"/>
          <w:numId w:val="1081"/>
        </w:numPr>
      </w:pPr>
      <w:r>
        <w:t xml:space="preserve">un</w:t>
      </w:r>
      <w:r>
        <w:t xml:space="preserve"> </w:t>
      </w:r>
      <w:r>
        <w:rPr>
          <w:b/>
          <w:bCs/>
        </w:rPr>
        <w:t xml:space="preserve">choque de oferta</w:t>
      </w:r>
      <w:r>
        <w:t xml:space="preserve"> </w:t>
      </w:r>
      <w:r>
        <w:t xml:space="preserve">mueve los costes o la capacidad de producir (energía y materias primas, cuellos de botella, una catástrofe, el cierre de una ruta comercial, una reforma) y</w:t>
      </w:r>
      <w:r>
        <w:t xml:space="preserve"> </w:t>
      </w:r>
      <w:r>
        <w:rPr>
          <w:b/>
          <w:bCs/>
        </w:rPr>
        <w:t xml:space="preserve">los lleva en sentido contrario</w:t>
      </w:r>
      <w:r>
        <w:t xml:space="preserve">: menos producción y más inflación (o, si es favorable, más producción y menos inflación).</w:t>
      </w:r>
    </w:p>
    <w:p>
      <w:pPr>
        <w:numPr>
          <w:ilvl w:val="0"/>
          <w:numId w:val="1080"/>
        </w:numPr>
      </w:pPr>
      <w:r>
        <w:rPr>
          <w:u w:val="single"/>
        </w:rPr>
        <w:t xml:space="preserve">Precios y cantidades en el mismo sentido, demanda; en sentido contrario, oferta</w:t>
      </w:r>
      <w:r>
        <w:t xml:space="preserve">: es la regla con la que se descompone la inflación en la parte de oferta y la de demanda</w:t>
      </w:r>
      <w:r>
        <w:t xml:space="preserve"> </w:t>
      </w:r>
      <w:r>
        <w:t xml:space="preserve">(</w:t>
      </w:r>
      <w:hyperlink w:anchor="ref_Shapiro2022Oferta">
        <w:r>
          <w:rPr>
            <w:rStyle w:val="Hyperlink"/>
            <w:smallCaps/>
          </w:rPr>
          <w:t xml:space="preserve">Shapiro</w:t>
        </w:r>
        <w:r>
          <w:rPr>
            <w:rStyle w:val="Hyperlink"/>
          </w:rPr>
          <w:t xml:space="preserve">, 2022</w:t>
        </w:r>
      </w:hyperlink>
      <w:r>
        <w:t xml:space="preserve">)</w:t>
      </w:r>
      <w:r>
        <w:t xml:space="preserve">. Con el cuadro anual solo se puede aplicar a grandes rasgos (inflación frente a crecimiento del PIB o de las importaciones), y siempre con condicionales.</w:t>
      </w:r>
    </w:p>
    <w:p>
      <w:pPr>
        <w:numPr>
          <w:ilvl w:val="0"/>
          <w:numId w:val="1080"/>
        </w:numPr>
      </w:pPr>
      <w:r>
        <w:t xml:space="preserve">Un choque puede convertirse en otro: la pandemia empezó como un choque de oferta (cierres, menos movilidad) y se convirtió en uno de demanda, porque los hogares ahorraron por fuerza y por precaución; y un choque energético de oferta reduce la renta real y acaba frenando la demanda.</w:t>
      </w:r>
    </w:p>
    <w:bookmarkEnd w:id="181"/>
    <w:bookmarkStart w:id="187" w:name="de_d__nde_viene_la_inflaci__n"/>
    <w:p>
      <w:pPr>
        <w:pStyle w:val="Heading4"/>
      </w:pPr>
      <w:r>
        <w:t xml:space="preserve">De dónde viene la inflación</w:t>
      </w:r>
    </w:p>
    <w:p>
      <w:pPr>
        <w:numPr>
          <w:ilvl w:val="0"/>
          <w:numId w:val="1082"/>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w:t>
      </w:r>
      <w:r>
        <w:t xml:space="preserve"> </w:t>
      </w:r>
      <w:r>
        <w:rPr>
          <w:b/>
          <w:bCs/>
        </w:rPr>
        <w:t xml:space="preserve">demanda</w:t>
      </w:r>
      <w:r>
        <w:t xml:space="preserve">, de los</w:t>
      </w:r>
      <w:r>
        <w:t xml:space="preserve"> </w:t>
      </w:r>
      <w:r>
        <w:rPr>
          <w:b/>
          <w:bCs/>
        </w:rPr>
        <w:t xml:space="preserve">costes</w:t>
      </w:r>
      <w:r>
        <w:t xml:space="preserve"> </w:t>
      </w:r>
      <w:r>
        <w:t xml:space="preserve">(choques de oferta) y de la</w:t>
      </w:r>
      <w:r>
        <w:t xml:space="preserve"> </w:t>
      </w:r>
      <w:r>
        <w:rPr>
          <w:b/>
          <w:bCs/>
        </w:rPr>
        <w:t xml:space="preserve">inercia</w:t>
      </w:r>
      <w:r>
        <w:t xml:space="preserve"> </w:t>
      </w:r>
      <w:r>
        <w:t xml:space="preserve">(gráfico </w:t>
      </w:r>
      <w:hyperlink w:anchor="fig_esquema_inflacion">
        <w:r>
          <w:rPr>
            <w:rStyle w:val="Hyperlink"/>
          </w:rPr>
          <w:t xml:space="preserve">16</w:t>
        </w:r>
      </w:hyperlink>
      <w:r>
        <w:t xml:space="preserve">)</w:t>
      </w:r>
      <w:r>
        <w:t xml:space="preserve"> </w:t>
      </w:r>
      <w:hyperlink r:id="rId182">
        <w:r>
          <w:rPr>
            <w:rStyle w:val="Referenciaatema"/>
          </w:rPr>
          <w:t xml:space="preserve">[ver tema 3.A.41]</w:t>
        </w:r>
      </w:hyperlink>
      <w:r>
        <w:t xml:space="preserve">.</w:t>
      </w:r>
    </w:p>
    <w:p>
      <w:pPr>
        <w:numPr>
          <w:ilvl w:val="0"/>
          <w:numId w:val="1082"/>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82"/>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82"/>
        </w:numPr>
      </w:pPr>
      <w:r>
        <w:rPr>
          <w:i/>
          <w:iCs/>
        </w:rPr>
        <w:t xml:space="preserve">Inercia</w:t>
      </w:r>
      <w:r>
        <w:t xml:space="preserve">: expectativas, contratos e indexación. Cuanto más indexados los salarios, las pensiones o los alquileres a la inflación pasada, más persiste un choque.</w:t>
      </w:r>
    </w:p>
    <w:p>
      <w:pPr>
        <w:numPr>
          <w:ilvl w:val="0"/>
          <w:numId w:val="1082"/>
        </w:numPr>
      </w:pPr>
      <w:r>
        <w:rPr>
          <w:i/>
          <w:iCs/>
        </w:rPr>
        <w:t xml:space="preserve">A largo plazo, la inflación es un fenómeno monetario</w:t>
      </w:r>
      <w:r>
        <w:t xml:space="preserve">: en las comparaciones entre países y décadas, la inflación sigue de cerca al crecimiento del dinero menos el crecimiento real,</w:t>
      </w:r>
      <w:r>
        <w:t xml:space="preserve"> </w:t>
      </w:r>
      <m:oMath>
        <m:r>
          <m:t>π</m:t>
        </m:r>
        <m:r>
          <m:rPr>
            <m:sty m:val="p"/>
          </m:rPr>
          <m:t>≈</m:t>
        </m:r>
        <m:sSub>
          <m:e>
            <m:r>
              <m:t>γ</m:t>
            </m:r>
          </m:e>
          <m:sub>
            <m:r>
              <m:t>M</m:t>
            </m:r>
          </m:sub>
        </m:sSub>
        <m:r>
          <m:rPr>
            <m:sty m:val="p"/>
          </m:rPr>
          <m:t>−</m:t>
        </m:r>
        <m:sSub>
          <m:e>
            <m:r>
              <m:t>γ</m:t>
            </m:r>
          </m:e>
          <m:sub>
            <m:r>
              <m:t>Y</m:t>
            </m:r>
          </m:sub>
        </m:sSub>
      </m:oMath>
      <w:r>
        <w:t xml:space="preserve"> </w:t>
      </w:r>
      <w:r>
        <w:t xml:space="preserve">(</w:t>
      </w:r>
      <w:hyperlink w:anchor="ref_McCandlessWeber1995">
        <w:r>
          <w:rPr>
            <w:rStyle w:val="Hyperlink"/>
            <w:smallCaps/>
          </w:rPr>
          <w:t xml:space="preserve">McCandless</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1995</w:t>
        </w:r>
      </w:hyperlink>
      <w:r>
        <w:t xml:space="preserve">)</w:t>
      </w:r>
      <w:r>
        <w:t xml:space="preserve">. Sirve de contraste: un M3 que crece muy por encima del PIB nominal durante años es difícil de cuadrar con una inflación baja (salvo que cambie la demanda de dinero).</w:t>
      </w:r>
    </w:p>
    <w:bookmarkStart w:id="186" w:name="fig_esquema_inflacion"/>
    <w:p>
      <w:pPr>
        <w:pStyle w:val="ImageCaption"/>
      </w:pPr>
      <w:r>
        <w:t xml:space="preserve">Gráfico 16.–</w:t>
      </w:r>
      <w:r>
        <w:t xml:space="preserve"> </w:t>
      </w:r>
      <w:r>
        <w:t xml:space="preserve">De dónde viene la inflación: el triángulo de</w:t>
      </w:r>
      <w:r>
        <w:t xml:space="preserve"> </w:t>
      </w:r>
      <w:r>
        <w:rPr>
          <w:smallCaps/>
        </w:rPr>
        <w:t xml:space="preserve">Gordon</w:t>
      </w:r>
    </w:p>
    <w:p>
      <w:pPr>
        <w:pStyle w:val="CaptionedFigure"/>
      </w:pPr>
      <w:r>
        <w:drawing>
          <wp:inline>
            <wp:extent cx="3282950" cy="1825210"/>
            <wp:effectExtent b="0" l="0" r="0" t="0"/>
            <wp:docPr descr="Gráfico 16.– De dónde viene la inflación: el triángulo de Gordon" title="" id="184" name="Picture"/>
            <a:graphic>
              <a:graphicData uri="http://schemas.openxmlformats.org/drawingml/2006/picture">
                <pic:pic>
                  <pic:nvPicPr>
                    <pic:cNvPr descr="C:\Users\vgutierrez\Documents\src\victorgutierrezmarcos.github.io-revision\oposicion\temario\fuentes\1D01\graficos/esquema-origen-inflacion.png" id="185" name="Picture"/>
                    <pic:cNvPicPr>
                      <a:picLocks noChangeArrowheads="1" noChangeAspect="1"/>
                    </pic:cNvPicPr>
                  </pic:nvPicPr>
                  <pic:blipFill>
                    <a:blip r:embed="rId183"/>
                    <a:stretch>
                      <a:fillRect/>
                    </a:stretch>
                  </pic:blipFill>
                  <pic:spPr bwMode="auto">
                    <a:xfrm>
                      <a:off x="0" y="0"/>
                      <a:ext cx="3282950" cy="1825210"/>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Qué hay que ver: los 3 vértices son los 3 orígenes posibles; en el dictamen se busca en el cuadro el indicio de cada uno (brecha y crédito; CLU, energía y tipo de cambio; expectativas e indexación).</w:t>
      </w:r>
    </w:p>
    <w:bookmarkEnd w:id="187"/>
    <w:bookmarkStart w:id="188" w:name="efectos_indirectos_y_de_segunda_ronda"/>
    <w:p>
      <w:pPr>
        <w:pStyle w:val="Heading4"/>
      </w:pPr>
      <w:r>
        <w:t xml:space="preserve">Efectos indirectos y de segunda ronda</w:t>
      </w:r>
    </w:p>
    <w:p>
      <w:pPr>
        <w:keepNext/>
        <w:numPr>
          <w:ilvl w:val="0"/>
          <w:numId w:val="1083"/>
        </w:numPr>
      </w:pPr>
      <w:r>
        <w:t xml:space="preserve">Un choque de costes (la energía) llega a la inflación en 3 pasos, y conviene distinguirlos porque piden respuestas distintas</w:t>
      </w:r>
      <w:r>
        <w:t xml:space="preserve"> </w:t>
      </w:r>
      <w:r>
        <w:t xml:space="preserve">(</w:t>
      </w:r>
      <w:hyperlink w:anchor="ref_BdE2022InformeAnual2021">
        <w:r>
          <w:rPr>
            <w:rStyle w:val="Hyperlink"/>
            <w:smallCaps/>
          </w:rPr>
          <w:t xml:space="preserve">Banco de España</w:t>
        </w:r>
        <w:r>
          <w:rPr>
            <w:rStyle w:val="Hyperlink"/>
          </w:rPr>
          <w:t xml:space="preserve">, 2022, cap. 4</w:t>
        </w:r>
      </w:hyperlink>
      <w:r>
        <w:t xml:space="preserve">)</w:t>
      </w:r>
      <w:r>
        <w:t xml:space="preserve">:</w:t>
      </w:r>
    </w:p>
    <w:p>
      <w:pPr>
        <w:numPr>
          <w:ilvl w:val="1"/>
          <w:numId w:val="1084"/>
        </w:numPr>
      </w:pPr>
      <w:r>
        <w:rPr>
          <w:b/>
          <w:bCs/>
        </w:rPr>
        <w:t xml:space="preserve">efectos directos</w:t>
      </w:r>
      <w:r>
        <w:t xml:space="preserve">: sube el precio de la energía que compran los hogares (carburantes, electricidad, gas), que está en el IPC;</w:t>
      </w:r>
    </w:p>
    <w:p>
      <w:pPr>
        <w:numPr>
          <w:ilvl w:val="1"/>
          <w:numId w:val="1084"/>
        </w:numPr>
      </w:pPr>
      <w:r>
        <w:rPr>
          <w:b/>
          <w:bCs/>
        </w:rPr>
        <w:t xml:space="preserve">efectos indirectos</w:t>
      </w:r>
      <w:r>
        <w:t xml:space="preserve">: las empresas trasladan el encarecimiento de sus insumos a los precios de lo que venden (transporte, alimentos, bienes industriales) para proteger sus márgenes;</w:t>
      </w:r>
    </w:p>
    <w:p>
      <w:pPr>
        <w:numPr>
          <w:ilvl w:val="1"/>
          <w:numId w:val="1084"/>
        </w:numPr>
      </w:pPr>
      <w:r>
        <w:rPr>
          <w:b/>
          <w:bCs/>
        </w:rPr>
        <w:t xml:space="preserve">efectos de segunda ronda</w:t>
      </w:r>
      <w:r>
        <w:t xml:space="preserve">: los trabajadores piden subidas salariales para recuperar el poder adquisitivo perdido, las empresas suben precios para defender los márgenes frente a esos salarios, y se arma una</w:t>
      </w:r>
      <w:r>
        <w:t xml:space="preserve"> </w:t>
      </w:r>
      <w:r>
        <w:rPr>
          <w:i/>
          <w:iCs/>
        </w:rPr>
        <w:t xml:space="preserve">espiral de precios y salarios</w:t>
      </w:r>
      <w:r>
        <w:t xml:space="preserve"> </w:t>
      </w:r>
      <w:hyperlink r:id="rId182">
        <w:r>
          <w:rPr>
            <w:rStyle w:val="Referenciaatema"/>
          </w:rPr>
          <w:t xml:space="preserve">[ver tema 3.A.41]</w:t>
        </w:r>
      </w:hyperlink>
      <w:r>
        <w:t xml:space="preserve">.</w:t>
      </w:r>
    </w:p>
    <w:p>
      <w:pPr>
        <w:numPr>
          <w:ilvl w:val="0"/>
          <w:numId w:val="1083"/>
        </w:numPr>
      </w:pPr>
      <w:r>
        <w:rPr>
          <w:u w:val="single"/>
        </w:rPr>
        <w:t xml:space="preserve">Lo que preocupa al banco central es la segunda ronda</w:t>
      </w:r>
      <w:r>
        <w:t xml:space="preserve">, porque convierte un choque transitorio en inflación persistente. Se ve en la subyacente (sobre todo en los servicios), en los salarios negociados, en los CLU y en las expectativas de inflación.</w:t>
      </w:r>
    </w:p>
    <w:p>
      <w:pPr>
        <w:numPr>
          <w:ilvl w:val="0"/>
          <w:numId w:val="1083"/>
        </w:numPr>
      </w:pPr>
      <w:r>
        <w:rPr>
          <w:i/>
          <w:iCs/>
        </w:rPr>
        <w:t xml:space="preserve">Inflación desigual</w:t>
      </w:r>
      <w:r>
        <w:t xml:space="preserve">: la inflación no es igual para todos. Los hogares de renta baja dedican más gasto a la energía y a los alimentos, así que sufren más los choques de esos precios; como consumen casi toda su renta, recortan el consumo, y la sensación de pérdida alimenta la tensión social y la presión salarial</w:t>
      </w:r>
      <w:r>
        <w:t xml:space="preserve"> </w:t>
      </w:r>
      <w:r>
        <w:t xml:space="preserve">(</w:t>
      </w:r>
      <w:hyperlink w:anchor="ref_BCE2022RentaBaja">
        <w:r>
          <w:rPr>
            <w:rStyle w:val="Hyperlink"/>
            <w:smallCaps/>
          </w:rPr>
          <w:t xml:space="preserve">Charalampakis</w:t>
        </w:r>
        <w:r>
          <w:rPr>
            <w:rStyle w:val="Hyperlink"/>
          </w:rPr>
          <w:t xml:space="preserve"> </w:t>
        </w:r>
        <w:r>
          <w:rPr>
            <w:rStyle w:val="Hyperlink"/>
          </w:rPr>
          <w:t xml:space="preserve">et al., 2022</w:t>
        </w:r>
      </w:hyperlink>
      <w:r>
        <w:t xml:space="preserve">)</w:t>
      </w:r>
      <w:r>
        <w:t xml:space="preserve">. La</w:t>
      </w:r>
      <w:r>
        <w:t xml:space="preserve"> </w:t>
      </w:r>
      <w:r>
        <w:rPr>
          <w:i/>
          <w:iCs/>
        </w:rPr>
        <w:t xml:space="preserve">inflación percibida</w:t>
      </w:r>
      <w:r>
        <w:t xml:space="preserve"> </w:t>
      </w:r>
      <w:r>
        <w:t xml:space="preserve">suele estar por encima de la oficial, porque los precios que más se ven (el súper, la gasolina) son los que más suben en estos episodios.</w:t>
      </w:r>
    </w:p>
    <w:bookmarkEnd w:id="188"/>
    <w:bookmarkStart w:id="190" w:name="transitoria_o_persistente_qu___pol_70795"/>
    <w:p>
      <w:pPr>
        <w:pStyle w:val="Heading4"/>
      </w:pPr>
      <w:r>
        <w:t xml:space="preserve">¿Transitoria o persistente? Qué política requiere</w:t>
      </w:r>
    </w:p>
    <w:p>
      <w:pPr>
        <w:numPr>
          <w:ilvl w:val="0"/>
          <w:numId w:val="1085"/>
        </w:numPr>
      </w:pPr>
      <w:r>
        <w:rPr>
          <w:i/>
          <w:iCs/>
        </w:rPr>
        <w:t xml:space="preserve">El último brote inflacionista</w:t>
      </w:r>
      <w:r>
        <w:t xml:space="preserve"> </w:t>
      </w:r>
      <w:r>
        <w:t xml:space="preserve">(por qué la inflación fue baja durante años, por qué repuntó y la «última milla» de la desinflación) se analiza como caso en el anexo </w:t>
      </w:r>
      <w:hyperlink w:anchor="anexo_casos_frecuentes">
        <w:r>
          <w:rPr>
            <w:rStyle w:val="Hyperlink"/>
          </w:rPr>
          <w:t xml:space="preserve">B.1</w:t>
        </w:r>
      </w:hyperlink>
      <w:r>
        <w:t xml:space="preserve">.</w:t>
      </w:r>
    </w:p>
    <w:p>
      <w:pPr>
        <w:numPr>
          <w:ilvl w:val="0"/>
          <w:numId w:val="1085"/>
        </w:numPr>
      </w:pPr>
      <w:r>
        <w:rPr>
          <w:i/>
          <w:iCs/>
        </w:rPr>
        <w:t xml:space="preserve">¿Transitoria o persistente?</w:t>
      </w:r>
      <w:r>
        <w:t xml:space="preserve"> </w:t>
      </w:r>
      <w:r>
        <w:rPr>
          <w:b/>
          <w:bCs/>
        </w:rPr>
        <w:t xml:space="preserve">Transitoria</w:t>
      </w:r>
      <w:r>
        <w:t xml:space="preserve"> </w:t>
      </w:r>
      <w:r>
        <w:t xml:space="preserve">si se concentra en energía y alimentos con la subyacente contenida, salarios moderados, expectativas ancladas y materias primas que ya bajan.</w:t>
      </w:r>
      <w:r>
        <w:t xml:space="preserve"> </w:t>
      </w:r>
      <w:r>
        <w:rPr>
          <w:b/>
          <w:bCs/>
        </w:rPr>
        <w:t xml:space="preserve">Persistente</w:t>
      </w:r>
      <w:r>
        <w:t xml:space="preserve"> </w:t>
      </w:r>
      <w:r>
        <w:t xml:space="preserve">si la subyacente sube y se generaliza (servicios), los salarios y los márgenes se aceleran, la brecha es positiva, el paro está por debajo de la NAIRU y suben las expectativas.</w:t>
      </w:r>
    </w:p>
    <w:p>
      <w:pPr>
        <w:keepNext/>
        <w:numPr>
          <w:ilvl w:val="0"/>
          <w:numId w:val="1085"/>
        </w:numPr>
      </w:pPr>
      <w:r>
        <w:t xml:space="preserve">Si la inflación es alta y persistente, lo natural es endurecer la política monetaria, pero depende del origen:</w:t>
      </w:r>
    </w:p>
    <w:p>
      <w:pPr>
        <w:numPr>
          <w:ilvl w:val="1"/>
          <w:numId w:val="1086"/>
        </w:numPr>
      </w:pPr>
      <w:r>
        <w:rPr>
          <w:i/>
          <w:iCs/>
        </w:rPr>
        <w:t xml:space="preserve">de demanda</w:t>
      </w:r>
      <w:r>
        <w:t xml:space="preserve">: subir tipos, y que la política fiscal no empuje en sentido contrario;</w:t>
      </w:r>
    </w:p>
    <w:p>
      <w:pPr>
        <w:numPr>
          <w:ilvl w:val="1"/>
          <w:numId w:val="108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86"/>
        </w:numPr>
      </w:pPr>
      <w:r>
        <w:t xml:space="preserve">en una unión monetaria el país no tiene política monetaria propia: le quedan la fiscal y las de oferta;</w:t>
      </w:r>
    </w:p>
    <w:p>
      <w:pPr>
        <w:numPr>
          <w:ilvl w:val="1"/>
          <w:numId w:val="1086"/>
        </w:numPr>
      </w:pPr>
      <w:r>
        <w:t xml:space="preserve">con un choque de relación real de intercambio (un importador de energía que se empobrece), la pérdida de renta tiene que repartirse entre empresas, trabajadores, pensionistas y el Estado: un</w:t>
      </w:r>
      <w:r>
        <w:t xml:space="preserve"> </w:t>
      </w:r>
      <w:r>
        <w:rPr>
          <w:b/>
          <w:bCs/>
        </w:rPr>
        <w:t xml:space="preserve">pacto de rentas</w:t>
      </w:r>
      <w:r>
        <w:t xml:space="preserve"> </w:t>
      </w:r>
      <w:r>
        <w:t xml:space="preserve">evita que cada grupo intente trasladarla a los demás y desate la espiral</w:t>
      </w:r>
      <w:r>
        <w:t xml:space="preserve"> </w:t>
      </w:r>
      <w:r>
        <w:t xml:space="preserve">(</w:t>
      </w:r>
      <w:hyperlink w:anchor="ref_BdE2022InformeAnual2021">
        <w:r>
          <w:rPr>
            <w:rStyle w:val="Hyperlink"/>
            <w:smallCaps/>
          </w:rPr>
          <w:t xml:space="preserve">Banco de España</w:t>
        </w:r>
        <w:r>
          <w:rPr>
            <w:rStyle w:val="Hyperlink"/>
          </w:rPr>
          <w:t xml:space="preserve">, 2022</w:t>
        </w:r>
      </w:hyperlink>
      <w:r>
        <w:t xml:space="preserve">)</w:t>
      </w:r>
      <w:r>
        <w:t xml:space="preserve">.</w:t>
      </w:r>
    </w:p>
    <w:p>
      <w:pPr>
        <w:numPr>
          <w:ilvl w:val="0"/>
          <w:numId w:val="1085"/>
        </w:numPr>
      </w:pPr>
      <w:r>
        <w:rPr>
          <w:i/>
          <w:iCs/>
        </w:rPr>
        <w:t xml:space="preserve">Por qué preocupa la deflación</w:t>
      </w:r>
      <w:r>
        <w:t xml:space="preserve">: si se debe a una</w:t>
      </w:r>
      <w:r>
        <w:t xml:space="preserve"> </w:t>
      </w:r>
      <w:r>
        <w:rPr>
          <w:i/>
          <w:iCs/>
        </w:rPr>
        <w:t xml:space="preserve">demanda insuficiente</w:t>
      </w:r>
      <w:r>
        <w:t xml:space="preserve">, los consumidores aplazan las compras esperando precios más bajos, las empresas posponen ventas e inversiones y aumenta el valor real de las deudas, lo que obliga a los deudores a recortar gasto (la deflación por deudas de</w:t>
      </w:r>
      <w:r>
        <w:t xml:space="preserve"> </w:t>
      </w:r>
      <w:r>
        <w:rPr>
          <w:smallCaps/>
        </w:rPr>
        <w:t xml:space="preserve">Fisher</w:t>
      </w:r>
      <w:r>
        <w:t xml:space="preserve"> </w:t>
      </w:r>
      <w:r>
        <w:t xml:space="preserve">(</w:t>
      </w:r>
      <w:hyperlink w:anchor="ref_Fisher1933">
        <w:r>
          <w:rPr>
            <w:rStyle w:val="Hyperlink"/>
          </w:rPr>
          <w:t xml:space="preserve">1933</w:t>
        </w:r>
      </w:hyperlink>
      <w:r>
        <w:t xml:space="preserve">)</w:t>
      </w:r>
      <w:r>
        <w:t xml:space="preserve">); con tipos nominales en su límite inferior, además, el tipo real sube. Si se debe a la</w:t>
      </w:r>
      <w:r>
        <w:t xml:space="preserve"> </w:t>
      </w:r>
      <w:r>
        <w:rPr>
          <w:i/>
          <w:iCs/>
        </w:rPr>
        <w:t xml:space="preserve">oferta</w:t>
      </w:r>
      <w:r>
        <w:t xml:space="preserve"> </w:t>
      </w:r>
      <w:r>
        <w:t xml:space="preserve">(mejoras técnicas o abaratamiento de insumos que bajan los costes), puede ser «buena»: los precios bajan porque se produce más barato, y la renta real y la actividad crecen. Históricamente, muchas deflaciones de oferta convivieron con crecimiento</w:t>
      </w:r>
      <w:r>
        <w:t xml:space="preserve"> </w:t>
      </w:r>
      <w:r>
        <w:t xml:space="preserve">(</w:t>
      </w:r>
      <w:hyperlink w:anchor="ref_BordoFilardo2005Deflacion">
        <w:r>
          <w:rPr>
            <w:rStyle w:val="Hyperlink"/>
            <w:smallCaps/>
          </w:rPr>
          <w:t xml:space="preserve">Bordo</w:t>
        </w:r>
        <w:r>
          <w:rPr>
            <w:rStyle w:val="Hyperlink"/>
          </w:rPr>
          <w:t xml:space="preserve"> </w:t>
        </w:r>
        <w:r>
          <w:rPr>
            <w:rStyle w:val="Hyperlink"/>
          </w:rPr>
          <w:t xml:space="preserve">y</w:t>
        </w:r>
        <w:r>
          <w:rPr>
            <w:rStyle w:val="Hyperlink"/>
          </w:rPr>
          <w:t xml:space="preserve"> </w:t>
        </w:r>
        <w:r>
          <w:rPr>
            <w:rStyle w:val="Hyperlink"/>
            <w:smallCaps/>
          </w:rPr>
          <w:t xml:space="preserve">Filardo</w:t>
        </w:r>
        <w:r>
          <w:rPr>
            <w:rStyle w:val="Hyperlink"/>
          </w:rPr>
          <w:t xml:space="preserve">, 2005</w:t>
        </w:r>
      </w:hyperlink>
      <w:r>
        <w:t xml:space="preserve">)</w:t>
      </w:r>
      <w:r>
        <w:t xml:space="preserve"> </w:t>
      </w:r>
      <w:hyperlink r:id="rId182">
        <w:r>
          <w:rPr>
            <w:rStyle w:val="Referenciaatema"/>
          </w:rPr>
          <w:t xml:space="preserve">[ver tema 3.A.41]</w:t>
        </w:r>
      </w:hyperlink>
      <w:r>
        <w:t xml:space="preserve">.</w:t>
      </w:r>
    </w:p>
    <w:p>
      <w:pPr>
        <w:numPr>
          <w:ilvl w:val="0"/>
          <w:numId w:val="1085"/>
        </w:numPr>
      </w:pPr>
      <w:r>
        <w:rPr>
          <w:i/>
          <w:iCs/>
        </w:rPr>
        <w:t xml:space="preserve">Con deflación</w:t>
      </w:r>
      <w:r>
        <w:t xml:space="preserve">: política monetaria expansiva; si los tipos están en su límite inferior, expectativas, compras de activos y política fiscal expansiva.</w:t>
      </w:r>
    </w:p>
    <w:p>
      <w:pPr>
        <w:numPr>
          <w:ilvl w:val="0"/>
          <w:numId w:val="1085"/>
        </w:numPr>
      </w:pPr>
      <w:r>
        <w:rPr>
          <w:i/>
          <w:iCs/>
        </w:rPr>
        <w:t xml:space="preserve">Siempre</w:t>
      </w:r>
      <w:r>
        <w:t xml:space="preserve">: políticas que aumenten la competencia y reduzcan los márgenes.</w:t>
      </w:r>
    </w:p>
    <w:p>
      <w:pPr>
        <w:numPr>
          <w:ilvl w:val="0"/>
          <w:numId w:val="108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89">
        <w:r>
          <w:rPr>
            <w:rStyle w:val="Referenciaatema"/>
          </w:rPr>
          <w:t xml:space="preserve">[ver tema 3.A.36]</w:t>
        </w:r>
      </w:hyperlink>
      <w:r>
        <w:t xml:space="preserve">.</w:t>
      </w:r>
    </w:p>
    <w:bookmarkEnd w:id="190"/>
    <w:bookmarkEnd w:id="191"/>
    <w:bookmarkStart w:id="204" w:name="sec_tipo_cambio"/>
    <w:p>
      <w:pPr>
        <w:pStyle w:val="Heading2"/>
      </w:pPr>
      <w:r>
        <w:t xml:space="preserve">III.2.</w:t>
      </w:r>
      <w:r>
        <w:t xml:space="preserve"> </w:t>
      </w:r>
      <w:r>
        <w:t xml:space="preserve">Tipo de cambio</w:t>
      </w:r>
    </w:p>
    <w:p>
      <w:pPr>
        <w:numPr>
          <w:ilvl w:val="0"/>
          <w:numId w:val="108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numPr>
          <w:ilvl w:val="0"/>
          <w:numId w:val="1087"/>
        </w:numPr>
      </w:pPr>
      <w:r>
        <w:rPr>
          <w:i/>
          <w:iCs/>
        </w:rPr>
        <w:t xml:space="preserve">Cómo se calcula</w:t>
      </w:r>
      <w:r>
        <w:t xml:space="preserve"> </w:t>
      </w:r>
      <w:hyperlink r:id="rId192">
        <w:r>
          <w:rPr>
            <w:rStyle w:val="Referenciaatema"/>
          </w:rPr>
          <w:t xml:space="preserve">[ver tema 3.B.13]</w:t>
        </w:r>
      </w:hyperlink>
      <w:r>
        <w:t xml:space="preserve">: el tipo real, el que importa para la competitividad, compara los precios de fuera, en moneda nacional, con los de dentro; el efectivo real (</w:t>
      </w:r>
      <m:oMath>
        <m:sSup>
          <m:e>
            <m:r>
              <m:t>q</m:t>
            </m:r>
          </m:e>
          <m:sup>
            <m:r>
              <m:t>e</m:t>
            </m:r>
            <m:r>
              <m:t>f</m:t>
            </m:r>
          </m:sup>
        </m:sSup>
      </m:oMath>
      <w:r>
        <w:t xml:space="preserve">) lo hace con todos los socios, con los pesos</w:t>
      </w:r>
      <w:r>
        <w:t xml:space="preserve"> </w:t>
      </w:r>
      <m:oMath>
        <m:sSub>
          <m:e>
            <m:r>
              <m:t>ω</m:t>
            </m:r>
          </m:e>
          <m:sub>
            <m:r>
              <m:t>i</m:t>
            </m:r>
          </m:sub>
        </m:sSub>
      </m:oMath>
      <w:r>
        <w:t xml:space="preserve"> </w:t>
      </w:r>
      <w:r>
        <w:t xml:space="preserve">de su comercio:</w:t>
      </w:r>
    </w:p>
    <w:p>
      <w:pPr>
        <w:pStyle w:val="Funcionclave"/>
        <w:keepLines/>
      </w:pPr>
      <m:oMathPara>
        <m:oMathParaPr>
          <m:jc m:val="center"/>
        </m:oMathParaPr>
        <m:oMath>
          <m:r>
            <m:t>q</m:t>
          </m:r>
          <m:r>
            <m:rPr>
              <m:sty m:val="p"/>
            </m:rPr>
            <m:t>≡</m:t>
          </m:r>
          <m:f>
            <m:fPr>
              <m:type m:val="bar"/>
            </m:fPr>
            <m:num>
              <m:r>
                <m:t>E</m:t>
              </m:r>
              <m:sSup>
                <m:e>
                  <m:r>
                    <m:t>P</m:t>
                  </m:r>
                </m:e>
                <m:sup>
                  <m:r>
                    <m:rPr>
                      <m:sty m:val="p"/>
                    </m:rPr>
                    <m:t>*</m:t>
                  </m:r>
                </m:sup>
              </m:sSup>
            </m:num>
            <m:den>
              <m:r>
                <m:t>P</m:t>
              </m:r>
            </m:den>
          </m:f>
          <m:r>
            <m:rPr>
              <m:sty m:val="p"/>
            </m:rPr>
            <m:t>,</m:t>
          </m:r>
          <m:r>
            <m:t>  </m:t>
          </m:r>
          <m:sSup>
            <m:e>
              <m:r>
                <m:t>q</m:t>
              </m:r>
            </m:e>
            <m:sup>
              <m:r>
                <m:t>e</m:t>
              </m:r>
              <m:r>
                <m:t>f</m:t>
              </m:r>
            </m:sup>
          </m:sSup>
          <m:r>
            <m:rPr>
              <m:sty m:val="p"/>
            </m:rPr>
            <m:t>=</m:t>
          </m:r>
          <m:nary>
            <m:naryPr>
              <m:chr m:val="∏"/>
              <m:limLoc m:val="undOvr"/>
              <m:subHide m:val="off"/>
              <m:supHide m:val="on"/>
            </m:naryPr>
            <m:sub>
              <m:r>
                <m:t>i</m:t>
              </m:r>
            </m:sub>
            <m:sup>
              <m:r>
                <m:t>​</m:t>
              </m:r>
            </m:sup>
            <m:e>
              <m:r>
                <m:rPr>
                  <m:sty m:val="p"/>
                </m:rPr>
                <m:t>(</m:t>
              </m:r>
            </m:e>
          </m:nary>
          <m:f>
            <m:fPr>
              <m:type m:val="bar"/>
            </m:fPr>
            <m:num>
              <m:sSub>
                <m:e>
                  <m:r>
                    <m:t>E</m:t>
                  </m:r>
                </m:e>
                <m:sub>
                  <m:r>
                    <m:t>i</m:t>
                  </m:r>
                </m:sub>
              </m:sSub>
              <m:sSubSup>
                <m:e>
                  <m:r>
                    <m:t>P</m:t>
                  </m:r>
                </m:e>
                <m:sub>
                  <m:r>
                    <m:t>i</m:t>
                  </m:r>
                </m:sub>
                <m:sup>
                  <m:r>
                    <m:rPr>
                      <m:sty m:val="p"/>
                    </m:rPr>
                    <m:t>*</m:t>
                  </m:r>
                </m:sup>
              </m:sSubSup>
            </m:num>
            <m:den>
              <m:r>
                <m:t>P</m:t>
              </m:r>
            </m:den>
          </m:f>
          <m:sSup>
            <m:e>
              <m:r>
                <m:rPr>
                  <m:sty m:val="p"/>
                </m:rPr>
                <m:t>)</m:t>
              </m:r>
            </m:e>
            <m:sup>
              <m:sSub>
                <m:e>
                  <m:r>
                    <m:t>ω</m:t>
                  </m:r>
                </m:e>
                <m:sub>
                  <m:r>
                    <m:t>i</m:t>
                  </m:r>
                </m:sub>
              </m:sSub>
            </m:sup>
          </m:sSup>
        </m:oMath>
      </m:oMathPara>
    </w:p>
    <w:p>
      <w:pPr>
        <w:keepNext/>
        <w:numPr>
          <w:ilvl w:val="0"/>
          <w:numId w:val="1000"/>
        </w:numPr>
      </w:pPr>
      <w:r>
        <w:t xml:space="preserve">Sus piezas:</w:t>
      </w:r>
    </w:p>
    <w:p>
      <w:pPr>
        <w:numPr>
          <w:ilvl w:val="1"/>
          <w:numId w:val="108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88"/>
        </w:numPr>
      </w:pPr>
      <w:r>
        <w:rPr>
          <w:b/>
          <w:bCs/>
        </w:rPr>
        <w:t xml:space="preserve">efectivo</w:t>
      </w:r>
      <w:r>
        <w:t xml:space="preserve">: media geométrica de los bilaterales ponderada por el comercio con cada socio;</w:t>
      </w:r>
    </w:p>
    <w:p>
      <w:pPr>
        <w:numPr>
          <w:ilvl w:val="1"/>
          <w:numId w:val="1088"/>
        </w:numPr>
      </w:pPr>
      <w:r>
        <w:rPr>
          <w:b/>
          <w:bCs/>
        </w:rPr>
        <w:t xml:space="preserve">real</w:t>
      </w:r>
      <w:r>
        <w:t xml:space="preserve">,</w:t>
      </w:r>
      <w:r>
        <w:t xml:space="preserve"> </w:t>
      </w:r>
      <m:oMath>
        <m:r>
          <m:t>q</m:t>
        </m:r>
      </m:oMath>
      <w:r>
        <w:t xml:space="preserve">: el precio de los bienes extranjeros en términos de los nacionales; si sube, la producción nacional se abarata frente a la extranjera y la economía gana competitividad-precio. Con los CLU en lugar de los precios se obtiene la competitividad en costes.</w:t>
      </w:r>
    </w:p>
    <w:p>
      <w:pPr>
        <w:numPr>
          <w:ilvl w:val="0"/>
          <w:numId w:val="1087"/>
        </w:numPr>
      </w:pPr>
      <w:r>
        <w:rPr>
          <w:i/>
          <w:iCs/>
        </w:rPr>
        <w:t xml:space="preserve">Cuidado con las unidades</w:t>
      </w:r>
      <w:r>
        <w:t xml:space="preserve">:</w:t>
      </w:r>
      <w:r>
        <w:t xml:space="preserve"> </w:t>
      </w:r>
      <w:r>
        <w:rPr>
          <w:u w:val="single"/>
        </w:rPr>
        <w:t xml:space="preserve">antes de leer el signo, hay que comprobar la convención</w:t>
      </w:r>
      <w:r>
        <w:t xml:space="preserve">. El BCE y el Banco de España publican los índices al revés (una subida es una apreciación y una pérdida de competitividad)</w:t>
      </w:r>
      <w:r>
        <w:t xml:space="preserve"> </w:t>
      </w:r>
      <w:hyperlink r:id="rId140">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8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7"/>
        </w:numPr>
      </w:pPr>
      <w:r>
        <w:rPr>
          <w:i/>
          <w:iCs/>
        </w:rPr>
        <w:t xml:space="preserve">Cómo se lee</w:t>
      </w:r>
      <w:r>
        <w:t xml:space="preserve">: la competitividad-precio mejora por depreciación nominal o por una inflación menor que la de los socios (devaluación interna).</w:t>
      </w:r>
    </w:p>
    <w:bookmarkStart w:id="193" w:name="ppa_tipo_de_cambio_real_y_convergencia"/>
    <w:p>
      <w:pPr>
        <w:pStyle w:val="Heading4"/>
      </w:pPr>
      <w:r>
        <w:t xml:space="preserve">PPA, tipo de cambio real y convergencia</w:t>
      </w:r>
    </w:p>
    <w:p>
      <w:pPr>
        <w:numPr>
          <w:ilvl w:val="0"/>
          <w:numId w:val="1089"/>
        </w:numPr>
      </w:pPr>
      <w:r>
        <w:rPr>
          <w:i/>
          <w:iCs/>
        </w:rPr>
        <w:t xml:space="preserve">La paridad del poder adquisitivo (PPA) relativa</w:t>
      </w:r>
      <w:r>
        <w:t xml:space="preserve"> </w:t>
      </w:r>
      <w:r>
        <w:t xml:space="preserve">es la referencia a medio plazo: el tipo de cambio nominal tiende a compensar la diferencia de inflación con los socios,</w:t>
      </w:r>
    </w:p>
    <w:p>
      <w:pPr>
        <w:pStyle w:val="BodyText"/>
        <w:keepNext/>
      </w:pPr>
      <m:oMathPara>
        <m:oMathParaPr>
          <m:jc m:val="center"/>
        </m:oMathParaPr>
        <m:oMath>
          <m:r>
            <m:rPr>
              <m:sty m:val="p"/>
            </m:rPr>
            <m:t>%</m:t>
          </m:r>
          <m:r>
            <m:t>Δ</m:t>
          </m:r>
          <m:r>
            <m:t>E</m:t>
          </m:r>
          <m:r>
            <m:rPr>
              <m:sty m:val="p"/>
            </m:rPr>
            <m:t>≈</m:t>
          </m:r>
          <m:r>
            <m:t>π</m:t>
          </m:r>
          <m:r>
            <m:rPr>
              <m:sty m:val="p"/>
            </m:rPr>
            <m:t>−</m:t>
          </m:r>
          <m:sSup>
            <m:e>
              <m:r>
                <m:t>π</m:t>
              </m:r>
            </m:e>
            <m:sup>
              <m:r>
                <m:rPr>
                  <m:sty m:val="p"/>
                </m:rPr>
                <m:t>*</m:t>
              </m:r>
            </m:sup>
          </m:sSup>
          <m:r>
            <m:rPr>
              <m:sty m:val="p"/>
            </m:rPr>
            <m:t>,</m:t>
          </m:r>
        </m:oMath>
      </m:oMathPara>
    </w:p>
    <w:p>
      <w:pPr>
        <w:numPr>
          <w:ilvl w:val="0"/>
          <w:numId w:val="1000"/>
        </w:numPr>
      </w:pPr>
      <w:r>
        <w:t xml:space="preserve">de modo que el tipo real tiende a volver a su media. En los datos lo hace muy despacio: las desviaciones tardan de 3 a 5 años en reducirse a la mitad</w:t>
      </w:r>
      <w:r>
        <w:t xml:space="preserve"> </w:t>
      </w:r>
      <w:r>
        <w:t xml:space="preserve">(</w:t>
      </w:r>
      <w:hyperlink w:anchor="ref_Rogoff1996PPA">
        <w:r>
          <w:rPr>
            <w:rStyle w:val="Hyperlink"/>
            <w:smallCaps/>
          </w:rPr>
          <w:t xml:space="preserve">Rogoff</w:t>
        </w:r>
        <w:r>
          <w:rPr>
            <w:rStyle w:val="Hyperlink"/>
          </w:rPr>
          <w:t xml:space="preserve">, 1996</w:t>
        </w:r>
      </w:hyperlink>
      <w:r>
        <w:t xml:space="preserve">)</w:t>
      </w:r>
      <w:r>
        <w:t xml:space="preserve">. Un país con más inflación que sus socios y un tipo nominal estable</w:t>
      </w:r>
      <w:r>
        <w:t xml:space="preserve"> </w:t>
      </w:r>
      <w:r>
        <w:rPr>
          <w:i/>
          <w:iCs/>
        </w:rPr>
        <w:t xml:space="preserve">pierde</w:t>
      </w:r>
      <w:r>
        <w:t xml:space="preserve"> </w:t>
      </w:r>
      <w:r>
        <w:t xml:space="preserve">competitividad: su tipo real se aprecia.</w:t>
      </w:r>
    </w:p>
    <w:p>
      <w:pPr>
        <w:keepNext/>
        <w:numPr>
          <w:ilvl w:val="0"/>
          <w:numId w:val="1089"/>
        </w:numPr>
      </w:pPr>
      <w:r>
        <w:rPr>
          <w:i/>
          <w:iCs/>
        </w:rPr>
        <w:t xml:space="preserve">Por qué se aprecia el tipo real</w:t>
      </w:r>
      <w:r>
        <w:t xml:space="preserve">: el tipo real puede descomponerse en el precio relativo de los bienes comercializables (que compiten fuera) y el de los no comercializables (servicios, construcción) en cada país. Una apreciación real puede ser:</w:t>
      </w:r>
    </w:p>
    <w:p>
      <w:pPr>
        <w:numPr>
          <w:ilvl w:val="1"/>
          <w:numId w:val="1090"/>
        </w:numPr>
      </w:pPr>
      <w:r>
        <w:rPr>
          <w:b/>
          <w:bCs/>
        </w:rPr>
        <w:t xml:space="preserve">convergencia</w:t>
      </w:r>
      <w:r>
        <w:t xml:space="preserve">: en los países que se acercan a la renta de los ricos, la productividad de los comercializables crece más deprisa, suben los salarios de toda la economía y, con ellos, el precio de los no comercializables (efecto</w:t>
      </w:r>
      <w:r>
        <w:t xml:space="preserve"> </w:t>
      </w:r>
      <w:r>
        <w:rPr>
          <w:smallCaps/>
        </w:rPr>
        <w:t xml:space="preserve">Balassa</w:t>
      </w:r>
      <w:r>
        <w:t xml:space="preserve">-</w:t>
      </w:r>
      <w:r>
        <w:rPr>
          <w:smallCaps/>
        </w:rPr>
        <w:t xml:space="preserve">Samuelson</w:t>
      </w:r>
      <w:r>
        <w:t xml:space="preserve">)</w:t>
      </w:r>
      <w:r>
        <w:t xml:space="preserve"> </w:t>
      </w:r>
      <w:r>
        <w:t xml:space="preserve">(</w:t>
      </w:r>
      <w:hyperlink w:anchor="ref_Balassa1964">
        <w:r>
          <w:rPr>
            <w:rStyle w:val="Hyperlink"/>
            <w:smallCaps/>
          </w:rPr>
          <w:t xml:space="preserve">Balassa</w:t>
        </w:r>
        <w:r>
          <w:rPr>
            <w:rStyle w:val="Hyperlink"/>
          </w:rPr>
          <w:t xml:space="preserve">, 1964</w:t>
        </w:r>
      </w:hyperlink>
      <w:r>
        <w:t xml:space="preserve">;</w:t>
      </w:r>
      <w:r>
        <w:t xml:space="preserve"> </w:t>
      </w:r>
      <w:hyperlink w:anchor="ref_Samuelson1964">
        <w:r>
          <w:rPr>
            <w:rStyle w:val="Hyperlink"/>
            <w:smallCaps/>
          </w:rPr>
          <w:t xml:space="preserve">Samuelson</w:t>
        </w:r>
        <w:r>
          <w:rPr>
            <w:rStyle w:val="Hyperlink"/>
          </w:rPr>
          <w:t xml:space="preserve">, 1964</w:t>
        </w:r>
      </w:hyperlink>
      <w:r>
        <w:t xml:space="preserve">)</w:t>
      </w:r>
      <w:r>
        <w:t xml:space="preserve">; por eso los países ricos tienen niveles de precios más altos. No es una pérdida de competitividad preocupante;</w:t>
      </w:r>
    </w:p>
    <w:p>
      <w:pPr>
        <w:numPr>
          <w:ilvl w:val="1"/>
          <w:numId w:val="1090"/>
        </w:numPr>
      </w:pPr>
      <w:r>
        <w:rPr>
          <w:b/>
          <w:bCs/>
        </w:rPr>
        <w:t xml:space="preserve">exceso de demanda</w:t>
      </w:r>
      <w:r>
        <w:t xml:space="preserve">: si la apreciación viene de no comercializables que se encarecen por un auge del crédito o del gasto, sin ganancias de productividad, sí lo es.</w:t>
      </w:r>
    </w:p>
    <w:p>
      <w:pPr>
        <w:numPr>
          <w:ilvl w:val="0"/>
          <w:numId w:val="1000"/>
        </w:numPr>
      </w:pPr>
      <w:r>
        <w:t xml:space="preserve">Para distinguirlas se mira la productividad (¿crece más que en los socios?) y la demanda interna (¿crece más que el PIB?).</w:t>
      </w:r>
    </w:p>
    <w:bookmarkEnd w:id="193"/>
    <w:bookmarkStart w:id="194" w:name="traspaso_pass_through"/>
    <w:p>
      <w:pPr>
        <w:pStyle w:val="Heading4"/>
      </w:pPr>
      <w:r>
        <w:t xml:space="preserve">Traspaso (</w:t>
      </w:r>
      <w:r>
        <w:rPr>
          <w:i/>
          <w:iCs/>
        </w:rPr>
        <w:t xml:space="preserve">pass-through</w:t>
      </w:r>
      <w:r>
        <w:t xml:space="preserve">)</w:t>
      </w:r>
    </w:p>
    <w:p>
      <w:pPr>
        <w:numPr>
          <w:ilvl w:val="0"/>
          <w:numId w:val="1091"/>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91"/>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91"/>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94"/>
    <w:bookmarkStart w:id="196"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92"/>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92"/>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 Detrás hay 2 efectos de signo contrario: el</w:t>
      </w:r>
      <w:r>
        <w:t xml:space="preserve"> </w:t>
      </w:r>
      <w:r>
        <w:rPr>
          <w:b/>
          <w:bCs/>
        </w:rPr>
        <w:t xml:space="preserve">efecto valor</w:t>
      </w:r>
      <w:r>
        <w:t xml:space="preserve"> </w:t>
      </w:r>
      <w:r>
        <w:t xml:space="preserve">(cada unidad importada cuesta más en moneda nacional, y eso es inmediato) y el</w:t>
      </w:r>
      <w:r>
        <w:t xml:space="preserve"> </w:t>
      </w:r>
      <w:r>
        <w:rPr>
          <w:b/>
          <w:bCs/>
        </w:rPr>
        <w:t xml:space="preserve">efecto volumen</w:t>
      </w:r>
      <w:r>
        <w:t xml:space="preserve"> </w:t>
      </w:r>
      <w:r>
        <w:t xml:space="preserve">(se exporta más y se importa menos, pero tarda, porque hay contratos firmados y cambiar de proveedor lleva tiempo). Al principio domina el primero; con el tiempo, el segundo.</w:t>
      </w:r>
    </w:p>
    <w:p>
      <w:pPr>
        <w:numPr>
          <w:ilvl w:val="0"/>
          <w:numId w:val="1092"/>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95">
        <w:r>
          <w:rPr>
            <w:rStyle w:val="Referenciaatema"/>
          </w:rPr>
          <w:t xml:space="preserve">[ver tema 3.B.12]</w:t>
        </w:r>
      </w:hyperlink>
      <w:r>
        <w:t xml:space="preserve">.</w:t>
      </w:r>
    </w:p>
    <w:bookmarkEnd w:id="196"/>
    <w:bookmarkStart w:id="201" w:name="efectos_de_una_devaluaci__n_para_c_56652"/>
    <w:p>
      <w:pPr>
        <w:pStyle w:val="Heading4"/>
      </w:pPr>
      <w:r>
        <w:t xml:space="preserve">Efectos de una devaluación para corregir el déficit exterior</w:t>
      </w:r>
    </w:p>
    <w:p>
      <w:pPr>
        <w:numPr>
          <w:ilvl w:val="0"/>
          <w:numId w:val="1093"/>
        </w:numPr>
      </w:pPr>
      <w:r>
        <w:rPr>
          <w:i/>
          <w:iCs/>
        </w:rPr>
        <w:t xml:space="preserve">Efecto positivo</w:t>
      </w:r>
      <w:r>
        <w:t xml:space="preserve">: mejora del saldo exterior a medio y largo plazo, si se cumple la condición de</w:t>
      </w:r>
      <w:r>
        <w:t xml:space="preserve"> </w:t>
      </w:r>
      <w:r>
        <w:rPr>
          <w:smallCaps/>
        </w:rPr>
        <w:t xml:space="preserve">Marshall</w:t>
      </w:r>
      <w:r>
        <w:t xml:space="preserve">-</w:t>
      </w:r>
      <w:r>
        <w:rPr>
          <w:smallCaps/>
        </w:rPr>
        <w:t xml:space="preserve">Lerner</w:t>
      </w:r>
      <w:r>
        <w:t xml:space="preserve">.</w:t>
      </w:r>
    </w:p>
    <w:p>
      <w:pPr>
        <w:keepNext/>
        <w:numPr>
          <w:ilvl w:val="0"/>
          <w:numId w:val="1093"/>
        </w:numPr>
      </w:pPr>
      <w:r>
        <w:rPr>
          <w:i/>
          <w:iCs/>
        </w:rPr>
        <w:t xml:space="preserve">Efectos negativos</w:t>
      </w:r>
      <w:r>
        <w:t xml:space="preserve">:</w:t>
      </w:r>
    </w:p>
    <w:p>
      <w:pPr>
        <w:numPr>
          <w:ilvl w:val="1"/>
          <w:numId w:val="1094"/>
        </w:numPr>
      </w:pPr>
      <w:r>
        <w:t xml:space="preserve">empeoramiento a corto plazo (curva J): los precios de las importaciones suben enseguida y las cantidades tardan en ajustarse por los contratos;</w:t>
      </w:r>
    </w:p>
    <w:p>
      <w:pPr>
        <w:numPr>
          <w:ilvl w:val="1"/>
          <w:numId w:val="1094"/>
        </w:numPr>
      </w:pPr>
      <w:r>
        <w:t xml:space="preserve">puede no mejorar ni a medio plazo si se comercia mucho con socios con los que se comparte un tipo fijo (como la unión monetaria), si el traspaso a los precios de exportación es bajo (empresas con poder de mercado o devaluación que se cree temporal) o si la inflación es tan alta que, pese a la depreciación nominal, el tipo de cambio real se aprecia;</w:t>
      </w:r>
    </w:p>
    <w:p>
      <w:pPr>
        <w:numPr>
          <w:ilvl w:val="1"/>
          <w:numId w:val="1094"/>
        </w:numPr>
      </w:pPr>
      <w:r>
        <w:rPr>
          <w:i/>
          <w:iCs/>
        </w:rPr>
        <w:t xml:space="preserve">inflación</w:t>
      </w:r>
      <w:r>
        <w:t xml:space="preserve">: suben los precios de las importaciones, se reduce la competencia exterior y, si los insumos importados se encarecen, suben los costes, los salarios (por indexación o por reivindicación) y de nuevo los precios, lo que puede exigir otra devaluación. El efecto es mayor cuanto más abierta la economía (más peso de los importados y de los comercializables), más flexibles los precios, más indexados los salarios y mayor el exceso de demanda de trabajo</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w:t>
      </w:r>
    </w:p>
    <w:p>
      <w:pPr>
        <w:numPr>
          <w:ilvl w:val="1"/>
          <w:numId w:val="1094"/>
        </w:numPr>
      </w:pPr>
      <w:r>
        <w:t xml:space="preserve">encarece la deuda externa en divisas (el</w:t>
      </w:r>
      <w:r>
        <w:t xml:space="preserve"> </w:t>
      </w:r>
      <w:r>
        <w:rPr>
          <w:i/>
          <w:iCs/>
        </w:rPr>
        <w:t xml:space="preserve">pecado original</w:t>
      </w:r>
      <w:r>
        <w:t xml:space="preserve"> </w:t>
      </w:r>
      <w:r>
        <w:t xml:space="preserve">de muchos emergentes)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4"/>
        </w:numPr>
      </w:pPr>
      <w:r>
        <w:t xml:space="preserve">paro friccional mientras los trabajadores pasan de los sectores que compiten con las importaciones a los exportadores;</w:t>
      </w:r>
    </w:p>
    <w:p>
      <w:pPr>
        <w:numPr>
          <w:ilvl w:val="1"/>
          <w:numId w:val="1094"/>
        </w:numPr>
      </w:pPr>
      <w:r>
        <w:t xml:space="preserve">más o menos empleo según la intensidad factorial: si el país importa bienes de equipo, al encarecerse la maquinaria las empresas sustituyen capital por trabajo.</w:t>
      </w:r>
    </w:p>
    <w:bookmarkStart w:id="200" w:name="fig_esquema_devaluacion"/>
    <w:p>
      <w:pPr>
        <w:pStyle w:val="ImageCaption"/>
      </w:pPr>
      <w:r>
        <w:t xml:space="preserve">Gráfico 17.–</w:t>
      </w:r>
      <w:r>
        <w:t xml:space="preserve"> </w:t>
      </w:r>
      <w:r>
        <w:t xml:space="preserve">Efectos de una devaluación para corregir el déficit exterior</w:t>
      </w:r>
    </w:p>
    <w:p>
      <w:pPr>
        <w:pStyle w:val="CaptionedFigure"/>
      </w:pPr>
      <w:r>
        <w:drawing>
          <wp:inline>
            <wp:extent cx="2660628" cy="2116270"/>
            <wp:effectExtent b="0" l="0" r="0" t="0"/>
            <wp:docPr descr="Gráfico 17.– Efectos de una devaluación para corregir el déficit exterior" title="" id="198" name="Picture"/>
            <a:graphic>
              <a:graphicData uri="http://schemas.openxmlformats.org/drawingml/2006/picture">
                <pic:pic>
                  <pic:nvPicPr>
                    <pic:cNvPr descr="C:\Users\vgutierrez\Documents\src\victorgutierrezmarcos.github.io-revision\oposicion\temario\fuentes\1D01\graficos/esquema-devaluacion.png" id="199" name="Picture"/>
                    <pic:cNvPicPr>
                      <a:picLocks noChangeArrowheads="1" noChangeAspect="1"/>
                    </pic:cNvPicPr>
                  </pic:nvPicPr>
                  <pic:blipFill>
                    <a:blip r:embed="rId197"/>
                    <a:stretch>
                      <a:fillRect/>
                    </a:stretch>
                  </pic:blipFill>
                  <pic:spPr bwMode="auto">
                    <a:xfrm>
                      <a:off x="0" y="0"/>
                      <a:ext cx="2660628" cy="2116270"/>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
        <w:r>
          <w:rPr>
            <w:rStyle w:val="Hyperlink"/>
          </w:rPr>
          <w:t xml:space="preserve">2018</w:t>
        </w:r>
      </w:hyperlink>
      <w:r>
        <w:t xml:space="preserve">)</w:t>
      </w:r>
      <w:r>
        <w:t xml:space="preserve">. Qué hay que ver: un solo efecto positivo, a medio plazo y si se cumple la condición de</w:t>
      </w:r>
      <w:r>
        <w:t xml:space="preserve"> </w:t>
      </w:r>
      <w:r>
        <w:rPr>
          <w:smallCaps/>
        </w:rPr>
        <w:t xml:space="preserve">Marshall</w:t>
      </w:r>
      <w:r>
        <w:t xml:space="preserve">-</w:t>
      </w:r>
      <w:r>
        <w:rPr>
          <w:smallCaps/>
        </w:rPr>
        <w:t xml:space="preserve">Lerner</w:t>
      </w:r>
      <w:r>
        <w:t xml:space="preserve">, frente a 6 costes o riesgos; por eso una devaluación nunca se recomienda sola.</w:t>
      </w:r>
    </w:p>
    <w:bookmarkEnd w:id="201"/>
    <w:bookmarkStart w:id="203" w:name="r__gimen_cambiario_e_intervenci__n"/>
    <w:p>
      <w:pPr>
        <w:pStyle w:val="Heading4"/>
      </w:pPr>
      <w:r>
        <w:t xml:space="preserve">Régimen cambiario e intervención</w:t>
      </w:r>
    </w:p>
    <w:p>
      <w:pPr>
        <w:numPr>
          <w:ilvl w:val="0"/>
          <w:numId w:val="1095"/>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202">
        <w:r>
          <w:rPr>
            <w:rStyle w:val="Referenciaatema"/>
          </w:rPr>
          <w:t xml:space="preserve">[ver tema 3.B.15]</w:t>
        </w:r>
      </w:hyperlink>
      <w:r>
        <w:t xml:space="preserve">.</w:t>
      </w:r>
    </w:p>
    <w:p>
      <w:pPr>
        <w:numPr>
          <w:ilvl w:val="0"/>
          <w:numId w:val="1095"/>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95"/>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p>
      <w:pPr>
        <w:numPr>
          <w:ilvl w:val="0"/>
          <w:numId w:val="1095"/>
        </w:numPr>
      </w:pPr>
      <w:r>
        <w:rPr>
          <w:i/>
          <w:iCs/>
        </w:rPr>
        <w:t xml:space="preserve">Un tipo fijo como ancla contra la inflación</w:t>
      </w:r>
      <w:r>
        <w:t xml:space="preserve">: fijar el tipo de cambio ayuda a bajar una inflación alta, pero si la inflación converge despacio a la de los socios, el tipo real se aprecia mes a mes, la competitividad se pierde y la cuenta corriente empeora; es el origen de muchas crisis cambiarias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w:t>
      </w:r>
    </w:p>
    <w:p>
      <w:pPr>
        <w:numPr>
          <w:ilvl w:val="0"/>
          <w:numId w:val="1095"/>
        </w:numPr>
      </w:pPr>
      <w:r>
        <w:rPr>
          <w:i/>
          <w:iCs/>
        </w:rPr>
        <w:t xml:space="preserve">Defender un tipo fijo ante un ataque</w:t>
      </w:r>
      <w:r>
        <w:t xml:space="preserve">: subir los tipos de interés (encarece la deuda y deprime la actividad, y daña mucho si hay hipotecas a tipo variable, deuda a corto o bancos débiles), gastar reservas (se agotan) o, en último extremo, controlar las salidas de capital. Si el tipo fijo cae, lo urgente es anclar las expectativas con una política monetaria creíble.</w:t>
      </w:r>
    </w:p>
    <w:p>
      <w:pPr>
        <w:keepNext/>
        <w:numPr>
          <w:ilvl w:val="0"/>
          <w:numId w:val="1095"/>
        </w:numPr>
      </w:pPr>
      <w:r>
        <w:rPr>
          <w:i/>
          <w:iCs/>
        </w:rPr>
        <w:t xml:space="preserve">Qué hacer ante una oleada de entradas de capital</w:t>
      </w:r>
      <w:r>
        <w:t xml:space="preserve"> </w:t>
      </w:r>
      <w:r>
        <w:t xml:space="preserve">(que aprecian la moneda y alimentan el crédito):</w:t>
      </w:r>
    </w:p>
    <w:p>
      <w:pPr>
        <w:numPr>
          <w:ilvl w:val="1"/>
          <w:numId w:val="1096"/>
        </w:numPr>
      </w:pPr>
      <w:r>
        <w:rPr>
          <w:b/>
          <w:bCs/>
        </w:rPr>
        <w:t xml:space="preserve">dejar que se aprecie</w:t>
      </w:r>
      <w:r>
        <w:t xml:space="preserve"> </w:t>
      </w:r>
      <w:r>
        <w:t xml:space="preserve">la moneda, si no está ya sobrevalorada;</w:t>
      </w:r>
    </w:p>
    <w:p>
      <w:pPr>
        <w:numPr>
          <w:ilvl w:val="1"/>
          <w:numId w:val="1096"/>
        </w:numPr>
      </w:pPr>
      <w:r>
        <w:rPr>
          <w:b/>
          <w:bCs/>
        </w:rPr>
        <w:t xml:space="preserve">intervenir y esterilizar</w:t>
      </w:r>
      <w:r>
        <w:t xml:space="preserve">: frena la apreciación, pero solo por un tiempo: mantiene altos los tipos que atraen más capital y tiene un</w:t>
      </w:r>
      <w:r>
        <w:t xml:space="preserve"> </w:t>
      </w:r>
      <w:r>
        <w:rPr>
          <w:i/>
          <w:iCs/>
        </w:rPr>
        <w:t xml:space="preserve">coste cuasi fiscal</w:t>
      </w:r>
      <w:r>
        <w:t xml:space="preserve">, porque el banco central paga por los bonos que vende más de lo que rinden las reservas que compra</w:t>
      </w:r>
      <w:r>
        <w:t xml:space="preserve"> </w:t>
      </w:r>
      <w:r>
        <w:t xml:space="preserve">(</w:t>
      </w:r>
      <w:hyperlink w:anchor="ref_Calvo1991Esterilizacion">
        <w:r>
          <w:rPr>
            <w:rStyle w:val="Hyperlink"/>
            <w:smallCaps/>
          </w:rPr>
          <w:t xml:space="preserve">Calvo</w:t>
        </w:r>
        <w:r>
          <w:rPr>
            <w:rStyle w:val="Hyperlink"/>
          </w:rPr>
          <w:t xml:space="preserve">, 1991</w:t>
        </w:r>
      </w:hyperlink>
      <w:r>
        <w:t xml:space="preserve">)</w:t>
      </w:r>
      <w:r>
        <w:t xml:space="preserve">;</w:t>
      </w:r>
    </w:p>
    <w:p>
      <w:pPr>
        <w:numPr>
          <w:ilvl w:val="1"/>
          <w:numId w:val="1096"/>
        </w:numPr>
      </w:pPr>
      <w:r>
        <w:t xml:space="preserve">una</w:t>
      </w:r>
      <w:r>
        <w:t xml:space="preserve"> </w:t>
      </w:r>
      <w:r>
        <w:rPr>
          <w:b/>
          <w:bCs/>
        </w:rPr>
        <w:t xml:space="preserve">política fiscal más restrictiva</w:t>
      </w:r>
      <w:r>
        <w:t xml:space="preserve">, que enfría la demanda sin subir los tipos;</w:t>
      </w:r>
    </w:p>
    <w:p>
      <w:pPr>
        <w:numPr>
          <w:ilvl w:val="1"/>
          <w:numId w:val="1096"/>
        </w:numPr>
      </w:pPr>
      <w:r>
        <w:t xml:space="preserve">como último recurso, temporal y excepcional,</w:t>
      </w:r>
      <w:r>
        <w:t xml:space="preserve"> </w:t>
      </w:r>
      <w:r>
        <w:rPr>
          <w:b/>
          <w:bCs/>
        </w:rPr>
        <w:t xml:space="preserve">controles a la entrada</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203"/>
    <w:bookmarkEnd w:id="204"/>
    <w:bookmarkStart w:id="207" w:name="sec_no_precio"/>
    <w:p>
      <w:pPr>
        <w:pStyle w:val="Heading2"/>
      </w:pPr>
      <w:r>
        <w:t xml:space="preserve">III.3.</w:t>
      </w:r>
      <w:r>
        <w:t xml:space="preserve"> </w:t>
      </w:r>
      <w:r>
        <w:t xml:space="preserve">Competitividad no precio y política comercial</w:t>
      </w:r>
    </w:p>
    <w:p>
      <w:pPr>
        <w:numPr>
          <w:ilvl w:val="0"/>
          <w:numId w:val="1097"/>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97"/>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97"/>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97"/>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97"/>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205">
        <w:r>
          <w:rPr>
            <w:rStyle w:val="Referenciaatema"/>
          </w:rPr>
          <w:t xml:space="preserve">[ver tema 3.B.6]</w:t>
        </w:r>
      </w:hyperlink>
      <w:r>
        <w:t xml:space="preserve"> </w:t>
      </w:r>
      <w:hyperlink r:id="rId140">
        <w:r>
          <w:rPr>
            <w:rStyle w:val="Referenciaatema"/>
          </w:rPr>
          <w:t xml:space="preserve">[ver tema 4.A.22]</w:t>
        </w:r>
      </w:hyperlink>
      <w:r>
        <w:t xml:space="preserve">.</w:t>
      </w:r>
    </w:p>
    <w:bookmarkStart w:id="206" w:name="aranceles_y_fragmentaci__n_del_comercio"/>
    <w:p>
      <w:pPr>
        <w:pStyle w:val="Heading4"/>
      </w:pPr>
      <w:r>
        <w:t xml:space="preserve">Aranceles y fragmentación del comercio</w:t>
      </w:r>
    </w:p>
    <w:p>
      <w:pPr>
        <w:numPr>
          <w:ilvl w:val="0"/>
          <w:numId w:val="1098"/>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B</w:t>
        </w:r>
      </w:hyperlink>
      <w:r>
        <w:t xml:space="preserve">.</w:t>
      </w:r>
    </w:p>
    <w:p>
      <w:pPr>
        <w:numPr>
          <w:ilvl w:val="0"/>
          <w:numId w:val="1099"/>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206"/>
    <w:bookmarkEnd w:id="207"/>
    <w:bookmarkEnd w:id="208"/>
    <w:bookmarkStart w:id="238" w:name="sec_exterior"/>
    <w:p>
      <w:pPr>
        <w:pStyle w:val="Heading1"/>
      </w:pPr>
      <w:r>
        <w:t xml:space="preserve">IV.</w:t>
      </w:r>
      <w:r>
        <w:t xml:space="preserve"> </w:t>
      </w:r>
      <w:r>
        <w:t xml:space="preserve">Sector exterior</w:t>
      </w:r>
    </w:p>
    <w:p>
      <w:pPr>
        <w:numPr>
          <w:ilvl w:val="0"/>
          <w:numId w:val="1100"/>
        </w:numPr>
      </w:pPr>
      <w:r>
        <w:t xml:space="preserve">La conclusión por adelantado: el sector exterior se analiza en 4 preguntas encadenadas: ¿hay capacidad o necesidad de financiación y por qué?, ¿cómo se financia?, ¿qué posición acumula el país frente al exterior? y ¿es sostenible?</w:t>
      </w:r>
      <w:r>
        <w:t xml:space="preserve"> </w:t>
      </w:r>
      <w:r>
        <w:rPr>
          <w:u w:val="single"/>
        </w:rPr>
        <w:t xml:space="preserve">Ser deudor no es malo en sí: lo que importa es la sostenibilidad</w:t>
      </w:r>
      <w:r>
        <w:t xml:space="preserve"> </w:t>
      </w:r>
      <w:r>
        <w:t xml:space="preserve">(enfoque intertemporal,</w:t>
      </w:r>
      <w:r>
        <w:t xml:space="preserve"> </w:t>
      </w:r>
      <w:hyperlink r:id="rId195">
        <w:r>
          <w:rPr>
            <w:rStyle w:val="Referenciaatema"/>
          </w:rPr>
          <w:t xml:space="preserve">[ver tema 3.B.12]</w:t>
        </w:r>
      </w:hyperlink>
      <w:r>
        <w:t xml:space="preserve">).</w:t>
      </w:r>
    </w:p>
    <w:p>
      <w:pPr>
        <w:numPr>
          <w:ilvl w:val="0"/>
          <w:numId w:val="1100"/>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220" w:name="sec_cuenta_corriente"/>
    <w:p>
      <w:pPr>
        <w:pStyle w:val="Heading2"/>
      </w:pPr>
      <w:r>
        <w:t xml:space="preserve">IV.1.</w:t>
      </w:r>
      <w:r>
        <w:t xml:space="preserve"> </w:t>
      </w:r>
      <w:r>
        <w:t xml:space="preserve">Capacidad o necesidad de financiación</w:t>
      </w:r>
    </w:p>
    <w:bookmarkStart w:id="211" w:name="la_balanza_de_pagos"/>
    <w:p>
      <w:pPr>
        <w:pStyle w:val="Heading4"/>
      </w:pPr>
      <w:r>
        <w:t xml:space="preserve">La balanza de pagos</w:t>
      </w:r>
    </w:p>
    <w:p>
      <w:pPr>
        <w:numPr>
          <w:ilvl w:val="0"/>
          <w:numId w:val="1101"/>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101"/>
        </w:numPr>
      </w:pPr>
      <w:r>
        <w:rPr>
          <w:i/>
          <w:iCs/>
        </w:rPr>
        <w:t xml:space="preserve">La identidad, desarrollada</w:t>
      </w:r>
      <w:r>
        <w:t xml:space="preserve"> </w:t>
      </w:r>
      <w:r>
        <w:t xml:space="preserve">(MBP6,</w:t>
      </w:r>
      <w:r>
        <w:t xml:space="preserve"> </w:t>
      </w:r>
      <w:hyperlink r:id="rId58">
        <w:r>
          <w:rPr>
            <w:rStyle w:val="Referenciaatema"/>
          </w:rPr>
          <w:t xml:space="preserve">[ver tema 3.B.11]</w:t>
        </w:r>
      </w:hyperlink>
      <w:r>
        <w:t xml:space="preserve">):</w:t>
      </w:r>
      <w:r>
        <w:rPr>
          <w:rStyle w:val="FootnoteReference"/>
        </w:rPr>
        <w:footnoteReference w:id="209"/>
      </w:r>
    </w:p>
    <w:bookmarkStart w:id="210" w:name="eq_identidad_bp"/>
    <w:bookmarkEnd w:id="210"/>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101"/>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101"/>
        </w:numPr>
      </w:pPr>
      <w:r>
        <w:rPr>
          <w:i/>
          <w:iCs/>
        </w:rPr>
        <w:t xml:space="preserve">Por subcuentas</w:t>
      </w:r>
      <w:r>
        <w:t xml:space="preserve">:</w:t>
      </w:r>
    </w:p>
    <w:p>
      <w:pPr>
        <w:numPr>
          <w:ilvl w:val="1"/>
          <w:numId w:val="1102"/>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102"/>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102"/>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102"/>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B</w:t>
        </w:r>
      </w:hyperlink>
      <w:r>
        <w:t xml:space="preserve">.</w:t>
      </w:r>
    </w:p>
    <w:p>
      <w:pPr>
        <w:numPr>
          <w:ilvl w:val="0"/>
          <w:numId w:val="1101"/>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211"/>
    <w:bookmarkStart w:id="214" w:name="apertura_penetraci__n_de_importaci_32273"/>
    <w:p>
      <w:pPr>
        <w:pStyle w:val="Heading4"/>
      </w:pPr>
      <w:r>
        <w:t xml:space="preserve">Apertura, penetración de importaciones y relación real de intercambio</w:t>
      </w:r>
    </w:p>
    <w:p>
      <w:pPr>
        <w:numPr>
          <w:ilvl w:val="0"/>
          <w:numId w:val="1103"/>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212">
        <w:r>
          <w:rPr>
            <w:rStyle w:val="Referenciaatema"/>
          </w:rPr>
          <w:t xml:space="preserve">[ver tema 3.B.9]</w:t>
        </w:r>
      </w:hyperlink>
      <w:r>
        <w:t xml:space="preserve">.</w:t>
      </w:r>
    </w:p>
    <w:p>
      <w:pPr>
        <w:numPr>
          <w:ilvl w:val="0"/>
          <w:numId w:val="1103"/>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103"/>
        </w:numPr>
      </w:pPr>
      <w:r>
        <w:rPr>
          <w:i/>
          <w:iCs/>
        </w:rPr>
        <w:t xml:space="preserve">Tasa de cobertura</w:t>
      </w:r>
      <w:r>
        <w:t xml:space="preserve">,</w:t>
      </w:r>
      <w:r>
        <w:t xml:space="preserve"> </w:t>
      </w:r>
      <m:oMath>
        <m:r>
          <m:t>X</m:t>
        </m:r>
        <m:r>
          <m:rPr>
            <m:sty m:val="p"/>
          </m:rPr>
          <m:t>/</m:t>
        </m:r>
        <m:r>
          <m:t>M</m:t>
        </m:r>
      </m:oMath>
      <w:r>
        <w:t xml:space="preserve"> </w:t>
      </w:r>
      <w:r>
        <w:t xml:space="preserve">(en porcentaje): por encima de 100, las exportaciones cubren las importaciones. Conviene ver también si las subcuentas se compensan entre sí y si hay aranceles o libre comercio.</w:t>
      </w:r>
    </w:p>
    <w:p>
      <w:pPr>
        <w:numPr>
          <w:ilvl w:val="0"/>
          <w:numId w:val="1103"/>
        </w:numPr>
      </w:pPr>
      <w:r>
        <w:rPr>
          <w:i/>
          <w:iCs/>
        </w:rPr>
        <w:t xml:space="preserve">Comercio inter e intraindustrial</w:t>
      </w:r>
      <w:r>
        <w:t xml:space="preserve">: el interindustrial intercambia productos de sectores distintos; el intraindustrial, del mismo sector. Más comercio intraindustrial suele indicar productos de valor añadido medio o alto y diferenciados; se mide con el índice de</w:t>
      </w:r>
      <w:r>
        <w:t xml:space="preserve"> </w:t>
      </w:r>
      <w:r>
        <w:rPr>
          <w:smallCaps/>
        </w:rPr>
        <w:t xml:space="preserve">Grubel</w:t>
      </w:r>
      <w:r>
        <w:t xml:space="preserve"> </w:t>
      </w:r>
      <w:r>
        <w:t xml:space="preserve">y</w:t>
      </w:r>
      <w:r>
        <w:t xml:space="preserve"> </w:t>
      </w:r>
      <w:r>
        <w:rPr>
          <w:smallCaps/>
        </w:rPr>
        <w:t xml:space="preserve">Lloyd</w:t>
      </w:r>
      <w:r>
        <w:t xml:space="preserve">,</w:t>
      </w:r>
      <w:r>
        <w:t xml:space="preserve"> </w:t>
      </w:r>
      <m:oMath>
        <m:r>
          <m:t>1</m:t>
        </m:r>
        <m:r>
          <m:rPr>
            <m:sty m:val="p"/>
          </m:rPr>
          <m:t>−</m:t>
        </m:r>
        <m:d>
          <m:dPr>
            <m:begChr m:val="|"/>
            <m:sepChr m:val=""/>
            <m:endChr m:val="|"/>
            <m:grow/>
          </m:dPr>
          <m:e>
            <m:sSub>
              <m:e>
                <m:r>
                  <m:t>X</m:t>
                </m:r>
              </m:e>
              <m:sub>
                <m:r>
                  <m:t>i</m:t>
                </m:r>
              </m:sub>
            </m:sSub>
            <m:r>
              <m:rPr>
                <m:sty m:val="p"/>
              </m:rPr>
              <m:t>−</m:t>
            </m:r>
            <m:sSub>
              <m:e>
                <m:r>
                  <m:t>M</m:t>
                </m:r>
              </m:e>
              <m:sub>
                <m:r>
                  <m:t>i</m:t>
                </m:r>
              </m:sub>
            </m:sSub>
          </m:e>
        </m:d>
        <m:r>
          <m:rPr>
            <m:sty m:val="p"/>
          </m:rPr>
          <m:t>/</m:t>
        </m:r>
        <m:d>
          <m:dPr>
            <m:begChr m:val="("/>
            <m:sepChr m:val=""/>
            <m:endChr m:val=")"/>
            <m:grow/>
          </m:dPr>
          <m:e>
            <m:sSub>
              <m:e>
                <m:r>
                  <m:t>X</m:t>
                </m:r>
              </m:e>
              <m:sub>
                <m:r>
                  <m:t>i</m:t>
                </m:r>
              </m:sub>
            </m:sSub>
            <m:r>
              <m:rPr>
                <m:sty m:val="p"/>
              </m:rPr>
              <m:t>+</m:t>
            </m:r>
            <m:sSub>
              <m:e>
                <m:r>
                  <m:t>M</m:t>
                </m:r>
              </m:e>
              <m:sub>
                <m:r>
                  <m:t>i</m:t>
                </m:r>
              </m:sub>
            </m:sSub>
          </m:e>
        </m:d>
      </m:oMath>
      <w:r>
        <w:t xml:space="preserve"> </w:t>
      </w:r>
      <w:r>
        <w:t xml:space="preserve">(</w:t>
      </w:r>
      <w:hyperlink w:anchor="ref_GrubelLloyd1975">
        <w:r>
          <w:rPr>
            <w:rStyle w:val="Hyperlink"/>
            <w:smallCaps/>
          </w:rPr>
          <w:t xml:space="preserve">Grubel</w:t>
        </w:r>
        <w:r>
          <w:rPr>
            <w:rStyle w:val="Hyperlink"/>
          </w:rPr>
          <w:t xml:space="preserve"> </w:t>
        </w:r>
        <w:r>
          <w:rPr>
            <w:rStyle w:val="Hyperlink"/>
          </w:rPr>
          <w:t xml:space="preserve">y</w:t>
        </w:r>
        <w:r>
          <w:rPr>
            <w:rStyle w:val="Hyperlink"/>
          </w:rPr>
          <w:t xml:space="preserve"> </w:t>
        </w:r>
        <w:r>
          <w:rPr>
            <w:rStyle w:val="Hyperlink"/>
            <w:smallCaps/>
          </w:rPr>
          <w:t xml:space="preserve">Lloyd</w:t>
        </w:r>
        <w:r>
          <w:rPr>
            <w:rStyle w:val="Hyperlink"/>
          </w:rPr>
          <w:t xml:space="preserve">, 1975</w:t>
        </w:r>
      </w:hyperlink>
      <w:r>
        <w:t xml:space="preserve">)</w:t>
      </w:r>
      <w:r>
        <w:t xml:space="preserve"> </w:t>
      </w:r>
      <w:hyperlink r:id="rId213">
        <w:r>
          <w:rPr>
            <w:rStyle w:val="Referenciaatema"/>
          </w:rPr>
          <w:t xml:space="preserve">[ver tema 3.B.5]</w:t>
        </w:r>
      </w:hyperlink>
      <w:r>
        <w:t xml:space="preserve">.</w:t>
      </w:r>
    </w:p>
    <w:p>
      <w:pPr>
        <w:numPr>
          <w:ilvl w:val="0"/>
          <w:numId w:val="1103"/>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213">
        <w:r>
          <w:rPr>
            <w:rStyle w:val="Referenciaatema"/>
          </w:rPr>
          <w:t xml:space="preserve">[ver tema 3.B.5]</w:t>
        </w:r>
      </w:hyperlink>
      <w:r>
        <w:t xml:space="preserve">.</w:t>
      </w:r>
    </w:p>
    <w:bookmarkEnd w:id="214"/>
    <w:bookmarkStart w:id="215" w:name="exportaciones_e_importaciones_dete_61269"/>
    <w:p>
      <w:pPr>
        <w:pStyle w:val="Heading4"/>
      </w:pPr>
      <w:r>
        <w:t xml:space="preserve">Exportaciones e importaciones: determinantes</w:t>
      </w:r>
    </w:p>
    <w:p>
      <w:pPr>
        <w:numPr>
          <w:ilvl w:val="0"/>
          <w:numId w:val="1104"/>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104"/>
        </w:numPr>
      </w:pPr>
      <w:r>
        <w:rPr>
          <w:i/>
          <w:iCs/>
        </w:rPr>
        <w:t xml:space="preserve">Importaciones</w:t>
      </w:r>
      <w:r>
        <w:t xml:space="preserve">: dependen positivamente de la renta nacional</w:t>
      </w:r>
      <w:r>
        <w:t xml:space="preserve"> </w:t>
      </w:r>
      <m:oMath>
        <m:r>
          <m:t>Y</m:t>
        </m:r>
      </m:oMath>
      <w:r>
        <w:t xml:space="preserve"> </w:t>
      </w:r>
      <w:r>
        <w:t xml:space="preserve">(son procíclicas, por su alta elasticidad-renta) y negativamente de la competitividad-precio y no precio de la producción nacional; y de rasgos estructurales, como la dependencia energética o tecnológica.</w:t>
      </w:r>
    </w:p>
    <w:p>
      <w:pPr>
        <w:keepNext/>
        <w:numPr>
          <w:ilvl w:val="0"/>
          <w:numId w:val="1104"/>
        </w:numPr>
      </w:pPr>
      <w:r>
        <w:rPr>
          <w:i/>
          <w:iCs/>
        </w:rPr>
        <w:t xml:space="preserve">Más allá de la demanda</w:t>
      </w:r>
      <w:r>
        <w:t xml:space="preserve">:</w:t>
      </w:r>
    </w:p>
    <w:p>
      <w:pPr>
        <w:numPr>
          <w:ilvl w:val="1"/>
          <w:numId w:val="1105"/>
        </w:numPr>
      </w:pPr>
      <w:r>
        <w:t xml:space="preserve">la</w:t>
      </w:r>
      <w:r>
        <w:t xml:space="preserve"> </w:t>
      </w:r>
      <w:r>
        <w:rPr>
          <w:b/>
          <w:bCs/>
        </w:rPr>
        <w:t xml:space="preserve">oferta exportadora</w:t>
      </w:r>
      <w:r>
        <w:t xml:space="preserve"> </w:t>
      </w:r>
      <w:r>
        <w:t xml:space="preserve">también cuenta: capacidad productiva, crédito para financiar la exportación y el propio ciclo (con la economía al límite, hay menos para vender fuera);</w:t>
      </w:r>
    </w:p>
    <w:p>
      <w:pPr>
        <w:numPr>
          <w:ilvl w:val="1"/>
          <w:numId w:val="1105"/>
        </w:numPr>
      </w:pPr>
      <w:r>
        <w:t xml:space="preserve">¿el país</w:t>
      </w:r>
      <w:r>
        <w:t xml:space="preserve"> </w:t>
      </w:r>
      <w:r>
        <w:rPr>
          <w:b/>
          <w:bCs/>
        </w:rPr>
        <w:t xml:space="preserve">fija sus precios</w:t>
      </w:r>
      <w:r>
        <w:t xml:space="preserve"> </w:t>
      </w:r>
      <w:r>
        <w:t xml:space="preserve">o los acepta (materias primas)?, ¿está</w:t>
      </w:r>
      <w:r>
        <w:t xml:space="preserve"> </w:t>
      </w:r>
      <w:r>
        <w:rPr>
          <w:b/>
          <w:bCs/>
        </w:rPr>
        <w:t xml:space="preserve">diversificada</w:t>
      </w:r>
      <w:r>
        <w:t xml:space="preserve"> </w:t>
      </w:r>
      <w:r>
        <w:t xml:space="preserve">su base exportadora?, ¿son</w:t>
      </w:r>
      <w:r>
        <w:t xml:space="preserve"> </w:t>
      </w:r>
      <w:r>
        <w:rPr>
          <w:b/>
          <w:bCs/>
        </w:rPr>
        <w:t xml:space="preserve">volátiles</w:t>
      </w:r>
      <w:r>
        <w:t xml:space="preserve"> </w:t>
      </w:r>
      <w:r>
        <w:t xml:space="preserve">sus precios de exportación e importación? Un exportador de pocas materias primas, precio-aceptante, sufre choques de relación real de intercambio grandes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numPr>
          <w:ilvl w:val="1"/>
          <w:numId w:val="1105"/>
        </w:numPr>
      </w:pPr>
      <w:r>
        <w:t xml:space="preserve">el</w:t>
      </w:r>
      <w:r>
        <w:t xml:space="preserve"> </w:t>
      </w:r>
      <w:r>
        <w:rPr>
          <w:b/>
          <w:bCs/>
        </w:rPr>
        <w:t xml:space="preserve">contenido importado de las exportaciones</w:t>
      </w:r>
      <w:r>
        <w:t xml:space="preserve">: en las cadenas de valor, exportar más obliga a importar más insumos, así que exportaciones e importaciones suben juntas y el saldo mejora menos de lo que sugieren las exportaciones</w:t>
      </w:r>
      <w:r>
        <w:t xml:space="preserve"> </w:t>
      </w:r>
      <w:r>
        <w:t xml:space="preserve">(</w:t>
      </w:r>
      <w:hyperlink w:anchor="ref_OCDE2023TiVA">
        <w:r>
          <w:rPr>
            <w:rStyle w:val="Hyperlink"/>
            <w:smallCaps/>
          </w:rPr>
          <w:t xml:space="preserve">OCDE</w:t>
        </w:r>
        <w:r>
          <w:rPr>
            <w:rStyle w:val="Hyperlink"/>
          </w:rPr>
          <w:t xml:space="preserve">, 2023</w:t>
        </w:r>
      </w:hyperlink>
      <w:r>
        <w:t xml:space="preserve">)</w:t>
      </w:r>
      <w:r>
        <w:t xml:space="preserve">;</w:t>
      </w:r>
    </w:p>
    <w:p>
      <w:pPr>
        <w:numPr>
          <w:ilvl w:val="1"/>
          <w:numId w:val="1105"/>
        </w:numPr>
      </w:pPr>
      <w:r>
        <w:t xml:space="preserve">los</w:t>
      </w:r>
      <w:r>
        <w:t xml:space="preserve"> </w:t>
      </w:r>
      <w:r>
        <w:rPr>
          <w:b/>
          <w:bCs/>
        </w:rPr>
        <w:t xml:space="preserve">aranceles</w:t>
      </w:r>
      <w:r>
        <w:t xml:space="preserve"> </w:t>
      </w:r>
      <w:r>
        <w:t xml:space="preserve">propios y de los socios, que encarecen el comercio (anexo </w:t>
      </w:r>
      <w:hyperlink w:anchor="anexo_casos">
        <w:r>
          <w:rPr>
            <w:rStyle w:val="Hyperlink"/>
          </w:rPr>
          <w:t xml:space="preserve">B</w:t>
        </w:r>
      </w:hyperlink>
      <w:r>
        <w:t xml:space="preserve">).</w:t>
      </w:r>
    </w:p>
    <w:p>
      <w:pPr>
        <w:numPr>
          <w:ilvl w:val="0"/>
          <w:numId w:val="1104"/>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B.2.1</w:t>
        </w:r>
      </w:hyperlink>
      <w:r>
        <w:t xml:space="preserve">.</w:t>
      </w:r>
    </w:p>
    <w:bookmarkEnd w:id="215"/>
    <w:bookmarkStart w:id="218" w:name="ahorro_inversi__n_y_saldos_sectoriales"/>
    <w:p>
      <w:pPr>
        <w:pStyle w:val="Heading4"/>
      </w:pPr>
      <w:r>
        <w:t xml:space="preserve">Ahorro, inversión y saldos sectoriales</w:t>
      </w:r>
    </w:p>
    <w:p>
      <w:pPr>
        <w:numPr>
          <w:ilvl w:val="0"/>
          <w:numId w:val="1106"/>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w:t>
      </w:r>
      <w:r>
        <w:t xml:space="preserve"> </w:t>
      </w:r>
      <w:r>
        <w:rPr>
          <w:u w:val="single"/>
        </w:rPr>
        <w:t xml:space="preserve">un déficit corriente es un exceso de inversión sobre el ahorro nacional</w:t>
      </w:r>
      <w:r>
        <w:t xml:space="preserve">.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106"/>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numPr>
          <w:ilvl w:val="0"/>
          <w:numId w:val="1106"/>
        </w:numPr>
      </w:pPr>
      <w:r>
        <w:rPr>
          <w:i/>
          <w:iCs/>
        </w:rPr>
        <w:t xml:space="preserve">Un mismo déficit, 3 historias</w:t>
      </w:r>
      <w:r>
        <w:t xml:space="preserve">: el mismo saldo corriente puede salir de combinaciones muy distintas de los saldos público y privado, y la política depende de cuál sea (tabla </w:t>
      </w:r>
      <w:hyperlink w:anchor="tab_saldos_sectoriales">
        <w:r>
          <w:rPr>
            <w:rStyle w:val="Hyperlink"/>
          </w:rPr>
          <w:t xml:space="preserve">3</w:t>
        </w:r>
      </w:hyperlink>
      <w:r>
        <w:t xml:space="preserve">).</w:t>
      </w:r>
    </w:p>
    <w:bookmarkStart w:id="216" w:name="tab_saldos_sectoriales"/>
    <w:p>
      <w:pPr>
        <w:pStyle w:val="TableCaption"/>
      </w:pPr>
      <w:r>
        <w:t xml:space="preserve">Tabla 3.–</w:t>
      </w:r>
      <w:r>
        <w:t xml:space="preserve"> </w:t>
      </w:r>
      <w:r>
        <w:t xml:space="preserve">Un déficit corriente del 4 % del PIB, 3 combinaciones de saldos sectoriales</w:t>
      </w:r>
    </w:p>
    <w:tbl>
      <w:tblPr>
        <w:tblStyle w:val="Table"/>
        <w:tblW w:type="auto" w:w="0"/>
        <w:tblLook w:firstRow="1" w:lastRow="0" w:firstColumn="0" w:lastColumn="0" w:noHBand="0" w:noVBand="0" w:val="0020"/>
        <w:tblCaption w:val="Tabla 3.– Un déficit corriente del 4 % del PIB, 3 combinaciones de saldos sectorial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Saldo público</w:t>
            </w:r>
            <w:r>
              <w:t xml:space="preserve"> </w:t>
            </w:r>
            <m:oMath>
              <m:r>
                <m:t>T</m:t>
              </m:r>
              <m:r>
                <m:rPr>
                  <m:sty m:val="p"/>
                </m:rPr>
                <m:t>−</m:t>
              </m:r>
              <m:r>
                <m:t>G</m:t>
              </m:r>
            </m:oMath>
          </w:p>
        </w:tc>
        <w:tc>
          <w:tcPr>
            <w:shd w:val="clear" w:color="auto" w:fill="DDEBF7"/>
            <w:vAlign w:val="center"/>
          </w:tcPr>
          <w:p>
            <w:pPr>
              <w:pStyle w:val="Celdatceeazulpalido"/>
              <w:keepNext/>
              <w:jc w:val="center"/>
            </w:pPr>
            <w:r>
              <w:rPr>
                <w:b/>
                <w:bCs/>
              </w:rPr>
              <w:t xml:space="preserve">Saldo privado</w:t>
            </w:r>
            <w:r>
              <w:t xml:space="preserve"> </w:t>
            </w:r>
            <m:oMath>
              <m:sSub>
                <m:e>
                  <m:r>
                    <m:t>S</m:t>
                  </m:r>
                </m:e>
                <m:sub>
                  <m:r>
                    <m:t>P</m:t>
                  </m:r>
                </m:sub>
              </m:sSub>
              <m:r>
                <m:rPr>
                  <m:sty m:val="p"/>
                </m:rPr>
                <m:t>−</m:t>
              </m:r>
              <m:sSub>
                <m:e>
                  <m:r>
                    <m:t>I</m:t>
                  </m:r>
                </m:e>
                <m:sub>
                  <m:r>
                    <m:t>P</m:t>
                  </m:r>
                </m:sub>
              </m:sSub>
            </m:oMath>
          </w:p>
        </w:tc>
        <w:tc>
          <w:tcPr>
            <w:shd w:val="clear" w:color="auto" w:fill="DDEBF7"/>
            <w:vAlign w:val="center"/>
          </w:tcPr>
          <w:p>
            <w:pPr>
              <w:pStyle w:val="Celdatceeazulpalido"/>
              <w:keepNext/>
              <w:jc w:val="left"/>
            </w:pPr>
            <w:r>
              <w:rPr>
                <w:b/>
                <w:bCs/>
              </w:rPr>
              <w:t xml:space="preserve">Qué ocurre</w:t>
            </w:r>
          </w:p>
        </w:tc>
        <w:tc>
          <w:tcPr>
            <w:shd w:val="clear" w:color="auto" w:fill="DDEBF7"/>
            <w:vAlign w:val="center"/>
          </w:tcPr>
          <w:p>
            <w:pPr>
              <w:pStyle w:val="Celdatceeazulpalido"/>
              <w:keepNext/>
              <w:jc w:val="left"/>
            </w:pPr>
            <w:r>
              <w:rPr>
                <w:b/>
                <w:bCs/>
              </w:rPr>
              <w:t xml:space="preserve">Qué política</w:t>
            </w:r>
          </w:p>
        </w:tc>
      </w:tr>
      <w:tr>
        <w:trPr>
          <w:cantSplit/>
        </w:trPr>
        <w:tc>
          <w:tcPr>
            <w:shd w:val="clear" w:color="auto" w:fill="FBE4D5"/>
            <w:vAlign w:val="center"/>
          </w:tcPr>
          <w:p>
            <w:pPr>
              <w:pStyle w:val="Celdatceesalmon"/>
              <w:jc w:val="center"/>
            </w:pPr>
            <m:oMath>
              <m:r>
                <m:rPr>
                  <m:sty m:val="p"/>
                </m:rPr>
                <m:t>−</m:t>
              </m:r>
              <m:r>
                <m:t>6</m:t>
              </m:r>
            </m:oMath>
          </w:p>
        </w:tc>
        <w:tc>
          <w:tcPr>
            <w:shd w:val="clear" w:color="auto" w:fill="E2EFD9"/>
            <w:vAlign w:val="center"/>
          </w:tcPr>
          <w:p>
            <w:pPr>
              <w:pStyle w:val="Celdatceesalvia"/>
              <w:jc w:val="center"/>
            </w:pPr>
            <m:oMath>
              <m:r>
                <m:rPr>
                  <m:sty m:val="p"/>
                </m:rPr>
                <m:t>+</m:t>
              </m:r>
              <m:r>
                <m:t>2</m:t>
              </m:r>
            </m:oMath>
          </w:p>
        </w:tc>
        <w:tc>
          <w:tcPr>
            <w:vAlign w:val="center"/>
          </w:tcPr>
          <w:p>
            <w:pPr>
              <w:pStyle w:val="Compact"/>
              <w:jc w:val="left"/>
            </w:pPr>
            <w:r>
              <w:t xml:space="preserve">El Estado gasta más de lo que ingresa y el sector privado ahorra (a menudo, tras una crisis)</w:t>
            </w:r>
          </w:p>
        </w:tc>
        <w:tc>
          <w:tcPr>
            <w:vAlign w:val="center"/>
          </w:tcPr>
          <w:p>
            <w:pPr>
              <w:pStyle w:val="Compact"/>
              <w:jc w:val="left"/>
            </w:pPr>
            <w:r>
              <w:t xml:space="preserve">Consolidación fiscal gradual; los déficits son</w:t>
            </w:r>
            <w:r>
              <w:t xml:space="preserve"> </w:t>
            </w:r>
            <w:r>
              <w:rPr>
                <w:i/>
                <w:iCs/>
              </w:rPr>
              <w:t xml:space="preserve">gemelos</w:t>
            </w:r>
          </w:p>
        </w:tc>
      </w:tr>
      <w:tr>
        <w:trPr>
          <w:cantSplit/>
        </w:trPr>
        <w:tc>
          <w:tcPr>
            <w:shd w:val="clear" w:color="auto" w:fill="FBE4D5"/>
            <w:vAlign w:val="center"/>
          </w:tcPr>
          <w:p>
            <w:pPr>
              <w:pStyle w:val="Celdatceesalmon"/>
              <w:jc w:val="center"/>
            </w:pPr>
            <m:oMath>
              <m:r>
                <m:rPr>
                  <m:sty m:val="p"/>
                </m:rPr>
                <m:t>−</m:t>
              </m:r>
              <m:r>
                <m:t>2</m:t>
              </m:r>
            </m:oMath>
          </w:p>
        </w:tc>
        <w:tc>
          <w:tcPr>
            <w:shd w:val="clear" w:color="auto" w:fill="FBE4D5"/>
            <w:vAlign w:val="center"/>
          </w:tcPr>
          <w:p>
            <w:pPr>
              <w:pStyle w:val="Celdatceesalmon"/>
              <w:jc w:val="center"/>
            </w:pPr>
            <m:oMath>
              <m:r>
                <m:rPr>
                  <m:sty m:val="p"/>
                </m:rPr>
                <m:t>−</m:t>
              </m:r>
              <m:r>
                <m:t>2</m:t>
              </m:r>
            </m:oMath>
          </w:p>
        </w:tc>
        <w:tc>
          <w:tcPr>
            <w:vAlign w:val="center"/>
          </w:tcPr>
          <w:p>
            <w:pPr>
              <w:pStyle w:val="Compact"/>
              <w:jc w:val="left"/>
            </w:pPr>
            <w:r>
              <w:t xml:space="preserve">Los 2 sectores se endeudan frente al exterior</w:t>
            </w:r>
          </w:p>
        </w:tc>
        <w:tc>
          <w:tcPr>
            <w:vAlign w:val="center"/>
          </w:tcPr>
          <w:p>
            <w:pPr>
              <w:pStyle w:val="Compact"/>
              <w:jc w:val="left"/>
            </w:pPr>
            <w:r>
              <w:t xml:space="preserve">Las 2 cosas: más ahorro público y frenar el crédito</w:t>
            </w:r>
          </w:p>
        </w:tc>
      </w:tr>
      <w:tr>
        <w:trPr>
          <w:cantSplit/>
        </w:trPr>
        <w:tc>
          <w:tcPr>
            <w:shd w:val="clear" w:color="auto" w:fill="E2EFD9"/>
            <w:vAlign w:val="center"/>
          </w:tcPr>
          <w:p>
            <w:pPr>
              <w:pStyle w:val="Celdatceesalvia"/>
              <w:jc w:val="center"/>
            </w:pPr>
            <m:oMath>
              <m:r>
                <m:rPr>
                  <m:sty m:val="p"/>
                </m:rPr>
                <m:t>+</m:t>
              </m:r>
              <m:r>
                <m:t>1</m:t>
              </m:r>
            </m:oMath>
          </w:p>
        </w:tc>
        <w:tc>
          <w:tcPr>
            <w:shd w:val="clear" w:color="auto" w:fill="FBE4D5"/>
            <w:vAlign w:val="center"/>
          </w:tcPr>
          <w:p>
            <w:pPr>
              <w:pStyle w:val="Celdatceesalmon"/>
              <w:jc w:val="center"/>
            </w:pPr>
            <m:oMath>
              <m:r>
                <m:rPr>
                  <m:sty m:val="p"/>
                </m:rPr>
                <m:t>−</m:t>
              </m:r>
              <m:r>
                <m:t>5</m:t>
              </m:r>
            </m:oMath>
          </w:p>
        </w:tc>
        <w:tc>
          <w:tcPr>
            <w:vAlign w:val="center"/>
          </w:tcPr>
          <w:p>
            <w:pPr>
              <w:pStyle w:val="Compact"/>
              <w:jc w:val="left"/>
            </w:pPr>
            <w:r>
              <w:t xml:space="preserve">El déficit es privado: un auge de la inversión o del consumo con crédito</w:t>
            </w:r>
          </w:p>
        </w:tc>
        <w:tc>
          <w:tcPr>
            <w:vAlign w:val="center"/>
          </w:tcPr>
          <w:p>
            <w:pPr>
              <w:pStyle w:val="Compact"/>
              <w:jc w:val="left"/>
            </w:pPr>
            <w:r>
              <w:t xml:space="preserve">Depende: si es inversión productiva, financiar y vigilar; si es consumo o vivienda, monetaria y macroprudencial</w:t>
            </w:r>
          </w:p>
        </w:tc>
      </w:tr>
    </w:tbl>
    <w:bookmarkEnd w:id="216"/>
    <w:p>
      <w:pPr>
        <w:pStyle w:val="BodyText"/>
        <w:keepN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13CaseStudy">
        <w:r>
          <w:rPr>
            <w:rStyle w:val="Hyperlink"/>
            <w:i/>
            <w:iCs/>
          </w:rPr>
          <w:t xml:space="preserve">2013</w:t>
        </w:r>
      </w:hyperlink>
      <w:r>
        <w:rPr>
          <w:i/>
          <w:iCs/>
        </w:rPr>
        <w:t xml:space="preserve">)</w:t>
      </w:r>
      <w:r>
        <w:rPr>
          <w:i/>
          <w:iCs/>
        </w:rPr>
        <w:t xml:space="preserve">; cifras ilustrativas en % del PIB (</w:t>
      </w:r>
      <m:oMath>
        <m:r>
          <m:rPr>
            <m:sty m:val="p"/>
          </m:rPr>
          <m:t>C</m:t>
        </m:r>
        <m:r>
          <m:rPr>
            <m:sty m:val="p"/>
          </m:rPr>
          <m:t>C</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r>
          <m:rPr>
            <m:sty m:val="p"/>
          </m:rPr>
          <m:t>=</m:t>
        </m:r>
        <m:r>
          <m:rPr>
            <m:sty m:val="p"/>
          </m:rPr>
          <m:t>−</m:t>
        </m:r>
        <m:r>
          <m:t>4</m:t>
        </m:r>
      </m:oMath>
      <w:r>
        <w:rPr>
          <w:i/>
          <w:iCs/>
        </w:rPr>
        <w:t xml:space="preserve">). Qué hay que ver: el saldo corriente no dice quién se endeuda; la receta depende de si el déficit es público o privado y, si es privado, de si financia inversión o consumo.</w:t>
      </w:r>
    </w:p>
    <w:p>
      <w:pPr>
        <w:keepNext/>
        <w:numPr>
          <w:ilvl w:val="0"/>
          <w:numId w:val="1107"/>
        </w:numPr>
      </w:pPr>
      <w:r>
        <w:rPr>
          <w:i/>
          <w:iCs/>
        </w:rPr>
        <w:t xml:space="preserve">Cómo se lee</w:t>
      </w:r>
      <w:r>
        <w:t xml:space="preserve">:</w:t>
      </w:r>
    </w:p>
    <w:p>
      <w:pPr>
        <w:numPr>
          <w:ilvl w:val="1"/>
          <w:numId w:val="1108"/>
        </w:numPr>
      </w:pPr>
      <w:r>
        <w:t xml:space="preserve">un déficit por</w:t>
      </w:r>
      <w:r>
        <w:t xml:space="preserve"> </w:t>
      </w:r>
      <w:r>
        <w:rPr>
          <w:b/>
          <w:bCs/>
        </w:rPr>
        <w:t xml:space="preserve">poco ahorro</w:t>
      </w:r>
      <w:r>
        <w:t xml:space="preserve"> </w:t>
      </w:r>
      <w:r>
        <w:t xml:space="preserve">(consumo excesivo, déficit público) es peor que uno por</w:t>
      </w:r>
      <w:r>
        <w:t xml:space="preserve"> </w:t>
      </w:r>
      <w:r>
        <w:rPr>
          <w:b/>
          <w:bCs/>
        </w:rPr>
        <w:t xml:space="preserve">mucha inversión</w:t>
      </w:r>
      <w:r>
        <w:t xml:space="preserve"> </w:t>
      </w:r>
      <w:r>
        <w:t xml:space="preserve">productiva, que eleva la capacidad de pago futura;</w:t>
      </w:r>
    </w:p>
    <w:p>
      <w:pPr>
        <w:numPr>
          <w:ilvl w:val="1"/>
          <w:numId w:val="1108"/>
        </w:numPr>
      </w:pPr>
      <w:r>
        <w:t xml:space="preserve">si viene del</w:t>
      </w:r>
      <w:r>
        <w:t xml:space="preserve"> </w:t>
      </w:r>
      <w:r>
        <w:rPr>
          <w:b/>
          <w:bCs/>
        </w:rPr>
        <w:t xml:space="preserve">sector privado</w:t>
      </w:r>
      <w:r>
        <w:t xml:space="preserve"> </w:t>
      </w:r>
      <w:r>
        <w:t xml:space="preserve">(hogares y empresas que invierten con crédito), el riesgo es una corrección brusca cuando se corte el crédito; si viene del</w:t>
      </w:r>
      <w:r>
        <w:t xml:space="preserve"> </w:t>
      </w:r>
      <w:r>
        <w:rPr>
          <w:b/>
          <w:bCs/>
        </w:rPr>
        <w:t xml:space="preserve">público</w:t>
      </w:r>
      <w:r>
        <w:t xml:space="preserve">, es un problema de sostenibilidad fiscal;</w:t>
      </w:r>
    </w:p>
    <w:p>
      <w:pPr>
        <w:numPr>
          <w:ilvl w:val="1"/>
          <w:numId w:val="1108"/>
        </w:numPr>
      </w:pPr>
      <w:r>
        <w:t xml:space="preserve">en las crisis el sector privado suele pasar a ahorrar y el público a endeudarse: los saldos se compensan;</w:t>
      </w:r>
    </w:p>
    <w:p>
      <w:pPr>
        <w:numPr>
          <w:ilvl w:val="1"/>
          <w:numId w:val="1108"/>
        </w:numPr>
      </w:pPr>
      <w:r>
        <w:t xml:space="preserve">un</w:t>
      </w:r>
      <w:r>
        <w:t xml:space="preserve"> </w:t>
      </w:r>
      <w:r>
        <w:rPr>
          <w:b/>
          <w:b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108"/>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107"/>
        </w:numPr>
      </w:pPr>
      <w:r>
        <w:rPr>
          <w:b/>
          <w:bCs/>
        </w:rPr>
        <w:t xml:space="preserve">Déficits gemelos</w:t>
      </w:r>
      <w:r>
        <w:t xml:space="preserve">: si el saldo privado no cambia, más déficit público es más déficit exterior. La causalidad iría por 2 vías</w:t>
      </w:r>
      <w:r>
        <w:t xml:space="preserve"> </w:t>
      </w:r>
      <w:hyperlink r:id="rId217">
        <w:r>
          <w:rPr>
            <w:rStyle w:val="Referenciaatema"/>
          </w:rPr>
          <w:t xml:space="preserve">[ver tema 3.A.32]</w:t>
        </w:r>
      </w:hyperlink>
      <w:r>
        <w:t xml:space="preserve">:</w:t>
      </w:r>
    </w:p>
    <w:p>
      <w:pPr>
        <w:pStyle w:val="BodyText"/>
        <w:keepNext/>
      </w:pPr>
      <m:oMathPara>
        <m:oMathParaPr>
          <m:jc m:val="center"/>
        </m:oMathParaPr>
        <m:oMath>
          <m:m>
            <m:mPr>
              <m:baseJc m:val="center"/>
              <m:plcHide m:val="on"/>
              <m:mcs>
                <m:mc>
                  <m:mcPr>
                    <m:mcJc m:val="center"/>
                    <m:count m:val="1"/>
                  </m:mcPr>
                </m:mc>
              </m:mcs>
            </m:mPr>
            <m:mr>
              <m:e>
                <m:r>
                  <m:rPr>
                    <m:sty m:val="p"/>
                  </m:rPr>
                  <m:t>↓</m:t>
                </m:r>
                <m:d>
                  <m:dPr>
                    <m:begChr m:val="("/>
                    <m:sepChr m:val=""/>
                    <m:endChr m:val=")"/>
                    <m:grow/>
                  </m:dPr>
                  <m:e>
                    <m:r>
                      <m:t>T</m:t>
                    </m:r>
                    <m:r>
                      <m:rPr>
                        <m:sty m:val="p"/>
                      </m:rPr>
                      <m:t>−</m:t>
                    </m:r>
                    <m:r>
                      <m:t>G</m:t>
                    </m:r>
                  </m:e>
                </m:d>
                <m:r>
                  <m:rPr>
                    <m:sty m:val="p"/>
                  </m:rPr>
                  <m:t>⇒</m:t>
                </m:r>
                <m:r>
                  <m:rPr>
                    <m:sty m:val="p"/>
                  </m:rPr>
                  <m:t>↑</m:t>
                </m:r>
                <m:r>
                  <m:t>i</m:t>
                </m:r>
                <m:r>
                  <m:rPr>
                    <m:sty m:val="p"/>
                  </m:rPr>
                  <m:t>⇒</m:t>
                </m:r>
                <m:r>
                  <m:rPr>
                    <m:nor/>
                    <m:sty m:val="p"/>
                  </m:rPr>
                  <m:t>entrada de capitales</m:t>
                </m:r>
                <m:r>
                  <m:rPr>
                    <m:sty m:val="p"/>
                  </m:rPr>
                  <m:t>⇒</m:t>
                </m:r>
                <m:r>
                  <m:rPr>
                    <m:sty m:val="p"/>
                  </m:rPr>
                  <m:t>↓</m:t>
                </m:r>
                <m:r>
                  <m:t>E</m:t>
                </m:r>
                <m:r>
                  <m:t> </m:t>
                </m:r>
                <m:d>
                  <m:dPr>
                    <m:begChr m:val="("/>
                    <m:sepChr m:val=""/>
                    <m:endChr m:val=")"/>
                    <m:grow/>
                  </m:dPr>
                  <m:e>
                    <m:r>
                      <m:rPr>
                        <m:nor/>
                        <m:sty m:val="p"/>
                      </m:rPr>
                      <m:t>apreciación</m:t>
                    </m:r>
                  </m:e>
                </m:d>
                <m:r>
                  <m:rPr>
                    <m:sty m:val="p"/>
                  </m:rPr>
                  <m:t>⇒</m:t>
                </m:r>
                <m:r>
                  <m:rPr>
                    <m:sty m:val="p"/>
                  </m:rPr>
                  <m:t>↓</m:t>
                </m:r>
                <m:d>
                  <m:dPr>
                    <m:begChr m:val="("/>
                    <m:sepChr m:val=""/>
                    <m:endChr m:val=")"/>
                    <m:grow/>
                  </m:dPr>
                  <m:e>
                    <m:r>
                      <m:t>X</m:t>
                    </m:r>
                    <m:r>
                      <m:rPr>
                        <m:sty m:val="p"/>
                      </m:rPr>
                      <m:t>−</m:t>
                    </m:r>
                    <m:r>
                      <m:t>M</m:t>
                    </m:r>
                  </m:e>
                </m:d>
              </m:e>
            </m:mr>
            <m:mr>
              <m:e>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e>
            </m:mr>
          </m:m>
        </m:oMath>
      </m:oMathPara>
    </w:p>
    <w:p>
      <w:pPr>
        <w:numPr>
          <w:ilvl w:val="0"/>
          <w:numId w:val="1000"/>
        </w:numPr>
      </w:pPr>
      <w:r>
        <w:t xml:space="preserve">En los datos no siempre van juntos: si el sector privado ahorra más cuando el Estado gasta más, el déficit exterior puede corregirse.</w:t>
      </w:r>
    </w:p>
    <w:p>
      <w:pPr>
        <w:numPr>
          <w:ilvl w:val="0"/>
          <w:numId w:val="1107"/>
        </w:numPr>
      </w:pPr>
      <w:r>
        <w:t xml:space="preserve">Si el cuadro no da el ahorro nacional pero sí el de los hogares o el privado, se dice y se razona con él suponiendo que el nacional sigue la misma tónica.</w:t>
      </w:r>
    </w:p>
    <w:bookmarkEnd w:id="218"/>
    <w:bookmarkStart w:id="219" w:name="d__ficits_y_super__vits_razonables_74859"/>
    <w:p>
      <w:pPr>
        <w:pStyle w:val="Heading4"/>
      </w:pPr>
      <w:r>
        <w:t xml:space="preserve">Déficits y superávits razonables, y los que no lo son</w:t>
      </w:r>
    </w:p>
    <w:p>
      <w:pPr>
        <w:keepNext/>
        <w:numPr>
          <w:ilvl w:val="0"/>
          <w:numId w:val="1109"/>
        </w:numPr>
      </w:pPr>
      <w:r>
        <w:rPr>
          <w:u w:val="single"/>
        </w:rPr>
        <w:t xml:space="preserve">Un déficit corriente no es malo en sí, ni un superávit bueno</w:t>
      </w:r>
      <w:r>
        <w:t xml:space="preserve">: el enfoque intertemporal dice que un país puede endeudarse fuera con sentido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BlanchardGiavazzi2002">
        <w:r>
          <w:rPr>
            <w:rStyle w:val="Hyperlink"/>
          </w:rPr>
          <w:t xml:space="preserve">O.</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Giavazzi</w:t>
        </w:r>
        <w:r>
          <w:rPr>
            <w:rStyle w:val="Hyperlink"/>
          </w:rPr>
          <w:t xml:space="preserve">, 2002</w:t>
        </w:r>
      </w:hyperlink>
      <w:r>
        <w:t xml:space="preserve">)</w:t>
      </w:r>
      <w:r>
        <w:t xml:space="preserve">:</w:t>
      </w:r>
    </w:p>
    <w:p>
      <w:pPr>
        <w:numPr>
          <w:ilvl w:val="1"/>
          <w:numId w:val="1110"/>
        </w:numPr>
      </w:pPr>
      <w:r>
        <w:t xml:space="preserve">para</w:t>
      </w:r>
      <w:r>
        <w:t xml:space="preserve"> </w:t>
      </w:r>
      <w:r>
        <w:rPr>
          <w:b/>
          <w:bCs/>
        </w:rPr>
        <w:t xml:space="preserve">financiar su desarrollo</w:t>
      </w:r>
      <w:r>
        <w:t xml:space="preserve"> </w:t>
      </w:r>
      <w:r>
        <w:t xml:space="preserve">con ahorro exterior, si la inversión rinde más de lo que cuesta la deuda (países en convergencia);</w:t>
      </w:r>
    </w:p>
    <w:p>
      <w:pPr>
        <w:numPr>
          <w:ilvl w:val="1"/>
          <w:numId w:val="1110"/>
        </w:numPr>
      </w:pPr>
      <w:r>
        <w:t xml:space="preserve">para</w:t>
      </w:r>
      <w:r>
        <w:t xml:space="preserve"> </w:t>
      </w:r>
      <w:r>
        <w:rPr>
          <w:b/>
          <w:bCs/>
        </w:rPr>
        <w:t xml:space="preserve">amortiguar un choque temporal</w:t>
      </w:r>
      <w:r>
        <w:t xml:space="preserve"> </w:t>
      </w:r>
      <w:r>
        <w:t xml:space="preserve">(una mala cosecha, una caída pasajera de los precios de exportación) sin hundir el consumo;</w:t>
      </w:r>
    </w:p>
    <w:p>
      <w:pPr>
        <w:numPr>
          <w:ilvl w:val="1"/>
          <w:numId w:val="1110"/>
        </w:numPr>
      </w:pPr>
      <w:r>
        <w:t xml:space="preserve">y un superávit puede ser razonable si la población</w:t>
      </w:r>
      <w:r>
        <w:t xml:space="preserve"> </w:t>
      </w:r>
      <w:r>
        <w:rPr>
          <w:b/>
          <w:bCs/>
        </w:rPr>
        <w:t xml:space="preserve">envejece</w:t>
      </w:r>
      <w:r>
        <w:t xml:space="preserve"> </w:t>
      </w:r>
      <w:r>
        <w:t xml:space="preserve">(se ahorra para las pensiones futuras) o si el país vive de</w:t>
      </w:r>
      <w:r>
        <w:t xml:space="preserve"> </w:t>
      </w:r>
      <w:r>
        <w:rPr>
          <w:b/>
          <w:bCs/>
        </w:rPr>
        <w:t xml:space="preserve">recursos agotables</w:t>
      </w:r>
      <w:r>
        <w:t xml:space="preserve"> </w:t>
      </w:r>
      <w:r>
        <w:t xml:space="preserve">(se ahorra para cuando se acaben).</w:t>
      </w:r>
    </w:p>
    <w:p>
      <w:pPr>
        <w:numPr>
          <w:ilvl w:val="0"/>
          <w:numId w:val="1109"/>
        </w:numPr>
      </w:pPr>
      <w:r>
        <w:t xml:space="preserve">No son razonables el déficit que refleja un</w:t>
      </w:r>
      <w:r>
        <w:t xml:space="preserve"> </w:t>
      </w:r>
      <w:r>
        <w:rPr>
          <w:b/>
          <w:bCs/>
        </w:rPr>
        <w:t xml:space="preserve">sobrecalentamiento</w:t>
      </w:r>
      <w:r>
        <w:t xml:space="preserve"> </w:t>
      </w:r>
      <w:r>
        <w:t xml:space="preserve">(consumo y crédito que crecen por encima de la renta) ni el que financia gasto corriente o una burbuja; tampoco el</w:t>
      </w:r>
      <w:r>
        <w:t xml:space="preserve"> </w:t>
      </w:r>
      <w:r>
        <w:rPr>
          <w:b/>
          <w:bCs/>
        </w:rPr>
        <w:t xml:space="preserve">superávit persistente</w:t>
      </w:r>
      <w:r>
        <w:t xml:space="preserve"> </w:t>
      </w:r>
      <w:r>
        <w:t xml:space="preserve">que refleja inversión interna insuficiente: oportunidades desaprovechadas que, además, alimentan los desequilibrios mundiales. La receta, en ese caso, es estimular la inversión interna. Por eso el procedimiento de desequilibrios vigila también los superávits por encima del 6 %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bookmarkEnd w:id="219"/>
    <w:bookmarkEnd w:id="220"/>
    <w:bookmarkStart w:id="226" w:name="sec_financiacion"/>
    <w:p>
      <w:pPr>
        <w:pStyle w:val="Heading2"/>
      </w:pPr>
      <w:r>
        <w:t xml:space="preserve">IV.2.</w:t>
      </w:r>
      <w:r>
        <w:t xml:space="preserve"> </w:t>
      </w:r>
      <w:r>
        <w:t xml:space="preserve">Cómo se financia</w:t>
      </w:r>
    </w:p>
    <w:p>
      <w:pPr>
        <w:numPr>
          <w:ilvl w:val="0"/>
          <w:numId w:val="1111"/>
        </w:numPr>
      </w:pPr>
      <w:r>
        <w:rPr>
          <w:i/>
          <w:iCs/>
        </w:rPr>
        <w:t xml:space="preserve">Cómo se escribe</w:t>
      </w:r>
      <w:r>
        <w:t xml:space="preserve">: «veamos cómo se financia esta economía a través de la cuenta financiera».</w:t>
      </w:r>
    </w:p>
    <w:p>
      <w:pPr>
        <w:keepNext/>
        <w:numPr>
          <w:ilvl w:val="0"/>
          <w:numId w:val="1111"/>
        </w:numPr>
      </w:pPr>
      <w:r>
        <w:rPr>
          <w:i/>
          <w:iCs/>
        </w:rPr>
        <w:t xml:space="preserve">Qué se mira</w:t>
      </w:r>
      <w:r>
        <w:t xml:space="preserve">: la cuenta financiera por instrumentos, porque</w:t>
      </w:r>
      <w:r>
        <w:t xml:space="preserve"> </w:t>
      </w:r>
      <w:r>
        <w:rPr>
          <w:u w:val="single"/>
        </w:rPr>
        <w:t xml:space="preserve">no es lo mismo financiarse con capital que con deuda</w:t>
      </w:r>
      <w:r>
        <w:t xml:space="preserve"> </w:t>
      </w:r>
      <w:r>
        <w:t xml:space="preserve">(gráfico </w:t>
      </w:r>
      <w:hyperlink w:anchor="fig_esquema_financiacion">
        <w:r>
          <w:rPr>
            <w:rStyle w:val="Hyperlink"/>
          </w:rPr>
          <w:t xml:space="preserve">18</w:t>
        </w:r>
      </w:hyperlink>
      <w:r>
        <w:t xml:space="preserve">):</w:t>
      </w:r>
    </w:p>
    <w:p>
      <w:pPr>
        <w:numPr>
          <w:ilvl w:val="1"/>
          <w:numId w:val="1112"/>
        </w:numPr>
      </w:pPr>
      <w:r>
        <w:rPr>
          <w:b/>
          <w:bCs/>
        </w:rPr>
        <w:t xml:space="preserve">inversión directa</w:t>
      </w:r>
      <w:r>
        <w:t xml:space="preserve">: estable, con transferencia de tecnología y efectos desbordamiento;</w:t>
      </w:r>
    </w:p>
    <w:p>
      <w:pPr>
        <w:numPr>
          <w:ilvl w:val="1"/>
          <w:numId w:val="1112"/>
        </w:numPr>
      </w:pPr>
      <w:r>
        <w:rPr>
          <w:b/>
          <w:bCs/>
        </w:rPr>
        <w:t xml:space="preserve">inversión de cartera</w:t>
      </w:r>
      <w:r>
        <w:t xml:space="preserve">: volátil y con efecto rebaño ante un cambio de expectativas;</w:t>
      </w:r>
    </w:p>
    <w:p>
      <w:pPr>
        <w:numPr>
          <w:ilvl w:val="1"/>
          <w:numId w:val="1112"/>
        </w:numPr>
      </w:pPr>
      <w:r>
        <w:rPr>
          <w:b/>
          <w:bCs/>
        </w:rPr>
        <w:t xml:space="preserve">derivados</w:t>
      </w:r>
      <w:r>
        <w:t xml:space="preserve">: aún más volátiles;</w:t>
      </w:r>
    </w:p>
    <w:p>
      <w:pPr>
        <w:numPr>
          <w:ilvl w:val="1"/>
          <w:numId w:val="1112"/>
        </w:numPr>
      </w:pPr>
      <w:r>
        <w:rPr>
          <w:b/>
          <w:bCs/>
        </w:rPr>
        <w:t xml:space="preserve">otra inversión</w:t>
      </w:r>
      <w:r>
        <w:t xml:space="preserve">: préstamos y depósitos (incluidos los del Eurosistema por TARGET y los de organismos como el FMI o la UE);</w:t>
      </w:r>
    </w:p>
    <w:p>
      <w:pPr>
        <w:numPr>
          <w:ilvl w:val="1"/>
          <w:numId w:val="1112"/>
        </w:numPr>
      </w:pPr>
      <w:r>
        <w:rPr>
          <w:b/>
          <w:b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bookmarkStart w:id="224" w:name="fig_esquema_financiacion"/>
    <w:p>
      <w:pPr>
        <w:pStyle w:val="ImageCaption"/>
      </w:pPr>
      <w:r>
        <w:t xml:space="preserve">Gráfico 18.–</w:t>
      </w:r>
      <w:r>
        <w:t xml:space="preserve"> </w:t>
      </w:r>
      <w:r>
        <w:t xml:space="preserve">La cuenta financiera por instrumentos y la adecuación de las reservas</w:t>
      </w:r>
    </w:p>
    <w:p>
      <w:pPr>
        <w:pStyle w:val="CaptionedFigure"/>
      </w:pPr>
      <w:r>
        <w:drawing>
          <wp:inline>
            <wp:extent cx="3318140" cy="1412885"/>
            <wp:effectExtent b="0" l="0" r="0" t="0"/>
            <wp:docPr descr="Gráfico 18.– La cuenta financiera por instrumentos y la adecuación de las reservas" title="" id="222" name="Picture"/>
            <a:graphic>
              <a:graphicData uri="http://schemas.openxmlformats.org/drawingml/2006/picture">
                <pic:pic>
                  <pic:nvPicPr>
                    <pic:cNvPr descr="C:\Users\vgutierrez\Documents\src\victorgutierrezmarcos.github.io-revision\oposicion\temario\fuentes\1D01\graficos/esquema-cuenta-financiera.png" id="223" name="Picture"/>
                    <pic:cNvPicPr>
                      <a:picLocks noChangeArrowheads="1" noChangeAspect="1"/>
                    </pic:cNvPicPr>
                  </pic:nvPicPr>
                  <pic:blipFill>
                    <a:blip r:embed="rId221"/>
                    <a:stretch>
                      <a:fillRect/>
                    </a:stretch>
                  </pic:blipFill>
                  <pic:spPr bwMode="auto">
                    <a:xfrm>
                      <a:off x="0" y="0"/>
                      <a:ext cx="3318140" cy="1412885"/>
                    </a:xfrm>
                    <a:prstGeom prst="rect">
                      <a:avLst/>
                    </a:prstGeom>
                    <a:noFill/>
                    <a:ln w="9525">
                      <a:noFill/>
                      <a:headEnd/>
                      <a:tailEnd/>
                    </a:ln>
                  </pic:spPr>
                </pic:pic>
              </a:graphicData>
            </a:graphic>
          </wp:inline>
        </w:drawing>
      </w:r>
    </w:p>
    <w:bookmarkEnd w:id="224"/>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09MBP6">
        <w:r>
          <w:rPr>
            <w:rStyle w:val="Hyperlink"/>
          </w:rPr>
          <w:t xml:space="preserve">2009</w:t>
        </w:r>
      </w:hyperlink>
      <w:r>
        <w:t xml:space="preserve">,</w:t>
      </w:r>
      <w:r>
        <w:t xml:space="preserve"> </w:t>
      </w:r>
      <w:hyperlink w:anchor="ref_FMI2011Reservas">
        <w:r>
          <w:rPr>
            <w:rStyle w:val="Hyperlink"/>
          </w:rPr>
          <w:t xml:space="preserve">2011</w:t>
        </w:r>
      </w:hyperlink>
      <w:r>
        <w:t xml:space="preserve">)</w:t>
      </w:r>
      <w:r>
        <w:t xml:space="preserve">. Qué hay que ver: de izquierda a derecha, los instrumentos de más estables a más volátiles (mejor capital que deuda); abajo, las 3 referencias orientativas de reservas suficientes, que también cuestan si sobran.</w:t>
      </w:r>
    </w:p>
    <w:p>
      <w:pPr>
        <w:numPr>
          <w:ilvl w:val="0"/>
          <w:numId w:val="1113"/>
        </w:numPr>
      </w:pPr>
      <w:r>
        <w:rPr>
          <w:i/>
          <w:iCs/>
        </w:rPr>
        <w:t xml:space="preserve">¿Hace falta financiación excepcional?</w:t>
      </w:r>
      <w:r>
        <w:t xml:space="preserve"> </w:t>
      </w:r>
      <w:r>
        <w:rPr>
          <w:u w:val="single"/>
        </w:rPr>
        <w:t xml:space="preserve">La pregunta clave es si el país puede atender sus pagos exteriores sin usar reservas, sin crédito del FMI y sin dejar de pagar</w:t>
      </w:r>
      <w:r>
        <w:t xml:space="preserve">: si el ajuste lo hacen las reservas o el FMI, hay una vulnerabilidad (la presentación analítica de la balanza, en el anexo </w:t>
      </w:r>
      <w:hyperlink w:anchor="anexo_fmi_programacion">
        <w:r>
          <w:rPr>
            <w:rStyle w:val="Hyperlink"/>
          </w:rPr>
          <w:t xml:space="preserve">C.1</w:t>
        </w:r>
      </w:hyperlink>
      <w:r>
        <w:t xml:space="preserve">).</w:t>
      </w:r>
    </w:p>
    <w:p>
      <w:pPr>
        <w:keepNext/>
        <w:numPr>
          <w:ilvl w:val="0"/>
          <w:numId w:val="1113"/>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11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11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 La deuda a corto relevante es la de</w:t>
      </w:r>
      <w:r>
        <w:t xml:space="preserve"> </w:t>
      </w:r>
      <w:r>
        <w:rPr>
          <w:i/>
          <w:iCs/>
        </w:rPr>
        <w:t xml:space="preserve">vencimiento residual</w:t>
      </w:r>
      <w:r>
        <w:t xml:space="preserve">: la deuda a corto viva más las amortizaciones de los próximos 12 meses de la deuda a largo</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1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11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 Y una variación de reservas no nula no implica un tipo fijo: los créditos del FMI, por ejemplo, entran como pasivo y como reservas a la vez.</w:t>
      </w:r>
    </w:p>
    <w:p>
      <w:pPr>
        <w:numPr>
          <w:ilvl w:val="0"/>
          <w:numId w:val="1113"/>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keepNext/>
        <w:numPr>
          <w:ilvl w:val="0"/>
          <w:numId w:val="1113"/>
        </w:numPr>
      </w:pPr>
      <w:r>
        <w:rPr>
          <w:i/>
          <w:iCs/>
        </w:rPr>
        <w:t xml:space="preserve">Qué mueve la inversión directa y la de cartera</w:t>
      </w:r>
      <w:r>
        <w:t xml:space="preserve">: el diferencial de tipos de interés, las perspectivas del cuadro macroeconómico y el clima para el capital extranjero (seguridad jurídica, fiscalidad). La inversión directa es a largo plazo y de control, y aporta conocimiento; la de cartera busca rentabilidad y puede revertirse de golpe: ante la incertidumbre, los capitales huyen hacia activos más líquidos o más seguros (</w:t>
      </w:r>
      <w:r>
        <w:rPr>
          <w:i/>
          <w:iCs/>
        </w:rPr>
        <w:t xml:space="preserve">flight to liquidity</w:t>
      </w:r>
      <w:r>
        <w:t xml:space="preserve">,</w:t>
      </w:r>
      <w:r>
        <w:t xml:space="preserve"> </w:t>
      </w:r>
      <w:r>
        <w:rPr>
          <w:i/>
          <w:iCs/>
        </w:rPr>
        <w:t xml:space="preserve">flight to safety</w:t>
      </w:r>
      <w:r>
        <w:t xml:space="preserv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 Por eso abrir la cuenta financiera no tiene el consenso de abrir la corriente: exige mercados financieros desarrollados y bien supervisados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p>
      <w:pPr>
        <w:numPr>
          <w:ilvl w:val="1"/>
          <w:numId w:val="1115"/>
        </w:numPr>
      </w:pPr>
      <w:r>
        <w:rPr>
          <w:i/>
          <w:iCs/>
        </w:rPr>
        <w:t xml:space="preserve">Cómo se leen en el cuadro</w:t>
      </w:r>
      <w:r>
        <w:t xml:space="preserve">: la inversión directa, junto a la inversión interna (¿financia nueva capacidad o compra empresas existentes?); la de cartera, junto a la bolsa y los tipos de interés.</w:t>
      </w:r>
    </w:p>
    <w:p>
      <w:pPr>
        <w:numPr>
          <w:ilvl w:val="1"/>
          <w:numId w:val="1115"/>
        </w:numPr>
      </w:pPr>
      <w:r>
        <w:rPr>
          <w:i/>
          <w:iCs/>
        </w:rPr>
        <w:t xml:space="preserve">La paridad de intereses con prima de riesgo</w:t>
      </w:r>
      <w:r>
        <w:t xml:space="preserve">: el capital va donde el rendimiento esperado, corregido por la depreciación esperada y por una prima de riesgo, es mayor. Si un país paga tipos altos y su moneda parece estable, atrae capital a corto plazo prestado en monedas de tipos bajos (</w:t>
      </w:r>
      <w:r>
        <w:rPr>
          <w:i/>
          <w:iCs/>
        </w:rPr>
        <w:t xml:space="preserve">carry trade</w:t>
      </w:r>
      <w:r>
        <w:t xml:space="preserve">), que sale en cuanto cambian las expectativas.</w:t>
      </w:r>
    </w:p>
    <w:p>
      <w:pPr>
        <w:numPr>
          <w:ilvl w:val="1"/>
          <w:numId w:val="1115"/>
        </w:numPr>
      </w:pPr>
      <w:r>
        <w:rPr>
          <w:i/>
          <w:iCs/>
        </w:rPr>
        <w:t xml:space="preserve">Factores de empuje y de atracción</w:t>
      </w:r>
      <w:r>
        <w:t xml:space="preserve">: las entradas dependen de lo que pasa</w:t>
      </w:r>
      <w:r>
        <w:t xml:space="preserve"> </w:t>
      </w:r>
      <w:r>
        <w:rPr>
          <w:b/>
          <w:bCs/>
        </w:rPr>
        <w:t xml:space="preserve">fuera</w:t>
      </w:r>
      <w:r>
        <w:t xml:space="preserve"> </w:t>
      </w:r>
      <w:r>
        <w:t xml:space="preserve">(tipos bajos en las economías avanzadas, apetito por el riesgo, contagio, ventas forzosas de los inversores) tanto como de lo que pasa</w:t>
      </w:r>
      <w:r>
        <w:t xml:space="preserve"> </w:t>
      </w:r>
      <w:r>
        <w:rPr>
          <w:b/>
          <w:bCs/>
        </w:rPr>
        <w:t xml:space="preserve">dentro</w:t>
      </w:r>
      <w:r>
        <w:t xml:space="preserve"> </w:t>
      </w:r>
      <w:r>
        <w:t xml:space="preserve">(mejora de la calificación, estabilización, reformas)</w:t>
      </w:r>
      <w:r>
        <w:t xml:space="preserve"> </w:t>
      </w:r>
      <w:r>
        <w:t xml:space="preserve">(</w:t>
      </w:r>
      <w:hyperlink w:anchor="ref_CalvoLeidermanReinhart1993">
        <w:r>
          <w:rPr>
            <w:rStyle w:val="Hyperlink"/>
            <w:smallCaps/>
          </w:rPr>
          <w:t xml:space="preserve">Calvo</w:t>
        </w:r>
        <w:r>
          <w:rPr>
            <w:rStyle w:val="Hyperlink"/>
          </w:rPr>
          <w:t xml:space="preserve">,</w:t>
        </w:r>
        <w:r>
          <w:rPr>
            <w:rStyle w:val="Hyperlink"/>
          </w:rPr>
          <w:t xml:space="preserve"> </w:t>
        </w:r>
        <w:r>
          <w:rPr>
            <w:rStyle w:val="Hyperlink"/>
            <w:smallCaps/>
          </w:rPr>
          <w:t xml:space="preserve">Leiderman</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1993</w:t>
        </w:r>
      </w:hyperlink>
      <w:r>
        <w:t xml:space="preserve">)</w:t>
      </w:r>
      <w:r>
        <w:t xml:space="preserve">. Por eso los emergentes tienen poca autonomía aunque floten: las decisiones de la Reserva Federal mueven sus tipos, sus flujos y sus monedas (el</w:t>
      </w:r>
      <w:r>
        <w:t xml:space="preserve"> </w:t>
      </w:r>
      <w:r>
        <w:rPr>
          <w:i/>
          <w:iCs/>
        </w:rPr>
        <w:t xml:space="preserve">ciclo financiero mundial</w:t>
      </w:r>
      <w:r>
        <w:t xml:space="preserve">)</w:t>
      </w:r>
      <w:r>
        <w:t xml:space="preserve"> </w:t>
      </w:r>
      <w:r>
        <w:t xml:space="preserve">(</w:t>
      </w:r>
      <w:hyperlink w:anchor="ref_Rey2013Dilema">
        <w:r>
          <w:rPr>
            <w:rStyle w:val="Hyperlink"/>
            <w:smallCaps/>
          </w:rPr>
          <w:t xml:space="preserve">Rey</w:t>
        </w:r>
        <w:r>
          <w:rPr>
            <w:rStyle w:val="Hyperlink"/>
          </w:rPr>
          <w:t xml:space="preserve">, 2013</w:t>
        </w:r>
      </w:hyperlink>
      <w:r>
        <w:t xml:space="preserve">)</w:t>
      </w:r>
      <w:r>
        <w:t xml:space="preserve">.</w:t>
      </w:r>
    </w:p>
    <w:p>
      <w:pPr>
        <w:numPr>
          <w:ilvl w:val="0"/>
          <w:numId w:val="1113"/>
        </w:numPr>
      </w:pPr>
      <w:r>
        <w:rPr>
          <w:i/>
          <w:iCs/>
        </w:rPr>
        <w:t xml:space="preserve">Son flujos</w:t>
      </w:r>
      <w:r>
        <w:t xml:space="preserve">: todas las partidas de la balanza de pagos son flujos del año.</w:t>
      </w:r>
      <w:r>
        <w:t xml:space="preserve"> </w:t>
      </w:r>
      <w:r>
        <w:rPr>
          <w:u w:val="single"/>
        </w:rPr>
        <w:t xml:space="preserve">Una inversión de cartera del</w:t>
      </w:r>
      <w:r>
        <w:rPr>
          <w:u w:val="single"/>
        </w:rPr>
        <w:t xml:space="preserve"> </w:t>
      </w:r>
      <m:oMath>
        <m:r>
          <m:rPr>
            <m:sty m:val="p"/>
          </m:rPr>
          <m:t>−</m:t>
        </m:r>
        <m:r>
          <m:t>3</m:t>
        </m:r>
      </m:oMath>
      <w:r>
        <w:rPr>
          <w:u w:val="single"/>
        </w:rPr>
        <w:t xml:space="preserve"> % del PIB es lo que entró ese año, no lo que tienen los extranjeros</w:t>
      </w:r>
      <w:r>
        <w:t xml:space="preserve">; los saldos acumulados están en la posición de inversión internacional</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113"/>
        </w:numPr>
      </w:pPr>
      <w:r>
        <w:rPr>
          <w:i/>
          <w:iCs/>
        </w:rPr>
        <w:t xml:space="preserve">Cómo se ajusta un déficit según el régimen cambiario</w:t>
      </w:r>
      <w:r>
        <w:t xml:space="preserve">: con tipo</w:t>
      </w:r>
      <w:r>
        <w:t xml:space="preserve"> </w:t>
      </w:r>
      <w:r>
        <w:rPr>
          <w:i/>
          <w:iCs/>
        </w:rPr>
        <w:t xml:space="preserve">fijo</w:t>
      </w:r>
      <w:r>
        <w:t xml:space="preserve">, el banco central cubre la diferencia con reservas, y el ajuste llega por los agregados monetarios (al vender divisas retira moneda nacional); si las reservas se agotan, una salida de capitales puede acabar en crisis cambiaria. Con tipo</w:t>
      </w:r>
      <w:r>
        <w:t xml:space="preserve"> </w:t>
      </w:r>
      <w:r>
        <w:rPr>
          <w:i/>
          <w:iCs/>
        </w:rPr>
        <w:t xml:space="preserve">flexible</w:t>
      </w:r>
      <w:r>
        <w:t xml:space="preserve">, el ajuste llega por el tipo de cambio: la moneda se deprecia con déficit y se aprecia con superávit, y apenas hacen falta reservas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r:id="rId202">
        <w:r>
          <w:rPr>
            <w:rStyle w:val="Referenciaatema"/>
          </w:rPr>
          <w:t xml:space="preserve">[ver tema 3.B.15]</w:t>
        </w:r>
      </w:hyperlink>
      <w:r>
        <w:t xml:space="preserve">.</w:t>
      </w:r>
    </w:p>
    <w:p>
      <w:pPr>
        <w:numPr>
          <w:ilvl w:val="0"/>
          <w:numId w:val="1113"/>
        </w:numPr>
      </w:pPr>
      <w:r>
        <w:rPr>
          <w:i/>
          <w:iCs/>
        </w:rPr>
        <w:t xml:space="preserve">Tema</w:t>
      </w:r>
      <w:r>
        <w:t xml:space="preserve">:</w:t>
      </w:r>
      <w:r>
        <w:t xml:space="preserve"> </w:t>
      </w:r>
      <w:hyperlink r:id="rId58">
        <w:r>
          <w:rPr>
            <w:rStyle w:val="Referenciaatema"/>
          </w:rPr>
          <w:t xml:space="preserve">[ver tema 3.B.11]</w:t>
        </w:r>
      </w:hyperlink>
      <w:r>
        <w:t xml:space="preserve"> </w:t>
      </w:r>
      <w:hyperlink r:id="rId225">
        <w:r>
          <w:rPr>
            <w:rStyle w:val="Referenciaatema"/>
          </w:rPr>
          <w:t xml:space="preserve">[ver tema 3.B.22]</w:t>
        </w:r>
      </w:hyperlink>
      <w:r>
        <w:t xml:space="preserve"> </w:t>
      </w:r>
      <w:hyperlink r:id="rId59">
        <w:r>
          <w:rPr>
            <w:rStyle w:val="Referenciaatema"/>
          </w:rPr>
          <w:t xml:space="preserve">[ver tema 4.A.21]</w:t>
        </w:r>
      </w:hyperlink>
      <w:r>
        <w:t xml:space="preserve">.</w:t>
      </w:r>
    </w:p>
    <w:bookmarkEnd w:id="226"/>
    <w:bookmarkStart w:id="230" w:name="sec_piin"/>
    <w:p>
      <w:pPr>
        <w:pStyle w:val="Heading2"/>
      </w:pPr>
      <w:r>
        <w:t xml:space="preserve">IV.3.</w:t>
      </w:r>
      <w:r>
        <w:t xml:space="preserve"> </w:t>
      </w:r>
      <w:r>
        <w:t xml:space="preserve">Posición de inversión internacional y deuda externa</w:t>
      </w:r>
    </w:p>
    <w:p>
      <w:pPr>
        <w:numPr>
          <w:ilvl w:val="0"/>
          <w:numId w:val="1116"/>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Funcionclave"/>
        <w:keepLines/>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58">
        <w:r>
          <w:rPr>
            <w:rStyle w:val="Referenciaatema"/>
          </w:rPr>
          <w:t xml:space="preserve">[ver tema 3.B.11]</w:t>
        </w:r>
      </w:hyperlink>
      <w:r>
        <w:t xml:space="preserve">.</w:t>
      </w:r>
    </w:p>
    <w:p>
      <w:pPr>
        <w:numPr>
          <w:ilvl w:val="0"/>
          <w:numId w:val="1116"/>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116"/>
        </w:numPr>
      </w:pPr>
      <w:r>
        <w:rPr>
          <w:i/>
          <w:iCs/>
        </w:rPr>
        <w:t xml:space="preserve">Cómo se lee</w:t>
      </w:r>
      <w:r>
        <w:t xml:space="preserve">: primero, si el país es acreedor o deudor; después, cómo evoluciona y por qué; y</w:t>
      </w:r>
      <w:r>
        <w:t xml:space="preserve"> </w:t>
      </w:r>
      <w:r>
        <w:rPr>
          <w:u w:val="single"/>
        </w:rPr>
        <w:t xml:space="preserve">la composición de los pasivos, que importa tanto como el nivel</w:t>
      </w:r>
      <w:r>
        <w:t xml:space="preserve">:</w:t>
      </w:r>
      <w:r>
        <w:rPr>
          <w:rStyle w:val="FootnoteReference"/>
        </w:rPr>
        <w:footnoteReference w:id="227"/>
      </w:r>
    </w:p>
    <w:p>
      <w:pPr>
        <w:numPr>
          <w:ilvl w:val="1"/>
          <w:numId w:val="1117"/>
        </w:numPr>
      </w:pPr>
      <w:r>
        <w:rPr>
          <w:i/>
          <w:iCs/>
        </w:rPr>
        <w:t xml:space="preserve">instrumentos</w:t>
      </w:r>
      <w:r>
        <w:t xml:space="preserve">: mejor no exigibles (inversión directa antes que cartera y que derivados);</w:t>
      </w:r>
    </w:p>
    <w:p>
      <w:pPr>
        <w:numPr>
          <w:ilvl w:val="1"/>
          <w:numId w:val="1117"/>
        </w:numPr>
      </w:pPr>
      <w:r>
        <w:rPr>
          <w:i/>
          <w:iCs/>
        </w:rPr>
        <w:t xml:space="preserve">sectores</w:t>
      </w:r>
      <w:r>
        <w:t xml:space="preserve">: los pasivos del banco central no tienen riesgo de refinanciación;</w:t>
      </w:r>
    </w:p>
    <w:p>
      <w:pPr>
        <w:numPr>
          <w:ilvl w:val="1"/>
          <w:numId w:val="1117"/>
        </w:numPr>
      </w:pPr>
      <w:r>
        <w:rPr>
          <w:i/>
          <w:iCs/>
        </w:rPr>
        <w:t xml:space="preserve">plazos</w:t>
      </w:r>
      <w:r>
        <w:t xml:space="preserve">: mejor largos;</w:t>
      </w:r>
    </w:p>
    <w:p>
      <w:pPr>
        <w:numPr>
          <w:ilvl w:val="1"/>
          <w:numId w:val="1117"/>
        </w:numPr>
      </w:pPr>
      <w:r>
        <w:rPr>
          <w:i/>
          <w:iCs/>
        </w:rPr>
        <w:t xml:space="preserve">monedas</w:t>
      </w:r>
      <w:r>
        <w:t xml:space="preserve">: mejor en moneda nacional; si en divisas, mejor en las que se deprecian frente a la nacional;</w:t>
      </w:r>
    </w:p>
    <w:p>
      <w:pPr>
        <w:numPr>
          <w:ilvl w:val="1"/>
          <w:numId w:val="1117"/>
        </w:numPr>
      </w:pPr>
      <w:r>
        <w:rPr>
          <w:i/>
          <w:iCs/>
        </w:rPr>
        <w:t xml:space="preserve">tenedores</w:t>
      </w:r>
      <w:r>
        <w:t xml:space="preserve">: cuanta más deuda en manos de no residentes, más expuesto está el país a una crisis de confianza. Japón o Italia sostienen deudas públicas muy altas porque las tienen sobre todo inversores nacionales; de ahí la recomendación de favorecer la tenencia por residentes y alargar los plazos</w:t>
      </w:r>
      <w:r>
        <w:t xml:space="preserve"> </w:t>
      </w:r>
      <w:r>
        <w:t xml:space="preserve">(</w:t>
      </w:r>
      <w:hyperlink w:anchor="ref_ArslanalpTsuda2014">
        <w:r>
          <w:rPr>
            <w:rStyle w:val="Hyperlink"/>
            <w:smallCaps/>
          </w:rPr>
          <w:t xml:space="preserve">Arslanalp</w:t>
        </w:r>
        <w:r>
          <w:rPr>
            <w:rStyle w:val="Hyperlink"/>
          </w:rPr>
          <w:t xml:space="preserve"> </w:t>
        </w:r>
        <w:r>
          <w:rPr>
            <w:rStyle w:val="Hyperlink"/>
          </w:rPr>
          <w:t xml:space="preserve">y</w:t>
        </w:r>
        <w:r>
          <w:rPr>
            <w:rStyle w:val="Hyperlink"/>
          </w:rPr>
          <w:t xml:space="preserve"> </w:t>
        </w:r>
        <w:r>
          <w:rPr>
            <w:rStyle w:val="Hyperlink"/>
            <w:smallCaps/>
          </w:rPr>
          <w:t xml:space="preserve">Tsuda</w:t>
        </w:r>
        <w:r>
          <w:rPr>
            <w:rStyle w:val="Hyperlink"/>
          </w:rPr>
          <w:t xml:space="preserve">, 2014</w:t>
        </w:r>
      </w:hyperlink>
      <w:r>
        <w:t xml:space="preserve">)</w:t>
      </w:r>
      <w:r>
        <w:t xml:space="preserve">.</w:t>
      </w:r>
    </w:p>
    <w:p>
      <w:pPr>
        <w:numPr>
          <w:ilvl w:val="0"/>
          <w:numId w:val="1116"/>
        </w:numPr>
      </w:pPr>
      <w:r>
        <w:rPr>
          <w:i/>
          <w:iCs/>
        </w:rPr>
        <w:t xml:space="preserve">El círculo flujo-stock</w:t>
      </w:r>
      <w:r>
        <w:t xml:space="preserve">: acumular pasivos por un exceso de absorción genera después pagos de intereses y dividendos (rentas primarias) que empeoran la cuenta corriente, que exige más financiación, que eleva otra vez los pasivos. Por eso los déficits persistentes se alimentan solos.</w:t>
      </w:r>
    </w:p>
    <w:bookmarkStart w:id="228" w:name="efecto_valoraci__n"/>
    <w:p>
      <w:pPr>
        <w:pStyle w:val="Heading4"/>
      </w:pPr>
      <w:r>
        <w:t xml:space="preserve">Efecto valoración</w:t>
      </w:r>
    </w:p>
    <w:p>
      <w:pPr>
        <w:numPr>
          <w:ilvl w:val="0"/>
          <w:numId w:val="1118"/>
        </w:numPr>
      </w:pPr>
      <w:r>
        <w:t xml:space="preserve">La PIIN cambia por las transacciones (la cuenta financiera) y por las</w:t>
      </w:r>
      <w:r>
        <w:t xml:space="preserve"> </w:t>
      </w:r>
      <w:r>
        <w:rPr>
          <w:i/>
          <w:iCs/>
        </w:rPr>
        <w:t xml:space="preserve">otras variaciones</w:t>
      </w:r>
      <w:r>
        <w:t xml:space="preserve">: precios de los activos y tipo de cambio. Pesan mucho en las economías pequeñas con monedas débiles que flotan, y explican por qué la PIIN puede mejorar o empeorar sin que cambie la cuenta financiera</w:t>
      </w:r>
      <w:r>
        <w:t xml:space="preserve"> </w:t>
      </w:r>
      <w:r>
        <w:t xml:space="preserve">(</w:t>
      </w:r>
      <w:hyperlink w:anchor="ref_LaneMilesiFerretti2007">
        <w:r>
          <w:rPr>
            <w:rStyle w:val="Hyperlink"/>
            <w:smallCaps/>
          </w:rPr>
          <w:t xml:space="preserve">Lane</w:t>
        </w:r>
        <w:r>
          <w:rPr>
            <w:rStyle w:val="Hyperlink"/>
          </w:rPr>
          <w:t xml:space="preserve"> </w:t>
        </w:r>
        <w:r>
          <w:rPr>
            <w:rStyle w:val="Hyperlink"/>
          </w:rPr>
          <w:t xml:space="preserve">y</w:t>
        </w:r>
        <w:r>
          <w:rPr>
            <w:rStyle w:val="Hyperlink"/>
          </w:rPr>
          <w:t xml:space="preserve"> </w:t>
        </w:r>
        <w:r>
          <w:rPr>
            <w:rStyle w:val="Hyperlink"/>
            <w:smallCaps/>
          </w:rPr>
          <w:t xml:space="preserve">Milesi-Ferretti</w:t>
        </w:r>
        <w:r>
          <w:rPr>
            <w:rStyle w:val="Hyperlink"/>
          </w:rPr>
          <w:t xml:space="preserve">, 2007</w:t>
        </w:r>
      </w:hyperlink>
      <w:r>
        <w:t xml:space="preserve">)</w:t>
      </w:r>
      <w:r>
        <w:t xml:space="preserve">.</w:t>
      </w:r>
    </w:p>
    <w:p>
      <w:pPr>
        <w:keepNext/>
        <w:numPr>
          <w:ilvl w:val="0"/>
          <w:numId w:val="1118"/>
        </w:numPr>
      </w:pPr>
      <w:r>
        <w:rPr>
          <w:i/>
          <w:iCs/>
        </w:rPr>
        <w:t xml:space="preserve">El signo, para un deudor neto</w:t>
      </w:r>
      <w:r>
        <w:t xml:space="preserve">, depende de qué se revalorice:</w:t>
      </w:r>
    </w:p>
    <w:p>
      <w:pPr>
        <w:numPr>
          <w:ilvl w:val="1"/>
          <w:numId w:val="1119"/>
        </w:numPr>
      </w:pPr>
      <w:r>
        <w:rPr>
          <w:b/>
          <w:bCs/>
        </w:rPr>
        <w:t xml:space="preserve">mejora</w:t>
      </w:r>
      <w:r>
        <w:t xml:space="preserve"> </w:t>
      </w:r>
      <w:r>
        <w:t xml:space="preserve">la PIIN si caen las acciones o los bonos nacionales en manos de no residentes (valen menos los pasivos), si la moneda nacional se aprecia frente a la divisa en que está su deuda, o si suben los activos exteriores de los residentes o se aprecia la divisa en que están;</w:t>
      </w:r>
    </w:p>
    <w:p>
      <w:pPr>
        <w:numPr>
          <w:ilvl w:val="1"/>
          <w:numId w:val="1119"/>
        </w:numPr>
      </w:pPr>
      <w:r>
        <w:rPr>
          <w:b/>
          <w:bCs/>
        </w:rPr>
        <w:t xml:space="preserve">empeora</w:t>
      </w:r>
      <w:r>
        <w:t xml:space="preserve"> </w:t>
      </w:r>
      <w:r>
        <w:t xml:space="preserve">en los casos contrarios: si sube la bolsa nacional, si bajan los rendimientos de sus bonos (suben sus precios y, con ellos, el valor de mercado de los pasivos), si se deprecia la moneda con deuda en divisas o si caen los activos exteriores.</w:t>
      </w:r>
    </w:p>
    <w:p>
      <w:pPr>
        <w:numPr>
          <w:ilvl w:val="0"/>
          <w:numId w:val="1118"/>
        </w:numPr>
      </w:pPr>
      <w:r>
        <w:rPr>
          <w:u w:val="single"/>
        </w:rPr>
        <w:t xml:space="preserve">Un empeoramiento de la PIIN por valoración no siempre es más vulnerabilidad</w:t>
      </w:r>
      <w:r>
        <w:t xml:space="preserve">: si suben los precios de las acciones y los bonos nacionales en manos de no residentes porque mejoran las perspectivas de la economía o por una política monetaria acomodaticia, los pasivos valen más, pero el país no está peor.</w:t>
      </w:r>
    </w:p>
    <w:bookmarkEnd w:id="228"/>
    <w:bookmarkStart w:id="229" w:name="indicadores_de_deuda_externa_y_enf_35999"/>
    <w:p>
      <w:pPr>
        <w:pStyle w:val="Heading4"/>
      </w:pPr>
      <w:r>
        <w:t xml:space="preserve">Indicadores de deuda externa y enfoque de balances</w:t>
      </w:r>
    </w:p>
    <w:p>
      <w:pPr>
        <w:keepNext/>
        <w:numPr>
          <w:ilvl w:val="0"/>
          <w:numId w:val="1120"/>
        </w:numPr>
      </w:pPr>
      <w:r>
        <w:rPr>
          <w:i/>
          <w:iCs/>
        </w:rPr>
        <w:t xml:space="preserve">Más allá de la deuda sobre el PIB</w:t>
      </w:r>
      <w:r>
        <w:t xml:space="preserve">: no todo el PIB se puede vender fuera para pagar, así que la capacidad de pago se mide también contra las</w:t>
      </w:r>
      <w:r>
        <w:t xml:space="preserve"> </w:t>
      </w:r>
      <w:r>
        <w:rPr>
          <w:b/>
          <w:bCs/>
        </w:rPr>
        <w:t xml:space="preserve">exportaciones</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21"/>
        </w:numPr>
      </w:pPr>
      <w:r>
        <w:rPr>
          <w:b/>
          <w:bCs/>
        </w:rPr>
        <w:t xml:space="preserve">deuda externa sobre exportaciones</w:t>
      </w:r>
      <w:r>
        <w:t xml:space="preserve">, y su</w:t>
      </w:r>
      <w:r>
        <w:t xml:space="preserve"> </w:t>
      </w:r>
      <w:r>
        <w:rPr>
          <w:b/>
          <w:bCs/>
        </w:rPr>
        <w:t xml:space="preserve">servicio</w:t>
      </w:r>
      <w:r>
        <w:t xml:space="preserve"> </w:t>
      </w:r>
      <w:r>
        <w:t xml:space="preserve">(intereses y amortizaciones) sobre las exportaciones o el PIB: cuánto pesan las obligaciones;</w:t>
      </w:r>
    </w:p>
    <w:p>
      <w:pPr>
        <w:numPr>
          <w:ilvl w:val="1"/>
          <w:numId w:val="1121"/>
        </w:numPr>
      </w:pPr>
      <w:r>
        <w:rPr>
          <w:b/>
          <w:bCs/>
        </w:rPr>
        <w:t xml:space="preserve">reservas sobre la deuda a corto a vencimiento residual</w:t>
      </w:r>
      <w:r>
        <w:t xml:space="preserve">: ¿hay activos líquidos si se corta la financiación?;</w:t>
      </w:r>
    </w:p>
    <w:p>
      <w:pPr>
        <w:numPr>
          <w:ilvl w:val="1"/>
          <w:numId w:val="1121"/>
        </w:numPr>
      </w:pPr>
      <w:r>
        <w:rPr>
          <w:b/>
          <w:bCs/>
        </w:rPr>
        <w:t xml:space="preserve">tipo implícito</w:t>
      </w:r>
      <w:r>
        <w:t xml:space="preserve"> </w:t>
      </w:r>
      <w:r>
        <w:t xml:space="preserve">de la deuda externa (intereses pagados sobre la deuda media), su</w:t>
      </w:r>
      <w:r>
        <w:t xml:space="preserve"> </w:t>
      </w:r>
      <w:r>
        <w:rPr>
          <w:b/>
          <w:bCs/>
        </w:rPr>
        <w:t xml:space="preserve">vida media</w:t>
      </w:r>
      <w:r>
        <w:t xml:space="preserve"> </w:t>
      </w:r>
      <w:r>
        <w:t xml:space="preserve">y la</w:t>
      </w:r>
      <w:r>
        <w:t xml:space="preserve"> </w:t>
      </w:r>
      <w:r>
        <w:rPr>
          <w:b/>
          <w:bCs/>
        </w:rPr>
        <w:t xml:space="preserve">tasa de renovación</w:t>
      </w:r>
      <w:r>
        <w:t xml:space="preserve"> </w:t>
      </w:r>
      <w:r>
        <w:t xml:space="preserve">(desembolsos brutos sobre amortizaciones): ¿son estables las fuentes de financiación?;</w:t>
      </w:r>
    </w:p>
    <w:p>
      <w:pPr>
        <w:numPr>
          <w:ilvl w:val="1"/>
          <w:numId w:val="1121"/>
        </w:numPr>
      </w:pPr>
      <w:r>
        <w:t xml:space="preserve">los</w:t>
      </w:r>
      <w:r>
        <w:t xml:space="preserve"> </w:t>
      </w:r>
      <w:r>
        <w:rPr>
          <w:b/>
          <w:bCs/>
        </w:rPr>
        <w:t xml:space="preserve">diferenciales soberanos</w:t>
      </w:r>
      <w:r>
        <w:t xml:space="preserve"> </w:t>
      </w:r>
      <w:r>
        <w:t xml:space="preserve">(como el EMBI de los emergentes) y los de los</w:t>
      </w:r>
      <w:r>
        <w:t xml:space="preserve"> </w:t>
      </w:r>
      <w:r>
        <w:rPr>
          <w:b/>
          <w:bCs/>
        </w:rPr>
        <w:t xml:space="preserve">CDS</w:t>
      </w:r>
      <w:r>
        <w:t xml:space="preserve">, que se mueven cada día: un salto brusco suele preceder a una crisis o a un frenazo de la financiación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keepNext/>
        <w:numPr>
          <w:ilvl w:val="0"/>
          <w:numId w:val="1120"/>
        </w:numPr>
      </w:pPr>
      <w:r>
        <w:rPr>
          <w:i/>
          <w:iCs/>
        </w:rPr>
        <w:t xml:space="preserve">El enfoque de balances</w:t>
      </w:r>
      <w:r>
        <w:t xml:space="preserve">: las crisis exteriores de los emergentes de finales de los años 90 no se vieron venir mirando solo los flujos, sino los</w:t>
      </w:r>
      <w:r>
        <w:t xml:space="preserve"> </w:t>
      </w:r>
      <w:r>
        <w:rPr>
          <w:i/>
          <w:iCs/>
        </w:rPr>
        <w:t xml:space="preserve">descalces</w:t>
      </w:r>
      <w:r>
        <w:t xml:space="preserve"> </w:t>
      </w:r>
      <w:r>
        <w:t xml:space="preserve">de los balances de cada sector</w:t>
      </w:r>
      <w:r>
        <w:t xml:space="preserve"> </w:t>
      </w:r>
      <w:r>
        <w:t xml:space="preserve">(</w:t>
      </w:r>
      <w:hyperlink w:anchor="ref_Allen2002Balances">
        <w:r>
          <w:rPr>
            <w:rStyle w:val="Hyperlink"/>
            <w:smallCaps/>
          </w:rPr>
          <w:t xml:space="preserve">Allen</w:t>
        </w:r>
        <w:r>
          <w:rPr>
            <w:rStyle w:val="Hyperlink"/>
          </w:rPr>
          <w:t xml:space="preserve"> </w:t>
        </w:r>
        <w:r>
          <w:rPr>
            <w:rStyle w:val="Hyperlink"/>
          </w:rPr>
          <w:t xml:space="preserve">et al., 2002</w:t>
        </w:r>
      </w:hyperlink>
      <w:r>
        <w:t xml:space="preserve">)</w:t>
      </w:r>
      <w:r>
        <w:t xml:space="preserve">:</w:t>
      </w:r>
    </w:p>
    <w:p>
      <w:pPr>
        <w:numPr>
          <w:ilvl w:val="1"/>
          <w:numId w:val="1122"/>
        </w:numPr>
      </w:pPr>
      <w:r>
        <w:t xml:space="preserve">de</w:t>
      </w:r>
      <w:r>
        <w:t xml:space="preserve"> </w:t>
      </w:r>
      <w:r>
        <w:rPr>
          <w:b/>
          <w:bCs/>
        </w:rPr>
        <w:t xml:space="preserve">plazos</w:t>
      </w:r>
      <w:r>
        <w:t xml:space="preserve"> </w:t>
      </w:r>
      <w:r>
        <w:t xml:space="preserve">(pasivos a corto frente a activos a largo);</w:t>
      </w:r>
    </w:p>
    <w:p>
      <w:pPr>
        <w:numPr>
          <w:ilvl w:val="1"/>
          <w:numId w:val="1122"/>
        </w:numPr>
      </w:pPr>
      <w:r>
        <w:t xml:space="preserve">de</w:t>
      </w:r>
      <w:r>
        <w:t xml:space="preserve"> </w:t>
      </w:r>
      <w:r>
        <w:rPr>
          <w:b/>
          <w:bCs/>
        </w:rPr>
        <w:t xml:space="preserve">monedas</w:t>
      </w:r>
      <w:r>
        <w:t xml:space="preserve"> </w:t>
      </w:r>
      <w:r>
        <w:t xml:space="preserve">(deudas en divisas e ingresos en moneda nacional), incluidos los ocultos, como la deuda indexada al tipo de cambio;</w:t>
      </w:r>
    </w:p>
    <w:p>
      <w:pPr>
        <w:numPr>
          <w:ilvl w:val="1"/>
          <w:numId w:val="1122"/>
        </w:numPr>
      </w:pPr>
      <w:r>
        <w:t xml:space="preserve">de</w:t>
      </w:r>
      <w:r>
        <w:t xml:space="preserve"> </w:t>
      </w:r>
      <w:r>
        <w:rPr>
          <w:b/>
          <w:bCs/>
        </w:rPr>
        <w:t xml:space="preserve">estructura de capital</w:t>
      </w:r>
      <w:r>
        <w:t xml:space="preserve"> </w:t>
      </w:r>
      <w:r>
        <w:t xml:space="preserve">(mucha deuda y pocos fondos propios);</w:t>
      </w:r>
    </w:p>
    <w:p>
      <w:pPr>
        <w:numPr>
          <w:ilvl w:val="1"/>
          <w:numId w:val="1122"/>
        </w:numPr>
      </w:pPr>
      <w:r>
        <w:t xml:space="preserve">de</w:t>
      </w:r>
      <w:r>
        <w:t xml:space="preserve"> </w:t>
      </w:r>
      <w:r>
        <w:rPr>
          <w:b/>
          <w:bCs/>
        </w:rPr>
        <w:t xml:space="preserve">solvencia</w:t>
      </w:r>
      <w:r>
        <w:t xml:space="preserve"> </w:t>
      </w:r>
      <w:r>
        <w:t xml:space="preserve">(activos que no cubren los pasivos).</w:t>
      </w:r>
    </w:p>
    <w:p>
      <w:pPr>
        <w:numPr>
          <w:ilvl w:val="0"/>
          <w:numId w:val="1000"/>
        </w:numPr>
      </w:pPr>
      <w:r>
        <w:t xml:space="preserve">La deuda en divisas</w:t>
      </w:r>
      <w:r>
        <w:t xml:space="preserve"> </w:t>
      </w:r>
      <w:r>
        <w:rPr>
          <w:i/>
          <w:iCs/>
        </w:rPr>
        <w:t xml:space="preserve">entre residentes</w:t>
      </w:r>
      <w:r>
        <w:t xml:space="preserve"> </w:t>
      </w:r>
      <w:r>
        <w:t xml:space="preserve">(un banco que presta en dólares a una empresa nacional) desaparece al consolidar el balance del país, pero puede desencadenar una crisis si la moneda se deprecia.</w:t>
      </w:r>
    </w:p>
    <w:bookmarkEnd w:id="229"/>
    <w:bookmarkEnd w:id="230"/>
    <w:bookmarkStart w:id="237" w:name="sec_sostenibilidad_exterior"/>
    <w:p>
      <w:pPr>
        <w:pStyle w:val="Heading2"/>
      </w:pPr>
      <w:r>
        <w:t xml:space="preserve">IV.4.</w:t>
      </w:r>
      <w:r>
        <w:t xml:space="preserve"> </w:t>
      </w:r>
      <w:r>
        <w:t xml:space="preserve">¿Es sostenible?</w:t>
      </w:r>
    </w:p>
    <w:p>
      <w:pPr>
        <w:numPr>
          <w:ilvl w:val="0"/>
          <w:numId w:val="1123"/>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95">
        <w:r>
          <w:rPr>
            <w:rStyle w:val="Referenciaatema"/>
          </w:rPr>
          <w:t xml:space="preserve">[ver tema 3.B.12]</w:t>
        </w:r>
      </w:hyperlink>
      <w:r>
        <w:t xml:space="preserve">,</w:t>
      </w:r>
      <w:r>
        <w:t xml:space="preserve"> </w:t>
      </w:r>
      <w:bookmarkStart w:id="231" w:name="eq_dinamica_piin"/>
      <w:bookmarkEnd w:id="231"/>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123"/>
        </w:numPr>
      </w:pPr>
      <w:r>
        <w:rPr>
          <w:i/>
          <w:iCs/>
        </w:rPr>
        <w:t xml:space="preserve">El saldo que estabiliza la deuda externa</w:t>
      </w:r>
      <w:r>
        <w:t xml:space="preserve">: igual que con la deuda pública, 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y</w:t>
      </w:r>
      <w:r>
        <w:t xml:space="preserve"> </w:t>
      </w:r>
      <m:oMath>
        <m:sSup>
          <m:e>
            <m:r>
              <m:t>γ</m:t>
            </m:r>
          </m:e>
          <m:sup>
            <m:r>
              <m:t>N</m:t>
            </m:r>
          </m:sup>
        </m:sSup>
      </m:oMath>
      <w:r>
        <w:t xml:space="preserve"> </w:t>
      </w:r>
      <w:r>
        <w:t xml:space="preserve">el crecimiento nominal, la ratio se estabiliza si el saldo corriente</w:t>
      </w:r>
      <w:r>
        <w:t xml:space="preserve"> </w:t>
      </w:r>
      <w:r>
        <w:rPr>
          <w:i/>
          <w:iCs/>
        </w:rPr>
        <w:t xml:space="preserve">sin intereses</w:t>
      </w:r>
      <w:r>
        <w:t xml:space="preserve"> </w:t>
      </w:r>
      <w:r>
        <w:t xml:space="preserve">(bienes, servicios, transferencias y rentas distintas de los intereses) es</w:t>
      </w:r>
    </w:p>
    <w:p>
      <w:pPr>
        <w:pStyle w:val="BodyText"/>
        <w:keepNext/>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r>
            <m:rPr>
              <m:sty m:val="p"/>
            </m:rPr>
            <m:t>.</m:t>
          </m:r>
        </m:oMath>
      </m:oMathPara>
    </w:p>
    <w:p>
      <w:pPr>
        <w:numPr>
          <w:ilvl w:val="0"/>
          <w:numId w:val="1000"/>
        </w:numPr>
      </w:pPr>
      <w:r>
        <w:t xml:space="preserve">Si el tipo supera al crecimiento, hace falta un superávit de bienes y servicios para que la deuda no crezca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3"/>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123"/>
        </w:numPr>
      </w:pPr>
      <w:r>
        <w:rPr>
          <w:i/>
          <w:iCs/>
        </w:rPr>
        <w:t xml:space="preserve">Cada determinante</w:t>
      </w:r>
      <w:r>
        <w:t xml:space="preserve">:</w:t>
      </w:r>
    </w:p>
    <w:p>
      <w:pPr>
        <w:numPr>
          <w:ilvl w:val="1"/>
          <w:numId w:val="1124"/>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124"/>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124"/>
        </w:numPr>
      </w:pPr>
      <w:r>
        <w:rPr>
          <w:i/>
          <w:iCs/>
        </w:rPr>
        <w:t xml:space="preserve">tipos de interés</w:t>
      </w:r>
      <w:r>
        <w:t xml:space="preserve"> </w:t>
      </w:r>
      <w:r>
        <w:t xml:space="preserve">(</w:t>
      </w:r>
      <m:oMath>
        <m:r>
          <m:rPr>
            <m:sty m:val="p"/>
          </m:rPr>
          <m:t>−</m:t>
        </m:r>
      </m:oMath>
      <w:r>
        <w:t xml:space="preserve">);</w:t>
      </w:r>
    </w:p>
    <w:p>
      <w:pPr>
        <w:numPr>
          <w:ilvl w:val="1"/>
          <w:numId w:val="1124"/>
        </w:numPr>
      </w:pPr>
      <w:r>
        <w:rPr>
          <w:i/>
          <w:iCs/>
        </w:rPr>
        <w:t xml:space="preserve">inflación</w:t>
      </w:r>
      <w:r>
        <w:t xml:space="preserve"> </w:t>
      </w:r>
      <w:r>
        <w:t xml:space="preserve">(ambigua): solo licúa la deuda emitida en moneda nacional;</w:t>
      </w:r>
    </w:p>
    <w:p>
      <w:pPr>
        <w:numPr>
          <w:ilvl w:val="1"/>
          <w:numId w:val="1124"/>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124"/>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124"/>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123"/>
        </w:numPr>
      </w:pPr>
      <w:r>
        <w:rPr>
          <w:i/>
          <w:iCs/>
        </w:rPr>
        <w:t xml:space="preserve">El frenazo súbito</w:t>
      </w:r>
      <w:r>
        <w:t xml:space="preserve">: si la financiación se corta de golpe (</w:t>
      </w:r>
      <w:r>
        <w:rPr>
          <w:i/>
          <w:iCs/>
        </w:rPr>
        <w:t xml:space="preserve">sudden stop</w:t>
      </w:r>
      <w:r>
        <w:t xml:space="preserve">), el déficit tiene que cerrarse en meses. El ajuste llega por la</w:t>
      </w:r>
      <w:r>
        <w:t xml:space="preserve"> </w:t>
      </w:r>
      <w:r>
        <w:rPr>
          <w:b/>
          <w:bCs/>
        </w:rPr>
        <w:t xml:space="preserve">compresión de las importaciones</w:t>
      </w:r>
      <w:r>
        <w:t xml:space="preserve">, que exige hundir el consumo y la inversión, con depreciación y tipos muy altos: el coste en actividad es enorme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w:t>
      </w:r>
    </w:p>
    <w:p>
      <w:pPr>
        <w:numPr>
          <w:ilvl w:val="0"/>
          <w:numId w:val="1123"/>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bookmarkStart w:id="236" w:name="financiar_o_ajustar"/>
    <w:p>
      <w:pPr>
        <w:pStyle w:val="Heading4"/>
      </w:pPr>
      <w:r>
        <w:t xml:space="preserve">Financiar o ajustar</w:t>
      </w:r>
    </w:p>
    <w:p>
      <w:pPr>
        <w:numPr>
          <w:ilvl w:val="0"/>
          <w:numId w:val="1125"/>
        </w:numPr>
      </w:pPr>
      <w:r>
        <w:t xml:space="preserve">Ante un déficit corriente que se amplía, la pregunta de política es si se</w:t>
      </w:r>
      <w:r>
        <w:t xml:space="preserve"> </w:t>
      </w:r>
      <w:r>
        <w:rPr>
          <w:b/>
          <w:bCs/>
        </w:rPr>
        <w:t xml:space="preserve">financia</w:t>
      </w:r>
      <w:r>
        <w:t xml:space="preserve"> </w:t>
      </w:r>
      <w:r>
        <w:t xml:space="preserve">o se</w:t>
      </w:r>
      <w:r>
        <w:t xml:space="preserve"> </w:t>
      </w:r>
      <w:r>
        <w:rPr>
          <w:b/>
          <w:bCs/>
        </w:rPr>
        <w:t xml:space="preserve">ajusta</w:t>
      </w:r>
      <w:r>
        <w:t xml:space="preserve">.</w:t>
      </w:r>
      <w:r>
        <w:t xml:space="preserve"> </w:t>
      </w:r>
      <w:r>
        <w:rPr>
          <w:u w:val="single"/>
        </w:rPr>
        <w:t xml:space="preserve">Lo temporal se financia; lo permanente se ajusta</w:t>
      </w:r>
      <w:r>
        <w:t xml:space="preserve">: un choque pasajero (una mala cosecha, un bache de los precios de exportación) puede cubrirse con reservas o deuda si la posición lo permite, pero uno permanente exige cambiar el gasto o los precios relativos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5"/>
        </w:numPr>
      </w:pPr>
      <w:r>
        <w:t xml:space="preserve">Para saber cuál es cada caso se recorren las 3 lecturas de la identidad: la de las subcuentas, la del ahorro y la inversión, y la de la renta y la absorción (gráfico </w:t>
      </w:r>
      <w:hyperlink w:anchor="fig_arbol_deficit">
        <w:r>
          <w:rPr>
            <w:rStyle w:val="Hyperlink"/>
          </w:rPr>
          <w:t xml:space="preserve">19</w:t>
        </w:r>
      </w:hyperlink>
      <w:r>
        <w:t xml:space="preserve">).</w:t>
      </w:r>
    </w:p>
    <w:p>
      <w:pPr>
        <w:numPr>
          <w:ilvl w:val="0"/>
          <w:numId w:val="1125"/>
        </w:numPr>
      </w:pPr>
      <w:r>
        <w:t xml:space="preserve">El ajuste combina 2 tipos de políticas</w:t>
      </w:r>
      <w:r>
        <w:t xml:space="preserve"> </w:t>
      </w:r>
      <w:r>
        <w:t xml:space="preserve">(</w:t>
      </w:r>
      <w:hyperlink w:anchor="ref_Johnson1958">
        <w:r>
          <w:rPr>
            <w:rStyle w:val="Hyperlink"/>
            <w:smallCaps/>
          </w:rPr>
          <w:t xml:space="preserve">Johnson</w:t>
        </w:r>
        <w:r>
          <w:rPr>
            <w:rStyle w:val="Hyperlink"/>
          </w:rPr>
          <w:t xml:space="preserve">, 1958</w:t>
        </w:r>
      </w:hyperlink>
      <w:r>
        <w:t xml:space="preserve">)</w:t>
      </w:r>
      <w:r>
        <w:t xml:space="preserve">: las</w:t>
      </w:r>
      <w:r>
        <w:t xml:space="preserve"> </w:t>
      </w:r>
      <w:r>
        <w:rPr>
          <w:b/>
          <w:bCs/>
        </w:rPr>
        <w:t xml:space="preserve">reductoras del gasto</w:t>
      </w:r>
      <w:r>
        <w:t xml:space="preserve"> </w:t>
      </w:r>
      <w:r>
        <w:t xml:space="preserve">(fiscal y monetaria contractivas: bajan la absorción) y las</w:t>
      </w:r>
      <w:r>
        <w:t xml:space="preserve"> </w:t>
      </w:r>
      <w:r>
        <w:rPr>
          <w:b/>
          <w:bCs/>
        </w:rPr>
        <w:t xml:space="preserve">desviadoras del gasto</w:t>
      </w:r>
      <w:r>
        <w:t xml:space="preserve"> </w:t>
      </w:r>
      <w:r>
        <w:t xml:space="preserve">(una depreciación real o más competitividad: desplazan el gasto hacia la producción nacional). Con la brecha negativa conviene usar más las segundas, para no hundir la actividad.</w:t>
      </w:r>
    </w:p>
    <w:p>
      <w:pPr>
        <w:numPr>
          <w:ilvl w:val="0"/>
          <w:numId w:val="1125"/>
        </w:numPr>
      </w:pPr>
      <w:r>
        <w:rPr>
          <w:i/>
          <w:iCs/>
        </w:rPr>
        <w:t xml:space="preserve">Prudencia en las épocas buenas</w:t>
      </w:r>
      <w:r>
        <w:t xml:space="preserve">: como es difícil distinguir a tiempo un choque temporal de uno permanente, conviene llegar a las crisis con deuda baja y reservas amplias.</w:t>
      </w:r>
    </w:p>
    <w:bookmarkStart w:id="235" w:name="fig_arbol_deficit"/>
    <w:p>
      <w:pPr>
        <w:pStyle w:val="ImageCaption"/>
      </w:pPr>
      <w:r>
        <w:t xml:space="preserve">Gráfico 19.–</w:t>
      </w:r>
      <w:r>
        <w:t xml:space="preserve"> </w:t>
      </w:r>
      <w:r>
        <w:t xml:space="preserve">Un déficit corriente que se amplía: diagnóstico y tratamiento</w:t>
      </w:r>
    </w:p>
    <w:p>
      <w:pPr>
        <w:pStyle w:val="CaptionedFigure"/>
      </w:pPr>
      <w:r>
        <w:drawing>
          <wp:inline>
            <wp:extent cx="5428294" cy="2920575"/>
            <wp:effectExtent b="0" l="0" r="0" t="0"/>
            <wp:docPr descr="Gráfico 19.– Un déficit corriente que se amplía: diagnóstico y tratamiento" title="" id="233" name="Picture"/>
            <a:graphic>
              <a:graphicData uri="http://schemas.openxmlformats.org/drawingml/2006/picture">
                <pic:pic>
                  <pic:nvPicPr>
                    <pic:cNvPr descr="C:\Users\vgutierrez\Documents\src\victorgutierrezmarcos.github.io-revision\oposicion\temario\fuentes\1D01\graficos/arbol-deficit-corriente.png" id="234" name="Picture"/>
                    <pic:cNvPicPr>
                      <a:picLocks noChangeArrowheads="1" noChangeAspect="1"/>
                    </pic:cNvPicPr>
                  </pic:nvPicPr>
                  <pic:blipFill>
                    <a:blip r:embed="rId232"/>
                    <a:stretch>
                      <a:fillRect/>
                    </a:stretch>
                  </pic:blipFill>
                  <pic:spPr bwMode="auto">
                    <a:xfrm>
                      <a:off x="0" y="0"/>
                      <a:ext cx="5428294" cy="2920575"/>
                    </a:xfrm>
                    <a:prstGeom prst="rect">
                      <a:avLst/>
                    </a:prstGeom>
                    <a:noFill/>
                    <a:ln w="9525">
                      <a:noFill/>
                      <a:headEnd/>
                      <a:tailEnd/>
                    </a:ln>
                  </pic:spPr>
                </pic:pic>
              </a:graphicData>
            </a:graphic>
          </wp:inline>
        </w:drawing>
      </w:r>
    </w:p>
    <w:bookmarkEnd w:id="235"/>
    <w:p>
      <w:pPr>
        <w:pStyle w:val="Piedeimagen"/>
      </w:pPr>
      <w:r>
        <w:t xml:space="preserve">Fuente: Elaboración propia a partir del enfoque de programación financiera del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Qué hay que ver: cada una de las 3 lecturas de la identidad de la balanza de pagos lleva a una rama; en verde, los casos en que se puede financiar; en teja, los que piden ajustar.</w:t>
      </w:r>
    </w:p>
    <w:p>
      <w:pPr>
        <w:numPr>
          <w:ilvl w:val="0"/>
          <w:numId w:val="1126"/>
        </w:numPr>
      </w:pPr>
      <w:r>
        <w:rPr>
          <w:i/>
          <w:iCs/>
        </w:rPr>
        <w:t xml:space="preserve">Recapitulación</w:t>
      </w:r>
      <w:r>
        <w:t xml:space="preserve">: capacidad o necesidad (subcuentas, ahorro e inversión, sectores), financiación (instrumentos y reservas), posición (PIIN, composición, valoración y dinámica) y sostenibilidad (financiar o ajustar). Con el diagnóstico de todos los bloques, pasamos a las políticas.</w:t>
      </w:r>
    </w:p>
    <w:bookmarkEnd w:id="236"/>
    <w:bookmarkEnd w:id="237"/>
    <w:bookmarkEnd w:id="238"/>
    <w:bookmarkStart w:id="320" w:name="sec_politicas"/>
    <w:p>
      <w:pPr>
        <w:pStyle w:val="Heading1"/>
      </w:pPr>
      <w:r>
        <w:t xml:space="preserve">V.</w:t>
      </w:r>
      <w:r>
        <w:t xml:space="preserve"> </w:t>
      </w:r>
      <w:r>
        <w:t xml:space="preserve">Políticas</w:t>
      </w:r>
    </w:p>
    <w:p>
      <w:pPr>
        <w:numPr>
          <w:ilvl w:val="0"/>
          <w:numId w:val="1127"/>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2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bookmarkStart w:id="239" w:name="dise__o_objetivo_e_instrumentos"/>
    <w:p>
      <w:pPr>
        <w:pStyle w:val="Heading4"/>
      </w:pPr>
      <w:r>
        <w:t xml:space="preserve">Diseño, objetivo e instrumentos</w:t>
      </w:r>
    </w:p>
    <w:p>
      <w:pPr>
        <w:numPr>
          <w:ilvl w:val="0"/>
          <w:numId w:val="1128"/>
        </w:numPr>
      </w:pPr>
      <w:r>
        <w:rPr>
          <w:i/>
          <w:iCs/>
        </w:rPr>
        <w:t xml:space="preserve">Diseño</w:t>
      </w:r>
      <w:r>
        <w:t xml:space="preserve">: hay cierto consenso en que la política monetaria apenas altera el nivel de actividad a largo plazo, aunque sí a corto. Por eso</w:t>
      </w:r>
      <w:r>
        <w:t xml:space="preserve"> </w:t>
      </w:r>
      <w:r>
        <w:rPr>
          <w:u w:val="single"/>
        </w:rPr>
        <w:t xml:space="preserve">el papel básico de los bancos centrales es controlar la inflación</w:t>
      </w:r>
      <w:r>
        <w:t xml:space="preserve">,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89">
        <w:r>
          <w:rPr>
            <w:rStyle w:val="Referenciaatema"/>
          </w:rPr>
          <w:t xml:space="preserve">[ver tema 3.A.36]</w:t>
        </w:r>
      </w:hyperlink>
      <w:r>
        <w:t xml:space="preserve">.</w:t>
      </w:r>
    </w:p>
    <w:p>
      <w:pPr>
        <w:keepNext/>
        <w:numPr>
          <w:ilvl w:val="0"/>
          <w:numId w:val="1128"/>
        </w:numPr>
      </w:pPr>
      <w:r>
        <w:rPr>
          <w:i/>
          <w:iCs/>
        </w:rPr>
        <w:t xml:space="preserve">El objetivo aparente</w:t>
      </w:r>
      <w:r>
        <w:t xml:space="preserve">: si el cuadro no lo dice, se deduce de cómo se comporta el banco central:</w:t>
      </w:r>
    </w:p>
    <w:p>
      <w:pPr>
        <w:numPr>
          <w:ilvl w:val="1"/>
          <w:numId w:val="1129"/>
        </w:numPr>
      </w:pPr>
      <w:r>
        <w:t xml:space="preserve">si sube los tipos con fuerza cuando sube la inflación, persigue un</w:t>
      </w:r>
      <w:r>
        <w:t xml:space="preserve"> </w:t>
      </w:r>
      <w:r>
        <w:rPr>
          <w:b/>
          <w:bCs/>
        </w:rPr>
        <w:t xml:space="preserve">objetivo de inflación</w:t>
      </w:r>
      <w:r>
        <w:t xml:space="preserve">;</w:t>
      </w:r>
    </w:p>
    <w:p>
      <w:pPr>
        <w:numPr>
          <w:ilvl w:val="1"/>
          <w:numId w:val="1129"/>
        </w:numPr>
      </w:pPr>
      <w:r>
        <w:t xml:space="preserve">si los baja en plena estanflación, pesa más la</w:t>
      </w:r>
      <w:r>
        <w:t xml:space="preserve"> </w:t>
      </w:r>
      <w:r>
        <w:rPr>
          <w:b/>
          <w:bCs/>
        </w:rPr>
        <w:t xml:space="preserve">estabilización de la actividad</w:t>
      </w:r>
      <w:r>
        <w:t xml:space="preserve">;</w:t>
      </w:r>
    </w:p>
    <w:p>
      <w:pPr>
        <w:numPr>
          <w:ilvl w:val="1"/>
          <w:numId w:val="1129"/>
        </w:numPr>
      </w:pPr>
      <w:r>
        <w:t xml:space="preserve">si mueve los tipos o las reservas para frenar la apreciación o la depreciación, tiene un</w:t>
      </w:r>
      <w:r>
        <w:t xml:space="preserve"> </w:t>
      </w:r>
      <w:r>
        <w:rPr>
          <w:b/>
          <w:bCs/>
        </w:rPr>
        <w:t xml:space="preserve">objetivo cambiario</w:t>
      </w:r>
      <w:r>
        <w:t xml:space="preserve"> </w:t>
      </w:r>
      <w:r>
        <w:t xml:space="preserve">(aunque diga que flota);</w:t>
      </w:r>
    </w:p>
    <w:p>
      <w:pPr>
        <w:numPr>
          <w:ilvl w:val="1"/>
          <w:numId w:val="1129"/>
        </w:numPr>
      </w:pPr>
      <w:r>
        <w:t xml:space="preserve">en un país pequeño de una</w:t>
      </w:r>
      <w:r>
        <w:t xml:space="preserve"> </w:t>
      </w:r>
      <w:r>
        <w:rPr>
          <w:b/>
          <w:bCs/>
        </w:rPr>
        <w:t xml:space="preserve">unión monetaria</w:t>
      </w:r>
      <w:r>
        <w:t xml:space="preserve">, la política no responde a su ciclo sino al del conjunto: puede ser demasiado laxa en un auge propio o demasiado dura en una recesión propia.</w:t>
      </w:r>
    </w:p>
    <w:p>
      <w:pPr>
        <w:numPr>
          <w:ilvl w:val="0"/>
          <w:numId w:val="1128"/>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28"/>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bookmarkEnd w:id="239"/>
    <w:bookmarkStart w:id="246" w:name="tono"/>
    <w:p>
      <w:pPr>
        <w:pStyle w:val="Heading4"/>
      </w:pPr>
      <w:r>
        <w:t xml:space="preserve">Tono</w:t>
      </w:r>
    </w:p>
    <w:p>
      <w:pPr>
        <w:numPr>
          <w:ilvl w:val="0"/>
          <w:numId w:val="1130"/>
        </w:numPr>
      </w:pPr>
      <w:r>
        <w:rPr>
          <w:i/>
          <w:iCs/>
        </w:rPr>
        <w:t xml:space="preserve">Cómo se juzga</w:t>
      </w:r>
      <w:r>
        <w:t xml:space="preserve">:</w:t>
      </w:r>
      <w:r>
        <w:t xml:space="preserve"> </w:t>
      </w:r>
      <w:r>
        <w:rPr>
          <w:u w:val="single"/>
        </w:rPr>
        <w:t xml:space="preserve">por el</w:t>
      </w:r>
      <w:r>
        <w:rPr>
          <w:u w:val="single"/>
        </w:rPr>
        <w:t xml:space="preserve"> </w:t>
      </w:r>
      <w:r>
        <w:rPr>
          <w:i/>
          <w:iCs/>
          <w:u w:val="single"/>
        </w:rPr>
        <w:t xml:space="preserve">nivel</w:t>
      </w:r>
      <w:r>
        <w:rPr>
          <w:u w:val="single"/>
        </w:rPr>
        <w:t xml:space="preserve"> </w:t>
      </w:r>
      <w:r>
        <w:rPr>
          <w:u w:val="single"/>
        </w:rPr>
        <w:t xml:space="preserve">del tipo real a corto frente al tipo real natural, no por si el tipo nominal sube o baja</w:t>
      </w:r>
      <w:r>
        <w:t xml:space="preserve">. Con</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la política es</w:t>
      </w:r>
      <w:r>
        <w:t xml:space="preserve"> </w:t>
      </w:r>
      <w:r>
        <w:rPr>
          <w:b/>
          <w:b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w:t>
      </w:r>
      <w:r>
        <w:t xml:space="preserve"> </w:t>
      </w:r>
      <w:r>
        <w:rPr>
          <w:b/>
          <w:bCs/>
        </w:rPr>
        <w:t xml:space="preserve">neutral</w:t>
      </w:r>
      <w:r>
        <w:t xml:space="preserve"> </w:t>
      </w:r>
      <w:r>
        <w:t xml:space="preserve">si</w:t>
      </w:r>
      <w:r>
        <w:t xml:space="preserve"> </w:t>
      </w:r>
      <m:oMath>
        <m:sSub>
          <m:e>
            <m:r>
              <m:t>r</m:t>
            </m:r>
          </m:e>
          <m:sub>
            <m:r>
              <m:t>t</m:t>
            </m:r>
          </m:sub>
        </m:sSub>
        <m:r>
          <m:rPr>
            <m:sty m:val="p"/>
          </m:rPr>
          <m:t>≈</m:t>
        </m:r>
        <m:sSup>
          <m:e>
            <m:r>
              <m:t>r</m:t>
            </m:r>
          </m:e>
          <m:sup>
            <m:r>
              <m:t>n</m:t>
            </m:r>
          </m:sup>
        </m:sSup>
      </m:oMath>
      <w:r>
        <w:t xml:space="preserve">;</w:t>
      </w:r>
      <w:r>
        <w:t xml:space="preserve"> </w:t>
      </w:r>
      <w:r>
        <w:rPr>
          <w:b/>
          <w:bCs/>
        </w:rPr>
        <w:t xml:space="preserve">contractiva</w:t>
      </w:r>
      <w:r>
        <w:t xml:space="preserve"> </w:t>
      </w:r>
      <w:r>
        <w:t xml:space="preserve">si</w:t>
      </w:r>
      <w:r>
        <w:t xml:space="preserve"> </w:t>
      </w:r>
      <m:oMath>
        <m:sSub>
          <m:e>
            <m:r>
              <m:t>r</m:t>
            </m:r>
          </m:e>
          <m:sub>
            <m:r>
              <m:t>t</m:t>
            </m:r>
          </m:sub>
        </m:sSub>
        <m:r>
          <m:rPr>
            <m:sty m:val="p"/>
          </m:rPr>
          <m:t>&gt;</m:t>
        </m:r>
        <m:sSup>
          <m:e>
            <m:r>
              <m:t>r</m:t>
            </m:r>
          </m:e>
          <m:sup>
            <m:r>
              <m:t>n</m:t>
            </m:r>
          </m:sup>
        </m:sSup>
      </m:oMath>
      <w:r>
        <w:t xml:space="preserve"> </w:t>
      </w:r>
      <w:r>
        <w:t xml:space="preserve">(gráfico </w:t>
      </w:r>
      <w:hyperlink w:anchor="fig_esquema_tono">
        <w:r>
          <w:rPr>
            <w:rStyle w:val="Hyperlink"/>
          </w:rPr>
          <w:t xml:space="preserve">20</w:t>
        </w:r>
      </w:hyperlink>
      <w:r>
        <w:t xml:space="preserve">).</w:t>
      </w:r>
    </w:p>
    <w:p>
      <w:pPr>
        <w:numPr>
          <w:ilvl w:val="0"/>
          <w:numId w:val="1130"/>
        </w:numPr>
      </w:pPr>
      <w:r>
        <w:t xml:space="preserve">Como</w:t>
      </w:r>
      <w:r>
        <w:t xml:space="preserve"> </w:t>
      </w:r>
      <m:oMath>
        <m:sSup>
          <m:e>
            <m:r>
              <m:t>r</m:t>
            </m:r>
          </m:e>
          <m:sup>
            <m:r>
              <m:t>n</m:t>
            </m:r>
          </m:sup>
        </m:sSup>
      </m:oMath>
      <w:r>
        <w:t xml:space="preserve"> </w:t>
      </w:r>
      <w:r>
        <w:t xml:space="preserve">no se observa, se completa con la</w:t>
      </w:r>
      <w:r>
        <w:t xml:space="preserve"> </w:t>
      </w:r>
      <w:r>
        <w:rPr>
          <w:b/>
          <w:bCs/>
        </w:rPr>
        <w:t xml:space="preserve">regla de</w:t>
      </w:r>
      <w:r>
        <w:rPr>
          <w:b/>
          <w:bCs/>
        </w:rPr>
        <w:t xml:space="preserve"> </w:t>
      </w:r>
      <w:r>
        <w:rPr>
          <w:b/>
          <w:bCs/>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bookmarkStart w:id="240" w:name="eq_taylor"/>
    <w:bookmarkEnd w:id="240"/>
    <w:p>
      <w:pPr>
        <w:pStyle w:val="Funcionclave"/>
        <w:keepLines/>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oMath>
      </m:oMathPara>
    </w:p>
    <w:p>
      <w:pPr>
        <w:numPr>
          <w:ilvl w:val="0"/>
          <w:numId w:val="1000"/>
        </w:numPr>
      </w:pPr>
      <w:r>
        <w:t xml:space="preserve">Si el tipo oficial está muy por debajo del que da la regla, la política es expansiva para lo que piden la inflación y la brecha. Una aproximación todavía más tosca, solo orientativa: cuanto más bajo sea el tipo real frente al crecimiento potencial, más expansiva es la política (el tipo natural</w:t>
      </w:r>
      <w:r>
        <w:t xml:space="preserve"> </w:t>
      </w:r>
      <w:r>
        <w:rPr>
          <w:i/>
          <w:iCs/>
        </w:rPr>
        <w:t xml:space="preserve">no</w:t>
      </w:r>
      <w:r>
        <w:t xml:space="preserve"> </w:t>
      </w:r>
      <w:r>
        <w:t xml:space="preserve">es el crecimiento potencial, pero se mueven en la misma dirección).</w:t>
      </w:r>
      <w:r>
        <w:rPr>
          <w:rStyle w:val="FootnoteReference"/>
        </w:rPr>
        <w:footnoteReference w:id="241"/>
      </w:r>
    </w:p>
    <w:p>
      <w:pPr>
        <w:numPr>
          <w:ilvl w:val="0"/>
          <w:numId w:val="1130"/>
        </w:numPr>
      </w:pPr>
      <w:r>
        <w:rPr>
          <w:i/>
          <w:iCs/>
        </w:rPr>
        <w:t xml:space="preserve">Con los tipos en su límite inferior</w:t>
      </w:r>
      <w:r>
        <w:t xml:space="preserve">, el tono se ve en el</w:t>
      </w:r>
      <w:r>
        <w:t xml:space="preserve"> </w:t>
      </w:r>
      <w:r>
        <w:rPr>
          <w:b/>
          <w:bCs/>
        </w:rPr>
        <w:t xml:space="preserve">balance del banco central</w:t>
      </w:r>
      <w:r>
        <w:t xml:space="preserve">: las compras de activos se reflejan en parte en los agregados monetarios, como M3.</w:t>
      </w:r>
    </w:p>
    <w:p>
      <w:pPr>
        <w:numPr>
          <w:ilvl w:val="0"/>
          <w:numId w:val="1130"/>
        </w:numPr>
      </w:pPr>
      <w:r>
        <w:rPr>
          <w:i/>
          <w:iCs/>
        </w:rPr>
        <w:t xml:space="preserve">En un brote de inflación hay que matizar</w:t>
      </w:r>
      <w:r>
        <w:t xml:space="preserve">: un banco central puede subir con fuerza el tipo nominal y, aun así, el tipo real caer si la inflación sube más (fue el caso de muchos bancos centrales en 2022</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 Una salvedad útil: «aunque los agentes deciden con el tipo real, la fuerte subida del tipo nominal al final de la serie indica un endurecimiento de la política monetaria».</w:t>
      </w:r>
    </w:p>
    <w:p>
      <w:pPr>
        <w:numPr>
          <w:ilvl w:val="0"/>
          <w:numId w:val="1130"/>
        </w:numPr>
      </w:pPr>
      <w:r>
        <w:rPr>
          <w:i/>
          <w:iCs/>
        </w:rPr>
        <w:t xml:space="preserve">Relación con el ciclo</w:t>
      </w:r>
      <w:r>
        <w:t xml:space="preserve">:</w:t>
      </w:r>
      <w:r>
        <w:t xml:space="preserve"> </w:t>
      </w:r>
      <w:r>
        <w:rPr>
          <w:b/>
          <w:bCs/>
        </w:rPr>
        <w:t xml:space="preserve">contracíclica</w:t>
      </w:r>
      <w:r>
        <w:t xml:space="preserve"> </w:t>
      </w:r>
      <w:r>
        <w:t xml:space="preserve">si sube los tipos con la brecha positiva y los baja con la negativa; procíclica si hace lo contrario. Con un desfase de 1-2 años, una política pensada como contracíclica puede acabar siendo procíclica.</w:t>
      </w:r>
    </w:p>
    <w:bookmarkStart w:id="245" w:name="fig_esquema_tono"/>
    <w:p>
      <w:pPr>
        <w:pStyle w:val="ImageCaption"/>
      </w:pPr>
      <w:r>
        <w:t xml:space="preserve">Gráfico 20.–</w:t>
      </w:r>
      <w:r>
        <w:t xml:space="preserve"> </w:t>
      </w:r>
      <w:r>
        <w:t xml:space="preserve">El tono de las políticas monetaria y fiscal</w:t>
      </w:r>
    </w:p>
    <w:p>
      <w:pPr>
        <w:pStyle w:val="CaptionedFigure"/>
      </w:pPr>
      <w:r>
        <w:drawing>
          <wp:inline>
            <wp:extent cx="3085717" cy="1162113"/>
            <wp:effectExtent b="0" l="0" r="0" t="0"/>
            <wp:docPr descr="Gráfico 20.– El tono de las políticas monetaria y fiscal" title="" id="243" name="Picture"/>
            <a:graphic>
              <a:graphicData uri="http://schemas.openxmlformats.org/drawingml/2006/picture">
                <pic:pic>
                  <pic:nvPicPr>
                    <pic:cNvPr descr="C:\Users\vgutierrez\Documents\src\victorgutierrezmarcos.github.io-revision\oposicion\temario\fuentes\1D01\graficos/esquema-tono-politicas.png" id="244" name="Picture"/>
                    <pic:cNvPicPr>
                      <a:picLocks noChangeArrowheads="1" noChangeAspect="1"/>
                    </pic:cNvPicPr>
                  </pic:nvPicPr>
                  <pic:blipFill>
                    <a:blip r:embed="rId242"/>
                    <a:stretch>
                      <a:fillRect/>
                    </a:stretch>
                  </pic:blipFill>
                  <pic:spPr bwMode="auto">
                    <a:xfrm>
                      <a:off x="0" y="0"/>
                      <a:ext cx="3085717" cy="1162113"/>
                    </a:xfrm>
                    <a:prstGeom prst="rect">
                      <a:avLst/>
                    </a:prstGeom>
                    <a:noFill/>
                    <a:ln w="9525">
                      <a:noFill/>
                      <a:headEnd/>
                      <a:tailEnd/>
                    </a:ln>
                  </pic:spPr>
                </pic:pic>
              </a:graphicData>
            </a:graphic>
          </wp:inline>
        </w:drawing>
      </w:r>
    </w:p>
    <w:bookmarkEnd w:id="245"/>
    <w:p>
      <w:pPr>
        <w:pStyle w:val="Piedeimagen"/>
      </w:pPr>
      <w:r>
        <w:t xml:space="preserve">Fuente: Elaboración propia. Qué hay que ver: el tono monetario se lee en el</w:t>
      </w:r>
      <w:r>
        <w:t xml:space="preserve"> </w:t>
      </w:r>
      <w:r>
        <w:rPr>
          <w:i/>
          <w:iCs/>
        </w:rPr>
        <w:t xml:space="preserve">nivel</w:t>
      </w:r>
      <w:r>
        <w:t xml:space="preserve"> </w:t>
      </w:r>
      <w:r>
        <w:t xml:space="preserve">del tipo real frente al natural; el fiscal, en la</w:t>
      </w:r>
      <w:r>
        <w:t xml:space="preserve"> </w:t>
      </w:r>
      <w:r>
        <w:rPr>
          <w:i/>
          <w:iCs/>
        </w:rPr>
        <w:t xml:space="preserve">variación</w:t>
      </w:r>
      <w:r>
        <w:t xml:space="preserve"> </w:t>
      </w:r>
      <w:r>
        <w:t xml:space="preserve">del saldo estructural primario (apartado </w:t>
      </w:r>
      <w:hyperlink w:anchor="sec_fiscal">
        <w:r>
          <w:rPr>
            <w:rStyle w:val="Hyperlink"/>
          </w:rPr>
          <w:t xml:space="preserve">V.3</w:t>
        </w:r>
      </w:hyperlink>
      <w:r>
        <w:t xml:space="preserve">).</w:t>
      </w:r>
    </w:p>
    <w:bookmarkEnd w:id="246"/>
    <w:bookmarkStart w:id="252" w:name="canales_de_transmisi__n_y_eficacia"/>
    <w:p>
      <w:pPr>
        <w:pStyle w:val="Heading4"/>
      </w:pPr>
      <w:r>
        <w:t xml:space="preserve">Canales de transmisión y eficacia</w:t>
      </w:r>
    </w:p>
    <w:p>
      <w:pPr>
        <w:keepNext/>
        <w:numPr>
          <w:ilvl w:val="0"/>
          <w:numId w:val="1131"/>
        </w:numPr>
      </w:pPr>
      <w:r>
        <w:rPr>
          <w:i/>
          <w:iCs/>
        </w:rPr>
        <w:t xml:space="preserve">Los canales</w:t>
      </w:r>
      <w:r>
        <w:t xml:space="preserve"> </w:t>
      </w:r>
      <w:hyperlink r:id="rId247">
        <w:r>
          <w:rPr>
            <w:rStyle w:val="Referenciaatema"/>
          </w:rPr>
          <w:t xml:space="preserve">[ver tema 3.A.37]</w:t>
        </w:r>
      </w:hyperlink>
      <w:r>
        <w:t xml:space="preserve"> </w:t>
      </w:r>
      <w:r>
        <w:t xml:space="preserve">(gráfico </w:t>
      </w:r>
      <w:hyperlink w:anchor="fig_esquema_canales">
        <w:r>
          <w:rPr>
            <w:rStyle w:val="Hyperlink"/>
          </w:rPr>
          <w:t xml:space="preserve">21</w:t>
        </w:r>
      </w:hyperlink>
      <w:r>
        <w:t xml:space="preserve">):</w:t>
      </w:r>
    </w:p>
    <w:p>
      <w:pPr>
        <w:numPr>
          <w:ilvl w:val="1"/>
          <w:numId w:val="1132"/>
        </w:numPr>
      </w:pPr>
      <w:r>
        <w:rPr>
          <w:b/>
          <w:bCs/>
        </w:rPr>
        <w:t xml:space="preserve">tipo de interés</w:t>
      </w:r>
      <w:r>
        <w:t xml:space="preserve">: del tipo oficial a la curva de tipos y a los tipos de préstamos y depósitos, y de ahí al consumo y la inversión;</w:t>
      </w:r>
    </w:p>
    <w:p>
      <w:pPr>
        <w:numPr>
          <w:ilvl w:val="1"/>
          <w:numId w:val="1132"/>
        </w:numPr>
      </w:pPr>
      <w:r>
        <w:rPr>
          <w:b/>
          <w:bCs/>
        </w:rPr>
        <w:t xml:space="preserve">crédito</w:t>
      </w:r>
      <w:r>
        <w:t xml:space="preserve">: la oferta de crédito de los bancos y el valor de las garantías de los prestatarios;</w:t>
      </w:r>
    </w:p>
    <w:p>
      <w:pPr>
        <w:numPr>
          <w:ilvl w:val="1"/>
          <w:numId w:val="1132"/>
        </w:numPr>
      </w:pPr>
      <w:r>
        <w:rPr>
          <w:b/>
          <w:b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32"/>
        </w:numPr>
      </w:pPr>
      <w:r>
        <w:rPr>
          <w:b/>
          <w:bCs/>
        </w:rPr>
        <w:t xml:space="preserve">tipo de cambio</w:t>
      </w:r>
      <w:r>
        <w:t xml:space="preserve">: un tipo más alto aprecia la moneda y reduce la inflación importada;</w:t>
      </w:r>
    </w:p>
    <w:p>
      <w:pPr>
        <w:numPr>
          <w:ilvl w:val="1"/>
          <w:numId w:val="1132"/>
        </w:numPr>
      </w:pPr>
      <w:r>
        <w:rPr>
          <w:b/>
          <w:bCs/>
        </w:rPr>
        <w:t xml:space="preserve">expectativas</w:t>
      </w:r>
      <w:r>
        <w:t xml:space="preserve">: si la política es creíble, ancla las de inflación y modera salarios y precios.</w:t>
      </w:r>
    </w:p>
    <w:p>
      <w:pPr>
        <w:numPr>
          <w:ilvl w:val="0"/>
          <w:numId w:val="1131"/>
        </w:numPr>
      </w:pPr>
      <w:r>
        <w:rPr>
          <w:i/>
          <w:iCs/>
        </w:rPr>
        <w:t xml:space="preserve">Retardos</w:t>
      </w:r>
      <w:r>
        <w:t xml:space="preserve">: la política tarda en hacer efecto. Según un metaanálisis de los estudios publicados, el efecto máximo sobre los precios llega, de media, unos 2 años y medio después de mover los tipos (29 meses), con mucha dispersión entre países</w:t>
      </w:r>
      <w:r>
        <w:t xml:space="preserve"> </w:t>
      </w:r>
      <w:r>
        <w:t xml:space="preserve">(</w:t>
      </w:r>
      <w:hyperlink w:anchor="ref_HavranekRusnak2013">
        <w:r>
          <w:rPr>
            <w:rStyle w:val="Hyperlink"/>
            <w:smallCaps/>
          </w:rPr>
          <w:t xml:space="preserve">Havranek</w:t>
        </w:r>
        <w:r>
          <w:rPr>
            <w:rStyle w:val="Hyperlink"/>
          </w:rPr>
          <w:t xml:space="preserve"> </w:t>
        </w:r>
        <w:r>
          <w:rPr>
            <w:rStyle w:val="Hyperlink"/>
          </w:rPr>
          <w:t xml:space="preserve">y</w:t>
        </w:r>
        <w:r>
          <w:rPr>
            <w:rStyle w:val="Hyperlink"/>
          </w:rPr>
          <w:t xml:space="preserve"> </w:t>
        </w:r>
        <w:r>
          <w:rPr>
            <w:rStyle w:val="Hyperlink"/>
            <w:smallCaps/>
          </w:rPr>
          <w:t xml:space="preserve">Rusnak</w:t>
        </w:r>
        <w:r>
          <w:rPr>
            <w:rStyle w:val="Hyperlink"/>
          </w:rPr>
          <w:t xml:space="preserve">, 2013</w:t>
        </w:r>
      </w:hyperlink>
      <w:r>
        <w:t xml:space="preserve">)</w:t>
      </w:r>
      <w:r>
        <w:t xml:space="preserve">.</w:t>
      </w:r>
      <w:r>
        <w:t xml:space="preserve"> </w:t>
      </w:r>
      <w:r>
        <w:rPr>
          <w:u w:val="single"/>
        </w:rPr>
        <w:t xml:space="preserve">Una política que no ha bajado la inflación en un año no ha fracasado necesariamente.</w:t>
      </w:r>
    </w:p>
    <w:p>
      <w:pPr>
        <w:keepNext/>
        <w:numPr>
          <w:ilvl w:val="0"/>
          <w:numId w:val="1131"/>
        </w:numPr>
      </w:pPr>
      <w:r>
        <w:rPr>
          <w:i/>
          <w:iCs/>
        </w:rPr>
        <w:t xml:space="preserve">Eficacia sobre variables nominales y reales</w:t>
      </w:r>
      <w:r>
        <w:t xml:space="preserve">: si tras las subidas baja la inflación (con 1 o 2 años de retraso), se frena el crédito y se aprecia la moneda, la transmisión funciona. Es menos eficaz:</w:t>
      </w:r>
    </w:p>
    <w:p>
      <w:pPr>
        <w:numPr>
          <w:ilvl w:val="1"/>
          <w:numId w:val="1133"/>
        </w:numPr>
      </w:pPr>
      <w:r>
        <w:t xml:space="preserve">con un sistema financiero poco desarrollado o mucha dolarización;</w:t>
      </w:r>
    </w:p>
    <w:p>
      <w:pPr>
        <w:numPr>
          <w:ilvl w:val="1"/>
          <w:numId w:val="1133"/>
        </w:numPr>
      </w:pPr>
      <w:r>
        <w:t xml:space="preserve">con</w:t>
      </w:r>
      <w:r>
        <w:t xml:space="preserve"> </w:t>
      </w:r>
      <w:r>
        <w:rPr>
          <w:b/>
          <w:bCs/>
        </w:rPr>
        <w:t xml:space="preserve">dominancia fiscal</w:t>
      </w:r>
      <w:r>
        <w:t xml:space="preserve"> </w:t>
      </w:r>
      <w:r>
        <w:t xml:space="preserve">(abajo);</w:t>
      </w:r>
    </w:p>
    <w:p>
      <w:pPr>
        <w:numPr>
          <w:ilvl w:val="1"/>
          <w:numId w:val="1133"/>
        </w:numPr>
      </w:pPr>
      <w:r>
        <w:t xml:space="preserve">con el</w:t>
      </w:r>
      <w:r>
        <w:t xml:space="preserve"> </w:t>
      </w:r>
      <w:r>
        <w:rPr>
          <w:b/>
          <w:bCs/>
        </w:rPr>
        <w:t xml:space="preserve">canal del crédito roto</w:t>
      </w:r>
      <w:r>
        <w:t xml:space="preserve">: si el crédito al sector privado cae año tras año aunque los tipos bajen, el problema no está en el tipo oficial sino en la banca (descapitalizada o con mucha morosidad), y la receta es estructural: sanear y recapitalizar los bancos, no seguir bajando tipos</w:t>
      </w:r>
      <w:r>
        <w:t xml:space="preserve"> </w:t>
      </w:r>
      <w:r>
        <w:t xml:space="preserve">(</w:t>
      </w:r>
      <w:hyperlink w:anchor="ref_BernankeGertler1995">
        <w:r>
          <w:rPr>
            <w:rStyle w:val="Hyperlink"/>
            <w:smallCaps/>
          </w:rPr>
          <w:t xml:space="preserve">Bernanke</w:t>
        </w:r>
        <w:r>
          <w:rPr>
            <w:rStyle w:val="Hyperlink"/>
          </w:rPr>
          <w:t xml:space="preserve"> </w:t>
        </w:r>
        <w:r>
          <w:rPr>
            <w:rStyle w:val="Hyperlink"/>
          </w:rPr>
          <w:t xml:space="preserve">y</w:t>
        </w:r>
        <w:r>
          <w:rPr>
            <w:rStyle w:val="Hyperlink"/>
          </w:rPr>
          <w:t xml:space="preserve"> </w:t>
        </w:r>
        <w:r>
          <w:rPr>
            <w:rStyle w:val="Hyperlink"/>
            <w:smallCaps/>
          </w:rPr>
          <w:t xml:space="preserve">Gertler</w:t>
        </w:r>
        <w:r>
          <w:rPr>
            <w:rStyle w:val="Hyperlink"/>
          </w:rPr>
          <w:t xml:space="preserve">, 1995</w:t>
        </w:r>
      </w:hyperlink>
      <w:r>
        <w:t xml:space="preserve">)</w:t>
      </w:r>
      <w:r>
        <w:t xml:space="preserve">.</w:t>
      </w:r>
    </w:p>
    <w:p>
      <w:pPr>
        <w:numPr>
          <w:ilvl w:val="0"/>
          <w:numId w:val="1131"/>
        </w:numPr>
      </w:pPr>
      <w:r>
        <w:rPr>
          <w:i/>
          <w:iCs/>
        </w:rPr>
        <w:t xml:space="preserve">La deuda privada cambia la fuerza de la transmisión</w:t>
      </w:r>
      <w:r>
        <w:t xml:space="preserve">: con hogares y empresas muy endeudados a tipo variable, una subida de tipos se nota enseguida en la carga de la deuda y frena más el gasto; una contractiva es más eficaz, pero también más dolorosa.</w:t>
      </w:r>
    </w:p>
    <w:bookmarkStart w:id="251" w:name="fig_esquema_canales"/>
    <w:p>
      <w:pPr>
        <w:pStyle w:val="ImageCaption"/>
      </w:pPr>
      <w:r>
        <w:t xml:space="preserve">Gráfico 21.–</w:t>
      </w:r>
      <w:r>
        <w:t xml:space="preserve"> </w:t>
      </w:r>
      <w:r>
        <w:t xml:space="preserve">Canales de transmisión de la política monetaria</w:t>
      </w:r>
    </w:p>
    <w:p>
      <w:pPr>
        <w:pStyle w:val="CaptionedFigure"/>
      </w:pPr>
      <w:r>
        <w:drawing>
          <wp:inline>
            <wp:extent cx="2886935" cy="1984767"/>
            <wp:effectExtent b="0" l="0" r="0" t="0"/>
            <wp:docPr descr="Gráfico 21.– Canales de transmisión de la política monetaria" title="" id="249" name="Picture"/>
            <a:graphic>
              <a:graphicData uri="http://schemas.openxmlformats.org/drawingml/2006/picture">
                <pic:pic>
                  <pic:nvPicPr>
                    <pic:cNvPr descr="C:\Users\vgutierrez\Documents\src\victorgutierrezmarcos.github.io-revision\oposicion\temario\fuentes\1D01\graficos/esquema-canales-monetaria.png" id="250" name="Picture"/>
                    <pic:cNvPicPr>
                      <a:picLocks noChangeArrowheads="1" noChangeAspect="1"/>
                    </pic:cNvPicPr>
                  </pic:nvPicPr>
                  <pic:blipFill>
                    <a:blip r:embed="rId248"/>
                    <a:stretch>
                      <a:fillRect/>
                    </a:stretch>
                  </pic:blipFill>
                  <pic:spPr bwMode="auto">
                    <a:xfrm>
                      <a:off x="0" y="0"/>
                      <a:ext cx="2886935" cy="1984767"/>
                    </a:xfrm>
                    <a:prstGeom prst="rect">
                      <a:avLst/>
                    </a:prstGeom>
                    <a:noFill/>
                    <a:ln w="9525">
                      <a:noFill/>
                      <a:headEnd/>
                      <a:tailEnd/>
                    </a:ln>
                  </pic:spPr>
                </pic:pic>
              </a:graphicData>
            </a:graphic>
          </wp:inline>
        </w:drawing>
      </w:r>
    </w:p>
    <w:bookmarkEnd w:id="251"/>
    <w:p>
      <w:pPr>
        <w:pStyle w:val="Piedeimagen"/>
      </w:pPr>
      <w:r>
        <w:t xml:space="preserve">Fuente: Elaboración propia. Qué hay que ver: el tipo oficial y el balance llegan a la demanda por 5 canales, y la demanda, a la inflación con 1-2 años de retraso; si la inflación baja, se frena el crédito y se aprecia la moneda, la política funciona.</w:t>
      </w:r>
    </w:p>
    <w:bookmarkEnd w:id="252"/>
    <w:bookmarkStart w:id="257" w:name="balance_del_banco_central_y_desequ_29886"/>
    <w:p>
      <w:pPr>
        <w:pStyle w:val="Heading4"/>
      </w:pPr>
      <w:r>
        <w:t xml:space="preserve">Balance del banco central y desequilibrios a vigilar</w:t>
      </w:r>
    </w:p>
    <w:p>
      <w:pPr>
        <w:numPr>
          <w:ilvl w:val="0"/>
          <w:numId w:val="1134"/>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 </w:t>
      </w:r>
      <w:r>
        <w:t xml:space="preserve">(gráfico </w:t>
      </w:r>
      <w:hyperlink w:anchor="fig_tipos_balance_bce">
        <w:r>
          <w:rPr>
            <w:rStyle w:val="Hyperlink"/>
          </w:rPr>
          <w:t xml:space="preserve">22</w:t>
        </w:r>
      </w:hyperlink>
      <w:r>
        <w:t xml:space="preserve">).</w:t>
      </w:r>
    </w:p>
    <w:p>
      <w:pPr>
        <w:numPr>
          <w:ilvl w:val="0"/>
          <w:numId w:val="1134"/>
        </w:numPr>
      </w:pPr>
      <w:r>
        <w:rPr>
          <w:i/>
          <w:iCs/>
        </w:rPr>
        <w:t xml:space="preserve">Desequilibrios a vigilar</w:t>
      </w:r>
      <w:r>
        <w:t xml:space="preserve">: además de la inflación, las condiciones de liquidez (agregados monetarios), la monetización del déficit y los</w:t>
      </w:r>
      <w:r>
        <w:t xml:space="preserve"> </w:t>
      </w:r>
      <w:r>
        <w:rPr>
          <w:b/>
          <w:bCs/>
        </w:rPr>
        <w:t xml:space="preserve">tensionamientos de liquidez</w:t>
      </w:r>
      <w:r>
        <w:t xml:space="preserve"> </w:t>
      </w:r>
      <w:r>
        <w:t xml:space="preserve">(</w:t>
      </w:r>
      <w:r>
        <w:rPr>
          <w:i/>
          <w:iCs/>
        </w:rPr>
        <w:t xml:space="preserve">liquidity crunch</w:t>
      </w:r>
      <w:r>
        <w:t xml:space="preserve">): los bancos dejan de prestarse en el interbancario por desconfianza, lo que se ve en picos de los tipos interbancarios que no se deben a decisiones del banco central, como en 2007-2008</w:t>
      </w:r>
      <w:r>
        <w:t xml:space="preserve"> </w:t>
      </w:r>
      <w:r>
        <w:t xml:space="preserve">(</w:t>
      </w:r>
      <w:hyperlink w:anchor="ref_TaylorWilliams2009">
        <w:r>
          <w:rPr>
            <w:rStyle w:val="Hyperlink"/>
            <w:smallCaps/>
          </w:rPr>
          <w:t xml:space="preserve">Taylor</w:t>
        </w:r>
        <w:r>
          <w:rPr>
            <w:rStyle w:val="Hyperlink"/>
          </w:rPr>
          <w:t xml:space="preserve"> </w:t>
        </w:r>
        <w:r>
          <w:rPr>
            <w:rStyle w:val="Hyperlink"/>
          </w:rPr>
          <w:t xml:space="preserve">y</w:t>
        </w:r>
        <w:r>
          <w:rPr>
            <w:rStyle w:val="Hyperlink"/>
          </w:rPr>
          <w:t xml:space="preserve"> </w:t>
        </w:r>
        <w:r>
          <w:rPr>
            <w:rStyle w:val="Hyperlink"/>
            <w:smallCaps/>
          </w:rPr>
          <w:t xml:space="preserve">Williams</w:t>
        </w:r>
        <w:r>
          <w:rPr>
            <w:rStyle w:val="Hyperlink"/>
          </w:rPr>
          <w:t xml:space="preserve">, 2009</w:t>
        </w:r>
      </w:hyperlink>
      <w:r>
        <w:t xml:space="preserve">)</w:t>
      </w:r>
      <w:r>
        <w:t xml:space="preserve">.</w:t>
      </w:r>
    </w:p>
    <w:p>
      <w:pPr>
        <w:numPr>
          <w:ilvl w:val="0"/>
          <w:numId w:val="1134"/>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77">
        <w:r>
          <w:rPr>
            <w:rStyle w:val="Referenciaatema"/>
          </w:rPr>
          <w:t xml:space="preserve">[ver tema 3.A.39]</w:t>
        </w:r>
      </w:hyperlink>
      <w:r>
        <w:t xml:space="preserve">.</w:t>
      </w:r>
    </w:p>
    <w:bookmarkStart w:id="256" w:name="fig_tipos_balance_bce"/>
    <w:p>
      <w:pPr>
        <w:pStyle w:val="ImageCaption"/>
      </w:pPr>
      <w:r>
        <w:t xml:space="preserve">Gráfico 22.–</w:t>
      </w:r>
      <w:r>
        <w:t xml:space="preserve"> </w:t>
      </w:r>
      <w:r>
        <w:t xml:space="preserve">Tipos de interés oficiales del BCE y balance del Eurosistema</w:t>
      </w:r>
    </w:p>
    <w:p>
      <w:pPr>
        <w:pStyle w:val="CaptionedFigure"/>
      </w:pPr>
      <w:r>
        <w:drawing>
          <wp:inline>
            <wp:extent cx="4178300" cy="2250548"/>
            <wp:effectExtent b="0" l="0" r="0" t="0"/>
            <wp:docPr descr="Gráfico 22.– Tipos de interés oficiales del BCE y balance del Eurosistema" title="" id="254" name="Picture"/>
            <a:graphic>
              <a:graphicData uri="http://schemas.openxmlformats.org/drawingml/2006/picture">
                <pic:pic>
                  <pic:nvPicPr>
                    <pic:cNvPr descr="C:\Users\vgutierrez\Documents\src\victorgutierrezmarcos.github.io-revision\oposicion\temario\fuentes\1D01\graficos/tipos-balance-bce.png" id="255" name="Picture"/>
                    <pic:cNvPicPr>
                      <a:picLocks noChangeArrowheads="1" noChangeAspect="1"/>
                    </pic:cNvPicPr>
                  </pic:nvPicPr>
                  <pic:blipFill>
                    <a:blip r:embed="rId253"/>
                    <a:stretch>
                      <a:fillRect/>
                    </a:stretch>
                  </pic:blipFill>
                  <pic:spPr bwMode="auto">
                    <a:xfrm>
                      <a:off x="0" y="0"/>
                      <a:ext cx="4178300" cy="2250548"/>
                    </a:xfrm>
                    <a:prstGeom prst="rect">
                      <a:avLst/>
                    </a:prstGeom>
                    <a:noFill/>
                    <a:ln w="9525">
                      <a:noFill/>
                      <a:headEnd/>
                      <a:tailEnd/>
                    </a:ln>
                  </pic:spPr>
                </pic:pic>
              </a:graphicData>
            </a:graphic>
          </wp:inline>
        </w:drawing>
      </w:r>
    </w:p>
    <w:bookmarkEnd w:id="256"/>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B.2.1</w:t>
        </w:r>
      </w:hyperlink>
      <w:r>
        <w:t xml:space="preserve">.</w:t>
      </w:r>
    </w:p>
    <w:bookmarkEnd w:id="257"/>
    <w:bookmarkEnd w:id="258"/>
    <w:bookmarkStart w:id="280"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35"/>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135"/>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35"/>
        </w:numPr>
      </w:pPr>
      <w:r>
        <w:rPr>
          <w:i/>
          <w:iCs/>
        </w:rPr>
        <w:t xml:space="preserve">Orden del análisis</w:t>
      </w:r>
      <w:r>
        <w:t xml:space="preserve">:</w:t>
      </w:r>
      <w:r>
        <w:t xml:space="preserve"> </w:t>
      </w:r>
      <w:r>
        <w:rPr>
          <w:u w:val="single"/>
        </w:rPr>
        <w:t xml:space="preserve">endeudamiento, banca, riesgos y políticas</w:t>
      </w:r>
      <w:r>
        <w:t xml:space="preserve">, tras una frase de resumen. En detalle: endeudamiento y ciclo financiero; indicadores de la banca (solvencia, calidad de los activos, liquidez y rentabilidad, el orden de la clasificación CAMELS de los supervisores: capital, activos, gestión, beneficios, liquidez y sensibilidad al riesgo de mercado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riesgos (vivienda, crédito, divisas, tipos, bolsa); regulación microprudencial, supervisión y unión bancaria; política macroprudencial; y, si hay una crisis, su gestión.</w:t>
      </w:r>
    </w:p>
    <w:bookmarkStart w:id="260" w:name="endeudamiento_y_ciclo_financiero"/>
    <w:p>
      <w:pPr>
        <w:pStyle w:val="Heading4"/>
      </w:pPr>
      <w:r>
        <w:t xml:space="preserve">Endeudamiento y ciclo financiero</w:t>
      </w:r>
    </w:p>
    <w:p>
      <w:pPr>
        <w:numPr>
          <w:ilvl w:val="0"/>
          <w:numId w:val="1136"/>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36"/>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36"/>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61">
        <w:r>
          <w:rPr>
            <w:rStyle w:val="Referenciaatema"/>
          </w:rPr>
          <w:t xml:space="preserve">[ver tema 3.B.27]</w:t>
        </w:r>
      </w:hyperlink>
      <w:r>
        <w:t xml:space="preserve">.</w:t>
      </w:r>
    </w:p>
    <w:p>
      <w:pPr>
        <w:numPr>
          <w:ilvl w:val="0"/>
          <w:numId w:val="1136"/>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259">
        <w:r>
          <w:rPr>
            <w:rStyle w:val="Referenciaatema"/>
          </w:rPr>
          <w:t xml:space="preserve">[ver tema 3.B.44]</w:t>
        </w:r>
      </w:hyperlink>
      <w:r>
        <w:t xml:space="preserve">.</w:t>
      </w:r>
    </w:p>
    <w:p>
      <w:pPr>
        <w:numPr>
          <w:ilvl w:val="0"/>
          <w:numId w:val="1136"/>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B.2.1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260"/>
    <w:bookmarkStart w:id="266" w:name="indicadores_de_la_banca_solvencia"/>
    <w:p>
      <w:pPr>
        <w:pStyle w:val="Heading4"/>
      </w:pPr>
      <w:r>
        <w:t xml:space="preserve">Indicadores de la banca: solvencia</w:t>
      </w:r>
    </w:p>
    <w:p>
      <w:pPr>
        <w:numPr>
          <w:ilvl w:val="0"/>
          <w:numId w:val="1137"/>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37"/>
        </w:numPr>
      </w:pPr>
      <w:r>
        <w:rPr>
          <w:i/>
          <w:iCs/>
        </w:rPr>
        <w:t xml:space="preserve">Las 3 ratios</w:t>
      </w:r>
      <w:r>
        <w:t xml:space="preserve">, según la calidad de lo que se incluye en el numerador:</w:t>
      </w:r>
    </w:p>
    <w:p>
      <w:pPr>
        <w:numPr>
          <w:ilvl w:val="1"/>
          <w:numId w:val="1138"/>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38"/>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38"/>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261"/>
      </w:r>
    </w:p>
    <w:p>
      <w:pPr>
        <w:numPr>
          <w:ilvl w:val="0"/>
          <w:numId w:val="1137"/>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(gráfico </w:t>
      </w:r>
      <w:hyperlink w:anchor="fig_esquema_basilea">
        <w:r>
          <w:rPr>
            <w:rStyle w:val="Hyperlink"/>
          </w:rPr>
          <w:t xml:space="preserve">23</w:t>
        </w:r>
      </w:hyperlink>
      <w:r>
        <w:t xml:space="preserve">; detalle en la tabla </w:t>
      </w:r>
      <w:hyperlink w:anchor="tab_basilea">
        <w:r>
          <w:rPr>
            <w:rStyle w:val="Hyperlink"/>
          </w:rPr>
          <w:t xml:space="preserve">10</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37"/>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37"/>
        </w:numPr>
      </w:pPr>
      <w:r>
        <w:rPr>
          <w:i/>
          <w:iCs/>
        </w:rPr>
        <w:t xml:space="preserve">Cómo se lee</w:t>
      </w:r>
      <w:r>
        <w:t xml:space="preserve">: en una buena coyuntura hay 2 efectos opuestos sobre la ratio de capital: más beneficios retenidos (sube el numerador) y más crédito (suben los APR del denominador).</w:t>
      </w:r>
      <w:r>
        <w:t xml:space="preserve"> </w:t>
      </w:r>
      <w:r>
        <w:rPr>
          <w:u w:val="single"/>
        </w:rPr>
        <w:t xml:space="preserve">Un capital que cumple, pero muy justo, puede no bastar ante un choque.</w:t>
      </w:r>
    </w:p>
    <w:bookmarkStart w:id="265" w:name="fig_esquema_basilea"/>
    <w:p>
      <w:pPr>
        <w:pStyle w:val="ImageCaption"/>
      </w:pPr>
      <w:r>
        <w:t xml:space="preserve">Gráfico 23.–</w:t>
      </w:r>
      <w:r>
        <w:t xml:space="preserve"> </w:t>
      </w:r>
      <w:r>
        <w:t xml:space="preserve">Requisitos de capital de Basilea III (% de los activos ponderados por riesgo)</w:t>
      </w:r>
    </w:p>
    <w:p>
      <w:pPr>
        <w:pStyle w:val="CaptionedFigure"/>
      </w:pPr>
      <w:r>
        <w:drawing>
          <wp:inline>
            <wp:extent cx="3581400" cy="1304407"/>
            <wp:effectExtent b="0" l="0" r="0" t="0"/>
            <wp:docPr descr="Gráfico 23.– Requisitos de capital de Basilea� III (% de los activos ponderados por riesgo)" title="" id="263" name="Picture"/>
            <a:graphic>
              <a:graphicData uri="http://schemas.openxmlformats.org/drawingml/2006/picture">
                <pic:pic>
                  <pic:nvPicPr>
                    <pic:cNvPr descr="C:\Users\vgutierrez\Documents\src\victorgutierrezmarcos.github.io-revision\oposicion\temario\fuentes\1D01\graficos/esquema-basilea.png" id="264" name="Picture"/>
                    <pic:cNvPicPr>
                      <a:picLocks noChangeArrowheads="1" noChangeAspect="1"/>
                    </pic:cNvPicPr>
                  </pic:nvPicPr>
                  <pic:blipFill>
                    <a:blip r:embed="rId262"/>
                    <a:stretch>
                      <a:fillRect/>
                    </a:stretch>
                  </pic:blipFill>
                  <pic:spPr bwMode="auto">
                    <a:xfrm>
                      <a:off x="0" y="0"/>
                      <a:ext cx="3581400" cy="1304407"/>
                    </a:xfrm>
                    <a:prstGeom prst="rect">
                      <a:avLst/>
                    </a:prstGeom>
                    <a:noFill/>
                    <a:ln w="9525">
                      <a:noFill/>
                      <a:headEnd/>
                      <a:tailEnd/>
                    </a:ln>
                  </pic:spPr>
                </pic:pic>
              </a:graphicData>
            </a:graphic>
          </wp:inline>
        </w:drawing>
      </w:r>
    </w:p>
    <w:bookmarkEnd w:id="265"/>
    <w:p>
      <w:pPr>
        <w:pStyle w:val="Piedeimagen"/>
      </w:pPr>
      <w:r>
        <w:t xml:space="preserve">Fuente: Elaboración propia a partir de</w:t>
      </w:r>
      <w:r>
        <w:t xml:space="preserve"> </w:t>
      </w:r>
      <w:r>
        <w:rPr>
          <w:smallCaps/>
        </w:rPr>
        <w:t xml:space="preserve">Basel Committee on Banking Supervision</w:t>
      </w:r>
      <w:r>
        <w:t xml:space="preserve"> </w:t>
      </w:r>
      <w:r>
        <w:t xml:space="preserve">(</w:t>
      </w:r>
      <w:hyperlink w:anchor="ref_BCBS2017Basel3">
        <w:r>
          <w:rPr>
            <w:rStyle w:val="Hyperlink"/>
          </w:rPr>
          <w:t xml:space="preserve">2017</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Qué hay que ver: los mínimos crecen con la menor calidad del capital (CET1, Tier 1, total) y sobre ellos se apilan los colchones; con los sistémicos y el Pilar 2, el banco medio del MUS necesita en torno al 11 % de CET1.</w:t>
      </w:r>
    </w:p>
    <w:bookmarkEnd w:id="266"/>
    <w:bookmarkStart w:id="267" w:name="calidad_de_los_activos"/>
    <w:p>
      <w:pPr>
        <w:pStyle w:val="Heading4"/>
      </w:pPr>
      <w:r>
        <w:t xml:space="preserve">Calidad de los activos</w:t>
      </w:r>
    </w:p>
    <w:p>
      <w:pPr>
        <w:numPr>
          <w:ilvl w:val="0"/>
          <w:numId w:val="1139"/>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39"/>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39"/>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39"/>
        </w:numPr>
      </w:pPr>
      <w:r>
        <w:rPr>
          <w:i/>
          <w:iCs/>
        </w:rPr>
        <w:t xml:space="preserve">Cómo se lee</w:t>
      </w:r>
      <w:r>
        <w:t xml:space="preserve">: la morosidad va retrasada respecto al ciclo; las moratorias y las garantías públicas pueden retrasar su reconocimiento.</w:t>
      </w:r>
    </w:p>
    <w:bookmarkEnd w:id="267"/>
    <w:bookmarkStart w:id="268" w:name="liquidez"/>
    <w:p>
      <w:pPr>
        <w:pStyle w:val="Heading4"/>
      </w:pPr>
      <w:r>
        <w:t xml:space="preserve">Liquidez</w:t>
      </w:r>
    </w:p>
    <w:p>
      <w:pPr>
        <w:numPr>
          <w:ilvl w:val="0"/>
          <w:numId w:val="1140"/>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40"/>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40"/>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268"/>
    <w:bookmarkStart w:id="274" w:name="rentabilidad"/>
    <w:p>
      <w:pPr>
        <w:pStyle w:val="Heading4"/>
      </w:pPr>
      <w:r>
        <w:t xml:space="preserve">Rentabilidad</w:t>
      </w:r>
    </w:p>
    <w:p>
      <w:pPr>
        <w:numPr>
          <w:ilvl w:val="0"/>
          <w:numId w:val="1141"/>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41"/>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269">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41"/>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Referencias orientativas de la Autoridad Bancaria Europea: ROE favorable por encima del 10 %;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41"/>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9</w:t>
        </w:r>
      </w:hyperlink>
      <w:r>
        <w:t xml:space="preserve">, y las ratios de la banca española y la europea, en la tabla </w:t>
      </w:r>
      <w:hyperlink w:anchor="tab_ratios_banca">
        <w:r>
          <w:rPr>
            <w:rStyle w:val="Hyperlink"/>
          </w:rPr>
          <w:t xml:space="preserve">11</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Las empresas, la otra cara del crédito</w:t>
      </w:r>
      <w:r>
        <w:t xml:space="preserve">: si el cuadro da datos del sector empresarial, la</w:t>
      </w:r>
      <w:r>
        <w:t xml:space="preserve"> </w:t>
      </w:r>
      <w:r>
        <w:rPr>
          <w:b/>
          <w:bCs/>
        </w:rPr>
        <w:t xml:space="preserve">cobertura de intereses</w:t>
      </w:r>
      <w:r>
        <w:t xml:space="preserve"> </w:t>
      </w:r>
      <w:r>
        <w:t xml:space="preserve">(resultado bruto de explotación, EBITDA, sobre los gastos financieros) dice si las empresas pueden pagar su deuda; por debajo de 1, no la pagan con lo que generan. La rentabilidad del activo (EBITDA sobre activos) y el endeudamiento completan el cuadro: empresas poco rentables y muy endeudadas son la morosidad de mañana.</w:t>
      </w:r>
    </w:p>
    <w:bookmarkStart w:id="273" w:name="fig_esquema_semaforo"/>
    <w:p>
      <w:pPr>
        <w:pStyle w:val="ImageCaption"/>
      </w:pPr>
      <w:r>
        <w:t xml:space="preserve">Gráfico 24.–</w:t>
      </w:r>
      <w:r>
        <w:t xml:space="preserve"> </w:t>
      </w:r>
      <w:r>
        <w:t xml:space="preserve">Semáforo de la banca: referencias de las ratios principales</w:t>
      </w:r>
    </w:p>
    <w:p>
      <w:pPr>
        <w:pStyle w:val="CaptionedFigure"/>
      </w:pPr>
      <w:r>
        <w:drawing>
          <wp:inline>
            <wp:extent cx="3287558" cy="1547446"/>
            <wp:effectExtent b="0" l="0" r="0" t="0"/>
            <wp:docPr descr="Gráfico 24.– Semáforo de la banca: referencias de las ratios principales" title="" id="271" name="Picture"/>
            <a:graphic>
              <a:graphicData uri="http://schemas.openxmlformats.org/drawingml/2006/picture">
                <pic:pic>
                  <pic:nvPicPr>
                    <pic:cNvPr descr="C:\Users\vgutierrez\Documents\src\victorgutierrezmarcos.github.io-revision\oposicion\temario\fuentes\1D01\graficos/esquema-semaforo-banca.png" id="272" name="Picture"/>
                    <pic:cNvPicPr>
                      <a:picLocks noChangeArrowheads="1" noChangeAspect="1"/>
                    </pic:cNvPicPr>
                  </pic:nvPicPr>
                  <pic:blipFill>
                    <a:blip r:embed="rId270"/>
                    <a:stretch>
                      <a:fillRect/>
                    </a:stretch>
                  </pic:blipFill>
                  <pic:spPr bwMode="auto">
                    <a:xfrm>
                      <a:off x="0" y="0"/>
                      <a:ext cx="3287558" cy="1547446"/>
                    </a:xfrm>
                    <a:prstGeom prst="rect">
                      <a:avLst/>
                    </a:prstGeom>
                    <a:noFill/>
                    <a:ln w="9525">
                      <a:noFill/>
                      <a:headEnd/>
                      <a:tailEnd/>
                    </a:ln>
                  </pic:spPr>
                </pic:pic>
              </a:graphicData>
            </a:graphic>
          </wp:inline>
        </w:drawing>
      </w:r>
    </w:p>
    <w:bookmarkEnd w:id="273"/>
    <w:p>
      <w:pPr>
        <w:pStyle w:val="Piedeimagen"/>
      </w:pPr>
      <w:r>
        <w:t xml:space="preserve">Fuente: Elaboración propia a partir de</w:t>
      </w:r>
      <w:r>
        <w:t xml:space="preserve"> </w:t>
      </w:r>
      <w:r>
        <w:rPr>
          <w:smallCaps/>
        </w:rPr>
        <w:t xml:space="preserve">Banco Central Europeo</w:t>
      </w:r>
      <w:r>
        <w:t xml:space="preserve"> </w:t>
      </w:r>
      <w:r>
        <w:t xml:space="preserve">(</w:t>
      </w:r>
      <w:hyperlink w:anchor="ref_BCE2025SREP">
        <w:r>
          <w:rPr>
            <w:rStyle w:val="Hyperlink"/>
          </w:rPr>
          <w:t xml:space="preserve">2025a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 </w:t>
      </w:r>
      <w:hyperlink w:anchor="ref_ABE2025RAR">
        <w:r>
          <w:rPr>
            <w:rStyle w:val="Hyperlink"/>
          </w:rPr>
          <w:t xml:space="preserve">2025</w:t>
        </w:r>
      </w:hyperlink>
      <w:r>
        <w:t xml:space="preserve">)</w:t>
      </w:r>
      <w:r>
        <w:t xml:space="preserve">. Qué hay que ver: cada ratio con sus tramos orientativos; las debilidades se refuerzan (más dudosos, más provisiones, menos beneficio, menos capital). A mediados de 2026, la banca española: ROE del 16 % (UE, 11 %) y CET1 del 14 % (UE,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B.2.1</w:t>
        </w:r>
      </w:hyperlink>
      <w:r>
        <w:t xml:space="preserve">.</w:t>
      </w:r>
    </w:p>
    <w:bookmarkEnd w:id="274"/>
    <w:bookmarkStart w:id="276" w:name="riesgos_para_la_estabilidad_financiera"/>
    <w:p>
      <w:pPr>
        <w:pStyle w:val="Heading4"/>
      </w:pPr>
      <w:r>
        <w:t xml:space="preserve">Riesgos para la estabilidad financiera</w:t>
      </w:r>
    </w:p>
    <w:p>
      <w:pPr>
        <w:keepNext/>
        <w:numPr>
          <w:ilvl w:val="0"/>
          <w:numId w:val="1142"/>
        </w:numPr>
      </w:pPr>
      <w:r>
        <w:rPr>
          <w:i/>
          <w:iCs/>
        </w:rPr>
        <w:t xml:space="preserve">Vivienda</w:t>
      </w:r>
      <w:r>
        <w:t xml:space="preserve">:</w:t>
      </w:r>
      <w:r>
        <w:t xml:space="preserve"> </w:t>
      </w:r>
      <w:r>
        <w:rPr>
          <w:u w:val="single"/>
        </w:rPr>
        <w:t xml:space="preserve">es el principal activo de los hogares, su principal deuda y la garantía de buena parte del crédito bancario</w:t>
      </w:r>
      <w:r>
        <w:t xml:space="preserve">. Hay que separar fundamentos y burbuja:</w:t>
      </w:r>
    </w:p>
    <w:p>
      <w:pPr>
        <w:numPr>
          <w:ilvl w:val="1"/>
          <w:numId w:val="1143"/>
        </w:numPr>
      </w:pPr>
      <w:r>
        <w:rPr>
          <w:i/>
          <w:iCs/>
        </w:rPr>
        <w:t xml:space="preserve">fundamentos</w:t>
      </w:r>
      <w:r>
        <w:t xml:space="preserve">: renta disponible, población y formación de hogares, tipos hipotecarios, oferta de vivienda nueva, fiscalidad, demanda extranjera;</w:t>
      </w:r>
    </w:p>
    <w:p>
      <w:pPr>
        <w:numPr>
          <w:ilvl w:val="1"/>
          <w:numId w:val="1143"/>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43"/>
        </w:numPr>
      </w:pPr>
      <w:r>
        <w:rPr>
          <w:i/>
          <w:iCs/>
        </w:rPr>
        <w:t xml:space="preserve">umbrales</w:t>
      </w:r>
      <w:r>
        <w:t xml:space="preserve">: el cuadro de indicadores del procedimiento de desequilibrios alerta con subidas del precio</w:t>
      </w:r>
      <w:r>
        <w:t xml:space="preserve"> </w:t>
      </w:r>
      <w:r>
        <w:rPr>
          <w:i/>
          <w:iCs/>
        </w:rPr>
        <w:t xml:space="preserve">nominal</w:t>
      </w:r>
      <w:r>
        <w:t xml:space="preserve"> </w:t>
      </w:r>
      <w:r>
        <w:t xml:space="preserve">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r>
        <w:rPr>
          <w:rStyle w:val="FootnoteReference"/>
        </w:rPr>
        <w:footnoteReference w:id="275"/>
      </w:r>
      <w:r>
        <w:t xml:space="preserve"> </w:t>
      </w:r>
      <w:r>
        <w:t xml:space="preserve">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43"/>
        </w:numPr>
      </w:pPr>
      <w:r>
        <w:rPr>
          <w:i/>
          <w:iCs/>
        </w:rPr>
        <w:t xml:space="preserve">con qué se cruza</w:t>
      </w:r>
      <w:r>
        <w:t xml:space="preserve">: consumo (efecto riqueza), inversión residencial, crédito y morosidad, y movilidad laboral (vivienda cara, peor emparejamiento)</w:t>
      </w:r>
      <w:r>
        <w:t xml:space="preserve"> </w:t>
      </w:r>
      <w:hyperlink r:id="rId85">
        <w:r>
          <w:rPr>
            <w:rStyle w:val="Referenciaatema"/>
          </w:rPr>
          <w:t xml:space="preserve">[ver tema 4.A.11]</w:t>
        </w:r>
      </w:hyperlink>
      <w:r>
        <w:t xml:space="preserve">.</w:t>
      </w:r>
    </w:p>
    <w:p>
      <w:pPr>
        <w:numPr>
          <w:ilvl w:val="0"/>
          <w:numId w:val="1142"/>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42"/>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42"/>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42"/>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la ratio precio-beneficio (PER) muy por encima de su media histórica es la señal clásica</w:t>
      </w:r>
      <w:r>
        <w:t xml:space="preserve"> </w:t>
      </w:r>
      <w:r>
        <w:t xml:space="preserve">(</w:t>
      </w:r>
      <w:hyperlink w:anchor="ref_CampbellShiller1998">
        <w:r>
          <w:rPr>
            <w:rStyle w:val="Hyperlink"/>
            <w:smallCaps/>
          </w:rPr>
          <w:t xml:space="preserve">Campbell</w:t>
        </w:r>
        <w:r>
          <w:rPr>
            <w:rStyle w:val="Hyperlink"/>
          </w:rPr>
          <w:t xml:space="preserve"> </w:t>
        </w:r>
        <w:r>
          <w:rPr>
            <w:rStyle w:val="Hyperlink"/>
          </w:rPr>
          <w:t xml:space="preserve">y</w:t>
        </w:r>
        <w:r>
          <w:rPr>
            <w:rStyle w:val="Hyperlink"/>
          </w:rPr>
          <w:t xml:space="preserve"> </w:t>
        </w:r>
        <w:r>
          <w:rPr>
            <w:rStyle w:val="Hyperlink"/>
            <w:smallCaps/>
          </w:rPr>
          <w:t xml:space="preserve">Shiller</w:t>
        </w:r>
        <w:r>
          <w:rPr>
            <w:rStyle w:val="Hyperlink"/>
          </w:rPr>
          <w:t xml:space="preserve">, 1998</w:t>
        </w:r>
      </w:hyperlink>
      <w:r>
        <w:t xml:space="preserve">)</w:t>
      </w:r>
      <w:r>
        <w:t xml:space="preserve">. Cuidado al compararla con el cuadro: el índice recoge las grandes empresas cotizadas y el excedente bruto de explotación, toda la economía, así que se comparan las sendas, no los niveles.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89">
        <w:r>
          <w:rPr>
            <w:rStyle w:val="Referenciaatema"/>
          </w:rPr>
          <w:t xml:space="preserve">[ver tema 3.A.34]</w:t>
        </w:r>
      </w:hyperlink>
      <w:r>
        <w:t xml:space="preserve">) y con el consumo (efecto riqueza, menor que el de la vivienda).</w:t>
      </w:r>
    </w:p>
    <w:p>
      <w:pPr>
        <w:numPr>
          <w:ilvl w:val="0"/>
          <w:numId w:val="1142"/>
        </w:numPr>
      </w:pPr>
      <w:r>
        <w:rPr>
          <w:i/>
          <w:iCs/>
        </w:rPr>
        <w:t xml:space="preserve">Riesgos externos</w:t>
      </w:r>
      <w:r>
        <w:t xml:space="preserve">: salidas bruscas de capitales, contagio de crisis de otros países y exposición de los bancos a economías en dificultades. Las</w:t>
      </w:r>
      <w:r>
        <w:t xml:space="preserve"> </w:t>
      </w:r>
      <w:r>
        <w:rPr>
          <w:b/>
          <w:bCs/>
        </w:rPr>
        <w:t xml:space="preserve">primas de riesgo</w:t>
      </w:r>
      <w:r>
        <w:t xml:space="preserve"> </w:t>
      </w:r>
      <w:r>
        <w:t xml:space="preserve">de la deuda soberana y de los bancos (y sus seguros de impago, los CDS) son el termómetro diario de esa percepción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276"/>
    <w:bookmarkStart w:id="277" w:name="regulaci__n_microprudencial_basilea_iii"/>
    <w:p>
      <w:pPr>
        <w:pStyle w:val="Heading4"/>
      </w:pPr>
      <w:r>
        <w:t xml:space="preserve">Regulación microprudencial: Basilea III</w:t>
      </w:r>
    </w:p>
    <w:p>
      <w:pPr>
        <w:numPr>
          <w:ilvl w:val="0"/>
          <w:numId w:val="1144"/>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44"/>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45"/>
        </w:numPr>
      </w:pPr>
      <w:r>
        <w:rPr>
          <w:i/>
          <w:iCs/>
        </w:rPr>
        <w:t xml:space="preserve">Pilar 1</w:t>
      </w:r>
      <w:r>
        <w:t xml:space="preserve">: requisitos mínimos de capital por riesgo de crédito, de mercado y operacional; la ratio de apalancamiento; y las ratios de liquidez (LCR y NSFR);</w:t>
      </w:r>
    </w:p>
    <w:p>
      <w:pPr>
        <w:numPr>
          <w:ilvl w:val="1"/>
          <w:numId w:val="1145"/>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45"/>
        </w:numPr>
      </w:pPr>
      <w:r>
        <w:rPr>
          <w:i/>
          <w:iCs/>
        </w:rPr>
        <w:t xml:space="preserve">Pilar 3</w:t>
      </w:r>
      <w:r>
        <w:t xml:space="preserve">: la disciplina de mercado, con la obligación de publicar información sobre el capital y los riesgos.</w:t>
      </w:r>
    </w:p>
    <w:p>
      <w:pPr>
        <w:numPr>
          <w:ilvl w:val="0"/>
          <w:numId w:val="1144"/>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277"/>
    <w:bookmarkStart w:id="278" w:name="supervisi__n_y_uni__n_bancaria"/>
    <w:p>
      <w:pPr>
        <w:pStyle w:val="Heading4"/>
      </w:pPr>
      <w:r>
        <w:t xml:space="preserve">Supervisión y unión bancaria</w:t>
      </w:r>
    </w:p>
    <w:p>
      <w:pPr>
        <w:numPr>
          <w:ilvl w:val="0"/>
          <w:numId w:val="1146"/>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259">
        <w:r>
          <w:rPr>
            <w:rStyle w:val="Referenciaatema"/>
          </w:rPr>
          <w:t xml:space="preserve">[ver tema 3.B.44]</w:t>
        </w:r>
      </w:hyperlink>
      <w:r>
        <w:t xml:space="preserve">.</w:t>
      </w:r>
    </w:p>
    <w:p>
      <w:pPr>
        <w:keepNext/>
        <w:numPr>
          <w:ilvl w:val="0"/>
          <w:numId w:val="1146"/>
        </w:numPr>
      </w:pPr>
      <w:r>
        <w:rPr>
          <w:i/>
          <w:iCs/>
        </w:rPr>
        <w:t xml:space="preserve">Sus pilares</w:t>
      </w:r>
      <w:r>
        <w:t xml:space="preserve">:</w:t>
      </w:r>
    </w:p>
    <w:p>
      <w:pPr>
        <w:numPr>
          <w:ilvl w:val="1"/>
          <w:numId w:val="1147"/>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47"/>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2014b</w:t>
        </w:r>
      </w:hyperlink>
      <w:r>
        <w:t xml:space="preserve">)</w:t>
      </w:r>
      <w:r>
        <w:t xml:space="preserve">;</w:t>
      </w:r>
    </w:p>
    <w:p>
      <w:pPr>
        <w:numPr>
          <w:ilvl w:val="1"/>
          <w:numId w:val="1147"/>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46"/>
        </w:numPr>
      </w:pPr>
      <w:r>
        <w:rPr>
          <w:i/>
          <w:iCs/>
        </w:rPr>
        <w:t xml:space="preserve">Cómo se lee</w:t>
      </w:r>
      <w:r>
        <w:t xml:space="preserve">: en un país del euro, la supervisión y la resolución son europeas; la política macroprudencial sigue siendo sobre todo nacional, con el BCE como garante.</w:t>
      </w:r>
    </w:p>
    <w:bookmarkEnd w:id="278"/>
    <w:bookmarkStart w:id="279" w:name="pol__tica_macroprudencial"/>
    <w:p>
      <w:pPr>
        <w:pStyle w:val="Heading4"/>
      </w:pPr>
      <w:r>
        <w:t xml:space="preserve">Política macroprudencial</w:t>
      </w:r>
    </w:p>
    <w:p>
      <w:pPr>
        <w:numPr>
          <w:ilvl w:val="0"/>
          <w:numId w:val="1148"/>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48"/>
        </w:numPr>
      </w:pPr>
      <w:r>
        <w:rPr>
          <w:i/>
          <w:iCs/>
        </w:rPr>
        <w:t xml:space="preserve">Instrumentos</w:t>
      </w:r>
      <w:r>
        <w:t xml:space="preserve">:</w:t>
      </w:r>
    </w:p>
    <w:p>
      <w:pPr>
        <w:numPr>
          <w:ilvl w:val="1"/>
          <w:numId w:val="1149"/>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49"/>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49"/>
        </w:numPr>
      </w:pPr>
      <w:r>
        <w:t xml:space="preserve">límites a la concentración y a las exposiciones a un sector.</w:t>
      </w:r>
    </w:p>
    <w:p>
      <w:pPr>
        <w:numPr>
          <w:ilvl w:val="0"/>
          <w:numId w:val="1148"/>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48"/>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B.2.1</w:t>
        </w:r>
      </w:hyperlink>
      <w:r>
        <w:t xml:space="preserve">.</w:t>
      </w:r>
    </w:p>
    <w:p>
      <w:pPr>
        <w:numPr>
          <w:ilvl w:val="0"/>
          <w:numId w:val="1148"/>
        </w:numPr>
      </w:pPr>
      <w:r>
        <w:rPr>
          <w:i/>
          <w:iCs/>
        </w:rPr>
        <w:t xml:space="preserve">Si estalla una crisis bancaria</w:t>
      </w:r>
      <w:r>
        <w:t xml:space="preserve">:</w:t>
      </w:r>
      <w:r>
        <w:t xml:space="preserve"> </w:t>
      </w:r>
      <w:r>
        <w:rPr>
          <w:u w:val="single"/>
        </w:rPr>
        <w:t xml:space="preserve">lo primero es distinguir un problema de liquidez, que se resuelve con un prestamista de última instancia, de uno de solvencia, que exige recapitalizar o resolver el banco</w:t>
      </w:r>
      <w:r>
        <w:t xml:space="preserve">; las herramientas de resolución están en el anexo </w:t>
      </w:r>
      <w:hyperlink w:anchor="anexo_casos_frecuentes">
        <w:r>
          <w:rPr>
            <w:rStyle w:val="Hyperlink"/>
          </w:rPr>
          <w:t xml:space="preserve">B.1</w:t>
        </w:r>
      </w:hyperlink>
      <w:r>
        <w:t xml:space="preserve">.</w:t>
      </w:r>
    </w:p>
    <w:p>
      <w:pPr>
        <w:numPr>
          <w:ilvl w:val="0"/>
          <w:numId w:val="1148"/>
        </w:numPr>
      </w:pPr>
      <w:r>
        <w:rPr>
          <w:i/>
          <w:iCs/>
        </w:rPr>
        <w:t xml:space="preserve">Tema</w:t>
      </w:r>
      <w:r>
        <w:t xml:space="preserve">:</w:t>
      </w:r>
      <w:r>
        <w:t xml:space="preserve"> </w:t>
      </w:r>
      <w:hyperlink r:id="rId161">
        <w:r>
          <w:rPr>
            <w:rStyle w:val="Referenciaatema"/>
          </w:rPr>
          <w:t xml:space="preserve">[ver tema 3.B.27]</w:t>
        </w:r>
      </w:hyperlink>
      <w:r>
        <w:t xml:space="preserve"> </w:t>
      </w:r>
      <w:hyperlink r:id="rId259">
        <w:r>
          <w:rPr>
            <w:rStyle w:val="Referenciaatema"/>
          </w:rPr>
          <w:t xml:space="preserve">[ver tema 3.B.44]</w:t>
        </w:r>
      </w:hyperlink>
      <w:r>
        <w:t xml:space="preserve"> </w:t>
      </w:r>
      <w:hyperlink r:id="rId162">
        <w:r>
          <w:rPr>
            <w:rStyle w:val="Referenciaatema"/>
          </w:rPr>
          <w:t xml:space="preserve">[ver tema 4.A.19]</w:t>
        </w:r>
      </w:hyperlink>
      <w:r>
        <w:t xml:space="preserve">.</w:t>
      </w:r>
    </w:p>
    <w:bookmarkEnd w:id="279"/>
    <w:bookmarkEnd w:id="280"/>
    <w:bookmarkStart w:id="311"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50"/>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281"/>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282">
        <w:r>
          <w:rPr>
            <w:rStyle w:val="Referenciaatema"/>
          </w:rPr>
          <w:t xml:space="preserve">[ver tema 3.A.38]</w:t>
        </w:r>
      </w:hyperlink>
      <w:r>
        <w:t xml:space="preserve">.</w:t>
      </w:r>
    </w:p>
    <w:bookmarkStart w:id="289" w:name="saldos_y_tono"/>
    <w:p>
      <w:pPr>
        <w:pStyle w:val="Heading4"/>
      </w:pPr>
      <w:r>
        <w:t xml:space="preserve">Saldos y tono</w:t>
      </w:r>
    </w:p>
    <w:p>
      <w:pPr>
        <w:keepNext/>
        <w:numPr>
          <w:ilvl w:val="0"/>
          <w:numId w:val="1151"/>
        </w:numPr>
      </w:pPr>
      <w:r>
        <w:rPr>
          <w:i/>
          <w:iCs/>
        </w:rPr>
        <w:t xml:space="preserve">Las 5 variables del saldo</w:t>
      </w:r>
      <w:r>
        <w:t xml:space="preserve">, en porcentaje del PIB y con la notación del temario</w:t>
      </w:r>
      <w:r>
        <w:t xml:space="preserve"> </w:t>
      </w:r>
      <w:hyperlink r:id="rId54">
        <w:r>
          <w:rPr>
            <w:rStyle w:val="Referenciaatema"/>
          </w:rPr>
          <w:t xml:space="preserve">[ver tema 4.B.4]</w:t>
        </w:r>
      </w:hyperlink>
      <w:r>
        <w:t xml:space="preserve">:</w:t>
      </w:r>
    </w:p>
    <w:p>
      <w:pPr>
        <w:numPr>
          <w:ilvl w:val="1"/>
          <w:numId w:val="1152"/>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52"/>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52"/>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52"/>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283"/>
      </w:r>
    </w:p>
    <w:p>
      <w:pPr>
        <w:numPr>
          <w:ilvl w:val="1"/>
          <w:numId w:val="1152"/>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000"/>
        </w:numPr>
      </w:pPr>
      <w:r>
        <w:t xml:space="preserve">Del saldo total se llega al estructural primario quitando el ciclo y las medidas puntuales y sumando los intereses, y su variación es el tono:</w:t>
      </w:r>
    </w:p>
    <w:bookmarkStart w:id="284" w:name="eq_esfuerzo"/>
    <w:bookmarkEnd w:id="284"/>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r>
            <m:t>Δ</m:t>
          </m:r>
          <m:sSubSup>
            <m:e>
              <m:r>
                <m:t>b</m:t>
              </m:r>
            </m:e>
            <m:sub>
              <m:r>
                <m:t>t</m:t>
              </m:r>
            </m:sub>
            <m:sup>
              <m:r>
                <m:t>p</m:t>
              </m:r>
              <m:r>
                <m:t>e</m:t>
              </m:r>
            </m:sup>
          </m:sSubSup>
        </m:oMath>
      </m:oMathPara>
    </w:p>
    <w:p>
      <w:pPr>
        <w:numPr>
          <w:ilvl w:val="0"/>
          <w:numId w:val="1151"/>
        </w:numPr>
      </w:pPr>
      <w:r>
        <w:rPr>
          <w:i/>
          <w:iCs/>
        </w:rPr>
        <w:t xml:space="preserve">Tono</w:t>
      </w:r>
      <w:r>
        <w:t xml:space="preserve"> </w:t>
      </w:r>
      <w:r>
        <w:t xml:space="preserve">(gráfico </w:t>
      </w:r>
      <w:hyperlink w:anchor="fig_esquema_tono">
        <w:r>
          <w:rPr>
            <w:rStyle w:val="Hyperlink"/>
          </w:rPr>
          <w:t xml:space="preserve">20</w:t>
        </w:r>
      </w:hyperlink>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25</w:t>
        </w:r>
      </w:hyperlink>
      <w:r>
        <w:t xml:space="preserve">).</w:t>
      </w:r>
      <w:r>
        <w:t xml:space="preserve"> </w:t>
      </w:r>
      <w:r>
        <w:rPr>
          <w:u w:val="single"/>
        </w:rPr>
        <w:t xml:space="preserve">Cuidado con el signo: si el saldo era negativo y se hace más negativo, ha</w:t>
      </w:r>
      <w:r>
        <w:rPr>
          <w:u w:val="single"/>
        </w:rPr>
        <w:t xml:space="preserve"> </w:t>
      </w:r>
      <w:r>
        <w:rPr>
          <w:i/>
          <w:iCs/>
          <w:u w:val="single"/>
        </w:rPr>
        <w:t xml:space="preserve">bajado</w:t>
      </w:r>
      <w:r>
        <w:rPr>
          <w:u w:val="single"/>
        </w:rPr>
        <w:t xml:space="preserve"> </w:t>
      </w:r>
      <w:r>
        <w:rPr>
          <w:u w:val="single"/>
        </w:rPr>
        <w:t xml:space="preserve">y el tono es expansivo.</w:t>
      </w:r>
    </w:p>
    <w:p>
      <w:pPr>
        <w:numPr>
          <w:ilvl w:val="0"/>
          <w:numId w:val="1151"/>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B.2.1</w:t>
        </w:r>
      </w:hyperlink>
      <w:r>
        <w:t xml:space="preserve">). Desde 2024 la Comisión mide la orientación con el crecimiento del gasto primario neto frente al potencial.</w:t>
      </w:r>
    </w:p>
    <w:p>
      <w:pPr>
        <w:numPr>
          <w:ilvl w:val="0"/>
          <w:numId w:val="1151"/>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p>
      <w:pPr>
        <w:numPr>
          <w:ilvl w:val="0"/>
          <w:numId w:val="1151"/>
        </w:numPr>
      </w:pPr>
      <w:r>
        <w:rPr>
          <w:i/>
          <w:iCs/>
        </w:rPr>
        <w:t xml:space="preserve">Por qué la política fiscal suele ser procíclica</w:t>
      </w:r>
      <w:r>
        <w:t xml:space="preserve">, sobre todo en los emergentes: hay pocos estabilizadores automáticos, el ciclo se mide mal y tarde, se pierde el acceso a la financiación justo en las recesiones (hay que recortar cuando más duele) y la economía política empuja a gastar los ingresos del auge. La prociclicidad es sobre todo de las épocas buenas</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1"/>
        </w:numPr>
      </w:pPr>
      <w:r>
        <w:rPr>
          <w:i/>
          <w:iCs/>
        </w:rPr>
        <w:t xml:space="preserve">El saldo estructural puede engañar en los auges</w:t>
      </w:r>
      <w:r>
        <w:t xml:space="preserve">: el ajuste cíclico estándar quita la parte del saldo ligada a la brecha, pero no los</w:t>
      </w:r>
      <w:r>
        <w:t xml:space="preserve"> </w:t>
      </w:r>
      <w:r>
        <w:rPr>
          <w:b/>
          <w:bCs/>
        </w:rPr>
        <w:t xml:space="preserve">ingresos extraordinarios</w:t>
      </w:r>
      <w:r>
        <w:t xml:space="preserve"> </w:t>
      </w:r>
      <w:r>
        <w:t xml:space="preserve">de un auge de los precios de los activos (impuestos sobre las transacciones inmobiliarias, plusvalías, beneficios del sector financiero). Un saldo estructural que «mejora» en pleno auge puede esconder ingresos que desaparecerán con la crisis</w:t>
      </w:r>
      <w:r>
        <w:t xml:space="preserve"> </w:t>
      </w:r>
      <w:r>
        <w:t xml:space="preserve">(</w:t>
      </w:r>
      <w:hyperlink w:anchor="ref_MorrisSchuknecht2007">
        <w:r>
          <w:rPr>
            <w:rStyle w:val="Hyperlink"/>
            <w:smallCaps/>
          </w:rPr>
          <w:t xml:space="preserve">Morris</w:t>
        </w:r>
        <w:r>
          <w:rPr>
            <w:rStyle w:val="Hyperlink"/>
          </w:rPr>
          <w:t xml:space="preserve"> </w:t>
        </w:r>
        <w:r>
          <w:rPr>
            <w:rStyle w:val="Hyperlink"/>
          </w:rPr>
          <w:t xml:space="preserve">y</w:t>
        </w:r>
        <w:r>
          <w:rPr>
            <w:rStyle w:val="Hyperlink"/>
          </w:rPr>
          <w:t xml:space="preserve"> </w:t>
        </w:r>
        <w:r>
          <w:rPr>
            <w:rStyle w:val="Hyperlink"/>
            <w:smallCaps/>
          </w:rPr>
          <w:t xml:space="preserve">Schuknecht</w:t>
        </w:r>
        <w:r>
          <w:rPr>
            <w:rStyle w:val="Hyperlink"/>
          </w:rPr>
          <w:t xml:space="preserve">, 2007</w:t>
        </w:r>
      </w:hyperlink>
      <w:r>
        <w:t xml:space="preserve">)</w:t>
      </w:r>
      <w:r>
        <w:t xml:space="preserve">. Por eso conviene mirar también la evolución del gasto, que es lo que vigila la regla de la UE.</w:t>
      </w:r>
    </w:p>
    <w:p>
      <w:pPr>
        <w:numPr>
          <w:ilvl w:val="0"/>
          <w:numId w:val="1151"/>
        </w:numPr>
      </w:pPr>
      <w:r>
        <w:rPr>
          <w:i/>
          <w:iCs/>
        </w:rPr>
        <w:t xml:space="preserve">Otros saldos útiles</w:t>
      </w:r>
      <w:r>
        <w:t xml:space="preserve">: en un exportador de petróleo, el</w:t>
      </w:r>
      <w:r>
        <w:t xml:space="preserve"> </w:t>
      </w:r>
      <w:r>
        <w:rPr>
          <w:b/>
          <w:bCs/>
        </w:rPr>
        <w:t xml:space="preserve">saldo no petrolero</w:t>
      </w:r>
      <w:r>
        <w:t xml:space="preserve"> </w:t>
      </w:r>
      <w:r>
        <w:t xml:space="preserve">sobre el PIB no petrolero (lo que el Estado gastaría sin los ingresos del recurso); con inflación alta, el</w:t>
      </w:r>
      <w:r>
        <w:t xml:space="preserve"> </w:t>
      </w:r>
      <w:r>
        <w:rPr>
          <w:b/>
          <w:bCs/>
        </w:rPr>
        <w:t xml:space="preserve">saldo operativo</w:t>
      </w:r>
      <w:r>
        <w:t xml:space="preserve">, que descuenta la parte de los intereses que solo compensa la inflación; en un país con ayuda exterior, el saldo</w:t>
      </w:r>
      <w:r>
        <w:t xml:space="preserve"> </w:t>
      </w:r>
      <w:r>
        <w:rPr>
          <w:i/>
          <w:iCs/>
        </w:rPr>
        <w:t xml:space="preserve">sin donaciones</w:t>
      </w:r>
      <w:r>
        <w:t xml:space="preserve">; y tras una crisis bancaria, el saldo</w:t>
      </w:r>
      <w:r>
        <w:t xml:space="preserve"> </w:t>
      </w:r>
      <w:r>
        <w:rPr>
          <w:i/>
          <w:iCs/>
        </w:rPr>
        <w:t xml:space="preserve">aumentado</w:t>
      </w:r>
      <w:r>
        <w:t xml:space="preserve"> </w:t>
      </w:r>
      <w:r>
        <w:t xml:space="preserve">con los costes de recapitalizar los bancos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Start w:id="288" w:name="fig_impulso_fiscal"/>
    <w:p>
      <w:pPr>
        <w:pStyle w:val="ImageCaption"/>
      </w:pPr>
      <w:r>
        <w:t xml:space="preserve">Gráfico 25.–</w:t>
      </w:r>
      <w:r>
        <w:t xml:space="preserve"> </w:t>
      </w:r>
      <w:r>
        <w:t xml:space="preserve">Impulso fiscal en algunas economías avanzadas</w:t>
      </w:r>
    </w:p>
    <w:p>
      <w:pPr>
        <w:pStyle w:val="CaptionedFigure"/>
      </w:pPr>
      <w:r>
        <w:drawing>
          <wp:inline>
            <wp:extent cx="4178300" cy="2080892"/>
            <wp:effectExtent b="0" l="0" r="0" t="0"/>
            <wp:docPr descr="Gráfico 25.– Impulso fiscal en algunas economías avanzadas" title="" id="286" name="Picture"/>
            <a:graphic>
              <a:graphicData uri="http://schemas.openxmlformats.org/drawingml/2006/picture">
                <pic:pic>
                  <pic:nvPicPr>
                    <pic:cNvPr descr="C:\Users\vgutierrez\Documents\src\victorgutierrezmarcos.github.io-revision\oposicion\temario\fuentes\1D01\graficos/impulso-fiscal.png" id="287" name="Picture"/>
                    <pic:cNvPicPr>
                      <a:picLocks noChangeArrowheads="1" noChangeAspect="1"/>
                    </pic:cNvPicPr>
                  </pic:nvPicPr>
                  <pic:blipFill>
                    <a:blip r:embed="rId285"/>
                    <a:stretch>
                      <a:fillRect/>
                    </a:stretch>
                  </pic:blipFill>
                  <pic:spPr bwMode="auto">
                    <a:xfrm>
                      <a:off x="0" y="0"/>
                      <a:ext cx="4178300" cy="2080892"/>
                    </a:xfrm>
                    <a:prstGeom prst="rect">
                      <a:avLst/>
                    </a:prstGeom>
                    <a:noFill/>
                    <a:ln w="9525">
                      <a:noFill/>
                      <a:headEnd/>
                      <a:tailEnd/>
                    </a:ln>
                  </pic:spPr>
                </pic:pic>
              </a:graphicData>
            </a:graphic>
          </wp:inline>
        </w:drawing>
      </w:r>
    </w:p>
    <w:bookmarkEnd w:id="288"/>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End w:id="289"/>
    <w:bookmarkStart w:id="290" w:name="efectos_no_keynesianos"/>
    <w:p>
      <w:pPr>
        <w:pStyle w:val="Heading4"/>
      </w:pPr>
      <w:r>
        <w:t xml:space="preserve">Efectos no keynesianos</w:t>
      </w:r>
    </w:p>
    <w:p>
      <w:pPr>
        <w:numPr>
          <w:ilvl w:val="0"/>
          <w:numId w:val="1153"/>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53"/>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282">
        <w:r>
          <w:rPr>
            <w:rStyle w:val="Referenciaatema"/>
          </w:rPr>
          <w:t xml:space="preserve">[ver tema 3.A.38]</w:t>
        </w:r>
      </w:hyperlink>
      <w:r>
        <w:t xml:space="preserve">.</w:t>
      </w:r>
    </w:p>
    <w:p>
      <w:pPr>
        <w:numPr>
          <w:ilvl w:val="0"/>
          <w:numId w:val="1153"/>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p>
      <w:pPr>
        <w:numPr>
          <w:ilvl w:val="0"/>
          <w:numId w:val="1153"/>
        </w:numPr>
      </w:pPr>
      <w:r>
        <w:rPr>
          <w:i/>
          <w:iCs/>
        </w:rPr>
        <w:t xml:space="preserve">Los multiplicadores dependen del instrumento y del momento</w:t>
      </w:r>
      <w:r>
        <w:t xml:space="preserve">: en los modelos de los bancos centrales y los organismos internacionales, el gasto público (sobre todo la inversión) y las transferencias focalizadas en hogares con restricciones de liquidez tienen multiplicadores mayores que las rebajas generales de impuestos, y todos son mayores si la política monetaria acompaña (tipos en su límite inferior)</w:t>
      </w:r>
      <w:r>
        <w:t xml:space="preserve"> </w:t>
      </w:r>
      <w:r>
        <w:t xml:space="preserve">(</w:t>
      </w:r>
      <w:hyperlink w:anchor="ref_Coenen2012Multiplicadores">
        <w:r>
          <w:rPr>
            <w:rStyle w:val="Hyperlink"/>
            <w:smallCaps/>
          </w:rPr>
          <w:t xml:space="preserve">Coenen</w:t>
        </w:r>
        <w:r>
          <w:rPr>
            <w:rStyle w:val="Hyperlink"/>
          </w:rPr>
          <w:t xml:space="preserve"> </w:t>
        </w:r>
        <w:r>
          <w:rPr>
            <w:rStyle w:val="Hyperlink"/>
          </w:rPr>
          <w:t xml:space="preserve">et al., 2012</w:t>
        </w:r>
      </w:hyperlink>
      <w:r>
        <w:t xml:space="preserve">)</w:t>
      </w:r>
      <w:r>
        <w:t xml:space="preserve">. Tras la crisis financiera, los multiplicadores resultaron mayores de lo que se había supuesto al diseñar las consolidaciones</w:t>
      </w:r>
      <w:r>
        <w:t xml:space="preserve"> </w:t>
      </w:r>
      <w:r>
        <w:t xml:space="preserve">(</w:t>
      </w:r>
      <w:hyperlink w:anchor="ref_BlanchardLeigh2013">
        <w:r>
          <w:rPr>
            <w:rStyle w:val="Hyperlink"/>
          </w:rPr>
          <w:t xml:space="preserve">Olivier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Leigh</w:t>
        </w:r>
        <w:r>
          <w:rPr>
            <w:rStyle w:val="Hyperlink"/>
          </w:rPr>
          <w:t xml:space="preserve">, 2013</w:t>
        </w:r>
      </w:hyperlink>
      <w:r>
        <w:t xml:space="preserve">)</w:t>
      </w:r>
      <w:r>
        <w:t xml:space="preserve">.</w:t>
      </w:r>
      <w:r>
        <w:t xml:space="preserve"> </w:t>
      </w:r>
      <w:r>
        <w:rPr>
          <w:u w:val="single"/>
        </w:rPr>
        <w:t xml:space="preserve">Un paquete fiscal tiene más impacto si es inversión que si es gasto corriente o rebajas generales de impuestos.</w:t>
      </w:r>
    </w:p>
    <w:bookmarkEnd w:id="290"/>
    <w:bookmarkStart w:id="293" w:name="las_reglas_fiscales_de_la_ue"/>
    <w:p>
      <w:pPr>
        <w:pStyle w:val="Heading4"/>
      </w:pPr>
      <w:r>
        <w:t xml:space="preserve">Las reglas fiscales de la UE</w:t>
      </w:r>
    </w:p>
    <w:p>
      <w:pPr>
        <w:numPr>
          <w:ilvl w:val="0"/>
          <w:numId w:val="1154"/>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54"/>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291">
        <w:r>
          <w:rPr>
            <w:rStyle w:val="Referenciaatema"/>
          </w:rPr>
          <w:t xml:space="preserve">[ver tema 3.B.45]</w:t>
        </w:r>
      </w:hyperlink>
      <w:r>
        <w:t xml:space="preserve">:</w:t>
      </w:r>
    </w:p>
    <w:p>
      <w:pPr>
        <w:numPr>
          <w:ilvl w:val="1"/>
          <w:numId w:val="1155"/>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55"/>
        </w:numPr>
      </w:pPr>
      <w:r>
        <w:t xml:space="preserve">un plan fiscal-estructural a 4 años, ampliable a 7 con reformas e inversiones, que debe dejar la deuda en una trayectoria descendente plausible;</w:t>
      </w:r>
    </w:p>
    <w:p>
      <w:pPr>
        <w:numPr>
          <w:ilvl w:val="1"/>
          <w:numId w:val="1155"/>
        </w:numPr>
      </w:pPr>
      <w:r>
        <w:t xml:space="preserve">salvaguardas: la deuda debe bajar al menos 1 punto al año de media si supera el 90 % del PIB (0,5 entre el 60 y el 90 %), y el déficit estructural converger a un margen del 1,5 % del PIB;</w:t>
      </w:r>
    </w:p>
    <w:p>
      <w:pPr>
        <w:numPr>
          <w:ilvl w:val="1"/>
          <w:numId w:val="1155"/>
        </w:numPr>
      </w:pPr>
      <w:r>
        <w:t xml:space="preserve">una cuenta de control de las desviaciones y cláusulas de escape; en 2025 la Comisión invitó a los Estados a pedir la activación coordinada de la cláusula nacional de escape para el gasto en defensa, con un margen de hasta el 1,5 % del PIB, y la mayoría lo pidió</w:t>
      </w:r>
      <w:r>
        <w:t xml:space="preserve"> </w:t>
      </w:r>
      <w:r>
        <w:t xml:space="preserve">(</w:t>
      </w:r>
      <w:hyperlink w:anchor="ref_CE2025Defensa">
        <w:r>
          <w:rPr>
            <w:rStyle w:val="Hyperlink"/>
            <w:smallCaps/>
          </w:rPr>
          <w:t xml:space="preserve">Comisión Europea</w:t>
        </w:r>
        <w:r>
          <w:rPr>
            <w:rStyle w:val="Hyperlink"/>
          </w:rPr>
          <w:t xml:space="preserve">, 2025c</w:t>
        </w:r>
      </w:hyperlink>
      <w:r>
        <w:t xml:space="preserve">)</w:t>
      </w:r>
      <w:r>
        <w:t xml:space="preserve">.</w:t>
      </w:r>
    </w:p>
    <w:p>
      <w:pPr>
        <w:numPr>
          <w:ilvl w:val="0"/>
          <w:numId w:val="1154"/>
        </w:numPr>
      </w:pPr>
      <w:r>
        <w:rPr>
          <w:i/>
          <w:iCs/>
        </w:rPr>
        <w:t xml:space="preserve">Tipos de reglas fiscales</w:t>
      </w:r>
      <w:r>
        <w:t xml:space="preserve">: de</w:t>
      </w:r>
      <w:r>
        <w:t xml:space="preserve"> </w:t>
      </w:r>
      <w:r>
        <w:rPr>
          <w:b/>
          <w:bCs/>
        </w:rPr>
        <w:t xml:space="preserve">saldo</w:t>
      </w:r>
      <w:r>
        <w:t xml:space="preserve"> </w:t>
      </w:r>
      <w:r>
        <w:t xml:space="preserve">(equilibrio presupuestario: sencillas, pero procíclicas si se fijan sobre el saldo total), de</w:t>
      </w:r>
      <w:r>
        <w:t xml:space="preserve"> </w:t>
      </w:r>
      <w:r>
        <w:rPr>
          <w:b/>
          <w:bCs/>
        </w:rPr>
        <w:t xml:space="preserve">deuda</w:t>
      </w:r>
      <w:r>
        <w:t xml:space="preserve"> </w:t>
      </w:r>
      <w:r>
        <w:t xml:space="preserve">(anclan la sostenibilidad, pero no guían el año a año) y de</w:t>
      </w:r>
      <w:r>
        <w:t xml:space="preserve"> </w:t>
      </w:r>
      <w:r>
        <w:rPr>
          <w:b/>
          <w:bCs/>
        </w:rPr>
        <w:t xml:space="preserve">gasto</w:t>
      </w:r>
      <w:r>
        <w:t xml:space="preserve"> </w:t>
      </w:r>
      <w:r>
        <w:t xml:space="preserve">(controlables por el Gobierno y anticíclicas, porque dejan actuar a los ingresos). Su eficacia depende, sobre todo, del compromiso político y de instituciones fiscales independientes que las vigilen</w:t>
      </w:r>
      <w:r>
        <w:t xml:space="preserve"> </w:t>
      </w:r>
      <w:r>
        <w:t xml:space="preserve">(</w:t>
      </w:r>
      <w:hyperlink w:anchor="ref_Schaechter2012Reglas">
        <w:r>
          <w:rPr>
            <w:rStyle w:val="Hyperlink"/>
            <w:smallCaps/>
          </w:rPr>
          <w:t xml:space="preserve">Schaechter</w:t>
        </w:r>
        <w:r>
          <w:rPr>
            <w:rStyle w:val="Hyperlink"/>
          </w:rPr>
          <w:t xml:space="preserve"> </w:t>
        </w:r>
        <w:r>
          <w:rPr>
            <w:rStyle w:val="Hyperlink"/>
          </w:rPr>
          <w:t xml:space="preserve">et al., 2012</w:t>
        </w:r>
      </w:hyperlink>
      <w:r>
        <w:t xml:space="preserve">)</w:t>
      </w:r>
      <w:r>
        <w:t xml:space="preserve">.</w:t>
      </w:r>
    </w:p>
    <w:p>
      <w:pPr>
        <w:numPr>
          <w:ilvl w:val="0"/>
          <w:numId w:val="1154"/>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92">
        <w:r>
          <w:rPr>
            <w:rStyle w:val="Referenciaatema"/>
          </w:rPr>
          <w:t xml:space="preserve">[ver tema 4.B.21]</w:t>
        </w:r>
      </w:hyperlink>
      <w:r>
        <w:t xml:space="preserve">.</w:t>
      </w:r>
    </w:p>
    <w:bookmarkEnd w:id="293"/>
    <w:bookmarkStart w:id="300" w:name="din__mica_y_sostenibilidad_de_la_d_76756"/>
    <w:p>
      <w:pPr>
        <w:pStyle w:val="Heading4"/>
      </w:pPr>
      <w:r>
        <w:t xml:space="preserve">Dinámica y sostenibilidad de la deuda pública</w:t>
      </w:r>
    </w:p>
    <w:p>
      <w:pPr>
        <w:numPr>
          <w:ilvl w:val="0"/>
          <w:numId w:val="1156"/>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77">
        <w:r>
          <w:rPr>
            <w:rStyle w:val="Referenciaatema"/>
          </w:rPr>
          <w:t xml:space="preserve">[ver tema 3.A.39]</w:t>
        </w:r>
      </w:hyperlink>
      <w:r>
        <w:t xml:space="preserve">,</w:t>
      </w:r>
      <w:r>
        <w:t xml:space="preserve"> </w:t>
      </w:r>
      <w:bookmarkStart w:id="294" w:name="eq_dinamica_deuda"/>
      <w:bookmarkEnd w:id="294"/>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w:t>
      </w:r>
      <w:r>
        <w:t xml:space="preserve"> </w:t>
      </w:r>
      <w:r>
        <w:rPr>
          <w:u w:val="single"/>
        </w:rPr>
        <w:t xml:space="preserve">lo que decide si la deuda se sostiene: la diferencia entre el tipo de interés y el crecimiento nominal</w:t>
      </w:r>
      <w:r>
        <w:t xml:space="preserve">, y ADD el ajuste déficit-deuda (privatizaciones, ayudas financieras, depósitos del Tesoro, efecto del tipo de cambio en la deuda en divisas).</w:t>
      </w:r>
    </w:p>
    <w:p>
      <w:pPr>
        <w:numPr>
          <w:ilvl w:val="0"/>
          <w:numId w:val="1156"/>
        </w:numPr>
      </w:pPr>
      <w:r>
        <w:rPr>
          <w:i/>
          <w:iCs/>
        </w:rPr>
        <w:t xml:space="preserve">Saldo primario que estabiliza la deuda</w:t>
      </w:r>
      <w:r>
        <w:t xml:space="preserve"> </w:t>
      </w:r>
      <w:r>
        <w:t xml:space="preserve">(gráfico </w:t>
      </w:r>
      <w:hyperlink w:anchor="fig_esquema_deuda">
        <w:r>
          <w:rPr>
            <w:rStyle w:val="Hyperlink"/>
          </w:rPr>
          <w:t xml:space="preserve">26</w:t>
        </w:r>
      </w:hyperlink>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bookmarkStart w:id="298" w:name="fig_esquema_deuda"/>
    <w:p>
      <w:pPr>
        <w:pStyle w:val="ImageCaption"/>
      </w:pPr>
      <w:r>
        <w:t xml:space="preserve">Gráfico 26.–</w:t>
      </w:r>
      <w:r>
        <w:t xml:space="preserve"> </w:t>
      </w:r>
      <w:r>
        <w:t xml:space="preserve">El efecto bola de nieve: tipo de interés frente a crecimiento nominal</w:t>
      </w:r>
    </w:p>
    <w:p>
      <w:pPr>
        <w:pStyle w:val="CaptionedFigure"/>
      </w:pPr>
      <w:r>
        <w:drawing>
          <wp:inline>
            <wp:extent cx="3006204" cy="1003087"/>
            <wp:effectExtent b="0" l="0" r="0" t="0"/>
            <wp:docPr descr="Gráfico 26.– El efecto bola de nieve: tipo de interés frente a crecimiento nominal" title="" id="296" name="Picture"/>
            <a:graphic>
              <a:graphicData uri="http://schemas.openxmlformats.org/drawingml/2006/picture">
                <pic:pic>
                  <pic:nvPicPr>
                    <pic:cNvPr descr="C:\Users\vgutierrez\Documents\src\victorgutierrezmarcos.github.io-revision\oposicion\temario\fuentes\1D01\graficos/esquema-deuda-estabilizadora.png" id="297" name="Picture"/>
                    <pic:cNvPicPr>
                      <a:picLocks noChangeArrowheads="1" noChangeAspect="1"/>
                    </pic:cNvPicPr>
                  </pic:nvPicPr>
                  <pic:blipFill>
                    <a:blip r:embed="rId295"/>
                    <a:stretch>
                      <a:fillRect/>
                    </a:stretch>
                  </pic:blipFill>
                  <pic:spPr bwMode="auto">
                    <a:xfrm>
                      <a:off x="0" y="0"/>
                      <a:ext cx="3006204" cy="1003087"/>
                    </a:xfrm>
                    <a:prstGeom prst="rect">
                      <a:avLst/>
                    </a:prstGeom>
                    <a:noFill/>
                    <a:ln w="9525">
                      <a:noFill/>
                      <a:headEnd/>
                      <a:tailEnd/>
                    </a:ln>
                  </pic:spPr>
                </pic:pic>
              </a:graphicData>
            </a:graphic>
          </wp:inline>
        </w:drawing>
      </w:r>
    </w:p>
    <w:bookmarkEnd w:id="298"/>
    <w:p>
      <w:pPr>
        <w:pStyle w:val="Piedeimagen"/>
      </w:pPr>
      <w:r>
        <w:t xml:space="preserve">Fuente: Elaboración propia a partir de</w:t>
      </w:r>
      <w:r>
        <w:t xml:space="preserve"> </w:t>
      </w:r>
      <w:r>
        <w:t xml:space="preserve">O.</w:t>
      </w:r>
      <w:r>
        <w:t xml:space="preserve"> </w:t>
      </w:r>
      <w:r>
        <w:rPr>
          <w:smallCaps/>
        </w:rPr>
        <w:t xml:space="preserve">Blanchard</w:t>
      </w:r>
      <w:r>
        <w:t xml:space="preserve"> </w:t>
      </w:r>
      <w:r>
        <w:t xml:space="preserve">(</w:t>
      </w:r>
      <w:hyperlink w:anchor="ref_Blanchard2019Deuda">
        <w:r>
          <w:rPr>
            <w:rStyle w:val="Hyperlink"/>
          </w:rPr>
          <w:t xml:space="preserve">2019</w:t>
        </w:r>
      </w:hyperlink>
      <w:r>
        <w:t xml:space="preserve">)</w:t>
      </w:r>
      <w:r>
        <w:t xml:space="preserve">. Qué hay que ver: lo que decide si la deuda se sostiene es la diferencia entre el tipo de interés y el crecimiento nominal; con</w:t>
      </w:r>
      <w:r>
        <w:t xml:space="preserve"> </w:t>
      </w:r>
      <m:oMath>
        <m:r>
          <m:t>i</m:t>
        </m:r>
        <m:r>
          <m:rPr>
            <m:sty m:val="p"/>
          </m:rPr>
          <m:t>&gt;</m:t>
        </m:r>
        <m:sSup>
          <m:e>
            <m:r>
              <m:t>γ</m:t>
            </m:r>
          </m:e>
          <m:sup>
            <m:r>
              <m:t>N</m:t>
            </m:r>
          </m:sup>
        </m:sSup>
      </m:oMath>
      <w:r>
        <w:t xml:space="preserve">, hace falta superávit primario.</w:t>
      </w:r>
    </w:p>
    <w:p>
      <w:pPr>
        <w:numPr>
          <w:ilvl w:val="0"/>
          <w:numId w:val="1157"/>
        </w:numPr>
      </w:pPr>
      <w:r>
        <w:rPr>
          <w:i/>
          <w:iCs/>
        </w:rPr>
        <w:t xml:space="preserve">Con los datos del examen, hay que decirlo</w:t>
      </w:r>
      <w:r>
        <w:t xml:space="preserve">: el cuadro da la deuda</w:t>
      </w:r>
      <w:r>
        <w:t xml:space="preserve"> </w:t>
      </w:r>
      <w:r>
        <w:rPr>
          <w:i/>
          <w:iCs/>
        </w:rPr>
        <w:t xml:space="preserve">bruta</w:t>
      </w:r>
      <w:r>
        <w:t xml:space="preserve">, pero la sostenibilidad debería juzgarse con la</w:t>
      </w:r>
      <w:r>
        <w:t xml:space="preserve"> </w:t>
      </w:r>
      <w:r>
        <w:rPr>
          <w:i/>
          <w:iCs/>
        </w:rPr>
        <w:t xml:space="preserve">neta</w:t>
      </w:r>
      <w:r>
        <w:t xml:space="preserve"> </w:t>
      </w:r>
      <w:r>
        <w:t xml:space="preserve">(descontando los activos del Estado: reservas, depósitos, préstamos concedidos, fondos de reserva, y lo que rinden)</w:t>
      </w:r>
      <w:r>
        <w:t xml:space="preserve"> </w:t>
      </w:r>
      <w:r>
        <w:t xml:space="preserve">(</w:t>
      </w:r>
      <w:hyperlink w:anchor="ref_FMI2018FiscalMonitor">
        <w:r>
          <w:rPr>
            <w:rStyle w:val="Hyperlink"/>
            <w:smallCaps/>
          </w:rPr>
          <w:t xml:space="preserve">Fondo Monetario Internacional</w:t>
        </w:r>
        <w:r>
          <w:rPr>
            <w:rStyle w:val="Hyperlink"/>
          </w:rPr>
          <w:t xml:space="preserve">, 2018</w:t>
        </w:r>
      </w:hyperlink>
      <w:r>
        <w:t xml:space="preserve">)</w:t>
      </w:r>
      <w:r>
        <w:t xml:space="preserve">; y da el tipo a corto plazo, que se aproxima al coste de la deuda nueva, cuando lo relevante es el tipo</w:t>
      </w:r>
      <w:r>
        <w:t xml:space="preserve"> </w:t>
      </w:r>
      <w:r>
        <w:rPr>
          <w:i/>
          <w:iCs/>
        </w:rPr>
        <w:t xml:space="preserve">medio</w:t>
      </w:r>
      <w:r>
        <w:t xml:space="preserve"> </w:t>
      </w:r>
      <w:r>
        <w:t xml:space="preserve">de la deuda viva. Los emergentes sostienen menos deuda porque pagan tipos más altos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w:t>
      </w:r>
    </w:p>
    <w:p>
      <w:pPr>
        <w:keepNext/>
        <w:numPr>
          <w:ilvl w:val="0"/>
          <w:numId w:val="1157"/>
        </w:numPr>
      </w:pPr>
      <w:r>
        <w:rPr>
          <w:i/>
          <w:iCs/>
        </w:rPr>
        <w:t xml:space="preserve">Riesgos para la sostenibilidad</w:t>
      </w:r>
      <w:r>
        <w:t xml:space="preserve">:</w:t>
      </w:r>
    </w:p>
    <w:p>
      <w:pPr>
        <w:numPr>
          <w:ilvl w:val="1"/>
          <w:numId w:val="1158"/>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158"/>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57"/>
        </w:numPr>
      </w:pPr>
      <w:r>
        <w:rPr>
          <w:i/>
          <w:iCs/>
        </w:rPr>
        <w:t xml:space="preserve">Necesidades brutas de financiación</w:t>
      </w:r>
      <w:r>
        <w:t xml:space="preserve">: el déficit del año más la deuda que vence en los próximos 12 meses. Miden el riesgo de</w:t>
      </w:r>
      <w:r>
        <w:t xml:space="preserve"> </w:t>
      </w:r>
      <w:r>
        <w:rPr>
          <w:i/>
          <w:iCs/>
        </w:rPr>
        <w:t xml:space="preserve">liquidez</w:t>
      </w:r>
      <w:r>
        <w:t xml:space="preserve">, no el de solvencia: un país con deuda moderada pero muy concentrada a corto plazo puede tener problemas si se cierran los mercados. El FMI las vigila en su análisis de sostenibilidad</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p>
      <w:pPr>
        <w:keepNext/>
        <w:numPr>
          <w:ilvl w:val="0"/>
          <w:numId w:val="1157"/>
        </w:numPr>
      </w:pPr>
      <w:r>
        <w:rPr>
          <w:i/>
          <w:iCs/>
        </w:rPr>
        <w:t xml:space="preserve">Preguntas guía para enlazar los bloques</w:t>
      </w:r>
      <w:r>
        <w:t xml:space="preserve">: ¿es la deuda pública también deuda</w:t>
      </w:r>
      <w:r>
        <w:t xml:space="preserve"> </w:t>
      </w:r>
      <w:r>
        <w:rPr>
          <w:i/>
          <w:iCs/>
        </w:rPr>
        <w:t xml:space="preserve">externa</w:t>
      </w:r>
      <w:r>
        <w:t xml:space="preserve"> </w:t>
      </w:r>
      <w:r>
        <w:t xml:space="preserve">(en manos de no residentes, en divisas)? ¿La financia el banco central? Cada forma de financiar el déficit tiene su desequilibrio típico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59"/>
        </w:numPr>
      </w:pPr>
      <w:r>
        <w:t xml:space="preserve">con</w:t>
      </w:r>
      <w:r>
        <w:t xml:space="preserve"> </w:t>
      </w:r>
      <w:r>
        <w:rPr>
          <w:b/>
          <w:bCs/>
        </w:rPr>
        <w:t xml:space="preserve">el exterior</w:t>
      </w:r>
      <w:r>
        <w:t xml:space="preserve">: apreciación y, si es en divisas, riesgo cambiario;</w:t>
      </w:r>
    </w:p>
    <w:p>
      <w:pPr>
        <w:numPr>
          <w:ilvl w:val="1"/>
          <w:numId w:val="1159"/>
        </w:numPr>
      </w:pPr>
      <w:r>
        <w:t xml:space="preserve">con</w:t>
      </w:r>
      <w:r>
        <w:t xml:space="preserve"> </w:t>
      </w:r>
      <w:r>
        <w:rPr>
          <w:b/>
          <w:bCs/>
        </w:rPr>
        <w:t xml:space="preserve">el banco central</w:t>
      </w:r>
      <w:r>
        <w:t xml:space="preserve">: más base monetaria e inflación (dominancia fiscal);</w:t>
      </w:r>
    </w:p>
    <w:p>
      <w:pPr>
        <w:numPr>
          <w:ilvl w:val="1"/>
          <w:numId w:val="1159"/>
        </w:numPr>
      </w:pPr>
      <w:r>
        <w:t xml:space="preserve">con</w:t>
      </w:r>
      <w:r>
        <w:t xml:space="preserve"> </w:t>
      </w:r>
      <w:r>
        <w:rPr>
          <w:b/>
          <w:bCs/>
        </w:rPr>
        <w:t xml:space="preserve">la banca nacional</w:t>
      </w:r>
      <w:r>
        <w:t xml:space="preserve">: expulsión del crédito privado y bucle bancario-soberano;</w:t>
      </w:r>
    </w:p>
    <w:p>
      <w:pPr>
        <w:numPr>
          <w:ilvl w:val="1"/>
          <w:numId w:val="1159"/>
        </w:numPr>
      </w:pPr>
      <w:r>
        <w:t xml:space="preserve">con</w:t>
      </w:r>
      <w:r>
        <w:t xml:space="preserve"> </w:t>
      </w:r>
      <w:r>
        <w:rPr>
          <w:b/>
          <w:bCs/>
        </w:rPr>
        <w:t xml:space="preserve">el sector no bancario</w:t>
      </w:r>
      <w:r>
        <w:t xml:space="preserve">: tipos más altos y, si la deuda no se controla, inflación futura.</w:t>
      </w:r>
    </w:p>
    <w:p>
      <w:pPr>
        <w:numPr>
          <w:ilvl w:val="0"/>
          <w:numId w:val="1157"/>
        </w:numPr>
      </w:pPr>
      <w:r>
        <w:rPr>
          <w:i/>
          <w:iCs/>
        </w:rPr>
        <w:t xml:space="preserve">Patrimonio y riesgos ocultos</w:t>
      </w:r>
      <w:r>
        <w:t xml:space="preserve">: la deuda no es todo el balance del Estado. Los</w:t>
      </w:r>
      <w:r>
        <w:t xml:space="preserve"> </w:t>
      </w:r>
      <w:r>
        <w:rPr>
          <w:b/>
          <w:bCs/>
        </w:rPr>
        <w:t xml:space="preserve">pasivos contingentes</w:t>
      </w:r>
      <w:r>
        <w:t xml:space="preserve"> </w:t>
      </w:r>
      <w:r>
        <w:t xml:space="preserve">explícitos (avales, garantías a empresas públicas o a la banca) e implícitos (rescates esperados), y las</w:t>
      </w:r>
      <w:r>
        <w:t xml:space="preserve"> </w:t>
      </w:r>
      <w:r>
        <w:rPr>
          <w:b/>
          <w:bCs/>
        </w:rPr>
        <w:t xml:space="preserve">colaboraciones público-privadas</w:t>
      </w:r>
      <w:r>
        <w:t xml:space="preserve">, que esconden gasto futuro, pueden aflorar de golpe en una crisis. Una senda de deuda se pone a prueba comparándola con la de un escenario a políticas constantes y con la historia del país (¿ha logrado alguna vez el superávit primario que supone?)</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21DSA">
        <w:r>
          <w:rPr>
            <w:rStyle w:val="Hyperlink"/>
          </w:rPr>
          <w:t xml:space="preserve">2021a</w:t>
        </w:r>
      </w:hyperlink>
      <w:r>
        <w:t xml:space="preserve">)</w:t>
      </w:r>
      <w:r>
        <w:t xml:space="preserve">.</w:t>
      </w:r>
    </w:p>
    <w:p>
      <w:pPr>
        <w:numPr>
          <w:ilvl w:val="0"/>
          <w:numId w:val="1157"/>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299">
        <w:r>
          <w:rPr>
            <w:rStyle w:val="Referenciaatema"/>
          </w:rPr>
          <w:t xml:space="preserve">[ver tema 4.B.26]</w:t>
        </w:r>
      </w:hyperlink>
      <w:r>
        <w:t xml:space="preserve">.</w:t>
      </w:r>
    </w:p>
    <w:p>
      <w:pPr>
        <w:numPr>
          <w:ilvl w:val="0"/>
          <w:numId w:val="1157"/>
        </w:numPr>
      </w:pPr>
      <w:r>
        <w:rPr>
          <w:i/>
          <w:iCs/>
        </w:rPr>
        <w:t xml:space="preserve">La calidad del ajuste importa tanto como su tamaño</w:t>
      </w:r>
      <w:r>
        <w:t xml:space="preserve">: proteger el gasto productivo (inversión, educación) y las redes de protección focalizadas; eliminar programas ineficaces antes que hacer recortes lineales; no recortar el mantenimiento ni los insumos que hacen funcionar los servicios; por el lado de los ingresos, bases amplias (un IVA con pocas exenciones, impuestos especiales), aranceles bajos y uniformes y nada de vacaciones fiscales, que atraen empresas móviles y se prestan a manipular los precios de transferencia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7"/>
        </w:numPr>
      </w:pPr>
      <w:r>
        <w:rPr>
          <w:i/>
          <w:iCs/>
        </w:rPr>
        <w:t xml:space="preserve">Política fiscal en una crisis, según su origen</w:t>
      </w:r>
      <w:r>
        <w:t xml:space="preserve">: si la crisis es</w:t>
      </w:r>
      <w:r>
        <w:t xml:space="preserve"> </w:t>
      </w:r>
      <w:r>
        <w:rPr>
          <w:i/>
          <w:iCs/>
        </w:rPr>
        <w:t xml:space="preserve">fiscal</w:t>
      </w:r>
      <w:r>
        <w:t xml:space="preserve"> </w:t>
      </w:r>
      <w:r>
        <w:t xml:space="preserve">(el problema es la deuda pública), hay que consolidar aunque cueste actividad; si es</w:t>
      </w:r>
      <w:r>
        <w:t xml:space="preserve"> </w:t>
      </w:r>
      <w:r>
        <w:rPr>
          <w:i/>
          <w:iCs/>
        </w:rPr>
        <w:t xml:space="preserve">financiera o empresarial</w:t>
      </w:r>
      <w:r>
        <w:t xml:space="preserve"> </w:t>
      </w:r>
      <w:r>
        <w:t xml:space="preserve">con cuentas públicas sanas, conviene dejar actuar a los estabilizadores o incluso estimular. Ante un choque temporal, la respuesta debe ser rápida al principio y focalizada después, con un plan de retirada gradual que se anuncia pronto aunque se aplique más tarde, vigilando los avales y evitando mantener a flote empresas inviables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300"/>
    <w:bookmarkStart w:id="306" w:name="la_inflaci__n_y_las_cuentas_p__blicas"/>
    <w:p>
      <w:pPr>
        <w:pStyle w:val="Heading4"/>
      </w:pPr>
      <w:r>
        <w:t xml:space="preserve">La inflación y las cuentas públicas</w:t>
      </w:r>
    </w:p>
    <w:p>
      <w:pPr>
        <w:numPr>
          <w:ilvl w:val="0"/>
          <w:numId w:val="1160"/>
        </w:numPr>
      </w:pPr>
      <w:r>
        <w:rPr>
          <w:i/>
          <w:iCs/>
        </w:rPr>
        <w:t xml:space="preserve">La idea</w:t>
      </w:r>
      <w:r>
        <w:t xml:space="preserve">: la inflación aumenta los ingresos y los gastos públicos, pero con distinto retraso.</w:t>
      </w:r>
      <w:r>
        <w:t xml:space="preserve"> </w:t>
      </w:r>
      <w:r>
        <w:rPr>
          <w:u w:val="single"/>
        </w:rPr>
        <w:t xml:space="preserve">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60"/>
        </w:numPr>
      </w:pPr>
      <w:r>
        <w:rPr>
          <w:i/>
          <w:iCs/>
        </w:rPr>
        <w:t xml:space="preserve">Los ingresos suben deprisa</w:t>
      </w:r>
      <w:r>
        <w:t xml:space="preserve">:</w:t>
      </w:r>
    </w:p>
    <w:p>
      <w:pPr>
        <w:numPr>
          <w:ilvl w:val="1"/>
          <w:numId w:val="1161"/>
        </w:numPr>
      </w:pPr>
      <w:r>
        <w:t xml:space="preserve">las bases tributarias (consumo, beneficios, masa salarial) son variables nominales y crecen con la inflación;</w:t>
      </w:r>
    </w:p>
    <w:p>
      <w:pPr>
        <w:numPr>
          <w:ilvl w:val="1"/>
          <w:numId w:val="1161"/>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60"/>
        </w:numPr>
      </w:pPr>
      <w:r>
        <w:rPr>
          <w:i/>
          <w:iCs/>
        </w:rPr>
        <w:t xml:space="preserve">Los gastos suben más despacio</w:t>
      </w:r>
      <w:r>
        <w:t xml:space="preserve">:</w:t>
      </w:r>
    </w:p>
    <w:p>
      <w:pPr>
        <w:numPr>
          <w:ilvl w:val="1"/>
          <w:numId w:val="1162"/>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62"/>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62"/>
        </w:numPr>
      </w:pPr>
      <w:r>
        <w:rPr>
          <w:i/>
          <w:iCs/>
        </w:rPr>
        <w:t xml:space="preserve">compras y suministros</w:t>
      </w:r>
      <w:r>
        <w:t xml:space="preserve"> </w:t>
      </w:r>
      <w:r>
        <w:t xml:space="preserve">(alquileres, contratos): suben a medida que vencen los contratos y se licitan a precios más altos.</w:t>
      </w:r>
    </w:p>
    <w:p>
      <w:pPr>
        <w:numPr>
          <w:ilvl w:val="0"/>
          <w:numId w:val="1160"/>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4</w:t>
        </w:r>
      </w:hyperlink>
      <w:r>
        <w:t xml:space="preserve"> </w:t>
      </w:r>
      <w:r>
        <w:t xml:space="preserve">ordena los canales, y el gráfico </w:t>
      </w:r>
      <w:hyperlink w:anchor="fig_inflacion_cuentas">
        <w:r>
          <w:rPr>
            <w:rStyle w:val="Hyperlink"/>
          </w:rPr>
          <w:t xml:space="preserve">27</w:t>
        </w:r>
      </w:hyperlink>
      <w:r>
        <w:t xml:space="preserve">, su calendario.</w:t>
      </w:r>
    </w:p>
    <w:bookmarkStart w:id="301" w:name="tab_inflacion_cuentas"/>
    <w:p>
      <w:pPr>
        <w:pStyle w:val="TableCaption"/>
      </w:pPr>
      <w:r>
        <w:t xml:space="preserve">Tabla 4.–</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4.–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301"/>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Start w:id="305" w:name="fig_inflacion_cuentas"/>
    <w:p>
      <w:pPr>
        <w:pStyle w:val="ImageCaption"/>
      </w:pPr>
      <w:r>
        <w:t xml:space="preserve">Gráfico 27.–</w:t>
      </w:r>
      <w:r>
        <w:t xml:space="preserve"> </w:t>
      </w:r>
      <w:r>
        <w:t xml:space="preserve">Efectos inmediatos de la inflación en las cuentas públicas</w:t>
      </w:r>
    </w:p>
    <w:p>
      <w:pPr>
        <w:pStyle w:val="CaptionedFigure"/>
      </w:pPr>
      <w:r>
        <w:drawing>
          <wp:inline>
            <wp:extent cx="4297680" cy="2014695"/>
            <wp:effectExtent b="0" l="0" r="0" t="0"/>
            <wp:docPr descr="Gráfico 27.– Efectos inmediatos de la inflación en las cuentas públicas" title="" id="303" name="Picture"/>
            <a:graphic>
              <a:graphicData uri="http://schemas.openxmlformats.org/drawingml/2006/picture">
                <pic:pic>
                  <pic:nvPicPr>
                    <pic:cNvPr descr="C:\Users\vgutierrez\Documents\src\victorgutierrezmarcos.github.io-revision\oposicion\temario\fuentes\1D01\graficos/inflacion-cuentas-publicas.png" id="304" name="Picture"/>
                    <pic:cNvPicPr>
                      <a:picLocks noChangeArrowheads="1" noChangeAspect="1"/>
                    </pic:cNvPicPr>
                  </pic:nvPicPr>
                  <pic:blipFill>
                    <a:blip r:embed="rId302"/>
                    <a:stretch>
                      <a:fillRect/>
                    </a:stretch>
                  </pic:blipFill>
                  <pic:spPr bwMode="auto">
                    <a:xfrm>
                      <a:off x="0" y="0"/>
                      <a:ext cx="4297680" cy="2014695"/>
                    </a:xfrm>
                    <a:prstGeom prst="rect">
                      <a:avLst/>
                    </a:prstGeom>
                    <a:noFill/>
                    <a:ln w="9525">
                      <a:noFill/>
                      <a:headEnd/>
                      <a:tailEnd/>
                    </a:ln>
                  </pic:spPr>
                </pic:pic>
              </a:graphicData>
            </a:graphic>
          </wp:inline>
        </w:drawing>
      </w:r>
    </w:p>
    <w:bookmarkEnd w:id="305"/>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End w:id="306"/>
    <w:bookmarkStart w:id="310" w:name="otros_an__lisis_de_las_cuentas_p__blicas"/>
    <w:p>
      <w:pPr>
        <w:pStyle w:val="Heading4"/>
      </w:pPr>
      <w:r>
        <w:t xml:space="preserve">Otros análisis de las cuentas públicas</w:t>
      </w:r>
    </w:p>
    <w:p>
      <w:pPr>
        <w:keepNext/>
        <w:numPr>
          <w:ilvl w:val="0"/>
          <w:numId w:val="1163"/>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307">
        <w:r>
          <w:rPr>
            <w:rStyle w:val="Referenciaatema"/>
          </w:rPr>
          <w:t xml:space="preserve">[ver tema 4.B.5]</w:t>
        </w:r>
      </w:hyperlink>
      <w:r>
        <w:t xml:space="preserve"> </w:t>
      </w:r>
      <w:hyperlink r:id="rId308">
        <w:r>
          <w:rPr>
            <w:rStyle w:val="Referenciaatema"/>
          </w:rPr>
          <w:t xml:space="preserve">[ver tema 4.B.7]</w:t>
        </w:r>
      </w:hyperlink>
      <w:r>
        <w:t xml:space="preserve">. Con ingresos bajos hay 2 vías para subirlos sin dañar el crecimiento:</w:t>
      </w:r>
    </w:p>
    <w:p>
      <w:pPr>
        <w:numPr>
          <w:ilvl w:val="1"/>
          <w:numId w:val="1164"/>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64"/>
        </w:numPr>
      </w:pPr>
      <w:r>
        <w:rPr>
          <w:i/>
          <w:iCs/>
        </w:rPr>
        <w:t xml:space="preserve">más ingresos no tributarios</w:t>
      </w:r>
      <w:r>
        <w:t xml:space="preserve">: tasas, contribuciones especiales, cotizaciones sociales y sanciones.</w:t>
      </w:r>
    </w:p>
    <w:p>
      <w:pPr>
        <w:numPr>
          <w:ilvl w:val="0"/>
          <w:numId w:val="1163"/>
        </w:numPr>
      </w:pPr>
      <w:r>
        <w:rPr>
          <w:i/>
          <w:iCs/>
        </w:rPr>
        <w:t xml:space="preserve">Gasto corriente frente a gasto de capital</w:t>
      </w:r>
      <w:r>
        <w:t xml:space="preserve">: el gasto se divide en</w:t>
      </w:r>
      <w:r>
        <w:t xml:space="preserve"> </w:t>
      </w:r>
      <w:r>
        <w:rPr>
          <w:i/>
          <w:iCs/>
        </w:rPr>
        <w:t xml:space="preserve">corriente</w:t>
      </w:r>
      <w:r>
        <w:t xml:space="preserve"> </w:t>
      </w:r>
      <w:r>
        <w:t xml:space="preserve">(remuneración de los empleados públicos, compras, subvenciones, prestaciones sociales e intereses de la deuda) y</w:t>
      </w:r>
      <w:r>
        <w:t xml:space="preserve"> </w:t>
      </w:r>
      <w:r>
        <w:rPr>
          <w:i/>
          <w:iCs/>
        </w:rPr>
        <w:t xml:space="preserve">de capital</w:t>
      </w:r>
      <w:r>
        <w:t xml:space="preserve"> </w:t>
      </w:r>
      <w:r>
        <w:t xml:space="preserve">(inversión en infraestructuras y otros activos, transferencias de capital)</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un ajuste que recorta sobre todo la inversión pública daña el crecimiento potencial.</w:t>
      </w:r>
    </w:p>
    <w:p>
      <w:pPr>
        <w:numPr>
          <w:ilvl w:val="0"/>
          <w:numId w:val="1163"/>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63"/>
        </w:numPr>
      </w:pPr>
      <w:r>
        <w:rPr>
          <w:i/>
          <w:iCs/>
        </w:rPr>
        <w:t xml:space="preserve">Peso de la deuda a corto plazo</w:t>
      </w:r>
      <w:r>
        <w:t xml:space="preserve">: cuanto más concentrados los vencimientos, mayor el riesgo de refinanciación; mejor un calendario escalonado.</w:t>
      </w:r>
    </w:p>
    <w:p>
      <w:pPr>
        <w:numPr>
          <w:ilvl w:val="0"/>
          <w:numId w:val="1163"/>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63"/>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63"/>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5</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309" w:name="tab_calificaciones"/>
    <w:p>
      <w:pPr>
        <w:pStyle w:val="TableCaption"/>
      </w:pPr>
      <w:r>
        <w:t xml:space="preserve">Tabla 5.–</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5.–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309"/>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B.2.1</w:t>
        </w:r>
      </w:hyperlink>
      <w:r>
        <w:t xml:space="preserve">.</w:t>
      </w:r>
    </w:p>
    <w:bookmarkEnd w:id="310"/>
    <w:bookmarkEnd w:id="311"/>
    <w:bookmarkStart w:id="317"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65"/>
        </w:numPr>
      </w:pPr>
      <w:r>
        <w:rPr>
          <w:i/>
          <w:iCs/>
        </w:rPr>
        <w:t xml:space="preserve">Qué es</w:t>
      </w:r>
      <w:r>
        <w:t xml:space="preserve">: la combinación de los tonos de la política monetaria y la fiscal.</w:t>
      </w:r>
    </w:p>
    <w:p>
      <w:pPr>
        <w:keepNext/>
        <w:numPr>
          <w:ilvl w:val="0"/>
          <w:numId w:val="1165"/>
        </w:numPr>
      </w:pPr>
      <w:r>
        <w:rPr>
          <w:i/>
          <w:iCs/>
        </w:rPr>
        <w:t xml:space="preserve">Cómo se lee</w:t>
      </w:r>
      <w:r>
        <w:t xml:space="preserve">:</w:t>
      </w:r>
      <w:r>
        <w:t xml:space="preserve"> </w:t>
      </w:r>
      <w:r>
        <w:rPr>
          <w:u w:val="single"/>
        </w:rPr>
        <w:t xml:space="preserve">el</w:t>
      </w:r>
      <w:r>
        <w:rPr>
          <w:u w:val="single"/>
        </w:rPr>
        <w:t xml:space="preserve"> </w:t>
      </w:r>
      <w:r>
        <w:rPr>
          <w:i/>
          <w:iCs/>
          <w:u w:val="single"/>
        </w:rPr>
        <w:t xml:space="preserve">policy mix</w:t>
      </w:r>
      <w:r>
        <w:rPr>
          <w:u w:val="single"/>
        </w:rPr>
        <w:t xml:space="preserve"> </w:t>
      </w:r>
      <w:r>
        <w:rPr>
          <w:u w:val="single"/>
        </w:rPr>
        <w:t xml:space="preserve">es</w:t>
      </w:r>
      <w:r>
        <w:rPr>
          <w:u w:val="single"/>
        </w:rPr>
        <w:t xml:space="preserve"> </w:t>
      </w:r>
      <w:r>
        <w:rPr>
          <w:i/>
          <w:iCs/>
          <w:u w:val="single"/>
        </w:rPr>
        <w:t xml:space="preserve">coherente</w:t>
      </w:r>
      <w:r>
        <w:rPr>
          <w:u w:val="single"/>
        </w:rPr>
        <w:t xml:space="preserve"> </w:t>
      </w:r>
      <w:r>
        <w:rPr>
          <w:u w:val="single"/>
        </w:rPr>
        <w:t xml:space="preserve">si cada política contribuye a los objetivos de la otra, no si las 2 tienen el mismo signo</w:t>
      </w:r>
      <w:r>
        <w:t xml:space="preserve">,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28</w:t>
        </w:r>
      </w:hyperlink>
      <w:r>
        <w:t xml:space="preserve">)</w:t>
      </w:r>
      <w:r>
        <w:t xml:space="preserve"> </w:t>
      </w:r>
      <w:hyperlink r:id="rId312">
        <w:r>
          <w:rPr>
            <w:rStyle w:val="Referenciaatema"/>
          </w:rPr>
          <w:t xml:space="preserve">[ver tema 3.A.40]</w:t>
        </w:r>
      </w:hyperlink>
      <w:r>
        <w:t xml:space="preserve">:</w:t>
      </w:r>
    </w:p>
    <w:p>
      <w:pPr>
        <w:numPr>
          <w:ilvl w:val="1"/>
          <w:numId w:val="1166"/>
        </w:numPr>
      </w:pPr>
      <w:r>
        <w:rPr>
          <w:i/>
          <w:iCs/>
        </w:rPr>
        <w:t xml:space="preserve">ambas expansivas</w:t>
      </w:r>
      <w:r>
        <w:t xml:space="preserve">: adecuado en una recesión con inflación baja; riesgo de inflación si se mantienen en la recuperación;</w:t>
      </w:r>
    </w:p>
    <w:p>
      <w:pPr>
        <w:numPr>
          <w:ilvl w:val="1"/>
          <w:numId w:val="1166"/>
        </w:numPr>
      </w:pPr>
      <w:r>
        <w:rPr>
          <w:i/>
          <w:iCs/>
        </w:rPr>
        <w:t xml:space="preserve">ambas contractivas</w:t>
      </w:r>
      <w:r>
        <w:t xml:space="preserve">: adecuado con sobrecalentamiento e inflación; riesgo de recesión;</w:t>
      </w:r>
    </w:p>
    <w:p>
      <w:pPr>
        <w:numPr>
          <w:ilvl w:val="1"/>
          <w:numId w:val="1166"/>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66"/>
        </w:numPr>
      </w:pPr>
      <w:r>
        <w:rPr>
          <w:i/>
          <w:iCs/>
        </w:rPr>
        <w:t xml:space="preserve">fiscal contractiva y monetaria expansiva</w:t>
      </w:r>
      <w:r>
        <w:t xml:space="preserve">: la combinación clásica para consolidar con deuda alta y brecha negativa sin hundir la demanda.</w:t>
      </w:r>
    </w:p>
    <w:p>
      <w:pPr>
        <w:numPr>
          <w:ilvl w:val="0"/>
          <w:numId w:val="1165"/>
        </w:numPr>
      </w:pPr>
      <w:r>
        <w:t xml:space="preserve">En una unión monetaria la política monetaria es común: el país solo controla la fiscal, que tiene que compensar si su ciclo va por delante o por detrás del de la zona.</w:t>
      </w:r>
    </w:p>
    <w:p>
      <w:pPr>
        <w:numPr>
          <w:ilvl w:val="0"/>
          <w:numId w:val="1165"/>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bookmarkStart w:id="316" w:name="fig_policy_mix"/>
    <w:p>
      <w:pPr>
        <w:pStyle w:val="ImageCaption"/>
      </w:pPr>
      <w:r>
        <w:t xml:space="preserve">Gráfico 28.–</w:t>
      </w:r>
      <w:r>
        <w:t xml:space="preserve"> </w:t>
      </w:r>
      <w:r>
        <w:t xml:space="preserve">Los 4 cuadrantes del</w:t>
      </w:r>
      <w:r>
        <w:t xml:space="preserve"> </w:t>
      </w:r>
      <w:r>
        <w:rPr>
          <w:i/>
          <w:iCs/>
        </w:rPr>
        <w:t xml:space="preserve">policy mix</w:t>
      </w:r>
    </w:p>
    <w:p>
      <w:pPr>
        <w:pStyle w:val="CaptionedFigure"/>
      </w:pPr>
      <w:r>
        <w:drawing>
          <wp:inline>
            <wp:extent cx="2745740" cy="1756662"/>
            <wp:effectExtent b="0" l="0" r="0" t="0"/>
            <wp:docPr descr="Gráfico 28.– Los 4 cuadrantes del policy mix" title="" id="314" name="Picture"/>
            <a:graphic>
              <a:graphicData uri="http://schemas.openxmlformats.org/drawingml/2006/picture">
                <pic:pic>
                  <pic:nvPicPr>
                    <pic:cNvPr descr="C:\Users\vgutierrez\Documents\src\victorgutierrezmarcos.github.io-revision\oposicion\temario\fuentes\1D01\graficos/policy-mix.png" id="315" name="Picture"/>
                    <pic:cNvPicPr>
                      <a:picLocks noChangeArrowheads="1" noChangeAspect="1"/>
                    </pic:cNvPicPr>
                  </pic:nvPicPr>
                  <pic:blipFill>
                    <a:blip r:embed="rId313"/>
                    <a:stretch>
                      <a:fillRect/>
                    </a:stretch>
                  </pic:blipFill>
                  <pic:spPr bwMode="auto">
                    <a:xfrm>
                      <a:off x="0" y="0"/>
                      <a:ext cx="2745740" cy="1756662"/>
                    </a:xfrm>
                    <a:prstGeom prst="rect">
                      <a:avLst/>
                    </a:prstGeom>
                    <a:noFill/>
                    <a:ln w="9525">
                      <a:noFill/>
                      <a:headEnd/>
                      <a:tailEnd/>
                    </a:ln>
                  </pic:spPr>
                </pic:pic>
              </a:graphicData>
            </a:graphic>
          </wp:inline>
        </w:drawing>
      </w:r>
    </w:p>
    <w:bookmarkEnd w:id="316"/>
    <w:p>
      <w:pPr>
        <w:pStyle w:val="Piedeimagen"/>
      </w:pPr>
      <w:r>
        <w:t xml:space="preserve">Fuente: Elaboración propia. Qué hay que ver: el tono de cada política se sitúa en un eje; la coherencia depende de la situación (inflación, brecha, deuda), no de que las 2 vayan en el mismo sentido.</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End w:id="317"/>
    <w:bookmarkStart w:id="319" w:name="sec_politicas_oferta"/>
    <w:p>
      <w:pPr>
        <w:pStyle w:val="Heading2"/>
      </w:pPr>
      <w:r>
        <w:t xml:space="preserve">V.5.</w:t>
      </w:r>
      <w:r>
        <w:t xml:space="preserve"> </w:t>
      </w:r>
      <w:r>
        <w:t xml:space="preserve">Políticas de oferta</w:t>
      </w:r>
    </w:p>
    <w:p>
      <w:pPr>
        <w:keepNext/>
        <w:numPr>
          <w:ilvl w:val="0"/>
          <w:numId w:val="1167"/>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56">
        <w:r>
          <w:rPr>
            <w:rStyle w:val="Referenciaatema"/>
          </w:rPr>
          <w:t xml:space="preserve">[ver tema 3.A.45]</w:t>
        </w:r>
      </w:hyperlink>
      <w:r>
        <w:t xml:space="preserve"> </w:t>
      </w:r>
      <w:hyperlink r:id="rId318">
        <w:r>
          <w:rPr>
            <w:rStyle w:val="Referenciaatema"/>
          </w:rPr>
          <w:t xml:space="preserve">[ver tema 3.A.44]</w:t>
        </w:r>
      </w:hyperlink>
      <w:r>
        <w:t xml:space="preserve">:</w:t>
      </w:r>
    </w:p>
    <w:p>
      <w:pPr>
        <w:numPr>
          <w:ilvl w:val="1"/>
          <w:numId w:val="1168"/>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68"/>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68"/>
        </w:numPr>
      </w:pPr>
      <w:r>
        <w:rPr>
          <w:i/>
          <w:iCs/>
        </w:rPr>
        <w:t xml:space="preserve">capital humano</w:t>
      </w:r>
      <w:r>
        <w:t xml:space="preserve">: menos abandono escolar, formación profesional dual, recualificación de los desplazados por la digitalización;</w:t>
      </w:r>
    </w:p>
    <w:p>
      <w:pPr>
        <w:numPr>
          <w:ilvl w:val="1"/>
          <w:numId w:val="1168"/>
        </w:numPr>
      </w:pPr>
      <w:r>
        <w:rPr>
          <w:i/>
          <w:iCs/>
        </w:rPr>
        <w:t xml:space="preserve">mejorar el mercado de trabajo</w:t>
      </w:r>
      <w:r>
        <w:t xml:space="preserve">: según el tipo de paro (lista siguiente);</w:t>
      </w:r>
    </w:p>
    <w:p>
      <w:pPr>
        <w:numPr>
          <w:ilvl w:val="1"/>
          <w:numId w:val="1168"/>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68"/>
        </w:numPr>
      </w:pPr>
      <w:r>
        <w:rPr>
          <w:i/>
          <w:iCs/>
        </w:rPr>
        <w:t xml:space="preserve">instituciones</w:t>
      </w:r>
      <w:r>
        <w:t xml:space="preserve">: seguridad jurídica, calidad regulatoria, eficacia de la justicia y de la Administración.</w:t>
      </w:r>
    </w:p>
    <w:p>
      <w:pPr>
        <w:keepNext/>
        <w:numPr>
          <w:ilvl w:val="0"/>
          <w:numId w:val="1167"/>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53">
        <w:r>
          <w:rPr>
            <w:rStyle w:val="Referenciaatema"/>
          </w:rPr>
          <w:t xml:space="preserve">[ver tema 3.A.28]</w:t>
        </w:r>
      </w:hyperlink>
      <w:r>
        <w:t xml:space="preserve"> </w:t>
      </w:r>
      <w:hyperlink r:id="rId122">
        <w:r>
          <w:rPr>
            <w:rStyle w:val="Referenciaatema"/>
          </w:rPr>
          <w:t xml:space="preserve">[ver tema 4.A.16]</w:t>
        </w:r>
      </w:hyperlink>
      <w:r>
        <w:t xml:space="preserve">:</w:t>
      </w:r>
    </w:p>
    <w:p>
      <w:pPr>
        <w:numPr>
          <w:ilvl w:val="1"/>
          <w:numId w:val="1169"/>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69"/>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69"/>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más movilidad geográfica (fomento del alquiler);</w:t>
      </w:r>
    </w:p>
    <w:p>
      <w:pPr>
        <w:numPr>
          <w:ilvl w:val="1"/>
          <w:numId w:val="1169"/>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69"/>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70"/>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la oferta, por el cuello de botella del potencial.</w:t>
      </w:r>
    </w:p>
    <w:bookmarkEnd w:id="319"/>
    <w:bookmarkEnd w:id="320"/>
    <w:bookmarkStart w:id="329" w:name="sec_recomendaciones"/>
    <w:p>
      <w:pPr>
        <w:pStyle w:val="Heading1"/>
      </w:pPr>
      <w:r>
        <w:t xml:space="preserve">VI.</w:t>
      </w:r>
      <w:r>
        <w:t xml:space="preserve"> </w:t>
      </w:r>
      <w:r>
        <w:t xml:space="preserve">Recomendaciones de política económica</w:t>
      </w:r>
    </w:p>
    <w:bookmarkStart w:id="326"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71"/>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71"/>
        </w:numPr>
      </w:pPr>
      <w:r>
        <w:t xml:space="preserve">Nunca tajante ni demasiado preciso: «parece necesaria una consolidación fiscal, pero sin que resulte excesiva para no lastrar la recuperación».</w:t>
      </w:r>
    </w:p>
    <w:p>
      <w:pPr>
        <w:numPr>
          <w:ilvl w:val="0"/>
          <w:numId w:val="1171"/>
        </w:numPr>
      </w:pPr>
      <w:r>
        <w:rPr>
          <w:u w:val="single"/>
        </w:rPr>
        <w:t xml:space="preserve">Puntúan las recomendaciones que responden a los datos del cuadro</w:t>
      </w:r>
      <w:r>
        <w:t xml:space="preserve">, no las que valen para cualquier país: cada una nace de un indicio, corrige un desequilibrio concreto y dice su riesgo (gráfico </w:t>
      </w:r>
      <w:hyperlink w:anchor="fig_esquema_recomendacion">
        <w:r>
          <w:rPr>
            <w:rStyle w:val="Hyperlink"/>
          </w:rPr>
          <w:t xml:space="preserve">29</w:t>
        </w:r>
      </w:hyperlink>
      <w:r>
        <w:t xml:space="preserve">).</w:t>
      </w:r>
    </w:p>
    <w:bookmarkStart w:id="324" w:name="fig_esquema_recomendacion"/>
    <w:p>
      <w:pPr>
        <w:pStyle w:val="ImageCaption"/>
      </w:pPr>
      <w:r>
        <w:t xml:space="preserve">Gráfico 29.–</w:t>
      </w:r>
      <w:r>
        <w:t xml:space="preserve"> </w:t>
      </w:r>
      <w:r>
        <w:t xml:space="preserve">Del dato a la recomendación</w:t>
      </w:r>
    </w:p>
    <w:p>
      <w:pPr>
        <w:pStyle w:val="CaptionedFigure"/>
      </w:pPr>
      <w:r>
        <w:drawing>
          <wp:inline>
            <wp:extent cx="3088775" cy="1584144"/>
            <wp:effectExtent b="0" l="0" r="0" t="0"/>
            <wp:docPr descr="Gráfico 29.– Del dato a la recomendación" title="" id="322" name="Picture"/>
            <a:graphic>
              <a:graphicData uri="http://schemas.openxmlformats.org/drawingml/2006/picture">
                <pic:pic>
                  <pic:nvPicPr>
                    <pic:cNvPr descr="C:\Users\vgutierrez\Documents\src\victorgutierrezmarcos.github.io-revision\oposicion\temario\fuentes\1D01\graficos/esquema-dato-recomendacion.png" id="323" name="Picture"/>
                    <pic:cNvPicPr>
                      <a:picLocks noChangeArrowheads="1" noChangeAspect="1"/>
                    </pic:cNvPicPr>
                  </pic:nvPicPr>
                  <pic:blipFill>
                    <a:blip r:embed="rId321"/>
                    <a:stretch>
                      <a:fillRect/>
                    </a:stretch>
                  </pic:blipFill>
                  <pic:spPr bwMode="auto">
                    <a:xfrm>
                      <a:off x="0" y="0"/>
                      <a:ext cx="3088775" cy="1584144"/>
                    </a:xfrm>
                    <a:prstGeom prst="rect">
                      <a:avLst/>
                    </a:prstGeom>
                    <a:noFill/>
                    <a:ln w="9525">
                      <a:noFill/>
                      <a:headEnd/>
                      <a:tailEnd/>
                    </a:ln>
                  </pic:spPr>
                </pic:pic>
              </a:graphicData>
            </a:graphic>
          </wp:inline>
        </w:drawing>
      </w:r>
    </w:p>
    <w:bookmarkEnd w:id="324"/>
    <w:p>
      <w:pPr>
        <w:pStyle w:val="Piedeimagen"/>
      </w:pPr>
      <w:r>
        <w:t xml:space="preserve">Fuente: Elaboración propia. Qué hay que ver: el camino siempre es el mismo, del indicio en el cuadro al desequilibrio y de ahí a la medida, con su objetivo y su riesgo; 2 ejemplos, competitividad y deuda pública.</w:t>
      </w:r>
    </w:p>
    <w:bookmarkStart w:id="325" w:name="naturaleza_origen_y_gravedad_del_d_29658"/>
    <w:p>
      <w:pPr>
        <w:pStyle w:val="Heading4"/>
      </w:pPr>
      <w:r>
        <w:t xml:space="preserve">Naturaleza, origen y gravedad del desequilibrio</w:t>
      </w:r>
    </w:p>
    <w:p>
      <w:pPr>
        <w:keepNext/>
        <w:numPr>
          <w:ilvl w:val="0"/>
          <w:numId w:val="1172"/>
        </w:numPr>
      </w:pPr>
      <w:r>
        <w:t xml:space="preserve">Antes de recetar, conviene clasificar cada desequilibrio con 3 preguntas, como hace 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73"/>
        </w:numPr>
      </w:pPr>
      <w:r>
        <w:rPr>
          <w:b/>
          <w:bCs/>
        </w:rPr>
        <w:t xml:space="preserve">¿Qué naturaleza tiene?</w:t>
      </w:r>
      <w:r>
        <w:t xml:space="preserve"> </w:t>
      </w:r>
      <w:r>
        <w:t xml:space="preserve">¿Es interno (inflación, paro) o externo (balanza de pagos)? ¿Es macroeconómico o está en el balance de un sector (descalces de plazos o de monedas)?</w:t>
      </w:r>
    </w:p>
    <w:p>
      <w:pPr>
        <w:numPr>
          <w:ilvl w:val="1"/>
          <w:numId w:val="1173"/>
        </w:numPr>
      </w:pPr>
      <w:r>
        <w:rPr>
          <w:b/>
          <w:bCs/>
        </w:rPr>
        <w:t xml:space="preserve">¿De dónde viene?</w:t>
      </w:r>
      <w:r>
        <w:t xml:space="preserve"> </w:t>
      </w:r>
      <w:r>
        <w:t xml:space="preserve">¿Del gasto público (y de su financiación por el banco central), de un auge del consumo o de la inversión privados, de un choque externo?</w:t>
      </w:r>
    </w:p>
    <w:p>
      <w:pPr>
        <w:numPr>
          <w:ilvl w:val="1"/>
          <w:numId w:val="1173"/>
        </w:numPr>
      </w:pPr>
      <w:r>
        <w:rPr>
          <w:b/>
          <w:bCs/>
        </w:rPr>
        <w:t xml:space="preserve">¿Cuánto pesa y cuánto dura?</w:t>
      </w:r>
      <w:r>
        <w:t xml:space="preserve"> </w:t>
      </w:r>
      <w:r>
        <w:t xml:space="preserve">¿Es puntual, cíclico o persistente? ¿Es un problema de liquidez o de solvencia?</w:t>
      </w:r>
      <w:r>
        <w:t xml:space="preserve"> </w:t>
      </w:r>
      <w:r>
        <w:rPr>
          <w:u w:val="single"/>
        </w:rPr>
        <w:t xml:space="preserve">Los problemas de flujo que persisten acaban en problemas de stock, y los de liquidez pueden volverse de solvencia</w:t>
      </w:r>
      <w:r>
        <w:t xml:space="preserve">: por eso lo persistente se corrige antes.</w:t>
      </w:r>
    </w:p>
    <w:p>
      <w:pPr>
        <w:numPr>
          <w:ilvl w:val="0"/>
          <w:numId w:val="1172"/>
        </w:numPr>
      </w:pPr>
      <w:r>
        <w:rPr>
          <w:i/>
          <w:iCs/>
        </w:rPr>
        <w:t xml:space="preserve">El menú</w:t>
      </w:r>
      <w:r>
        <w:t xml:space="preserve">: casi cualquier corrección combina 3 ajustes: de la</w:t>
      </w:r>
      <w:r>
        <w:t xml:space="preserve"> </w:t>
      </w:r>
      <w:r>
        <w:rPr>
          <w:b/>
          <w:bCs/>
        </w:rPr>
        <w:t xml:space="preserve">demanda</w:t>
      </w:r>
      <w:r>
        <w:t xml:space="preserve"> </w:t>
      </w:r>
      <w:r>
        <w:t xml:space="preserve">(políticas fiscal y monetaria contractivas: rápidas, pero con coste social), de la</w:t>
      </w:r>
      <w:r>
        <w:t xml:space="preserve"> </w:t>
      </w:r>
      <w:r>
        <w:rPr>
          <w:b/>
          <w:bCs/>
        </w:rPr>
        <w:t xml:space="preserve">oferta</w:t>
      </w:r>
      <w:r>
        <w:t xml:space="preserve"> </w:t>
      </w:r>
      <w:r>
        <w:t xml:space="preserve">(reformas: más lentas y difíciles de aplicar, pero las únicas que elevan el potencial) y del</w:t>
      </w:r>
      <w:r>
        <w:t xml:space="preserve"> </w:t>
      </w:r>
      <w:r>
        <w:rPr>
          <w:b/>
          <w:bCs/>
        </w:rPr>
        <w:t xml:space="preserve">tipo de cambio</w:t>
      </w:r>
      <w:r>
        <w:t xml:space="preserve"> </w:t>
      </w:r>
      <w:r>
        <w:t xml:space="preserve">(solo si está sobrevalorado). La regla de financiar lo temporal y ajustar lo permanente está en el apartado </w:t>
      </w:r>
      <w:hyperlink w:anchor="sec_sostenibilidad_exterior">
        <w:r>
          <w:rPr>
            <w:rStyle w:val="Hyperlink"/>
          </w:rPr>
          <w:t xml:space="preserve">IV.4</w:t>
        </w:r>
      </w:hyperlink>
      <w:r>
        <w:t xml:space="preserve">.</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D.8</w:t>
        </w:r>
      </w:hyperlink>
      <w:r>
        <w:t xml:space="preserve">). Hay recomendaciones que valen para casi todos los países (estabilidad macroeconómica, reformas que eleven la productividad), pero las que puntúan son las que responden a los datos del cuadro.</w:t>
      </w:r>
    </w:p>
    <w:bookmarkEnd w:id="325"/>
    <w:bookmarkEnd w:id="326"/>
    <w:bookmarkStart w:id="328" w:name="sec_por_desequilibrio"/>
    <w:p>
      <w:pPr>
        <w:pStyle w:val="Heading2"/>
      </w:pPr>
      <w:r>
        <w:t xml:space="preserve">VI.2.</w:t>
      </w:r>
      <w:r>
        <w:t xml:space="preserve"> </w:t>
      </w:r>
      <w:r>
        <w:t xml:space="preserve">Recomendaciones por desequilibrio</w:t>
      </w:r>
    </w:p>
    <w:bookmarkStart w:id="327" w:name="tab_recomendaciones"/>
    <w:p>
      <w:pPr>
        <w:pStyle w:val="TableCaption"/>
      </w:pPr>
      <w:r>
        <w:t xml:space="preserve">Tabla 6.–</w:t>
      </w:r>
      <w:r>
        <w:t xml:space="preserve"> </w:t>
      </w:r>
      <w:r>
        <w:t xml:space="preserve">Desequilibrios típicos, indicios y recomendaciones</w:t>
      </w:r>
    </w:p>
    <w:tbl>
      <w:tblPr>
        <w:tblStyle w:val="Table"/>
        <w:tblW w:type="auto" w:w="0"/>
        <w:tblLook w:firstRow="1" w:lastRow="0" w:firstColumn="0" w:lastColumn="0" w:noHBand="0" w:noVBand="0" w:val="0020"/>
        <w:tblCaption w:val="Tabla 6.–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Distinguir liquidez (prestamista de última instancia) de solvencia; saneamiento (auditoría, banco malo) y recapitalización, con absorción de pérdidas por accionistas y acreedores;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r>
        <w:trPr>
          <w:cantSplit/>
        </w:trPr>
        <w:tc>
          <w:tcPr/>
          <w:p>
            <w:pPr>
              <w:pStyle w:val="Compact"/>
              <w:jc w:val="left"/>
            </w:pPr>
            <w:r>
              <w:t xml:space="preserve">Superávit exterior persistente</w:t>
            </w:r>
          </w:p>
        </w:tc>
        <w:tc>
          <w:tcPr/>
          <w:p>
            <w:pPr>
              <w:pStyle w:val="Compact"/>
              <w:jc w:val="left"/>
            </w:pPr>
            <w:r>
              <w:t xml:space="preserve">CC por encima del</w:t>
            </w:r>
            <w:r>
              <w:t xml:space="preserve"> </w:t>
            </w:r>
            <m:oMath>
              <m:r>
                <m:rPr>
                  <m:sty m:val="p"/>
                </m:rPr>
                <m:t>+</m:t>
              </m:r>
              <m:r>
                <m:t>6</m:t>
              </m:r>
            </m:oMath>
            <w:r>
              <w:t xml:space="preserve"> % del PIB; inversión baja; demanda interna débil</w:t>
            </w:r>
          </w:p>
        </w:tc>
        <w:tc>
          <w:tcPr/>
          <w:p>
            <w:pPr>
              <w:pStyle w:val="Compact"/>
              <w:jc w:val="left"/>
            </w:pPr>
            <w:r>
              <w:t xml:space="preserve">Estimular la inversión interna (pública y privada) y la demanda; eliminar trabas al crédito y a la inversión; reducir el ahorro excesivo si se debe a incentivos</w:t>
            </w:r>
          </w:p>
        </w:tc>
      </w:tr>
    </w:tbl>
    <w:bookmarkEnd w:id="327"/>
    <w:p>
      <w:pPr>
        <w:pStyle w:val="BodyText"/>
        <w:keepN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p>
      <w:pPr>
        <w:numPr>
          <w:ilvl w:val="0"/>
          <w:numId w:val="1174"/>
        </w:numPr>
      </w:pPr>
      <w:r>
        <w:t xml:space="preserve">La tabla </w:t>
      </w:r>
      <w:hyperlink w:anchor="tab_recomendaciones">
        <w:r>
          <w:rPr>
            <w:rStyle w:val="Hyperlink"/>
          </w:rPr>
          <w:t xml:space="preserve">6</w:t>
        </w:r>
      </w:hyperlink>
      <w:r>
        <w:t xml:space="preserve"> </w:t>
      </w:r>
      <w:r>
        <w:t xml:space="preserve">da la recomendación tipo para cada desequilibrio, con los indicios que lo delatan en el cuadro; algunos piden más detalle.</w:t>
      </w:r>
    </w:p>
    <w:p>
      <w:pPr>
        <w:numPr>
          <w:ilvl w:val="0"/>
          <w:numId w:val="1175"/>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numPr>
          <w:ilvl w:val="0"/>
          <w:numId w:val="1175"/>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 Si el choque es de relación real de intercambio (un importador de energía que se empobrece), un</w:t>
      </w:r>
      <w:r>
        <w:t xml:space="preserve"> </w:t>
      </w:r>
      <w:r>
        <w:rPr>
          <w:b/>
          <w:bCs/>
        </w:rPr>
        <w:t xml:space="preserve">pacto de rentas</w:t>
      </w:r>
      <w:r>
        <w:t xml:space="preserve"> </w:t>
      </w:r>
      <w:r>
        <w:t xml:space="preserve">reparte la pérdida y evita la espiral de precios y salarios (apartado </w:t>
      </w:r>
      <w:hyperlink w:anchor="sec_precios">
        <w:r>
          <w:rPr>
            <w:rStyle w:val="Hyperlink"/>
          </w:rPr>
          <w:t xml:space="preserve">III.1</w:t>
        </w:r>
      </w:hyperlink>
      <w:r>
        <w:t xml:space="preserve">).</w:t>
      </w:r>
    </w:p>
    <w:p>
      <w:pPr>
        <w:numPr>
          <w:ilvl w:val="0"/>
          <w:numId w:val="1175"/>
        </w:numPr>
      </w:pPr>
      <w:r>
        <w:rPr>
          <w:i/>
          <w:iCs/>
        </w:rPr>
        <w:t xml:space="preserve">Rigidez o fragilidad del sistema financiero</w:t>
      </w:r>
      <w:r>
        <w:t xml:space="preserve">: un sistema que canalice el ahorro hacia la inversión, con variedad de activos, liquidez y una supervisión completa (apartado </w:t>
      </w:r>
      <w:hyperlink w:anchor="sec_estabilidad">
        <w:r>
          <w:rPr>
            <w:rStyle w:val="Hyperlink"/>
          </w:rPr>
          <w:t xml:space="preserve">V.2</w:t>
        </w:r>
      </w:hyperlink>
      <w:r>
        <w:t xml:space="preserve">).</w:t>
      </w:r>
    </w:p>
    <w:p>
      <w:pPr>
        <w:numPr>
          <w:ilvl w:val="0"/>
          <w:numId w:val="1175"/>
        </w:numPr>
      </w:pPr>
      <w:r>
        <w:rPr>
          <w:i/>
          <w:iCs/>
        </w:rPr>
        <w:t xml:space="preserve">Déficit exterior, según su causa</w:t>
      </w:r>
      <w:r>
        <w:t xml:space="preserve">: si falta</w:t>
      </w:r>
      <w:r>
        <w:t xml:space="preserve"> </w:t>
      </w:r>
      <w:r>
        <w:rPr>
          <w:i/>
          <w:iCs/>
        </w:rPr>
        <w:t xml:space="preserve">competitividad-precio</w:t>
      </w:r>
      <w:r>
        <w:t xml:space="preserve">, liberalizar sectores y flexibilizar el mercado de trabajo; si falta</w:t>
      </w:r>
      <w:r>
        <w:t xml:space="preserve"> </w:t>
      </w:r>
      <w:r>
        <w:rPr>
          <w:i/>
          <w:iCs/>
        </w:rPr>
        <w:t xml:space="preserve">competitividad no precio</w:t>
      </w:r>
      <w:r>
        <w:t xml:space="preserve">, un buen marco para invertir en I+D y capital humano, educación, infraestructuras y promoción comercial (diversificar la base exportadora e internacionalizar las empresas); si lo empujan</w:t>
      </w:r>
      <w:r>
        <w:t xml:space="preserve"> </w:t>
      </w:r>
      <w:r>
        <w:rPr>
          <w:i/>
          <w:iCs/>
        </w:rPr>
        <w:t xml:space="preserve">entradas de capital</w:t>
      </w:r>
      <w:r>
        <w:t xml:space="preserve">, políticas monetaria y fiscal contractivas, dejar apreciar la moneda y, con carácter excepcional y temporal, controles a la entrada (impuestos, límites a las operaciones de derivados con no residentes), como admite el FMI</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 Los efectos de una devaluación están en el apartado </w:t>
      </w:r>
      <w:hyperlink w:anchor="sec_tipo_cambio">
        <w:r>
          <w:rPr>
            <w:rStyle w:val="Hyperlink"/>
          </w:rPr>
          <w:t xml:space="preserve">III.2</w:t>
        </w:r>
      </w:hyperlink>
      <w:r>
        <w:t xml:space="preserve">. Antes, el diagnóstico: si el déficit es temporal y hay financiación, puede financiarse; si es permanente, hay que ajustar (gráfico </w:t>
      </w:r>
      <w:hyperlink w:anchor="fig_arbol_deficit">
        <w:r>
          <w:rPr>
            <w:rStyle w:val="Hyperlink"/>
          </w:rPr>
          <w:t xml:space="preserve">19</w:t>
        </w:r>
      </w:hyperlink>
      <w:r>
        <w:t xml:space="preserve">).</w:t>
      </w:r>
    </w:p>
    <w:p>
      <w:pPr>
        <w:numPr>
          <w:ilvl w:val="0"/>
          <w:numId w:val="1175"/>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w:t>
      </w:r>
      <w:r>
        <w:t xml:space="preserve">(el caso de España, en el anexo </w:t>
      </w:r>
      <w:hyperlink w:anchor="anexo_espana">
        <w:r>
          <w:rPr>
            <w:rStyle w:val="Hyperlink"/>
          </w:rPr>
          <w:t xml:space="preserve">C.2</w:t>
        </w:r>
      </w:hyperlink>
      <w:r>
        <w:t xml:space="preserve">).</w:t>
      </w:r>
    </w:p>
    <w:p>
      <w:pPr>
        <w:numPr>
          <w:ilvl w:val="0"/>
          <w:numId w:val="1175"/>
        </w:numPr>
      </w:pPr>
      <w:r>
        <w:rPr>
          <w:i/>
          <w:iCs/>
        </w:rPr>
        <w:t xml:space="preserve">Riesgos de suministro</w:t>
      </w:r>
      <w:r>
        <w:t xml:space="preserve">: una</w:t>
      </w:r>
      <w:r>
        <w:t xml:space="preserve"> </w:t>
      </w:r>
      <w:r>
        <w:rPr>
          <w:i/>
          <w:iCs/>
        </w:rPr>
        <w:t xml:space="preserve">autonomía estratégica abierta</w:t>
      </w:r>
      <w:r>
        <w:t xml:space="preserve">: apertura y multilateralismo, pero con suministros críticos (energía, metales, componentes, equipos sanitarios) diversificados, reservas estratégicas y socios próximos, no solo más producción interior.</w:t>
      </w:r>
    </w:p>
    <w:p>
      <w:pPr>
        <w:numPr>
          <w:ilvl w:val="0"/>
          <w:numId w:val="1175"/>
        </w:numPr>
      </w:pPr>
      <w:r>
        <w:rPr>
          <w:i/>
          <w:iCs/>
        </w:rPr>
        <w:t xml:space="preserve">Dependencia energética</w:t>
      </w:r>
      <w:r>
        <w:t xml:space="preserve">: una</w:t>
      </w:r>
      <w:r>
        <w:t xml:space="preserve"> </w:t>
      </w:r>
      <w:r>
        <w:rPr>
          <w:b/>
          <w:bCs/>
        </w:rPr>
        <w:t xml:space="preserve">política energética</w:t>
      </w:r>
      <w:r>
        <w:t xml:space="preserve"> </w:t>
      </w:r>
      <w:r>
        <w:t xml:space="preserve">que diversifique proveedores y fuentes, refuerce las interconexiones con los vecinos, mantenga reservas estratégicas y acelere la descarbonización, que reduce a la vez la factura exterior y la exposición a los choques de precios</w:t>
      </w:r>
      <w:r>
        <w:t xml:space="preserve"> </w:t>
      </w:r>
      <w:r>
        <w:t xml:space="preserve">(</w:t>
      </w:r>
      <w:hyperlink w:anchor="ref_CE2022REPowerEU">
        <w:r>
          <w:rPr>
            <w:rStyle w:val="Hyperlink"/>
            <w:smallCaps/>
          </w:rPr>
          <w:t xml:space="preserve">Comisión Europea</w:t>
        </w:r>
        <w:r>
          <w:rPr>
            <w:rStyle w:val="Hyperlink"/>
          </w:rPr>
          <w:t xml:space="preserve">, 2022</w:t>
        </w:r>
      </w:hyperlink>
      <w:r>
        <w:t xml:space="preserve">)</w:t>
      </w:r>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328"/>
    <w:bookmarkEnd w:id="329"/>
    <w:bookmarkStart w:id="368" w:name="anexo_indicadores"/>
    <w:p>
      <w:pPr>
        <w:pStyle w:val="Heading1"/>
      </w:pPr>
      <w:r>
        <w:t xml:space="preserve">A. Indicadores, umbrales y fórmulas</w:t>
      </w:r>
    </w:p>
    <w:p>
      <w:pPr>
        <w:numPr>
          <w:ilvl w:val="0"/>
          <w:numId w:val="1176"/>
        </w:numPr>
      </w:pPr>
      <w:r>
        <w:t xml:space="preserve">Lo que se consulta y no se memoriza entero: los umbrales de cada indicador, las fórmulas imprescindibles en un solo cuadro y los cálculos tipo paso a paso, con un ejemplo. Primero, de un vistazo, los umbrales oficiales (gráfico </w:t>
      </w:r>
      <w:hyperlink w:anchor="fig_umbrales_pdm">
        <w:r>
          <w:rPr>
            <w:rStyle w:val="Hyperlink"/>
          </w:rPr>
          <w:t xml:space="preserve">30</w:t>
        </w:r>
      </w:hyperlink>
      <w:r>
        <w:t xml:space="preserve">).</w:t>
      </w:r>
    </w:p>
    <w:bookmarkStart w:id="333" w:name="fig_umbrales_pdm"/>
    <w:p>
      <w:pPr>
        <w:pStyle w:val="ImageCaption"/>
      </w:pPr>
      <w:r>
        <w:t xml:space="preserve">Gráfico 30.–</w:t>
      </w:r>
      <w:r>
        <w:t xml:space="preserve"> </w:t>
      </w:r>
      <w:r>
        <w:t xml:space="preserve">Los umbrales oficiales de un vistazo</w:t>
      </w:r>
    </w:p>
    <w:p>
      <w:pPr>
        <w:pStyle w:val="CaptionedFigure"/>
      </w:pPr>
      <w:r>
        <w:drawing>
          <wp:inline>
            <wp:extent cx="3321198" cy="2654512"/>
            <wp:effectExtent b="0" l="0" r="0" t="0"/>
            <wp:docPr descr="Gráfico 30.– Los umbrales oficiales de un vistazo" title="" id="331" name="Picture"/>
            <a:graphic>
              <a:graphicData uri="http://schemas.openxmlformats.org/drawingml/2006/picture">
                <pic:pic>
                  <pic:nvPicPr>
                    <pic:cNvPr descr="C:\Users\vgutierrez\Documents\src\victorgutierrezmarcos.github.io-revision\oposicion\temario\fuentes\1D01\graficos/esquema-umbrales-pdm.png" id="332" name="Picture"/>
                    <pic:cNvPicPr>
                      <a:picLocks noChangeArrowheads="1" noChangeAspect="1"/>
                    </pic:cNvPicPr>
                  </pic:nvPicPr>
                  <pic:blipFill>
                    <a:blip r:embed="rId330"/>
                    <a:stretch>
                      <a:fillRect/>
                    </a:stretch>
                  </pic:blipFill>
                  <pic:spPr bwMode="auto">
                    <a:xfrm>
                      <a:off x="0" y="0"/>
                      <a:ext cx="3321198" cy="2654512"/>
                    </a:xfrm>
                    <a:prstGeom prst="rect">
                      <a:avLst/>
                    </a:prstGeom>
                    <a:noFill/>
                    <a:ln w="9525">
                      <a:noFill/>
                      <a:headEnd/>
                      <a:tailEnd/>
                    </a:ln>
                  </pic:spPr>
                </pic:pic>
              </a:graphicData>
            </a:graphic>
          </wp:inline>
        </w:drawing>
      </w:r>
    </w:p>
    <w:bookmarkEnd w:id="333"/>
    <w:p>
      <w:pPr>
        <w:pStyle w:val="Piedeimagen"/>
      </w:pPr>
      <w:r>
        <w:t xml:space="preserve">Fuente: Elaboración propia a partir de</w:t>
      </w:r>
      <w:r>
        <w:t xml:space="preserve"> </w:t>
      </w:r>
      <w:r>
        <w:rPr>
          <w:smallCaps/>
        </w:rPr>
        <w:t xml:space="preserve">Comisión Europea</w:t>
      </w:r>
      <w:r>
        <w:t xml:space="preserve"> </w:t>
      </w:r>
      <w:r>
        <w:t xml:space="preserve">(</w:t>
      </w:r>
      <w:hyperlink w:anchor="ref_CE2025AMR2026">
        <w:r>
          <w:rPr>
            <w:rStyle w:val="Hyperlink"/>
          </w:rPr>
          <w:t xml:space="preserve">2025a</w:t>
        </w:r>
      </w:hyperlink>
      <w:r>
        <w:t xml:space="preserve">;</w:t>
      </w:r>
      <w:r>
        <w:t xml:space="preserve"> </w:t>
      </w:r>
      <w:hyperlink w:anchor="ref_TFUE2012Protocolo12">
        <w:r>
          <w:rPr>
            <w:rStyle w:val="Hyperlink"/>
            <w:smallCaps/>
          </w:rPr>
          <w:t xml:space="preserve">Unión Europea</w:t>
        </w:r>
        <w:r>
          <w:rPr>
            <w:rStyle w:val="Hyperlink"/>
          </w:rPr>
          <w:t xml:space="preserve">, 2012</w:t>
        </w:r>
      </w:hyperlink>
      <w:r>
        <w:t xml:space="preserve">)</w:t>
      </w:r>
      <w:r>
        <w:t xml:space="preserve">. Qué hay que ver: en verde, la zona sin alerta; en rojo, la que dispara la alerta del procedimiento de desequilibrios o del Tratado. Son señales de alerta, no obligaciones.</w:t>
      </w:r>
    </w:p>
    <w:bookmarkStart w:id="342" w:name="anexo_umbrales"/>
    <w:p>
      <w:pPr>
        <w:pStyle w:val="Heading2"/>
      </w:pPr>
      <w:r>
        <w:t xml:space="preserve">A.1. Indicadores y umbrales de referencia</w:t>
      </w:r>
    </w:p>
    <w:p>
      <w:pPr>
        <w:keepNext/>
        <w:numPr>
          <w:ilvl w:val="0"/>
          <w:numId w:val="1177"/>
        </w:numPr>
      </w:pPr>
      <w:r>
        <w:t xml:space="preserve">Cada indicador con su cálculo, su referencia y el tema donde se estudia. Las referencias se separan siempre en 2 columnas:</w:t>
      </w:r>
    </w:p>
    <w:p>
      <w:pPr>
        <w:numPr>
          <w:ilvl w:val="1"/>
          <w:numId w:val="1178"/>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78"/>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77"/>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334" w:name="tab_indicadores_ciclo"/>
    <w:p>
      <w:pPr>
        <w:pStyle w:val="TableCaption"/>
      </w:pPr>
      <w:r>
        <w:t xml:space="preserve">Tabla 7.–</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7.–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62">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53">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122">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56">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53">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82">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334"/>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9</w:t>
        </w:r>
      </w:hyperlink>
      <w:r>
        <w:rPr>
          <w:i/>
          <w:iCs/>
        </w:rPr>
        <w:t xml:space="preserve"> </w:t>
      </w:r>
      <w:r>
        <w:rPr>
          <w:i/>
          <w:iCs/>
        </w:rPr>
        <w:t xml:space="preserve">y la escala de calificaciones, en la tabla </w:t>
      </w:r>
      <w:hyperlink w:anchor="tab_calificaciones">
        <w:r>
          <w:rPr>
            <w:rStyle w:val="Hyperlink"/>
            <w:i/>
            <w:iCs/>
          </w:rPr>
          <w:t xml:space="preserve">5</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337" w:name="tab_indicadores_exterior"/>
    <w:p>
      <w:pPr>
        <w:pStyle w:val="TableCaption"/>
      </w:pPr>
      <w:r>
        <w:t xml:space="preserve">Tabla 8.–</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8.–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92">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212">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95">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335">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(vencimiento residual);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225">
              <w:r>
                <w:rPr>
                  <w:rStyle w:val="Referenciaatema"/>
                </w:rPr>
                <w:t xml:space="preserve">[ver tema 3.B.22]</w:t>
              </w:r>
            </w:hyperlink>
          </w:p>
        </w:tc>
      </w:tr>
      <w:tr>
        <w:trPr>
          <w:cantSplit/>
        </w:trPr>
        <w:tc>
          <w:tcPr/>
          <w:p>
            <w:pPr>
              <w:pStyle w:val="Compact"/>
              <w:jc w:val="left"/>
            </w:pPr>
            <w:r>
              <w:t xml:space="preserve">Deuda externa y su servicio</w:t>
            </w:r>
          </w:p>
        </w:tc>
        <w:tc>
          <w:tcPr/>
          <w:p>
            <w:pPr>
              <w:pStyle w:val="Compact"/>
              <w:jc w:val="left"/>
            </w:pPr>
            <w:r>
              <w:t xml:space="preserve">sobre las exportaciones; servicio: intereses y amortizaciones</w:t>
            </w:r>
          </w:p>
        </w:tc>
        <w:tc>
          <w:tcPr/>
          <w:p>
            <w:pPr>
              <w:pStyle w:val="Compact"/>
              <w:jc w:val="left"/>
            </w:pPr>
            <w:r>
              <w:t xml:space="preserve">—</w:t>
            </w:r>
          </w:p>
        </w:tc>
        <w:tc>
          <w:tcPr/>
          <w:p>
            <w:pPr>
              <w:pStyle w:val="Compact"/>
              <w:jc w:val="left"/>
            </w:pPr>
            <w:r>
              <w:t xml:space="preserve">Miden la capacidad de pago en divisas; mirar la tendencia</w:t>
            </w:r>
          </w:p>
        </w:tc>
        <w:tc>
          <w:tcPr/>
          <w:p>
            <w:pPr>
              <w:pStyle w:val="Compact"/>
              <w:jc w:val="left"/>
            </w:pPr>
            <w:hyperlink r:id="rId335">
              <w:r>
                <w:rPr>
                  <w:rStyle w:val="Referenciaatema"/>
                </w:rPr>
                <w:t xml:space="preserve">[ver tema 3.B.29]</w:t>
              </w:r>
            </w:hyperlink>
          </w:p>
        </w:tc>
      </w:tr>
      <w:tr>
        <w:trPr>
          <w:cantSplit/>
        </w:trPr>
        <w:tc>
          <w:tcPr/>
          <w:p>
            <w:pPr>
              <w:pStyle w:val="Compact"/>
              <w:jc w:val="left"/>
            </w:pPr>
            <w:r>
              <w:t xml:space="preserve">Tasa de renovación</w:t>
            </w:r>
          </w:p>
        </w:tc>
        <w:tc>
          <w:tcPr/>
          <w:p>
            <w:pPr>
              <w:pStyle w:val="Compact"/>
              <w:jc w:val="left"/>
            </w:pPr>
            <w:r>
              <w:t xml:space="preserve">desembolsos sobre amortizaciones</w:t>
            </w:r>
          </w:p>
        </w:tc>
        <w:tc>
          <w:tcPr/>
          <w:p>
            <w:pPr>
              <w:pStyle w:val="Compact"/>
              <w:jc w:val="left"/>
            </w:pPr>
            <w:r>
              <w:t xml:space="preserve">—</w:t>
            </w:r>
          </w:p>
        </w:tc>
        <w:tc>
          <w:tcPr/>
          <w:p>
            <w:pPr>
              <w:pStyle w:val="Compact"/>
              <w:jc w:val="left"/>
            </w:pPr>
            <m:oMath>
              <m:r>
                <m:rPr>
                  <m:sty m:val="p"/>
                </m:rPr>
                <m:t>&lt;</m:t>
              </m:r>
              <m:r>
                <m:t>1</m:t>
              </m:r>
            </m:oMath>
            <w:r>
              <w:t xml:space="preserve">: la financiación se retira</w:t>
            </w:r>
          </w:p>
        </w:tc>
        <w:tc>
          <w:tcPr/>
          <w:p>
            <w:pPr>
              <w:pStyle w:val="Compact"/>
              <w:jc w:val="left"/>
            </w:pPr>
            <w:hyperlink r:id="rId335">
              <w:r>
                <w:rPr>
                  <w:rStyle w:val="Referenciaatema"/>
                </w:rPr>
                <w:t xml:space="preserve">[ver tema 3.B.29]</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336">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Necesidades brutas de financiación</w:t>
            </w:r>
          </w:p>
        </w:tc>
        <w:tc>
          <w:tcPr/>
          <w:p>
            <w:pPr>
              <w:pStyle w:val="Compact"/>
              <w:jc w:val="left"/>
            </w:pPr>
            <w:r>
              <w:t xml:space="preserve">déficit</w:t>
            </w:r>
            <w:r>
              <w:t xml:space="preserve"> </w:t>
            </w:r>
            <m:oMath>
              <m:r>
                <m:rPr>
                  <m:sty m:val="p"/>
                </m:rPr>
                <m:t>+</m:t>
              </m:r>
            </m:oMath>
            <w:r>
              <w:t xml:space="preserve"> </w:t>
            </w:r>
            <w:r>
              <w:t xml:space="preserve">vencimientos a 12 meses</w:t>
            </w:r>
          </w:p>
        </w:tc>
        <w:tc>
          <w:tcPr/>
          <w:p>
            <w:pPr>
              <w:pStyle w:val="Compact"/>
              <w:jc w:val="left"/>
            </w:pPr>
            <w:r>
              <w:t xml:space="preserve">—</w:t>
            </w:r>
          </w:p>
        </w:tc>
        <w:tc>
          <w:tcPr/>
          <w:p>
            <w:pPr>
              <w:pStyle w:val="Compact"/>
              <w:jc w:val="left"/>
            </w:pPr>
            <w:r>
              <w:t xml:space="preserve">Riesgo de liquidez; el FMI las vigila en su análisis de sostenibilidad</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299">
              <w:r>
                <w:rPr>
                  <w:rStyle w:val="Referenciaatema"/>
                </w:rPr>
                <w:t xml:space="preserve">[ver tema 4.B.26]</w:t>
              </w:r>
            </w:hyperlink>
          </w:p>
        </w:tc>
      </w:tr>
    </w:tbl>
    <w:bookmarkEnd w:id="337"/>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deuda externa:</w:t>
      </w:r>
      <w:r>
        <w:rPr>
          <w:i/>
          <w:iCs/>
        </w:rPr>
        <w:t xml:space="preserve"> </w:t>
      </w:r>
      <w:r>
        <w:rPr>
          <w:i/>
          <w:iCs/>
          <w:smallCaps/>
        </w:rPr>
        <w:t xml:space="preserve">Fondo Monetario Internacional</w:t>
      </w:r>
      <w:r>
        <w:rPr>
          <w:i/>
          <w:iCs/>
        </w:rPr>
        <w:t xml:space="preserve"> </w:t>
      </w:r>
      <w:r>
        <w:rPr>
          <w:i/>
          <w:iCs/>
        </w:rPr>
        <w:t xml:space="preserve">(</w:t>
      </w:r>
      <w:hyperlink w:anchor="ref_FMI2014DeudaExterna">
        <w:r>
          <w:rPr>
            <w:rStyle w:val="Hyperlink"/>
            <w:i/>
            <w:iCs/>
          </w:rPr>
          <w:t xml:space="preserve">2014</w:t>
        </w:r>
      </w:hyperlink>
      <w:r>
        <w:rPr>
          <w:i/>
          <w:iCs/>
        </w:rPr>
        <w:t xml:space="preserve">)</w:t>
      </w:r>
      <w:r>
        <w:rPr>
          <w:i/>
          <w:iCs/>
        </w:rPr>
        <w:t xml:space="preserve">; necesidades de financiación:</w:t>
      </w:r>
      <w:r>
        <w:rPr>
          <w:i/>
          <w:iCs/>
        </w:rPr>
        <w:t xml:space="preserve"> </w:t>
      </w:r>
      <w:r>
        <w:rPr>
          <w:i/>
          <w:iCs/>
          <w:smallCaps/>
        </w:rPr>
        <w:t xml:space="preserve">Fondo Monetario Internacional</w:t>
      </w:r>
      <w:r>
        <w:rPr>
          <w:i/>
          <w:iCs/>
        </w:rPr>
        <w:t xml:space="preserve"> </w:t>
      </w:r>
      <w:r>
        <w:rPr>
          <w:i/>
          <w:iCs/>
        </w:rPr>
        <w:t xml:space="preserve">(</w:t>
      </w:r>
      <w:hyperlink w:anchor="ref_FMI2021DSA">
        <w:r>
          <w:rPr>
            <w:rStyle w:val="Hyperlink"/>
            <w:i/>
            <w:iCs/>
          </w:rPr>
          <w:t xml:space="preserve">2021a</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339" w:name="tab_indicadores_financiero"/>
    <w:p>
      <w:pPr>
        <w:pStyle w:val="TableCaption"/>
      </w:pPr>
      <w:r>
        <w:t xml:space="preserve">Tabla 9.–</w:t>
      </w:r>
      <w:r>
        <w:t xml:space="preserve"> </w:t>
      </w:r>
      <w:r>
        <w:t xml:space="preserve">Indicadores del sistema financiero</w:t>
      </w:r>
    </w:p>
    <w:tbl>
      <w:tblPr>
        <w:tblStyle w:val="Table"/>
        <w:tblW w:type="auto" w:w="0"/>
        <w:tblLook w:firstRow="1" w:lastRow="0" w:firstColumn="0" w:lastColumn="0" w:noHBand="0" w:noVBand="0" w:val="0020"/>
        <w:tblCaption w:val="Tabla 9.–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w:r>
              <w:t xml:space="preserve">Coste del capital: 8-12 %;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269">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338">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338">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85">
              <w:r>
                <w:rPr>
                  <w:rStyle w:val="Referenciaatema"/>
                </w:rPr>
                <w:t xml:space="preserve">[ver tema 4.A.11]</w:t>
              </w:r>
            </w:hyperlink>
          </w:p>
        </w:tc>
      </w:tr>
    </w:tbl>
    <w:bookmarkEnd w:id="339"/>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340" w:name="tab_basilea"/>
    <w:p>
      <w:pPr>
        <w:pStyle w:val="TableCaption"/>
      </w:pPr>
      <w:r>
        <w:t xml:space="preserve">Tabla 10.–</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10.–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340"/>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341" w:name="tab_ratios_banca"/>
    <w:p>
      <w:pPr>
        <w:pStyle w:val="TableCaption"/>
      </w:pPr>
      <w:r>
        <w:t xml:space="preserve">Tabla 11.–</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11.–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341"/>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End w:id="342"/>
    <w:bookmarkStart w:id="345" w:name="anexo_formulas"/>
    <w:p>
      <w:pPr>
        <w:pStyle w:val="Heading2"/>
      </w:pPr>
      <w:r>
        <w:t xml:space="preserve">A.2. Las fórmulas imprescindibles</w:t>
      </w:r>
    </w:p>
    <w:bookmarkStart w:id="343" w:name="tab_formulas"/>
    <w:p>
      <w:pPr>
        <w:pStyle w:val="TableCaption"/>
      </w:pPr>
      <w:r>
        <w:t xml:space="preserve">Tabla 12.–</w:t>
      </w:r>
      <w:r>
        <w:t xml:space="preserve"> </w:t>
      </w:r>
      <w:r>
        <w:t xml:space="preserve">Fórmulas imprescindibles del dictamen (I): ciclo, precios y trabajo</w:t>
      </w:r>
    </w:p>
    <w:tbl>
      <w:tblPr>
        <w:tblStyle w:val="Table"/>
        <w:tblW w:type="auto" w:w="0"/>
        <w:tblLook w:firstRow="1" w:lastRow="0" w:firstColumn="0" w:lastColumn="0" w:noHBand="0" w:noVBand="0" w:val="0020"/>
        <w:tblCaption w:val="Tabla 12.– Fórmulas imprescindibles del dictamen (I): ciclo, precios y trabajo"/>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w:p>
        </w:tc>
        <w:tc>
          <w:tcPr>
            <w:vAlign w:val="center"/>
          </w:tcPr>
          <w:p>
            <w:pPr>
              <w:pStyle w:val="Compact"/>
              <w:jc w:val="left"/>
            </w:pPr>
            <w:r>
              <w:t xml:space="preserve">Tasa anualizada de una tasa trimestral</w:t>
            </w:r>
            <w:r>
              <w:t xml:space="preserve"> </w:t>
            </w:r>
            <m:oMath>
              <m:r>
                <m:t>g</m:t>
              </m:r>
            </m:oMath>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vAlign w:val="center"/>
          </w:tcPr>
          <w:p>
            <w:pPr>
              <w:pStyle w:val="Compact"/>
              <w:jc w:val="center"/>
            </w:p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p>
        </w:tc>
        <w:tc>
          <w:tcPr>
            <w:vAlign w:val="center"/>
          </w:tcPr>
          <w:p>
            <w:pPr>
              <w:pStyle w:val="Compact"/>
              <w:jc w:val="left"/>
            </w:pPr>
            <w:r>
              <w:t xml:space="preserve">Efecto base: la tasa mensual que entra menos la que sale</w:t>
            </w:r>
          </w:p>
        </w:tc>
      </w:tr>
      <w:tr>
        <w:trPr>
          <w:cantSplit/>
        </w:trPr>
        <w:tc>
          <w:tcPr>
            <w:vAlign w:val="center"/>
          </w:tcPr>
          <w:p>
            <w:pPr>
              <w:pStyle w:val="Compact"/>
              <w:jc w:val="center"/>
            </w:pPr>
            <m:oMath>
              <m:r>
                <m:rPr>
                  <m:sty m:val="p"/>
                </m:rPr>
                <m:t>%</m:t>
              </m:r>
              <m:r>
                <m:t>Δ</m:t>
              </m:r>
              <m:r>
                <m:t>E</m:t>
              </m:r>
              <m:r>
                <m:rPr>
                  <m:sty m:val="p"/>
                </m:rPr>
                <m:t>≈</m:t>
              </m:r>
              <m:r>
                <m:t>π</m:t>
              </m:r>
              <m:r>
                <m:rPr>
                  <m:sty m:val="p"/>
                </m:rPr>
                <m:t>−</m:t>
              </m:r>
              <m:sSup>
                <m:e>
                  <m:r>
                    <m:t>π</m:t>
                  </m:r>
                </m:e>
                <m:sup>
                  <m:r>
                    <m:rPr>
                      <m:sty m:val="p"/>
                    </m:rPr>
                    <m:t>*</m:t>
                  </m:r>
                </m:sup>
              </m:sSup>
            </m:oMath>
          </w:p>
        </w:tc>
        <w:tc>
          <w:tcPr>
            <w:vAlign w:val="center"/>
          </w:tcPr>
          <w:p>
            <w:pPr>
              <w:pStyle w:val="Compact"/>
              <w:jc w:val="left"/>
            </w:pPr>
            <w:r>
              <w:t xml:space="preserve">PPA relativa: el tipo nominal compensa la diferencia de inflación</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vAlign w:val="center"/>
          </w:tcPr>
          <w:p>
            <w:pPr>
              <w:pStyle w:val="Compact"/>
              <w:jc w:val="center"/>
            </w:p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oMath>
          </w:p>
        </w:tc>
        <w:tc>
          <w:tcPr>
            <w:vAlign w:val="center"/>
          </w:tcPr>
          <w:p>
            <w:pPr>
              <w:pStyle w:val="Compact"/>
              <w:jc w:val="left"/>
            </w:pPr>
            <w:r>
              <w:t xml:space="preserve">Ley de</w:t>
            </w:r>
            <w:r>
              <w:t xml:space="preserve"> </w:t>
            </w:r>
            <w:r>
              <w:rPr>
                <w:smallCaps/>
              </w:rPr>
              <w:t xml:space="preserve">Okun</w:t>
            </w:r>
            <w:r>
              <w:t xml:space="preserve"> </w:t>
            </w:r>
            <w:r>
              <w:t xml:space="preserve">(EE. UU.): el paro baja si se crece por encima del potencial</w:t>
            </w:r>
          </w:p>
        </w:tc>
      </w:tr>
    </w:tbl>
    <w:bookmarkEnd w:id="343"/>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p>
    <w:bookmarkStart w:id="344" w:name="tab_formulas_2"/>
    <w:p>
      <w:pPr>
        <w:pStyle w:val="TableCaption"/>
      </w:pPr>
      <w:r>
        <w:t xml:space="preserve">Tabla 13.–</w:t>
      </w:r>
      <w:r>
        <w:t xml:space="preserve"> </w:t>
      </w:r>
      <w:r>
        <w:t xml:space="preserve">Fórmulas imprescindibles del dictamen (II): sector exterior, cuentas públicas y banca</w:t>
      </w:r>
    </w:p>
    <w:tbl>
      <w:tblPr>
        <w:tblStyle w:val="Table"/>
        <w:tblW w:type="auto" w:w="0"/>
        <w:tblLook w:firstRow="1" w:lastRow="0" w:firstColumn="0" w:lastColumn="0" w:noHBand="0" w:noVBand="0" w:val="0020"/>
        <w:tblCaption w:val="Tabla 13.– Fórmulas imprescindibles del dictamen (II): sector exterior, cuentas públicas y banca"/>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4</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w:p>
        </w:tc>
        <w:tc>
          <w:tcPr>
            <w:vAlign w:val="center"/>
          </w:tcPr>
          <w:p>
            <w:pPr>
              <w:pStyle w:val="Compact"/>
              <w:jc w:val="left"/>
            </w:pPr>
            <w:r>
              <w:t xml:space="preserve">Saldo corriente sin intereses que estabiliza la deuda externa</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sSup>
                <m:e>
                  <m:r>
                    <m:t>b</m:t>
                  </m:r>
                </m:e>
                <m:sup>
                  <m:r>
                    <m:t>p</m:t>
                  </m:r>
                  <m:r>
                    <m:t>e</m:t>
                  </m:r>
                </m:sup>
              </m:sSup>
              <m:r>
                <m:rPr>
                  <m:sty m:val="p"/>
                </m:rPr>
                <m:t>=</m:t>
              </m:r>
              <m:sSup>
                <m:e>
                  <m:r>
                    <m:t>b</m:t>
                  </m:r>
                </m:e>
                <m:sup>
                  <m:r>
                    <m:t>c</m:t>
                  </m:r>
                  <m:r>
                    <m:t>a</m:t>
                  </m:r>
                </m:sup>
              </m:sSup>
              <m:r>
                <m:rPr>
                  <m:sty m:val="p"/>
                </m:rPr>
                <m:t>−</m:t>
              </m:r>
              <m:r>
                <m:rPr>
                  <m:nor/>
                  <m:sty m:val="p"/>
                </m:rPr>
                <m:t>puntuales</m:t>
              </m:r>
              <m:r>
                <m:rPr>
                  <m:sty m:val="p"/>
                </m:rPr>
                <m:t>+</m:t>
              </m:r>
              <m:r>
                <m:rPr>
                  <m:nor/>
                  <m:sty m:val="p"/>
                </m:rPr>
                <m:t>intereses</m:t>
              </m:r>
            </m:oMath>
          </w:p>
        </w:tc>
        <w:tc>
          <w:tcPr>
            <w:vAlign w:val="center"/>
          </w:tcPr>
          <w:p>
            <w:pPr>
              <w:pStyle w:val="Compact"/>
              <w:jc w:val="left"/>
            </w:pPr>
            <w:r>
              <w:t xml:space="preserve">Saldo estructural primario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r>
        <w:trPr>
          <w:cantSplit/>
        </w:trPr>
        <w:tc>
          <w:tcPr>
            <w:vAlign w:val="center"/>
          </w:tcPr>
          <w:p>
            <w:pPr>
              <w:pStyle w:val="Compact"/>
              <w:jc w:val="center"/>
            </w:pPr>
            <m:oMath>
              <m:r>
                <m:rPr>
                  <m:sty m:val="p"/>
                </m:rPr>
                <m:t>R</m:t>
              </m:r>
              <m:r>
                <m:rPr>
                  <m:sty m:val="p"/>
                </m:rPr>
                <m:t>O</m:t>
              </m:r>
              <m:r>
                <m:rPr>
                  <m:sty m:val="p"/>
                </m:rPr>
                <m:t>E</m:t>
              </m:r>
              <m:r>
                <m:rPr>
                  <m:sty m:val="p"/>
                </m:rPr>
                <m:t>=</m:t>
              </m:r>
              <m:r>
                <m:rPr>
                  <m:sty m:val="p"/>
                </m:rPr>
                <m:t>R</m:t>
              </m:r>
              <m:r>
                <m:rPr>
                  <m:sty m:val="p"/>
                </m:rPr>
                <m:t>O</m:t>
              </m:r>
              <m:r>
                <m:rPr>
                  <m:sty m:val="p"/>
                </m:rPr>
                <m:t>A</m:t>
              </m:r>
              <m:r>
                <m:rPr>
                  <m:sty m:val="p"/>
                </m:rPr>
                <m:t>×</m:t>
              </m:r>
              <m:f>
                <m:fPr>
                  <m:type m:val="bar"/>
                </m:fPr>
                <m:num>
                  <m:r>
                    <m:rPr>
                      <m:nor/>
                      <m:sty m:val="p"/>
                    </m:rPr>
                    <m:t>activo</m:t>
                  </m:r>
                </m:num>
                <m:den>
                  <m:r>
                    <m:rPr>
                      <m:nor/>
                      <m:sty m:val="p"/>
                    </m:rPr>
                    <m:t>patrimonio</m:t>
                  </m:r>
                </m:den>
              </m:f>
            </m:oMath>
          </w:p>
        </w:tc>
        <w:tc>
          <w:tcPr>
            <w:vAlign w:val="center"/>
          </w:tcPr>
          <w:p>
            <w:pPr>
              <w:pStyle w:val="Compact"/>
              <w:jc w:val="left"/>
            </w:pPr>
            <w:r>
              <w:t xml:space="preserve">El apalancamiento eleva el ROE de la banca</w:t>
            </w:r>
          </w:p>
        </w:tc>
      </w:tr>
    </w:tbl>
    <w:bookmarkEnd w:id="344"/>
    <w:p>
      <w:pPr>
        <w:pStyle w:val="BodyText"/>
      </w:pPr>
      <w:r>
        <w:rPr>
          <w:i/>
          <w:iCs/>
        </w:rPr>
        <w:t xml:space="preserve">Fuente: Elaboración propia a partir de la guía anterior. Notación:</w:t>
      </w:r>
      <w:r>
        <w:rPr>
          <w:i/>
          <w:iCs/>
        </w:rPr>
        <w:t xml:space="preserve"> </w:t>
      </w:r>
      <m:oMath>
        <m:r>
          <m:t>i</m:t>
        </m:r>
      </m:oMath>
      <w:r>
        <w:rPr>
          <w:i/>
          <w:iCs/>
        </w:rPr>
        <w:t xml:space="preserve">, tipo nominal;</w:t>
      </w:r>
      <w:r>
        <w:rPr>
          <w:i/>
          <w:iCs/>
        </w:rPr>
        <w:t xml:space="preserve"> </w:t>
      </w:r>
      <m:oMath>
        <m:sSup>
          <m:e>
            <m:r>
              <m:t>γ</m:t>
            </m:r>
          </m:e>
          <m:sup>
            <m:r>
              <m:t>N</m:t>
            </m:r>
          </m:sup>
        </m:sSup>
      </m:oMath>
      <w:r>
        <w:rPr>
          <w:i/>
          <w:iCs/>
        </w:rPr>
        <w:t xml:space="preserve">, crecimiento del PIB nominal;</w:t>
      </w:r>
      <w:r>
        <w:rPr>
          <w:i/>
          <w:iCs/>
        </w:rPr>
        <w:t xml:space="preserve"> </w:t>
      </w:r>
      <m:oMath>
        <m:r>
          <m:t>d</m:t>
        </m:r>
      </m:oMath>
      <w:r>
        <w:rPr>
          <w:i/>
          <w:iCs/>
        </w:rPr>
        <w:t xml:space="preserve">, deuda pública sobre el PIB;</w:t>
      </w:r>
      <w:r>
        <w:rPr>
          <w:i/>
          <w:iCs/>
        </w:rPr>
        <w:t xml:space="preserve"> </w:t>
      </w:r>
      <m:oMath>
        <m:sSup>
          <m:e>
            <m:r>
              <m:t>D</m:t>
            </m:r>
          </m:e>
          <m:sup>
            <m:r>
              <m:rPr>
                <m:sty m:val="p"/>
              </m:rPr>
              <m:t>*</m:t>
            </m:r>
          </m:sup>
        </m:sSup>
      </m:oMath>
      <w:r>
        <w:rPr>
          <w:i/>
          <w:iCs/>
        </w:rPr>
        <w:t xml:space="preserve"> </w:t>
      </w:r>
      <w:r>
        <w:rPr>
          <w:i/>
          <w:iCs/>
        </w:rPr>
        <w:t xml:space="preserve">e</w:t>
      </w:r>
      <w:r>
        <w:rPr>
          <w:i/>
          <w:iCs/>
        </w:rPr>
        <w:t xml:space="preserve"> </w:t>
      </w:r>
      <m:oMath>
        <m:sSup>
          <m:e>
            <m:r>
              <m:t>i</m:t>
            </m:r>
          </m:e>
          <m:sup>
            <m:r>
              <m:rPr>
                <m:sty m:val="p"/>
              </m:rPr>
              <m:t>*</m:t>
            </m:r>
          </m:sup>
        </m:sSup>
      </m:oMath>
      <w:r>
        <w:rPr>
          <w:i/>
          <w:iCs/>
        </w:rPr>
        <w:t xml:space="preserve">, deuda externa sobre el PIB y su tipo implícito.</w:t>
      </w:r>
    </w:p>
    <w:bookmarkEnd w:id="345"/>
    <w:bookmarkStart w:id="366" w:name="anexo_calculos"/>
    <w:p>
      <w:pPr>
        <w:pStyle w:val="Heading2"/>
      </w:pPr>
      <w:r>
        <w:t xml:space="preserve">A.3. Cálculos tipo</w:t>
      </w:r>
    </w:p>
    <w:p>
      <w:pPr>
        <w:numPr>
          <w:ilvl w:val="0"/>
          <w:numId w:val="1179"/>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79"/>
        </w:numPr>
      </w:pPr>
      <w:r>
        <w:t xml:space="preserve">Primero, la tabla de las fórmulas imprescindibles; después, un cuadro por bloque con la fórmula destacada, qué significa cada término y un ejemplo.</w:t>
      </w:r>
    </w:p>
    <w:bookmarkStart w:id="349" w:name="anexo_calc_ciclo"/>
    <w:p>
      <w:pPr>
        <w:pStyle w:val="Heading3"/>
      </w:pPr>
      <w:r>
        <w:t xml:space="preserve">VI.2.1.</w:t>
      </w:r>
      <w:r>
        <w:t xml:space="preserve"> </w:t>
      </w:r>
      <w:r>
        <w:t xml:space="preserve">Ciclo y demanda</w:t>
      </w:r>
    </w:p>
    <w:bookmarkStart w:id="346" w:name="contribuci__n_al_crecimiento"/>
    <w:p>
      <w:pPr>
        <w:pStyle w:val="Heading4"/>
      </w:pPr>
      <w:r>
        <w:t xml:space="preserve">Contribución al crecimiento</w:t>
      </w:r>
    </w:p>
    <w:p>
      <w:pPr>
        <w:numPr>
          <w:ilvl w:val="0"/>
          <w:numId w:val="1180"/>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80"/>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80"/>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80"/>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80"/>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80"/>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80"/>
        </w:numPr>
      </w:pPr>
      <w:r>
        <w:rPr>
          <w:i/>
          <w:iCs/>
        </w:rPr>
        <w:t xml:space="preserve">Cuidado</w:t>
      </w:r>
      <w:r>
        <w:t xml:space="preserve">: con volúmenes encadenados la suma no es exacta; si el cuadro da las contribuciones, se usan esas. Las existencias también contribuyen (si no se dan, se suponen nulas).</w:t>
      </w:r>
    </w:p>
    <w:bookmarkEnd w:id="346"/>
    <w:bookmarkStart w:id="347" w:name="brecha_de_producci__n_y_pib_potencial_1"/>
    <w:p>
      <w:pPr>
        <w:pStyle w:val="Heading4"/>
      </w:pPr>
      <w:r>
        <w:t xml:space="preserve">Brecha de producción y PIB potencial</w:t>
      </w:r>
    </w:p>
    <w:p>
      <w:pPr>
        <w:numPr>
          <w:ilvl w:val="0"/>
          <w:numId w:val="1181"/>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81"/>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347"/>
    <w:bookmarkStart w:id="348" w:name="tasas_a_partir_de_datos_trimestrales"/>
    <w:p>
      <w:pPr>
        <w:pStyle w:val="Heading4"/>
      </w:pPr>
      <w:r>
        <w:t xml:space="preserve">Tasas a partir de datos trimestrales</w:t>
      </w:r>
    </w:p>
    <w:p>
      <w:pPr>
        <w:numPr>
          <w:ilvl w:val="0"/>
          <w:numId w:val="1182"/>
        </w:numPr>
      </w:pPr>
      <w:r>
        <w:rPr>
          <w:i/>
          <w:iCs/>
        </w:rPr>
        <w:t xml:space="preserve">Tasa media anual</w:t>
      </w:r>
      <w:r>
        <w:t xml:space="preserve">: la media de los 4 niveles del año frente a la del año anterior (no la suma de las tasas intertrimestrales).</w:t>
      </w:r>
    </w:p>
    <w:p>
      <w:pPr>
        <w:numPr>
          <w:ilvl w:val="0"/>
          <w:numId w:val="1182"/>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82"/>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348"/>
    <w:bookmarkEnd w:id="349"/>
    <w:bookmarkStart w:id="354" w:name="anexo_calc_precios"/>
    <w:p>
      <w:pPr>
        <w:pStyle w:val="Heading3"/>
      </w:pPr>
      <w:r>
        <w:t xml:space="preserve">VI.2.2.</w:t>
      </w:r>
      <w:r>
        <w:t xml:space="preserve"> </w:t>
      </w:r>
      <w:r>
        <w:t xml:space="preserve">Precios y tipos de interés</w:t>
      </w:r>
    </w:p>
    <w:bookmarkStart w:id="350" w:name="deflactor_del_pib"/>
    <w:p>
      <w:pPr>
        <w:pStyle w:val="Heading4"/>
      </w:pPr>
      <w:r>
        <w:t xml:space="preserve">Deflactor del PIB</w:t>
      </w:r>
    </w:p>
    <w:p>
      <w:pPr>
        <w:numPr>
          <w:ilvl w:val="0"/>
          <w:numId w:val="1183"/>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83"/>
        </w:numPr>
      </w:pPr>
      <w:r>
        <w:rPr>
          <w:i/>
          <w:iCs/>
        </w:rPr>
        <w:t xml:space="preserve">Ejemplo</w:t>
      </w:r>
      <w:r>
        <w:t xml:space="preserve">: si el PIB nominal crece un 5 % y el real un 2 %, el deflactor crece en torno a un 3 %.</w:t>
      </w:r>
    </w:p>
    <w:bookmarkEnd w:id="350"/>
    <w:bookmarkStart w:id="351" w:name="tipos_de_inter__s_reales"/>
    <w:p>
      <w:pPr>
        <w:pStyle w:val="Heading4"/>
      </w:pPr>
      <w:r>
        <w:t xml:space="preserve">Tipos de interés reales</w:t>
      </w:r>
    </w:p>
    <w:p>
      <w:pPr>
        <w:numPr>
          <w:ilvl w:val="0"/>
          <w:numId w:val="1184"/>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84"/>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84"/>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351"/>
    <w:bookmarkStart w:id="352" w:name="salario_real"/>
    <w:p>
      <w:pPr>
        <w:pStyle w:val="Heading4"/>
      </w:pPr>
      <w:r>
        <w:t xml:space="preserve">Salario real</w:t>
      </w:r>
    </w:p>
    <w:p>
      <w:pPr>
        <w:numPr>
          <w:ilvl w:val="0"/>
          <w:numId w:val="1185"/>
        </w:numPr>
      </w:pPr>
      <w:r>
        <w:t xml:space="preserve">Con el IPC interesa el poder adquisitivo del trabajador; con el deflactor, el coste para la empresa:</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bookmarkEnd w:id="352"/>
    <w:bookmarkStart w:id="353" w:name="tc___ndices_y_series"/>
    <w:p>
      <w:pPr>
        <w:pStyle w:val="Heading4"/>
      </w:pPr>
      <w:r>
        <w:t xml:space="preserve">Índices y series</w:t>
      </w:r>
    </w:p>
    <w:p>
      <w:pPr>
        <w:numPr>
          <w:ilvl w:val="0"/>
          <w:numId w:val="1186"/>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186"/>
        </w:numPr>
      </w:pPr>
      <w:r>
        <w:rPr>
          <w:i/>
          <w:iCs/>
        </w:rPr>
        <w:t xml:space="preserve">Cambio de base</w:t>
      </w:r>
      <w:r>
        <w:t xml:space="preserve">: con una regla de 3, sin necesidad de la serie original (exacta solo en los índices de base fija; los encadenados se reescalan).</w:t>
      </w:r>
    </w:p>
    <w:p>
      <w:pPr>
        <w:numPr>
          <w:ilvl w:val="0"/>
          <w:numId w:val="1186"/>
        </w:numPr>
      </w:pPr>
      <w:r>
        <w:rPr>
          <w:i/>
          <w:iCs/>
        </w:rPr>
        <w:t xml:space="preserve">Índices encadenados</w:t>
      </w:r>
      <w:r>
        <w:t xml:space="preserve">: la base es móvil (cada periodo se compara con el anterior).</w:t>
      </w:r>
    </w:p>
    <w:p>
      <w:pPr>
        <w:numPr>
          <w:ilvl w:val="0"/>
          <w:numId w:val="1186"/>
        </w:numPr>
      </w:pPr>
      <w:r>
        <w:t xml:space="preserve">Si el dato viene en porcentaje, no es el índice sino su tasa de variación</w:t>
      </w:r>
      <w:r>
        <w:t xml:space="preserve"> </w:t>
      </w:r>
      <w:hyperlink r:id="rId50">
        <w:r>
          <w:rPr>
            <w:rStyle w:val="Referenciaatema"/>
          </w:rPr>
          <w:t xml:space="preserve">[ver tema 4.A.1]</w:t>
        </w:r>
      </w:hyperlink>
      <w:r>
        <w:t xml:space="preserve">.</w:t>
      </w:r>
    </w:p>
    <w:bookmarkEnd w:id="353"/>
    <w:bookmarkEnd w:id="354"/>
    <w:bookmarkStart w:id="357" w:name="anexo_calc_trabajo"/>
    <w:p>
      <w:pPr>
        <w:pStyle w:val="Heading3"/>
      </w:pPr>
      <w:r>
        <w:t xml:space="preserve">VI.2.3.</w:t>
      </w:r>
      <w:r>
        <w:t xml:space="preserve"> </w:t>
      </w:r>
      <w:r>
        <w:t xml:space="preserve">Trabajo y costes</w:t>
      </w:r>
    </w:p>
    <w:bookmarkStart w:id="356" w:name="productividad_clu_y_margen"/>
    <w:p>
      <w:pPr>
        <w:pStyle w:val="Heading4"/>
      </w:pPr>
      <w:r>
        <w:t xml:space="preserve">Productividad, CLU y margen</w:t>
      </w:r>
    </w:p>
    <w:p>
      <w:pPr>
        <w:numPr>
          <w:ilvl w:val="0"/>
          <w:numId w:val="1187"/>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p>
      <w:pPr>
        <w:numPr>
          <w:ilvl w:val="0"/>
          <w:numId w:val="1187"/>
        </w:numPr>
      </w:pPr>
      <w:r>
        <w:t xml:space="preserve">Las 4 fórmulas encadenadas (gráfico </w:t>
      </w:r>
      <w:hyperlink w:anchor="fig_esquema_clu">
        <w:r>
          <w:rPr>
            <w:rStyle w:val="Hyperlink"/>
          </w:rPr>
          <w:t xml:space="preserve">11</w:t>
        </w:r>
      </w:hyperlink>
      <w:r>
        <w:t xml:space="preserve">), con</w:t>
      </w:r>
      <w:r>
        <w:t xml:space="preserve"> </w:t>
      </w:r>
      <m:oMath>
        <m:r>
          <m:t>W</m:t>
        </m:r>
      </m:oMath>
      <w:r>
        <w:t xml:space="preserve"> </w:t>
      </w:r>
      <w:r>
        <w:t xml:space="preserve">la remuneración por asalariado (el salario medio, si la tasa de asalarización es 1),</w:t>
      </w:r>
      <w:r>
        <w:t xml:space="preserve"> </w:t>
      </w:r>
      <m:oMath>
        <m:r>
          <m:t>L</m:t>
        </m:r>
      </m:oMath>
      <w:r>
        <w:t xml:space="preserve"> </w:t>
      </w:r>
      <w:r>
        <w:t xml:space="preserve">el empleo (o las horas),</w:t>
      </w:r>
      <w:r>
        <w:t xml:space="preserve"> </w:t>
      </w:r>
      <m:oMath>
        <m:r>
          <m:t>P</m:t>
        </m:r>
      </m:oMath>
      <w:r>
        <w:t xml:space="preserve"> </w:t>
      </w:r>
      <w:r>
        <w:t xml:space="preserve">el deflactor del PIB y</w:t>
      </w:r>
      <w:r>
        <w:t xml:space="preserve"> </w:t>
      </w:r>
      <m:oMath>
        <m:r>
          <m:t>μ</m:t>
        </m:r>
      </m:oMath>
      <w:r>
        <w:t xml:space="preserve"> </w:t>
      </w:r>
      <w:r>
        <w:t xml:space="preserve">el margen sobre los costes laborales: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bookmarkStart w:id="355" w:name="tab_ejemplo_clu"/>
    <w:p>
      <w:pPr>
        <w:pStyle w:val="TableCaption"/>
      </w:pPr>
      <w:r>
        <w:t xml:space="preserve">Tabla 14.–</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4.–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355"/>
    <w:p>
      <w:pPr>
        <w:pStyle w:val="BodyText"/>
      </w:pPr>
      <w:r>
        <w:rPr>
          <w:i/>
          <w:iCs/>
        </w:rPr>
        <w:t xml:space="preserve">Fuente: Elaboración propia. Qué hay que ver: los salarios crecen más que la productividad más la inflación, los CLU reales suben y el margen se estrecha.</w:t>
      </w:r>
    </w:p>
    <w:bookmarkEnd w:id="356"/>
    <w:bookmarkEnd w:id="357"/>
    <w:bookmarkStart w:id="362" w:name="anexo_calc_exterior"/>
    <w:p>
      <w:pPr>
        <w:pStyle w:val="Heading3"/>
      </w:pPr>
      <w:r>
        <w:t xml:space="preserve">VI.2.4.</w:t>
      </w:r>
      <w:r>
        <w:t xml:space="preserve"> </w:t>
      </w:r>
      <w:r>
        <w:t xml:space="preserve">Sector exterior</w:t>
      </w:r>
    </w:p>
    <w:bookmarkStart w:id="358" w:name="balanza_de_pagos_ahorro_e_inversi__n"/>
    <w:p>
      <w:pPr>
        <w:pStyle w:val="Heading4"/>
      </w:pPr>
      <w:r>
        <w:t xml:space="preserve">Balanza de pagos, ahorro e inversión</w:t>
      </w:r>
    </w:p>
    <w:p>
      <w:pPr>
        <w:numPr>
          <w:ilvl w:val="0"/>
          <w:numId w:val="1188"/>
        </w:numPr>
      </w:pPr>
      <w:r>
        <w:t xml:space="preserve">La identidad completa es la de la ecuación (</w:t>
      </w:r>
      <w:hyperlink w:anchor="eq_identidad_bp">
        <w:r>
          <w:rPr>
            <w:rStyle w:val="Hyperlink"/>
          </w:rPr>
          <w:t xml:space="preserve">4</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188"/>
        </w:numPr>
      </w:pPr>
      <w:r>
        <w:rPr>
          <w:i/>
          <w:iCs/>
        </w:rPr>
        <w:t xml:space="preserve">Ejemplo</w:t>
      </w:r>
      <w:r>
        <w:t xml:space="preserve">: con una tasa de inversión del 20 % y un déficit corriente del 3 % del PIB, la tasa de ahorro nacional es del 17 %.</w:t>
      </w:r>
    </w:p>
    <w:bookmarkEnd w:id="358"/>
    <w:bookmarkStart w:id="359" w:name="posici__n_de_inversi__n_internacional"/>
    <w:p>
      <w:pPr>
        <w:pStyle w:val="Heading4"/>
      </w:pPr>
      <w:r>
        <w:t xml:space="preserve">Posición de inversión internacional</w:t>
      </w:r>
    </w:p>
    <w:p>
      <w:pPr>
        <w:numPr>
          <w:ilvl w:val="0"/>
          <w:numId w:val="1189"/>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189"/>
        </w:numPr>
      </w:pPr>
      <w:r>
        <w:t xml:space="preserve">En porcentaje del PIB hay que añadir el efecto del crecimiento nominal (ecuación (</w:t>
      </w:r>
      <w:hyperlink w:anchor="eq_dinamica_piin">
        <w:r>
          <w:rPr>
            <w:rStyle w:val="Hyperlink"/>
          </w:rPr>
          <w:t xml:space="preserve">5</w:t>
        </w:r>
      </w:hyperlink>
      <w:r>
        <w:t xml:space="preserve">)).</w:t>
      </w:r>
    </w:p>
    <w:p>
      <w:pPr>
        <w:numPr>
          <w:ilvl w:val="0"/>
          <w:numId w:val="1189"/>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359"/>
    <w:bookmarkStart w:id="360" w:name="saldo_corriente_que_estabiliza_la__14828"/>
    <w:p>
      <w:pPr>
        <w:pStyle w:val="Heading4"/>
      </w:pPr>
      <w:r>
        <w:t xml:space="preserve">Saldo corriente que estabiliza la deuda externa</w:t>
      </w:r>
    </w:p>
    <w:p>
      <w:pPr>
        <w:numPr>
          <w:ilvl w:val="0"/>
          <w:numId w:val="1190"/>
        </w:numPr>
      </w:pPr>
      <w:r>
        <w:t xml:space="preserve">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(intereses pagados sobre la deuda media) y</w:t>
      </w:r>
      <w:r>
        <w:t xml:space="preserve"> </w:t>
      </w:r>
      <m:oMath>
        <m:sSup>
          <m:e>
            <m:r>
              <m:t>γ</m:t>
            </m:r>
          </m:e>
          <m:sup>
            <m:r>
              <m:t>N</m:t>
            </m:r>
          </m:sup>
        </m:sSup>
      </m:oMath>
      <w:r>
        <w:t xml:space="preserve"> </w:t>
      </w:r>
      <w:r>
        <w:t xml:space="preserve">el crecimiento del PIB nominal, la ratio no crece si el saldo corriente sin intereses es</w:t>
      </w:r>
    </w:p>
    <w:p>
      <w:pPr>
        <w:pStyle w:val="Funcionclave"/>
        <w:keepLines/>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m:oMathPara>
    </w:p>
    <w:p>
      <w:pPr>
        <w:numPr>
          <w:ilvl w:val="0"/>
          <w:numId w:val="1190"/>
        </w:numPr>
      </w:pPr>
      <w:r>
        <w:rPr>
          <w:i/>
          <w:iCs/>
        </w:rPr>
        <w:t xml:space="preserve">Ejemplo</w:t>
      </w:r>
      <w:r>
        <w:t xml:space="preserve">: con una deuda externa del 60 % del PIB, un tipo implícito del 5 % y un crecimiento nominal del 3 %,</w:t>
      </w:r>
      <w:r>
        <w:t xml:space="preserve"> </w:t>
      </w:r>
      <m:oMath>
        <m:f>
          <m:fPr>
            <m:type m:val="bar"/>
          </m:fPr>
          <m:num>
            <m:r>
              <m:t>0</m:t>
            </m:r>
            <m:r>
              <m:rPr>
                <m:sty m:val="p"/>
              </m:rPr>
              <m:t>,</m:t>
            </m:r>
            <m:r>
              <m:t>05</m:t>
            </m:r>
            <m:r>
              <m:rPr>
                <m:sty m:val="p"/>
              </m:rPr>
              <m:t>−</m:t>
            </m:r>
            <m:r>
              <m:t>0</m:t>
            </m:r>
            <m:r>
              <m:rPr>
                <m:sty m:val="p"/>
              </m:rPr>
              <m:t>,</m:t>
            </m:r>
            <m:r>
              <m:t>03</m:t>
            </m:r>
          </m:num>
          <m:den>
            <m:r>
              <m:t>1</m:t>
            </m:r>
            <m:r>
              <m:rPr>
                <m:sty m:val="p"/>
              </m:rPr>
              <m:t>,</m:t>
            </m:r>
            <m:r>
              <m:t>03</m:t>
            </m:r>
          </m:den>
        </m:f>
        <m:r>
          <m:rPr>
            <m:sty m:val="p"/>
          </m:rPr>
          <m:t>×</m:t>
        </m:r>
        <m:r>
          <m:t>60</m:t>
        </m:r>
        <m:r>
          <m:rPr>
            <m:sty m:val="p"/>
          </m:rPr>
          <m:t>≈</m:t>
        </m:r>
        <m:r>
          <m:t>1</m:t>
        </m:r>
        <m:r>
          <m:rPr>
            <m:sty m:val="p"/>
          </m:rPr>
          <m:t>,</m:t>
        </m:r>
        <m:r>
          <m:t>2</m:t>
        </m:r>
      </m:oMath>
      <w:r>
        <w:t xml:space="preserve">: hace falta un superávit corriente sin intereses de algo más de 1 punto del PIB.</w:t>
      </w:r>
    </w:p>
    <w:bookmarkEnd w:id="360"/>
    <w:bookmarkStart w:id="361" w:name="exportaciones_y_renta_exterior"/>
    <w:p>
      <w:pPr>
        <w:pStyle w:val="Heading4"/>
      </w:pPr>
      <w:r>
        <w:t xml:space="preserve">Exportaciones y renta exterior</w:t>
      </w:r>
    </w:p>
    <w:p>
      <w:pPr>
        <w:numPr>
          <w:ilvl w:val="0"/>
          <w:numId w:val="1191"/>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191"/>
        </w:numPr>
      </w:pPr>
      <w:r>
        <w:rPr>
          <w:i/>
          <w:iCs/>
        </w:rPr>
        <w:t xml:space="preserve">Ejemplo</w:t>
      </w:r>
      <w:r>
        <w:t xml:space="preserve">: con una elasticidad de 1,1 y un comercio mundial que crece un 7,3 %, las exportaciones crecen en torno a un 8 %.</w:t>
      </w:r>
    </w:p>
    <w:bookmarkEnd w:id="361"/>
    <w:bookmarkEnd w:id="362"/>
    <w:bookmarkStart w:id="365" w:name="anexo_calc_fiscal"/>
    <w:p>
      <w:pPr>
        <w:pStyle w:val="Heading3"/>
      </w:pPr>
      <w:r>
        <w:t xml:space="preserve">VI.2.5.</w:t>
      </w:r>
      <w:r>
        <w:t xml:space="preserve"> </w:t>
      </w:r>
      <w:r>
        <w:t xml:space="preserve">Cuentas públicas</w:t>
      </w:r>
    </w:p>
    <w:bookmarkStart w:id="363" w:name="saldos_y_esfuerzo_fiscal"/>
    <w:p>
      <w:pPr>
        <w:pStyle w:val="Heading4"/>
      </w:pPr>
      <w:r>
        <w:t xml:space="preserve">Saldos y esfuerzo fiscal</w:t>
      </w:r>
    </w:p>
    <w:p>
      <w:pPr>
        <w:numPr>
          <w:ilvl w:val="0"/>
          <w:numId w:val="1192"/>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192"/>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192"/>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192"/>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363"/>
    <w:bookmarkStart w:id="364" w:name="saldo_primario_que_estabiliza_la_deuda"/>
    <w:p>
      <w:pPr>
        <w:pStyle w:val="Heading4"/>
      </w:pPr>
      <w:r>
        <w:t xml:space="preserve">Saldo primario que estabiliza la deuda</w:t>
      </w:r>
    </w:p>
    <w:p>
      <w:pPr>
        <w:numPr>
          <w:ilvl w:val="0"/>
          <w:numId w:val="1193"/>
        </w:numPr>
      </w:pPr>
      <w:r>
        <w:t xml:space="preserve">Con</w:t>
      </w:r>
      <w:r>
        <w:t xml:space="preserve"> </w:t>
      </w:r>
      <m:oMath>
        <m:r>
          <m:t>τ</m:t>
        </m:r>
        <m:r>
          <m:rPr>
            <m:sty m:val="p"/>
          </m:rPr>
          <m:t>−</m:t>
        </m:r>
        <m:r>
          <m:t>g</m:t>
        </m:r>
      </m:oMath>
      <w:r>
        <w:t xml:space="preserve"> </w:t>
      </w:r>
      <w:r>
        <w:t xml:space="preserve">el superávit primario,</w:t>
      </w:r>
      <w:r>
        <w:t xml:space="preserve"> </w:t>
      </w:r>
      <m:oMath>
        <m:r>
          <m:t>i</m:t>
        </m:r>
      </m:oMath>
      <w:r>
        <w:t xml:space="preserve"> </w:t>
      </w:r>
      <w:r>
        <w:t xml:space="preserve">el tipo implícito,</w:t>
      </w:r>
      <w:r>
        <w:t xml:space="preserve"> </w:t>
      </w:r>
      <m:oMath>
        <m:sSup>
          <m:e>
            <m:r>
              <m:t>γ</m:t>
            </m:r>
          </m:e>
          <m:sup>
            <m:r>
              <m:t>N</m:t>
            </m:r>
          </m:sup>
        </m:sSup>
      </m:oMath>
      <w:r>
        <w:t xml:space="preserve"> </w:t>
      </w:r>
      <w:r>
        <w:t xml:space="preserve">el crecimiento nominal y</w:t>
      </w:r>
      <w:r>
        <w:t xml:space="preserve"> </w:t>
      </w:r>
      <m:oMath>
        <m:r>
          <m:t>d</m:t>
        </m:r>
      </m:oMath>
      <w:r>
        <w:t xml:space="preserve"> </w:t>
      </w:r>
      <w:r>
        <w:t xml:space="preserve">la deuda sobre el PIB, la ratio se estabiliza si</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193"/>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364"/>
    <w:bookmarkEnd w:id="365"/>
    <w:bookmarkEnd w:id="366"/>
    <w:bookmarkStart w:id="367" w:name="anexo_lectura_series"/>
    <w:p>
      <w:pPr>
        <w:pStyle w:val="Heading2"/>
      </w:pPr>
      <w:r>
        <w:t xml:space="preserve">A.4. Lectura de series</w:t>
      </w:r>
    </w:p>
    <w:p>
      <w:pPr>
        <w:keepNext/>
        <w:numPr>
          <w:ilvl w:val="0"/>
          <w:numId w:val="1194"/>
        </w:numPr>
      </w:pPr>
      <w:r>
        <w:t xml:space="preserve">Antes de analizar, conviene entender las características básicas de los datos del país. Según su dimensión temporal, hay 3 tipos:</w:t>
      </w:r>
    </w:p>
    <w:p>
      <w:pPr>
        <w:numPr>
          <w:ilvl w:val="1"/>
          <w:numId w:val="1195"/>
        </w:numPr>
      </w:pPr>
      <w:r>
        <w:rPr>
          <w:i/>
          <w:iCs/>
        </w:rPr>
        <w:t xml:space="preserve">series de sección cruzada</w:t>
      </w:r>
      <w:r>
        <w:t xml:space="preserve">: el comportamiento de distintos agentes en un mismo momento; se analizan comparando las diferencias entre ellos;</w:t>
      </w:r>
    </w:p>
    <w:p>
      <w:pPr>
        <w:numPr>
          <w:ilvl w:val="1"/>
          <w:numId w:val="1195"/>
        </w:numPr>
      </w:pPr>
      <w:r>
        <w:rPr>
          <w:i/>
          <w:iCs/>
        </w:rPr>
        <w:t xml:space="preserve">series temporales</w:t>
      </w:r>
      <w:r>
        <w:t xml:space="preserve">: una misma unidad (un país) observada en distintos momentos;</w:t>
      </w:r>
    </w:p>
    <w:p>
      <w:pPr>
        <w:numPr>
          <w:ilvl w:val="1"/>
          <w:numId w:val="1195"/>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94"/>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96"/>
        </w:numPr>
      </w:pPr>
      <w:r>
        <w:rPr>
          <w:i/>
          <w:iCs/>
        </w:rPr>
        <w:t xml:space="preserve">proporciones</w:t>
      </w:r>
      <w:r>
        <w:t xml:space="preserve">: un sumando dividido por el total (entre 0 y 1; todas suman 1);</w:t>
      </w:r>
    </w:p>
    <w:p>
      <w:pPr>
        <w:numPr>
          <w:ilvl w:val="1"/>
          <w:numId w:val="1196"/>
        </w:numPr>
      </w:pPr>
      <w:r>
        <w:rPr>
          <w:i/>
          <w:iCs/>
        </w:rPr>
        <w:t xml:space="preserve">porcentajes</w:t>
      </w:r>
      <w:r>
        <w:t xml:space="preserve">: la proporción por 100; ni proporciones ni porcentajes tienen unidades, y permiten comparar totales medidos en unidades distintas;</w:t>
      </w:r>
    </w:p>
    <w:p>
      <w:pPr>
        <w:numPr>
          <w:ilvl w:val="1"/>
          <w:numId w:val="1196"/>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A.3.2</w:t>
        </w:r>
      </w:hyperlink>
      <w:r>
        <w:t xml:space="preserve">);</w:t>
      </w:r>
    </w:p>
    <w:p>
      <w:pPr>
        <w:numPr>
          <w:ilvl w:val="1"/>
          <w:numId w:val="1196"/>
        </w:numPr>
      </w:pPr>
      <w:r>
        <w:rPr>
          <w:i/>
          <w:iCs/>
        </w:rPr>
        <w:t xml:space="preserve">tasas</w:t>
      </w:r>
      <w:r>
        <w:t xml:space="preserve">: los porcentajes e índices referidos a incrementos (la tasa de variación).</w:t>
      </w:r>
    </w:p>
    <w:bookmarkEnd w:id="367"/>
    <w:bookmarkEnd w:id="368"/>
    <w:bookmarkStart w:id="394" w:name="anexo_casos"/>
    <w:p>
      <w:pPr>
        <w:pStyle w:val="Heading1"/>
      </w:pPr>
      <w:r>
        <w:t xml:space="preserve">B. Casos frecuentes y expresiones útiles</w:t>
      </w:r>
    </w:p>
    <w:bookmarkStart w:id="385" w:name="anexo_casos_frecuentes"/>
    <w:p>
      <w:pPr>
        <w:pStyle w:val="Heading2"/>
      </w:pPr>
      <w:r>
        <w:t xml:space="preserve">B.1. Análisis de casos frecuentes</w:t>
      </w:r>
    </w:p>
    <w:p>
      <w:pPr>
        <w:numPr>
          <w:ilvl w:val="0"/>
          <w:numId w:val="1197"/>
        </w:numPr>
      </w:pPr>
      <w:r>
        <w:t xml:space="preserve">Choques y situaciones concretas que han aparecido en los dictámenes y que se analizan con las herramientas de cada capítulo: la demografía, la migración y el salario mínimo; los aranceles de un tercero; un choque externo o geopolítico; un brote de inflación; la lectura de una curva de</w:t>
      </w:r>
      <w:r>
        <w:t xml:space="preserve"> </w:t>
      </w:r>
      <w:r>
        <w:rPr>
          <w:smallCaps/>
        </w:rPr>
        <w:t xml:space="preserve">Beveridge</w:t>
      </w:r>
      <w:r>
        <w:t xml:space="preserve">; y los fondos europeos en la balanza de pagos. El caso de un sector dominante (petróleo y materias primas) está en el cuerpo (apartado </w:t>
      </w:r>
      <w:hyperlink w:anchor="sec_oferta">
        <w:r>
          <w:rPr>
            <w:rStyle w:val="Hyperlink"/>
          </w:rPr>
          <w:t xml:space="preserve">I.5</w:t>
        </w:r>
      </w:hyperlink>
      <w:r>
        <w:t xml:space="preserve">).</w:t>
      </w:r>
    </w:p>
    <w:bookmarkStart w:id="371" w:name="demograf__a_migraci__n_y_salario_m_06732"/>
    <w:p>
      <w:pPr>
        <w:pStyle w:val="Heading4"/>
      </w:pPr>
      <w:r>
        <w:t xml:space="preserve">Demografía, migración y salario mínimo</w:t>
      </w:r>
    </w:p>
    <w:p>
      <w:pPr>
        <w:numPr>
          <w:ilvl w:val="0"/>
          <w:numId w:val="1198"/>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369">
        <w:r>
          <w:rPr>
            <w:rStyle w:val="Referenciaatema"/>
          </w:rPr>
          <w:t xml:space="preserve">[ver tema 4.A.2]</w:t>
        </w:r>
      </w:hyperlink>
      <w:r>
        <w:t xml:space="preserve">.</w:t>
      </w:r>
    </w:p>
    <w:p>
      <w:pPr>
        <w:numPr>
          <w:ilvl w:val="0"/>
          <w:numId w:val="1198"/>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primero el paro y después el crecimiento potencial.</w:t>
      </w:r>
    </w:p>
    <w:p>
      <w:pPr>
        <w:numPr>
          <w:ilvl w:val="0"/>
          <w:numId w:val="1198"/>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370">
        <w:r>
          <w:rPr>
            <w:rStyle w:val="Referenciaatema"/>
          </w:rPr>
          <w:t xml:space="preserve">[ver tema 3.A.17]</w:t>
        </w:r>
      </w:hyperlink>
      <w:r>
        <w:t xml:space="preserve">. El saldo público mejora por las cotizaciones de quienes conservan el empleo y empeora por los que lo pierden.</w:t>
      </w:r>
    </w:p>
    <w:bookmarkEnd w:id="371"/>
    <w:bookmarkStart w:id="375" w:name="aranceles_y_fragmentaci__n_del_com_04988"/>
    <w:p>
      <w:pPr>
        <w:pStyle w:val="Heading4"/>
      </w:pPr>
      <w:r>
        <w:t xml:space="preserve">Aranceles y fragmentación del comercio</w:t>
      </w:r>
    </w:p>
    <w:p>
      <w:pPr>
        <w:numPr>
          <w:ilvl w:val="0"/>
          <w:numId w:val="1199"/>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199"/>
        </w:numPr>
      </w:pPr>
      <w:r>
        <w:rPr>
          <w:i/>
          <w:iCs/>
        </w:rPr>
        <w:t xml:space="preserve">Efecto de los aranceles de un tercero</w:t>
      </w:r>
      <w:r>
        <w:t xml:space="preserve"> </w:t>
      </w:r>
      <w:r>
        <w:t xml:space="preserve">sobre el país (como los de Estados Unidos desde 2025</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w:t>
      </w:r>
    </w:p>
    <w:p>
      <w:pPr>
        <w:numPr>
          <w:ilvl w:val="1"/>
          <w:numId w:val="1200"/>
        </w:numPr>
      </w:pPr>
      <w:r>
        <w:rPr>
          <w:i/>
          <w:iCs/>
        </w:rPr>
        <w:t xml:space="preserve">directo</w:t>
      </w:r>
      <w:r>
        <w:t xml:space="preserve">: caen las exportaciones a ese destino, según su peso y la elasticidad de cada producto;</w:t>
      </w:r>
    </w:p>
    <w:p>
      <w:pPr>
        <w:numPr>
          <w:ilvl w:val="1"/>
          <w:numId w:val="1200"/>
        </w:numPr>
      </w:pPr>
      <w:r>
        <w:rPr>
          <w:i/>
          <w:iCs/>
        </w:rPr>
        <w:t xml:space="preserve">indirecto</w:t>
      </w:r>
      <w:r>
        <w:t xml:space="preserve">: por las cadenas de valor y la menor demanda mundial;</w:t>
      </w:r>
    </w:p>
    <w:p>
      <w:pPr>
        <w:numPr>
          <w:ilvl w:val="1"/>
          <w:numId w:val="1200"/>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200"/>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199"/>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199"/>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372">
        <w:r>
          <w:rPr>
            <w:rStyle w:val="Referenciaatema"/>
          </w:rPr>
          <w:t xml:space="preserve">[ver tema 3.B.7]</w:t>
        </w:r>
      </w:hyperlink>
      <w:r>
        <w:t xml:space="preserve"> </w:t>
      </w:r>
      <w:hyperlink r:id="rId373">
        <w:r>
          <w:rPr>
            <w:rStyle w:val="Referenciaatema"/>
          </w:rPr>
          <w:t xml:space="preserve">[ver tema 3.B.33]</w:t>
        </w:r>
      </w:hyperlink>
      <w:r>
        <w:t xml:space="preserve"> </w:t>
      </w:r>
      <w:hyperlink r:id="rId374">
        <w:r>
          <w:rPr>
            <w:rStyle w:val="Referenciaatema"/>
          </w:rPr>
          <w:t xml:space="preserve">[ver tema 3.B.41]</w:t>
        </w:r>
      </w:hyperlink>
      <w:r>
        <w:t xml:space="preserve">.</w:t>
      </w:r>
    </w:p>
    <w:bookmarkEnd w:id="375"/>
    <w:bookmarkStart w:id="380" w:name="un_choque_externo_o_geopol__tico_l_27599"/>
    <w:p>
      <w:pPr>
        <w:pStyle w:val="Heading4"/>
      </w:pPr>
      <w:r>
        <w:t xml:space="preserve">Un choque externo o geopolítico: los canales</w:t>
      </w:r>
    </w:p>
    <w:p>
      <w:pPr>
        <w:keepNext/>
        <w:numPr>
          <w:ilvl w:val="0"/>
          <w:numId w:val="1201"/>
        </w:numPr>
      </w:pPr>
      <w:r>
        <w:t xml:space="preserve">Una guerra, una crisis energética o una escalada arancelaria llegan a una economía por 6 canales, y la pregunta del tipo «¿cómo afecta el conflicto a esta economía?» se contesta recorriéndolos con el cuadro (gráfico </w:t>
      </w:r>
      <w:hyperlink w:anchor="fig_canales_choque">
        <w:r>
          <w:rPr>
            <w:rStyle w:val="Hyperlink"/>
          </w:rPr>
          <w:t xml:space="preserve">31</w:t>
        </w:r>
      </w:hyperlink>
      <w:r>
        <w:t xml:space="preserve">)</w:t>
      </w:r>
      <w:r>
        <w:t xml:space="preserve"> </w:t>
      </w:r>
      <w:r>
        <w:t xml:space="preserve">(</w:t>
      </w:r>
      <w:hyperlink w:anchor="ref_FMI2022WEOabr">
        <w:r>
          <w:rPr>
            <w:rStyle w:val="Hyperlink"/>
            <w:smallCaps/>
          </w:rPr>
          <w:t xml:space="preserve">Fondo Monetario Internacional</w:t>
        </w:r>
        <w:r>
          <w:rPr>
            <w:rStyle w:val="Hyperlink"/>
          </w:rPr>
          <w:t xml:space="preserve">, 2022c</w:t>
        </w:r>
      </w:hyperlink>
      <w:r>
        <w:t xml:space="preserve">)</w:t>
      </w:r>
      <w:r>
        <w:t xml:space="preserve">:</w:t>
      </w:r>
    </w:p>
    <w:p>
      <w:pPr>
        <w:numPr>
          <w:ilvl w:val="1"/>
          <w:numId w:val="1202"/>
        </w:numPr>
      </w:pPr>
      <w:r>
        <w:rPr>
          <w:b/>
          <w:bCs/>
        </w:rPr>
        <w:t xml:space="preserve">materias primas</w:t>
      </w:r>
      <w:r>
        <w:t xml:space="preserve">: energía y alimentos más caros; inflación importada y pérdida de renta real en un importador neto (IPC por encima del deflactor, peor relación real de intercambio);</w:t>
      </w:r>
    </w:p>
    <w:p>
      <w:pPr>
        <w:numPr>
          <w:ilvl w:val="1"/>
          <w:numId w:val="1202"/>
        </w:numPr>
      </w:pPr>
      <w:r>
        <w:rPr>
          <w:b/>
          <w:bCs/>
        </w:rPr>
        <w:t xml:space="preserve">comercio y cadenas de valor</w:t>
      </w:r>
      <w:r>
        <w:t xml:space="preserve">: menos exportaciones al país afectado, cuellos de botella, desviación de comercio;</w:t>
      </w:r>
    </w:p>
    <w:p>
      <w:pPr>
        <w:numPr>
          <w:ilvl w:val="1"/>
          <w:numId w:val="1202"/>
        </w:numPr>
      </w:pPr>
      <w:r>
        <w:rPr>
          <w:b/>
          <w:bCs/>
        </w:rPr>
        <w:t xml:space="preserve">financiero</w:t>
      </w:r>
      <w:r>
        <w:t xml:space="preserve">: huida hacia la calidad, primas de riesgo, tipo de cambio y salidas de capital;</w:t>
      </w:r>
    </w:p>
    <w:p>
      <w:pPr>
        <w:numPr>
          <w:ilvl w:val="1"/>
          <w:numId w:val="1202"/>
        </w:numPr>
      </w:pPr>
      <w:r>
        <w:rPr>
          <w:b/>
          <w:bCs/>
        </w:rPr>
        <w:t xml:space="preserve">confianza e incertidumbre</w:t>
      </w:r>
      <w:r>
        <w:t xml:space="preserve">: se aplaza la inversión y sube el ahorro (PMI, indicadores de confianza);</w:t>
      </w:r>
    </w:p>
    <w:p>
      <w:pPr>
        <w:numPr>
          <w:ilvl w:val="1"/>
          <w:numId w:val="1202"/>
        </w:numPr>
      </w:pPr>
      <w:r>
        <w:rPr>
          <w:b/>
          <w:bCs/>
        </w:rPr>
        <w:t xml:space="preserve">migratorio</w:t>
      </w:r>
      <w:r>
        <w:t xml:space="preserve">: llegada de desplazados, con efectos sobre la oferta de trabajo, el paro y el potencial;</w:t>
      </w:r>
    </w:p>
    <w:p>
      <w:pPr>
        <w:numPr>
          <w:ilvl w:val="1"/>
          <w:numId w:val="1202"/>
        </w:numPr>
      </w:pPr>
      <w:r>
        <w:rPr>
          <w:b/>
          <w:bCs/>
        </w:rPr>
        <w:t xml:space="preserve">institucional</w:t>
      </w:r>
      <w:r>
        <w:t xml:space="preserve">: sanciones, bloques comerciales, más gasto en defensa y presión sobre las cuentas públicas.</w:t>
      </w:r>
    </w:p>
    <w:p>
      <w:pPr>
        <w:numPr>
          <w:ilvl w:val="0"/>
          <w:numId w:val="1201"/>
        </w:numPr>
      </w:pPr>
      <w:r>
        <w:t xml:space="preserve">El peso de cada canal depende de la estructura del país: su dependencia energética, el peso del destino en sus exportaciones, su posición financiera exterior y su margen fiscal.</w:t>
      </w:r>
    </w:p>
    <w:bookmarkStart w:id="379" w:name="fig_canales_choque"/>
    <w:p>
      <w:pPr>
        <w:pStyle w:val="ImageCaption"/>
      </w:pPr>
      <w:r>
        <w:t xml:space="preserve">Gráfico 31.–</w:t>
      </w:r>
      <w:r>
        <w:t xml:space="preserve"> </w:t>
      </w:r>
      <w:r>
        <w:t xml:space="preserve">Los canales de un choque externo o geopolítico</w:t>
      </w:r>
    </w:p>
    <w:p>
      <w:pPr>
        <w:pStyle w:val="CaptionedFigure"/>
      </w:pPr>
      <w:r>
        <w:drawing>
          <wp:inline>
            <wp:extent cx="4370159" cy="1593319"/>
            <wp:effectExtent b="0" l="0" r="0" t="0"/>
            <wp:docPr descr="Gráfico 31.– Los canales de un choque externo o geopolítico" title="" id="377" name="Picture"/>
            <a:graphic>
              <a:graphicData uri="http://schemas.openxmlformats.org/drawingml/2006/picture">
                <pic:pic>
                  <pic:nvPicPr>
                    <pic:cNvPr descr="C:\Users\vgutierrez\Documents\src\victorgutierrezmarcos.github.io-revision\oposicion\temario\fuentes\1D01\graficos/canales-choque-externo.png" id="378" name="Picture"/>
                    <pic:cNvPicPr>
                      <a:picLocks noChangeArrowheads="1" noChangeAspect="1"/>
                    </pic:cNvPicPr>
                  </pic:nvPicPr>
                  <pic:blipFill>
                    <a:blip r:embed="rId376"/>
                    <a:stretch>
                      <a:fillRect/>
                    </a:stretch>
                  </pic:blipFill>
                  <pic:spPr bwMode="auto">
                    <a:xfrm>
                      <a:off x="0" y="0"/>
                      <a:ext cx="4370159" cy="1593319"/>
                    </a:xfrm>
                    <a:prstGeom prst="rect">
                      <a:avLst/>
                    </a:prstGeom>
                    <a:noFill/>
                    <a:ln w="9525">
                      <a:noFill/>
                      <a:headEnd/>
                      <a:tailEnd/>
                    </a:ln>
                  </pic:spPr>
                </pic:pic>
              </a:graphicData>
            </a:graphic>
          </wp:inline>
        </w:drawing>
      </w:r>
    </w:p>
    <w:bookmarkEnd w:id="379"/>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2WEOabr">
        <w:r>
          <w:rPr>
            <w:rStyle w:val="Hyperlink"/>
          </w:rPr>
          <w:t xml:space="preserve">2022c</w:t>
        </w:r>
      </w:hyperlink>
      <w:r>
        <w:t xml:space="preserve">)</w:t>
      </w:r>
      <w:r>
        <w:t xml:space="preserve">. Qué hay que ver: cada canal tiene su fila en el cuadro; el análisis consiste en ver cuáles se activan en</w:t>
      </w:r>
      <w:r>
        <w:t xml:space="preserve"> </w:t>
      </w:r>
      <w:r>
        <w:rPr>
          <w:i/>
          <w:iCs/>
        </w:rPr>
        <w:t xml:space="preserve">este</w:t>
      </w:r>
      <w:r>
        <w:t xml:space="preserve"> </w:t>
      </w:r>
      <w:r>
        <w:t xml:space="preserve">país y con qué fuerza.</w:t>
      </w:r>
    </w:p>
    <w:bookmarkEnd w:id="380"/>
    <w:bookmarkStart w:id="381" w:name="un_brote_de_inflaci__n_resistencia_43506"/>
    <w:p>
      <w:pPr>
        <w:pStyle w:val="Heading4"/>
      </w:pPr>
      <w:r>
        <w:t xml:space="preserve">Un brote de inflación: resistencia, cambio de tendencia y última milla</w:t>
      </w:r>
    </w:p>
    <w:p>
      <w:pPr>
        <w:numPr>
          <w:ilvl w:val="0"/>
          <w:numId w:val="1203"/>
        </w:numPr>
      </w:pPr>
      <w:r>
        <w:rPr>
          <w:i/>
          <w:iCs/>
        </w:rPr>
        <w:t xml:space="preserve">Las causas estructurales de la inflación baja</w:t>
      </w:r>
      <w:r>
        <w:t xml:space="preserve"> </w:t>
      </w:r>
      <w:r>
        <w:t xml:space="preserve">de las décadas anteriores a 2021: la globalización y las cadenas de valor (importaciones baratas y más competencia), la digitalización, el envejecimiento (más ahorro) y la credibilidad de los bancos centrales, que anclaba las expectativas. A ellas se sumaban causas coyunturales: holgura en los mercados y energía barata</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w:t>
      </w:r>
    </w:p>
    <w:p>
      <w:pPr>
        <w:numPr>
          <w:ilvl w:val="0"/>
          <w:numId w:val="1203"/>
        </w:numPr>
      </w:pPr>
      <w:r>
        <w:rPr>
          <w:i/>
          <w:iCs/>
        </w:rPr>
        <w:t xml:space="preserve">El repunte</w:t>
      </w:r>
      <w:r>
        <w:t xml:space="preserve">: primero, la subida de las materias primas; después, una demanda mayor que la oferta, por los estímulos, el ahorro embalsado y el paso del gasto de servicios a bienes, que chocó con cuellos de botella en el transporte y los suministros; y al final, la energía tras la invasión de Ucrania.</w:t>
      </w:r>
    </w:p>
    <w:p>
      <w:pPr>
        <w:numPr>
          <w:ilvl w:val="0"/>
          <w:numId w:val="1203"/>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End w:id="381"/>
    <w:bookmarkStart w:id="382" w:name="la___ltima_milla_de_la_desinflaci__n"/>
    <w:p>
      <w:pPr>
        <w:pStyle w:val="Heading4"/>
      </w:pPr>
      <w:r>
        <w:t xml:space="preserve">La «última milla» de la desinflación</w:t>
      </w:r>
    </w:p>
    <w:p>
      <w:pPr>
        <w:numPr>
          <w:ilvl w:val="0"/>
          <w:numId w:val="1204"/>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382"/>
    <w:bookmarkStart w:id="383" w:name="una_curva_de_phillips_plana_una_le_43296"/>
    <w:p>
      <w:pPr>
        <w:pStyle w:val="Heading4"/>
      </w:pPr>
      <w:r>
        <w:t xml:space="preserve">Una curva de</w:t>
      </w:r>
      <w:r>
        <w:t xml:space="preserve"> </w:t>
      </w:r>
      <w:r>
        <w:rPr>
          <w:smallCaps/>
        </w:rPr>
        <w:t xml:space="preserve">Phillips</w:t>
      </w:r>
      <w:r>
        <w:t xml:space="preserve"> </w:t>
      </w:r>
      <w:r>
        <w:t xml:space="preserve">plana: una lección de prudencia</w:t>
      </w:r>
    </w:p>
    <w:p>
      <w:pPr>
        <w:numPr>
          <w:ilvl w:val="0"/>
          <w:numId w:val="1205"/>
        </w:numPr>
      </w:pPr>
      <w:r>
        <w:t xml:space="preserve">Durante los años previos a la pandemia la inflación apenas reaccionaba al paro: la curva de</w:t>
      </w:r>
      <w:r>
        <w:t xml:space="preserve"> </w:t>
      </w:r>
      <w:r>
        <w:rPr>
          <w:smallCaps/>
        </w:rPr>
        <w:t xml:space="preserve">Phillips</w:t>
      </w:r>
      <w:r>
        <w:t xml:space="preserve"> </w:t>
      </w:r>
      <w:r>
        <w:t xml:space="preserve">parecía muy plana, por la globalización, la automatización, el menor poder de negociación de los trabajadores y unas expectativas bien ancladas. Con esa lectura, en otoño de 2021 el FMI esperaba que el repunte de la inflación fuera temporal y que volviera a los niveles previos a mediados de 2022</w:t>
      </w:r>
      <w:r>
        <w:t xml:space="preserve"> </w:t>
      </w:r>
      <w:r>
        <w:t xml:space="preserve">(</w:t>
      </w:r>
      <w:hyperlink w:anchor="ref_FMI2021WEOoct">
        <w:r>
          <w:rPr>
            <w:rStyle w:val="Hyperlink"/>
            <w:smallCaps/>
          </w:rPr>
          <w:t xml:space="preserve">Fondo Monetario Internacional</w:t>
        </w:r>
        <w:r>
          <w:rPr>
            <w:rStyle w:val="Hyperlink"/>
          </w:rPr>
          <w:t xml:space="preserve">, 2021c</w:t>
        </w:r>
      </w:hyperlink>
      <w:r>
        <w:t xml:space="preserve">)</w:t>
      </w:r>
      <w:r>
        <w:t xml:space="preserve">; la inflación siguió subiendo durante 2022.</w:t>
      </w:r>
    </w:p>
    <w:p>
      <w:pPr>
        <w:numPr>
          <w:ilvl w:val="0"/>
          <w:numId w:val="1205"/>
        </w:numPr>
      </w:pPr>
      <w:r>
        <w:rPr>
          <w:i/>
          <w:iCs/>
        </w:rPr>
        <w:t xml:space="preserve">La lección para el dictamen</w:t>
      </w:r>
      <w:r>
        <w:t xml:space="preserve">: una relación que ha funcionado durante años puede romperse cuando cambia el tipo de choque.</w:t>
      </w:r>
      <w:r>
        <w:t xml:space="preserve"> </w:t>
      </w:r>
      <w:r>
        <w:rPr>
          <w:u w:val="single"/>
        </w:rPr>
        <w:t xml:space="preserve">Mejor condicionales que predicciones rotundas.</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206"/>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206"/>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206"/>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6"/>
        </w:numPr>
      </w:pPr>
      <w:r>
        <w:t xml:space="preserve">entre 2013 y 2019 deshace el camino hacia el origen: a principios de 2020 la relación entre vacantes y paro era la del ciclo anterior a la Gran Recesión (la más parecida, la de 1999)</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6"/>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383"/>
    <w:bookmarkStart w:id="384" w:name="una_crisis_bancaria_liquidez_solve_98369"/>
    <w:p>
      <w:pPr>
        <w:pStyle w:val="Heading4"/>
      </w:pPr>
      <w:r>
        <w:t xml:space="preserve">Una crisis bancaria: liquidez, solvencia y resolución</w:t>
      </w:r>
    </w:p>
    <w:p>
      <w:pPr>
        <w:numPr>
          <w:ilvl w:val="0"/>
          <w:numId w:val="1207"/>
        </w:numPr>
      </w:pPr>
      <w:r>
        <w:rPr>
          <w:i/>
          <w:iCs/>
        </w:rPr>
        <w:t xml:space="preserve">Lo primero, distinguir liquidez de solvencia</w:t>
      </w:r>
      <w:r>
        <w:t xml:space="preserve">: un banco con problemas de</w:t>
      </w:r>
      <w:r>
        <w:t xml:space="preserve"> </w:t>
      </w:r>
      <w:r>
        <w:rPr>
          <w:b/>
          <w:bCs/>
        </w:rPr>
        <w:t xml:space="preserve">liquidez</w:t>
      </w:r>
      <w:r>
        <w:t xml:space="preserve"> </w:t>
      </w:r>
      <w:r>
        <w:t xml:space="preserve">(no puede atender las retiradas, pero sus activos valen más que sus pasivos) se salva con un</w:t>
      </w:r>
      <w:r>
        <w:t xml:space="preserve"> </w:t>
      </w:r>
      <w:r>
        <w:rPr>
          <w:b/>
          <w:bCs/>
        </w:rPr>
        <w:t xml:space="preserve">prestamista de última instancia</w:t>
      </w:r>
      <w:r>
        <w:t xml:space="preserve">, que presta sin límite contra buenas garantías y a un tipo de penalización</w:t>
      </w:r>
      <w:r>
        <w:t xml:space="preserve"> </w:t>
      </w:r>
      <w:r>
        <w:t xml:space="preserve">(</w:t>
      </w:r>
      <w:hyperlink w:anchor="ref_Bagehot1873">
        <w:r>
          <w:rPr>
            <w:rStyle w:val="Hyperlink"/>
            <w:smallCaps/>
          </w:rPr>
          <w:t xml:space="preserve">Bagehot</w:t>
        </w:r>
        <w:r>
          <w:rPr>
            <w:rStyle w:val="Hyperlink"/>
          </w:rPr>
          <w:t xml:space="preserve">, 1873</w:t>
        </w:r>
      </w:hyperlink>
      <w:r>
        <w:t xml:space="preserve">)</w:t>
      </w:r>
      <w:r>
        <w:t xml:space="preserve">, y con una</w:t>
      </w:r>
      <w:r>
        <w:t xml:space="preserve"> </w:t>
      </w:r>
      <w:r>
        <w:rPr>
          <w:b/>
          <w:bCs/>
        </w:rPr>
        <w:t xml:space="preserve">garantía de depósitos</w:t>
      </w:r>
      <w:r>
        <w:t xml:space="preserve"> </w:t>
      </w:r>
      <w:r>
        <w:t xml:space="preserve">creíble, que evita el pánico</w:t>
      </w:r>
      <w:r>
        <w:t xml:space="preserve"> </w:t>
      </w:r>
      <w:r>
        <w:t xml:space="preserve">(</w:t>
      </w:r>
      <w:hyperlink w:anchor="ref_DiamondDybvig1983">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 Un banco</w:t>
      </w:r>
      <w:r>
        <w:t xml:space="preserve"> </w:t>
      </w:r>
      <w:r>
        <w:rPr>
          <w:b/>
          <w:bCs/>
        </w:rPr>
        <w:t xml:space="preserve">insolvente</w:t>
      </w:r>
      <w:r>
        <w:t xml:space="preserve"> </w:t>
      </w:r>
      <w:r>
        <w:t xml:space="preserve">(pierde más de lo que tiene de capital) no se arregla con liquidez: hay que recapitalizarlo o resolverlo. Estas redes funcionan peor si los depósitos están en dólares o si se teme una devaluación.</w:t>
      </w:r>
    </w:p>
    <w:p>
      <w:pPr>
        <w:keepNext/>
        <w:numPr>
          <w:ilvl w:val="0"/>
          <w:numId w:val="1207"/>
        </w:numPr>
      </w:pPr>
      <w:r>
        <w:rPr>
          <w:i/>
          <w:iCs/>
        </w:rPr>
        <w:t xml:space="preserve">Las herramientas de resolución</w:t>
      </w:r>
      <w:r>
        <w:t xml:space="preserve"> </w:t>
      </w:r>
      <w:r>
        <w:t xml:space="preserve">(</w:t>
      </w:r>
      <w:hyperlink w:anchor="ref_DirUE2014BRRD">
        <w:r>
          <w:rPr>
            <w:rStyle w:val="Hyperlink"/>
            <w:smallCaps/>
          </w:rPr>
          <w:t xml:space="preserve">Parlamento Europeo y Consejo de la Unión Europea</w:t>
        </w:r>
        <w:r>
          <w:rPr>
            <w:rStyle w:val="Hyperlink"/>
          </w:rPr>
          <w:t xml:space="preserve">, 2014a</w:t>
        </w:r>
      </w:hyperlink>
      <w:r>
        <w:t xml:space="preserve">)</w:t>
      </w:r>
      <w:r>
        <w:t xml:space="preserve">:</w:t>
      </w:r>
    </w:p>
    <w:p>
      <w:pPr>
        <w:numPr>
          <w:ilvl w:val="1"/>
          <w:numId w:val="1208"/>
        </w:numPr>
      </w:pPr>
      <w:r>
        <w:t xml:space="preserve">una</w:t>
      </w:r>
      <w:r>
        <w:t xml:space="preserve"> </w:t>
      </w:r>
      <w:r>
        <w:rPr>
          <w:b/>
          <w:bCs/>
        </w:rPr>
        <w:t xml:space="preserve">auditoría externa</w:t>
      </w:r>
      <w:r>
        <w:t xml:space="preserve"> </w:t>
      </w:r>
      <w:r>
        <w:t xml:space="preserve">de los activos, para saber cuánto vale de verdad el balance y recuperar la credibilidad;</w:t>
      </w:r>
    </w:p>
    <w:p>
      <w:pPr>
        <w:numPr>
          <w:ilvl w:val="1"/>
          <w:numId w:val="1208"/>
        </w:numPr>
      </w:pPr>
      <w:r>
        <w:t xml:space="preserve">la</w:t>
      </w:r>
      <w:r>
        <w:t xml:space="preserve"> </w:t>
      </w:r>
      <w:r>
        <w:rPr>
          <w:b/>
          <w:bCs/>
        </w:rPr>
        <w:t xml:space="preserve">venta del negocio</w:t>
      </w:r>
      <w:r>
        <w:t xml:space="preserve"> </w:t>
      </w:r>
      <w:r>
        <w:t xml:space="preserve">o un</w:t>
      </w:r>
      <w:r>
        <w:t xml:space="preserve"> </w:t>
      </w:r>
      <w:r>
        <w:rPr>
          <w:b/>
          <w:bCs/>
        </w:rPr>
        <w:t xml:space="preserve">banco puente</w:t>
      </w:r>
      <w:r>
        <w:t xml:space="preserve">, que mantiene las funciones críticas (depósitos, pagos) mientras se busca comprador;</w:t>
      </w:r>
    </w:p>
    <w:p>
      <w:pPr>
        <w:numPr>
          <w:ilvl w:val="1"/>
          <w:numId w:val="1208"/>
        </w:numPr>
      </w:pPr>
      <w:r>
        <w:t xml:space="preserve">la</w:t>
      </w:r>
      <w:r>
        <w:t xml:space="preserve"> </w:t>
      </w:r>
      <w:r>
        <w:rPr>
          <w:b/>
          <w:bCs/>
        </w:rPr>
        <w:t xml:space="preserve">segregación de activos</w:t>
      </w:r>
      <w:r>
        <w:t xml:space="preserve"> </w:t>
      </w:r>
      <w:r>
        <w:t xml:space="preserve">dañados en una sociedad de gestión (un «banco malo»);</w:t>
      </w:r>
    </w:p>
    <w:p>
      <w:pPr>
        <w:numPr>
          <w:ilvl w:val="1"/>
          <w:numId w:val="1208"/>
        </w:numPr>
      </w:pPr>
      <w:r>
        <w:t xml:space="preserve">la</w:t>
      </w:r>
      <w:r>
        <w:t xml:space="preserve"> </w:t>
      </w:r>
      <w:r>
        <w:rPr>
          <w:b/>
          <w:bCs/>
        </w:rPr>
        <w:t xml:space="preserve">recapitalización interna</w:t>
      </w:r>
      <w:r>
        <w:t xml:space="preserve"> </w:t>
      </w:r>
      <w:r>
        <w:t xml:space="preserve">(</w:t>
      </w:r>
      <w:r>
        <w:rPr>
          <w:i/>
          <w:iCs/>
        </w:rPr>
        <w:t xml:space="preserve">bail-in</w:t>
      </w:r>
      <w:r>
        <w:t xml:space="preserve">): las pérdidas las absorben, por este orden, los accionistas, los tenedores de deuda subordinada, los de deuda sénior y, en último extremo, los depósitos no garantizados, antes que el contribuyente;</w:t>
      </w:r>
    </w:p>
    <w:p>
      <w:pPr>
        <w:numPr>
          <w:ilvl w:val="1"/>
          <w:numId w:val="1208"/>
        </w:numPr>
      </w:pPr>
      <w:r>
        <w:t xml:space="preserve">en casos extremos, y de forma temporal,</w:t>
      </w:r>
      <w:r>
        <w:t xml:space="preserve"> </w:t>
      </w:r>
      <w:r>
        <w:rPr>
          <w:b/>
          <w:bCs/>
        </w:rPr>
        <w:t xml:space="preserve">controles a la salida de capitales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384"/>
    <w:bookmarkEnd w:id="385"/>
    <w:bookmarkStart w:id="393" w:name="anexo_expresiones"/>
    <w:p>
      <w:pPr>
        <w:pStyle w:val="Heading2"/>
      </w:pPr>
      <w:r>
        <w:t xml:space="preserve">B.2. Expresiones útiles para redactar</w:t>
      </w:r>
    </w:p>
    <w:p>
      <w:pPr>
        <w:numPr>
          <w:ilvl w:val="0"/>
          <w:numId w:val="1209"/>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209"/>
        </w:numPr>
      </w:pPr>
      <w:r>
        <w:rPr>
          <w:i/>
          <w:iCs/>
        </w:rPr>
        <w:t xml:space="preserve">Diagnóstico</w:t>
      </w:r>
      <w:r>
        <w:t xml:space="preserve">:</w:t>
      </w:r>
    </w:p>
    <w:p>
      <w:pPr>
        <w:numPr>
          <w:ilvl w:val="1"/>
          <w:numId w:val="1210"/>
        </w:numPr>
      </w:pPr>
      <w:r>
        <w:t xml:space="preserve">«La economía muestra un crecimiento sólido pero desequilibrado, apoyado en la demanda interna y con una necesidad de financiación exterior creciente».</w:t>
      </w:r>
    </w:p>
    <w:p>
      <w:pPr>
        <w:numPr>
          <w:ilvl w:val="1"/>
          <w:numId w:val="1210"/>
        </w:numPr>
      </w:pPr>
      <w:r>
        <w:t xml:space="preserve">«Parece tratarse de una economía avanzada en recuperación, con la brecha de producción aún negativa, la inflación contenida y un margen fiscal reducido».</w:t>
      </w:r>
    </w:p>
    <w:p>
      <w:pPr>
        <w:keepNext/>
        <w:numPr>
          <w:ilvl w:val="0"/>
          <w:numId w:val="1209"/>
        </w:numPr>
      </w:pPr>
      <w:r>
        <w:rPr>
          <w:i/>
          <w:iCs/>
        </w:rPr>
        <w:t xml:space="preserve">Ciclo</w:t>
      </w:r>
      <w:r>
        <w:t xml:space="preserve">:</w:t>
      </w:r>
    </w:p>
    <w:p>
      <w:pPr>
        <w:numPr>
          <w:ilvl w:val="1"/>
          <w:numId w:val="1211"/>
        </w:numPr>
      </w:pPr>
      <w:r>
        <w:t xml:space="preserve">«El cuadro recoge más de un ciclo: …».</w:t>
      </w:r>
    </w:p>
    <w:p>
      <w:pPr>
        <w:numPr>
          <w:ilvl w:val="1"/>
          <w:numId w:val="1211"/>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211"/>
        </w:numPr>
      </w:pPr>
      <w:r>
        <w:t xml:space="preserve">«la recuperación tiene forma de uve: …».</w:t>
      </w:r>
    </w:p>
    <w:p>
      <w:pPr>
        <w:keepNext/>
        <w:numPr>
          <w:ilvl w:val="0"/>
          <w:numId w:val="1209"/>
        </w:numPr>
      </w:pPr>
      <w:r>
        <w:rPr>
          <w:i/>
          <w:iCs/>
        </w:rPr>
        <w:t xml:space="preserve">Contribuciones</w:t>
      </w:r>
      <w:r>
        <w:t xml:space="preserve">:</w:t>
      </w:r>
    </w:p>
    <w:p>
      <w:pPr>
        <w:numPr>
          <w:ilvl w:val="1"/>
          <w:numId w:val="1212"/>
        </w:numPr>
      </w:pPr>
      <w:r>
        <w:t xml:space="preserve">«De los … puntos que crece el PIB, … los aporta la demanda interna y … la externa».</w:t>
      </w:r>
    </w:p>
    <w:p>
      <w:pPr>
        <w:numPr>
          <w:ilvl w:val="1"/>
          <w:numId w:val="1212"/>
        </w:numPr>
      </w:pPr>
      <w:r>
        <w:t xml:space="preserve">«La demanda externa amortigua la caída del PIB, más por el desplome de las importaciones que por el empuje de las exportaciones».</w:t>
      </w:r>
    </w:p>
    <w:p>
      <w:pPr>
        <w:numPr>
          <w:ilvl w:val="1"/>
          <w:numId w:val="1212"/>
        </w:numPr>
      </w:pPr>
      <w:r>
        <w:t xml:space="preserve">«La demanda interna es procíclica y la externa, contracíclica».</w:t>
      </w:r>
    </w:p>
    <w:p>
      <w:pPr>
        <w:numPr>
          <w:ilvl w:val="1"/>
          <w:numId w:val="1212"/>
        </w:numPr>
      </w:pPr>
      <w:r>
        <w:t xml:space="preserve">«La demanda interna es la protagonista absoluta durante toda la serie»; «la demanda externa muestra un comportamiento más errático e imprevisible que la nacional».</w:t>
      </w:r>
    </w:p>
    <w:p>
      <w:pPr>
        <w:numPr>
          <w:ilvl w:val="1"/>
          <w:numId w:val="1212"/>
        </w:numPr>
      </w:pPr>
      <w:r>
        <w:t xml:space="preserve">«Indaguemos en los componentes de la demanda interna (consumo e inversión, públicos y privados)».</w:t>
      </w:r>
    </w:p>
    <w:p>
      <w:pPr>
        <w:keepNext/>
        <w:numPr>
          <w:ilvl w:val="0"/>
          <w:numId w:val="1209"/>
        </w:numPr>
      </w:pPr>
      <w:r>
        <w:rPr>
          <w:i/>
          <w:iCs/>
        </w:rPr>
        <w:t xml:space="preserve">Prudencia</w:t>
      </w:r>
      <w:r>
        <w:t xml:space="preserve">:</w:t>
      </w:r>
    </w:p>
    <w:p>
      <w:pPr>
        <w:numPr>
          <w:ilvl w:val="1"/>
          <w:numId w:val="1213"/>
        </w:numPr>
      </w:pPr>
      <w:r>
        <w:t xml:space="preserve">«Con la información disponible, …»; «esta evolución sería coherente con …, aunque no puede descartarse …»; «a falta de datos sobre …, cabe suponer que …, lo que habría que confirmar».</w:t>
      </w:r>
    </w:p>
    <w:p>
      <w:pPr>
        <w:numPr>
          <w:ilvl w:val="1"/>
          <w:numId w:val="1213"/>
        </w:numPr>
      </w:pPr>
      <w:r>
        <w:t xml:space="preserve">«Aunque los agentes deciden con el tipo real, la fuerte subida del tipo nominal al final de la serie indica un endurecimiento de la política monetaria».</w:t>
      </w:r>
    </w:p>
    <w:p>
      <w:pPr>
        <w:numPr>
          <w:ilvl w:val="0"/>
          <w:numId w:val="1209"/>
        </w:numPr>
      </w:pPr>
      <w:r>
        <w:rPr>
          <w:i/>
          <w:iCs/>
        </w:rPr>
        <w:t xml:space="preserve">Interpretación</w:t>
      </w:r>
      <w:r>
        <w:t xml:space="preserve">: «más que …, lo que llama la atención es …»; «este dato es especialmente relevante porque …».</w:t>
      </w:r>
    </w:p>
    <w:p>
      <w:pPr>
        <w:keepNext/>
        <w:numPr>
          <w:ilvl w:val="0"/>
          <w:numId w:val="1209"/>
        </w:numPr>
      </w:pPr>
      <w:r>
        <w:rPr>
          <w:i/>
          <w:iCs/>
        </w:rPr>
        <w:t xml:space="preserve">Sector exterior</w:t>
      </w:r>
      <w:r>
        <w:t xml:space="preserve">:</w:t>
      </w:r>
    </w:p>
    <w:p>
      <w:pPr>
        <w:numPr>
          <w:ilvl w:val="1"/>
          <w:numId w:val="1214"/>
        </w:numPr>
      </w:pPr>
      <w:r>
        <w:t xml:space="preserve">«Los desequilibrios externos suelen ser síntoma de desequilibrios internos».</w:t>
      </w:r>
    </w:p>
    <w:p>
      <w:pPr>
        <w:numPr>
          <w:ilvl w:val="1"/>
          <w:numId w:val="1214"/>
        </w:numPr>
      </w:pPr>
      <w:r>
        <w:t xml:space="preserve">«El déficit exterior refleja un exceso de inversión sobre el ahorro, cuyo origen parece estar en el sector …».</w:t>
      </w:r>
    </w:p>
    <w:p>
      <w:pPr>
        <w:numPr>
          <w:ilvl w:val="1"/>
          <w:numId w:val="1214"/>
        </w:numPr>
      </w:pPr>
      <w:r>
        <w:t xml:space="preserve">«La mejora de la posición de inversión internacional, pese a la necesidad de financiación, se debería a efectos valoración y al crecimiento del PIB nominal».</w:t>
      </w:r>
    </w:p>
    <w:p>
      <w:pPr>
        <w:keepNext/>
        <w:numPr>
          <w:ilvl w:val="0"/>
          <w:numId w:val="1209"/>
        </w:numPr>
      </w:pPr>
      <w:r>
        <w:rPr>
          <w:i/>
          <w:iCs/>
        </w:rPr>
        <w:t xml:space="preserve">Políticas</w:t>
      </w:r>
      <w:r>
        <w:t xml:space="preserve">:</w:t>
      </w:r>
    </w:p>
    <w:p>
      <w:pPr>
        <w:numPr>
          <w:ilvl w:val="1"/>
          <w:numId w:val="1215"/>
        </w:numPr>
      </w:pPr>
      <w:r>
        <w:t xml:space="preserve">«El tono de la política fiscal, medido por la variación del saldo estructural primario, habría sido expansivo en …».</w:t>
      </w:r>
    </w:p>
    <w:p>
      <w:pPr>
        <w:numPr>
          <w:ilvl w:val="1"/>
          <w:numId w:val="1215"/>
        </w:numPr>
      </w:pPr>
      <w:r>
        <w:t xml:space="preserve">«Aunque el tipo nominal sube, el tipo real sigue siendo negativo: la política monetaria seguiría siendo acomodaticia».</w:t>
      </w:r>
    </w:p>
    <w:p>
      <w:pPr>
        <w:numPr>
          <w:ilvl w:val="0"/>
          <w:numId w:val="1209"/>
        </w:numPr>
      </w:pPr>
      <w:r>
        <w:rPr>
          <w:i/>
          <w:iCs/>
        </w:rPr>
        <w:t xml:space="preserve">Recomendaciones</w:t>
      </w:r>
      <w:r>
        <w:t xml:space="preserve">: «parece necesaria una consolidación fiscal, pero gradual, para no lastrar la recuperación»; «a corto plazo …; a medio y largo plazo …».</w:t>
      </w:r>
    </w:p>
    <w:p>
      <w:pPr>
        <w:numPr>
          <w:ilvl w:val="0"/>
          <w:numId w:val="1209"/>
        </w:numPr>
      </w:pPr>
      <w:r>
        <w:rPr>
          <w:i/>
          <w:iCs/>
        </w:rPr>
        <w:t xml:space="preserve">Cierre</w:t>
      </w:r>
      <w:r>
        <w:t xml:space="preserve">: «en conclusión, la economía afronta … retos; cómo los aborde determinará su crecimiento en los próximos años».</w:t>
      </w:r>
    </w:p>
    <w:bookmarkStart w:id="392" w:name="anexo_parrafos"/>
    <w:p>
      <w:pPr>
        <w:pStyle w:val="Heading3"/>
      </w:pPr>
      <w:r>
        <w:t xml:space="preserve">VI.2.6.</w:t>
      </w:r>
      <w:r>
        <w:t xml:space="preserve"> </w:t>
      </w:r>
      <w:r>
        <w:t xml:space="preserve">Párrafos modelo por bloque</w:t>
      </w:r>
    </w:p>
    <w:p>
      <w:pPr>
        <w:numPr>
          <w:ilvl w:val="0"/>
          <w:numId w:val="1216"/>
        </w:numPr>
      </w:pPr>
      <w:r>
        <w:t xml:space="preserve">Ejemplos de redacción de la guía anterior que completan los de cada capítulo, en el orden de la guía y con años y cifras genéricos (20xx).</w:t>
      </w:r>
    </w:p>
    <w:bookmarkStart w:id="386"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386"/>
    <w:bookmarkStart w:id="387"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387"/>
    <w:bookmarkStart w:id="388"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388"/>
    <w:bookmarkStart w:id="389"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389"/>
    <w:bookmarkStart w:id="390"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217"/>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217"/>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217"/>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390"/>
    <w:bookmarkStart w:id="391"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bookmarkEnd w:id="391"/>
    <w:bookmarkEnd w:id="392"/>
    <w:bookmarkEnd w:id="393"/>
    <w:bookmarkEnd w:id="394"/>
    <w:bookmarkStart w:id="421" w:name="anexo_fmi"/>
    <w:p>
      <w:pPr>
        <w:pStyle w:val="Heading1"/>
      </w:pPr>
      <w:r>
        <w:t xml:space="preserve">C. El FMI, un caso de España y dónde se estudia cada bloque</w:t>
      </w:r>
    </w:p>
    <w:bookmarkStart w:id="397" w:name="anexo_fmi_programacion"/>
    <w:p>
      <w:pPr>
        <w:pStyle w:val="Heading2"/>
      </w:pPr>
      <w:r>
        <w:t xml:space="preserve">C.1. El FMI: programación financiera y programas</w:t>
      </w:r>
    </w:p>
    <w:p>
      <w:pPr>
        <w:numPr>
          <w:ilvl w:val="0"/>
          <w:numId w:val="1218"/>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218"/>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219"/>
        </w:numPr>
      </w:pPr>
      <w:r>
        <w:rPr>
          <w:i/>
          <w:iCs/>
        </w:rPr>
        <w:t xml:space="preserve">fiscales</w:t>
      </w:r>
      <w:r>
        <w:t xml:space="preserve">: la gestión de los recursos del Estado (impuestos y gasto público);</w:t>
      </w:r>
    </w:p>
    <w:p>
      <w:pPr>
        <w:numPr>
          <w:ilvl w:val="1"/>
          <w:numId w:val="1219"/>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219"/>
        </w:numPr>
      </w:pPr>
      <w:r>
        <w:rPr>
          <w:i/>
          <w:iCs/>
        </w:rPr>
        <w:t xml:space="preserve">estructurales</w:t>
      </w:r>
      <w:r>
        <w:t xml:space="preserve">: las regulaciones e instituciones que determinan cómo funciona la economía.</w:t>
      </w:r>
    </w:p>
    <w:p>
      <w:pPr>
        <w:keepNext/>
        <w:numPr>
          <w:ilvl w:val="0"/>
          <w:numId w:val="1218"/>
        </w:numPr>
      </w:pPr>
      <w:r>
        <w:rPr>
          <w:i/>
          <w:iCs/>
        </w:rPr>
        <w:t xml:space="preserve">Los 2 objetivos</w:t>
      </w:r>
      <w:r>
        <w:t xml:space="preserve">:</w:t>
      </w:r>
    </w:p>
    <w:p>
      <w:pPr>
        <w:numPr>
          <w:ilvl w:val="1"/>
          <w:numId w:val="1220"/>
        </w:numPr>
      </w:pPr>
      <w:r>
        <w:rPr>
          <w:i/>
          <w:iCs/>
        </w:rPr>
        <w:t xml:space="preserve">equilibrio interno</w:t>
      </w:r>
      <w:r>
        <w:t xml:space="preserve">: producción en su potencial con una inflación baja y estable;</w:t>
      </w:r>
    </w:p>
    <w:p>
      <w:pPr>
        <w:numPr>
          <w:ilvl w:val="1"/>
          <w:numId w:val="1220"/>
        </w:numPr>
      </w:pPr>
      <w:r>
        <w:rPr>
          <w:i/>
          <w:iCs/>
        </w:rPr>
        <w:t xml:space="preserve">equilibrio externo</w:t>
      </w:r>
      <w:r>
        <w:t xml:space="preserve">: una cuenta corriente que se pueda financiar de forma sostenible, con reservas suficientes.</w:t>
      </w:r>
    </w:p>
    <w:p>
      <w:pPr>
        <w:numPr>
          <w:ilvl w:val="0"/>
          <w:numId w:val="1218"/>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218"/>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225">
        <w:r>
          <w:rPr>
            <w:rStyle w:val="Referenciaatema"/>
          </w:rPr>
          <w:t xml:space="preserve">[ver tema 3.B.22]</w:t>
        </w:r>
      </w:hyperlink>
      <w:r>
        <w:t xml:space="preserve">.</w:t>
      </w:r>
    </w:p>
    <w:bookmarkStart w:id="395" w:name="el_escenario_base_y_la_brecha_de_f_12708"/>
    <w:p>
      <w:pPr>
        <w:pStyle w:val="Heading4"/>
      </w:pPr>
      <w:r>
        <w:t xml:space="preserve">El escenario base y la brecha de financiación</w:t>
      </w:r>
    </w:p>
    <w:p>
      <w:pPr>
        <w:numPr>
          <w:ilvl w:val="0"/>
          <w:numId w:val="1221"/>
        </w:numPr>
      </w:pPr>
      <w:r>
        <w:rPr>
          <w:i/>
          <w:iCs/>
        </w:rPr>
        <w:t xml:space="preserve">La presentación analítica de la balanza de pagos</w:t>
      </w:r>
      <w:r>
        <w:t xml:space="preserve">: el FMI reordena la balanza para separar las transacciones</w:t>
      </w:r>
      <w:r>
        <w:t xml:space="preserve"> </w:t>
      </w:r>
      <w:r>
        <w:rPr>
          <w:i/>
          <w:iCs/>
        </w:rPr>
        <w:t xml:space="preserve">autónomas</w:t>
      </w:r>
      <w:r>
        <w:t xml:space="preserve"> </w:t>
      </w:r>
      <w:r>
        <w:t xml:space="preserve">(las que se hacen por sí mismas: comercio, inversión) de la</w:t>
      </w:r>
      <w:r>
        <w:t xml:space="preserve"> </w:t>
      </w:r>
      <w:r>
        <w:rPr>
          <w:b/>
          <w:bCs/>
        </w:rPr>
        <w:t xml:space="preserve">financiación excepcional</w:t>
      </w:r>
      <w:r>
        <w:t xml:space="preserve"> </w:t>
      </w:r>
      <w:r>
        <w:t xml:space="preserve">(uso de reservas, crédito del FMI, atrasos en los pagos, condonaciones de deuda). Encima de la línea queda el</w:t>
      </w:r>
      <w:r>
        <w:t xml:space="preserve"> </w:t>
      </w:r>
      <w:r>
        <w:rPr>
          <w:b/>
          <w:bCs/>
        </w:rPr>
        <w:t xml:space="preserve">saldo global</w:t>
      </w:r>
      <w:r>
        <w:t xml:space="preserve">, la cuenta corriente y la de capital más las entradas autónomas de capital; debajo, cómo se cubre. La pregunta clave:</w:t>
      </w:r>
      <w:r>
        <w:t xml:space="preserve"> </w:t>
      </w:r>
      <w:r>
        <w:rPr>
          <w:i/>
          <w:iCs/>
        </w:rPr>
        <w:t xml:space="preserve">¿puede el país atender sus pagos exteriores sin financiación excepcional?</w:t>
      </w:r>
      <w:r>
        <w:t xml:space="preserve"> </w:t>
      </w:r>
      <w:r>
        <w:t xml:space="preserve">Si el ajuste lo hacen las reservas o el FMI, hay una vulnerabilidad</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221"/>
        </w:numPr>
      </w:pPr>
      <w:r>
        <w:t xml:space="preserve">El ejercicio de programación empieza con un</w:t>
      </w:r>
      <w:r>
        <w:t xml:space="preserve"> </w:t>
      </w:r>
      <w:r>
        <w:rPr>
          <w:b/>
          <w:bCs/>
        </w:rPr>
        <w:t xml:space="preserve">escenario base a políticas constantes</w:t>
      </w:r>
      <w:r>
        <w:t xml:space="preserve">: qué pasaría si nada cambia. Ese escenario revela los desequilibrios, porque las identidades obligan a que cuadren las 4 cuentas: si la balanza de pagos no cierra con la financiación disponible, aparece una</w:t>
      </w:r>
      <w:r>
        <w:t xml:space="preserve"> </w:t>
      </w:r>
      <w:r>
        <w:rPr>
          <w:b/>
          <w:bCs/>
        </w:rPr>
        <w:t xml:space="preserve">brecha de financiación</w:t>
      </w:r>
      <w:r>
        <w:t xml:space="preserve"> </w:t>
      </w:r>
      <w:r>
        <w:t xml:space="preserve">que tendrá que cubrirse con ajuste, financiación excepcional (uso de reservas, crédito del FMI, atrasos, reestructuración) o, en el peor caso, con una devaluación o un impago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09MBP6">
        <w:r>
          <w:rPr>
            <w:rStyle w:val="Hyperlink"/>
          </w:rPr>
          <w:t xml:space="preserve">2009</w:t>
        </w:r>
      </w:hyperlink>
      <w:r>
        <w:t xml:space="preserve">)</w:t>
      </w:r>
      <w:r>
        <w:t xml:space="preserve">.</w:t>
      </w:r>
    </w:p>
    <w:p>
      <w:pPr>
        <w:numPr>
          <w:ilvl w:val="0"/>
          <w:numId w:val="1221"/>
        </w:numPr>
      </w:pPr>
      <w:r>
        <w:t xml:space="preserve">Después se construye el</w:t>
      </w:r>
      <w:r>
        <w:t xml:space="preserve"> </w:t>
      </w:r>
      <w:r>
        <w:rPr>
          <w:b/>
          <w:bCs/>
        </w:rPr>
        <w:t xml:space="preserve">escenario de políticas</w:t>
      </w:r>
      <w:r>
        <w:t xml:space="preserve">: metas para el crecimiento, la inflación y la balanza de pagos, y las políticas que las hacen coherentes entre sí.</w:t>
      </w:r>
    </w:p>
    <w:p>
      <w:pPr>
        <w:numPr>
          <w:ilvl w:val="0"/>
          <w:numId w:val="1221"/>
        </w:numPr>
      </w:pPr>
      <w:r>
        <w:rPr>
          <w:i/>
          <w:iCs/>
        </w:rPr>
        <w:t xml:space="preserve">La sostenibilidad de la deuda</w:t>
      </w:r>
      <w:r>
        <w:t xml:space="preserve">: el FMI ya no clasifica la deuda en «zonas»; su marco vigente para los países con acceso a los mercados evalúa el</w:t>
      </w:r>
      <w:r>
        <w:t xml:space="preserve"> </w:t>
      </w:r>
      <w:r>
        <w:rPr>
          <w:b/>
          <w:bCs/>
        </w:rPr>
        <w:t xml:space="preserve">riesgo de tensión soberana</w:t>
      </w:r>
      <w:r>
        <w:t xml:space="preserve"> </w:t>
      </w:r>
      <w:r>
        <w:t xml:space="preserve">(bajo, moderado o alto) a corto, medio y largo plazo, con la dinámica de la deuda, las necesidades brutas de financiación y pruebas de tensión, y juzga aparte si la deuda es sostenible</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bookmarkEnd w:id="395"/>
    <w:bookmarkStart w:id="396"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22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(cayó en el examen de 2021 y en el examen de 2022):</w:t>
      </w:r>
    </w:p>
    <w:p>
      <w:pPr>
        <w:pStyle w:val="Cajadeanotaciones"/>
        <w:keepNext/>
        <w:keepLines/>
        <w:numPr>
          <w:ilvl w:val="0"/>
          <w:numId w:val="1222"/>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222"/>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396"/>
    <w:bookmarkEnd w:id="397"/>
    <w:bookmarkStart w:id="398" w:name="anexo_espana"/>
    <w:p>
      <w:pPr>
        <w:pStyle w:val="Heading2"/>
      </w:pPr>
      <w:r>
        <w:t xml:space="preserve">C.2. Un caso: la economía española</w:t>
      </w:r>
    </w:p>
    <w:p>
      <w:pPr>
        <w:numPr>
          <w:ilvl w:val="0"/>
          <w:numId w:val="1223"/>
        </w:numPr>
      </w:pPr>
      <w:r>
        <w:rPr>
          <w:i/>
          <w:iCs/>
        </w:rPr>
        <w:t xml:space="preserve">Para qué</w:t>
      </w:r>
      <w:r>
        <w:t xml:space="preserve">: aplicar el método a un país conocido, con datos recientes, como ejercicio. La situación y las políticas de España se estudian en</w:t>
      </w:r>
      <w:r>
        <w:t xml:space="preserve"> </w:t>
      </w:r>
      <w:hyperlink r:id="rId66">
        <w:r>
          <w:rPr>
            <w:rStyle w:val="Referenciaatema"/>
          </w:rPr>
          <w:t xml:space="preserve">[ver tema 4.A.29]</w:t>
        </w:r>
      </w:hyperlink>
      <w:r>
        <w:t xml:space="preserve">.</w:t>
      </w:r>
    </w:p>
    <w:p>
      <w:pPr>
        <w:numPr>
          <w:ilvl w:val="0"/>
          <w:numId w:val="1223"/>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223"/>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223"/>
        </w:numPr>
      </w:pPr>
      <w:r>
        <w:rPr>
          <w:i/>
          <w:iCs/>
        </w:rPr>
        <w:t xml:space="preserve">Fortalezas</w:t>
      </w:r>
      <w:r>
        <w:t xml:space="preserve">:</w:t>
      </w:r>
    </w:p>
    <w:p>
      <w:pPr>
        <w:numPr>
          <w:ilvl w:val="1"/>
          <w:numId w:val="1224"/>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4"/>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224"/>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224"/>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223"/>
        </w:numPr>
      </w:pPr>
      <w:r>
        <w:rPr>
          <w:i/>
          <w:iCs/>
        </w:rPr>
        <w:t xml:space="preserve">Debilidades</w:t>
      </w:r>
      <w:r>
        <w:t xml:space="preserve">:</w:t>
      </w:r>
    </w:p>
    <w:p>
      <w:pPr>
        <w:numPr>
          <w:ilvl w:val="1"/>
          <w:numId w:val="1225"/>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225"/>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10</w:t>
        </w:r>
      </w:hyperlink>
      <w:r>
        <w:t xml:space="preserve">)</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5"/>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225"/>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223"/>
        </w:numPr>
      </w:pPr>
      <w:r>
        <w:rPr>
          <w:i/>
          <w:iCs/>
        </w:rPr>
        <w:t xml:space="preserve">Recomendaciones</w:t>
      </w:r>
      <w:r>
        <w:t xml:space="preserve"> </w:t>
      </w:r>
      <w:r>
        <w:t xml:space="preserve">(tabla </w:t>
      </w:r>
      <w:hyperlink w:anchor="tab_recomendaciones">
        <w:r>
          <w:rPr>
            <w:rStyle w:val="Hyperlink"/>
          </w:rPr>
          <w:t xml:space="preserve">6</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y de vivienda que mejoren el emparejamiento; y reformas que eleven la productividad (capital humano, tamaño empresarial, inversión en I+D).</w:t>
      </w:r>
    </w:p>
    <w:bookmarkEnd w:id="398"/>
    <w:bookmarkStart w:id="420" w:name="anexo_temas"/>
    <w:p>
      <w:pPr>
        <w:pStyle w:val="Heading2"/>
      </w:pPr>
      <w:r>
        <w:t xml:space="preserve">C.3. Dónde se estudia cada bloque</w:t>
      </w:r>
    </w:p>
    <w:p>
      <w:pPr>
        <w:numPr>
          <w:ilvl w:val="0"/>
          <w:numId w:val="1226"/>
        </w:numPr>
      </w:pPr>
      <w:r>
        <w:t xml:space="preserve">La guía remite en cada indicador al tema donde se estudia a fondo: primero el del tercer ejercicio (la teoría) y después el del cuarto (la aplicación a España o al sector público).</w:t>
      </w:r>
    </w:p>
    <w:p>
      <w:pPr>
        <w:numPr>
          <w:ilvl w:val="0"/>
          <w:numId w:val="1226"/>
        </w:numPr>
      </w:pPr>
      <w:r>
        <w:t xml:space="preserve">Son relevantes todos los temas de macroeconomía y, para entenderla bien, los de su microfundamentación.</w:t>
      </w:r>
    </w:p>
    <w:bookmarkStart w:id="419" w:name="tab_donde_se_estudia"/>
    <w:p>
      <w:pPr>
        <w:pStyle w:val="TableCaption"/>
      </w:pPr>
      <w:r>
        <w:t xml:space="preserve">Tabla 15.–</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15.–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399">
              <w:r>
                <w:rPr>
                  <w:rStyle w:val="Referenciaatema"/>
                </w:rPr>
                <w:t xml:space="preserve">3.A.31</w:t>
              </w:r>
            </w:hyperlink>
            <w:r>
              <w:t xml:space="preserve">,</w:t>
            </w:r>
            <w:r>
              <w:t xml:space="preserve"> </w:t>
            </w:r>
            <w:hyperlink r:id="rId72">
              <w:r>
                <w:rPr>
                  <w:rStyle w:val="Referenciaatema"/>
                </w:rPr>
                <w:t xml:space="preserve">3.A.33</w:t>
              </w:r>
            </w:hyperlink>
            <w:r>
              <w:t xml:space="preserve">,</w:t>
            </w:r>
            <w:r>
              <w:t xml:space="preserve"> </w:t>
            </w:r>
            <w:hyperlink r:id="rId89">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99">
              <w:r>
                <w:rPr>
                  <w:rStyle w:val="Referenciaatema"/>
                </w:rPr>
                <w:t xml:space="preserve">3.A.43</w:t>
              </w:r>
            </w:hyperlink>
            <w:r>
              <w:t xml:space="preserve">,</w:t>
            </w:r>
            <w:r>
              <w:t xml:space="preserve"> </w:t>
            </w:r>
            <w:hyperlink r:id="rId318">
              <w:r>
                <w:rPr>
                  <w:rStyle w:val="Referenciaatema"/>
                </w:rPr>
                <w:t xml:space="preserve">3.A.44</w:t>
              </w:r>
            </w:hyperlink>
            <w:r>
              <w:t xml:space="preserve">,</w:t>
            </w:r>
            <w:r>
              <w:t xml:space="preserve"> </w:t>
            </w:r>
            <w:hyperlink r:id="rId56">
              <w:r>
                <w:rPr>
                  <w:rStyle w:val="Referenciaatema"/>
                </w:rPr>
                <w:t xml:space="preserve">3.A.45</w:t>
              </w:r>
            </w:hyperlink>
            <w:r>
              <w:t xml:space="preserve">,</w:t>
            </w:r>
            <w:r>
              <w:t xml:space="preserve"> </w:t>
            </w:r>
            <w:hyperlink r:id="rId106">
              <w:r>
                <w:rPr>
                  <w:rStyle w:val="Referenciaatema"/>
                </w:rPr>
                <w:t xml:space="preserve">3.B.28</w:t>
              </w:r>
            </w:hyperlink>
            <w:r>
              <w:t xml:space="preserve">,</w:t>
            </w:r>
            <w:r>
              <w:t xml:space="preserve"> </w:t>
            </w:r>
            <w:hyperlink r:id="rId107">
              <w:r>
                <w:rPr>
                  <w:rStyle w:val="Referenciaatema"/>
                </w:rPr>
                <w:t xml:space="preserve">3.B.32</w:t>
              </w:r>
            </w:hyperlink>
          </w:p>
        </w:tc>
        <w:tc>
          <w:tcPr/>
          <w:p>
            <w:pPr>
              <w:pStyle w:val="Compact"/>
              <w:jc w:val="left"/>
            </w:pPr>
            <w:hyperlink r:id="rId50">
              <w:r>
                <w:rPr>
                  <w:rStyle w:val="Referenciaatema"/>
                </w:rPr>
                <w:t xml:space="preserve">4.A.1</w:t>
              </w:r>
            </w:hyperlink>
            <w:r>
              <w:t xml:space="preserve">,</w:t>
            </w:r>
            <w:r>
              <w:t xml:space="preserve"> </w:t>
            </w:r>
            <w:hyperlink r:id="rId101">
              <w:r>
                <w:rPr>
                  <w:rStyle w:val="Referenciaatema"/>
                </w:rPr>
                <w:t xml:space="preserve">4.A.4</w:t>
              </w:r>
            </w:hyperlink>
            <w:r>
              <w:t xml:space="preserve">,</w:t>
            </w:r>
            <w:r>
              <w:t xml:space="preserve"> </w:t>
            </w:r>
            <w:hyperlink r:id="rId102">
              <w:r>
                <w:rPr>
                  <w:rStyle w:val="Referenciaatema"/>
                </w:rPr>
                <w:t xml:space="preserve">4.A.5</w:t>
              </w:r>
            </w:hyperlink>
            <w:r>
              <w:t xml:space="preserve">,</w:t>
            </w:r>
            <w:r>
              <w:t xml:space="preserve"> </w:t>
            </w:r>
            <w:hyperlink r:id="rId103">
              <w:r>
                <w:rPr>
                  <w:rStyle w:val="Referenciaatema"/>
                </w:rPr>
                <w:t xml:space="preserve">4.A.9</w:t>
              </w:r>
            </w:hyperlink>
            <w:r>
              <w:t xml:space="preserve">,</w:t>
            </w:r>
            <w:r>
              <w:t xml:space="preserve"> </w:t>
            </w:r>
            <w:hyperlink r:id="rId85">
              <w:r>
                <w:rPr>
                  <w:rStyle w:val="Referenciaatema"/>
                </w:rPr>
                <w:t xml:space="preserve">4.A.11</w:t>
              </w:r>
            </w:hyperlink>
            <w:r>
              <w:t xml:space="preserve">,</w:t>
            </w:r>
            <w:r>
              <w:t xml:space="preserve"> </w:t>
            </w:r>
            <w:hyperlink r:id="rId104">
              <w:r>
                <w:rPr>
                  <w:rStyle w:val="Referenciaatema"/>
                </w:rPr>
                <w:t xml:space="preserve">4.A.13</w:t>
              </w:r>
            </w:hyperlink>
            <w:r>
              <w:t xml:space="preserve">,</w:t>
            </w:r>
            <w:r>
              <w:t xml:space="preserve"> </w:t>
            </w:r>
            <w:hyperlink r:id="rId66">
              <w:r>
                <w:rPr>
                  <w:rStyle w:val="Referenciaatema"/>
                </w:rPr>
                <w:t xml:space="preserve">4.A.29</w:t>
              </w:r>
            </w:hyperlink>
            <w:r>
              <w:t xml:space="preserve">,</w:t>
            </w:r>
            <w:r>
              <w:t xml:space="preserve"> </w:t>
            </w:r>
            <w:hyperlink r:id="rId54">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400">
              <w:r>
                <w:rPr>
                  <w:rStyle w:val="Referenciaatema"/>
                </w:rPr>
                <w:t xml:space="preserve">3.A.13</w:t>
              </w:r>
            </w:hyperlink>
            <w:r>
              <w:t xml:space="preserve">,</w:t>
            </w:r>
            <w:r>
              <w:t xml:space="preserve"> </w:t>
            </w:r>
            <w:hyperlink r:id="rId370">
              <w:r>
                <w:rPr>
                  <w:rStyle w:val="Referenciaatema"/>
                </w:rPr>
                <w:t xml:space="preserve">3.A.17</w:t>
              </w:r>
            </w:hyperlink>
            <w:r>
              <w:t xml:space="preserve">,</w:t>
            </w:r>
            <w:r>
              <w:t xml:space="preserve"> </w:t>
            </w:r>
            <w:hyperlink r:id="rId121">
              <w:r>
                <w:rPr>
                  <w:rStyle w:val="Referenciaatema"/>
                </w:rPr>
                <w:t xml:space="preserve">3.A.25</w:t>
              </w:r>
            </w:hyperlink>
            <w:r>
              <w:t xml:space="preserve">,</w:t>
            </w:r>
            <w:r>
              <w:t xml:space="preserve"> </w:t>
            </w:r>
            <w:hyperlink r:id="rId152">
              <w:r>
                <w:rPr>
                  <w:rStyle w:val="Referenciaatema"/>
                </w:rPr>
                <w:t xml:space="preserve">3.A.26</w:t>
              </w:r>
            </w:hyperlink>
            <w:r>
              <w:t xml:space="preserve">,</w:t>
            </w:r>
            <w:r>
              <w:t xml:space="preserve"> </w:t>
            </w:r>
            <w:hyperlink r:id="rId139">
              <w:r>
                <w:rPr>
                  <w:rStyle w:val="Referenciaatema"/>
                </w:rPr>
                <w:t xml:space="preserve">3.A.27</w:t>
              </w:r>
            </w:hyperlink>
            <w:r>
              <w:t xml:space="preserve">,</w:t>
            </w:r>
            <w:r>
              <w:t xml:space="preserve"> </w:t>
            </w:r>
            <w:hyperlink r:id="rId53">
              <w:r>
                <w:rPr>
                  <w:rStyle w:val="Referenciaatema"/>
                </w:rPr>
                <w:t xml:space="preserve">3.A.28</w:t>
              </w:r>
            </w:hyperlink>
            <w:r>
              <w:t xml:space="preserve">,</w:t>
            </w:r>
            <w:r>
              <w:t xml:space="preserve"> </w:t>
            </w:r>
            <w:hyperlink r:id="rId401">
              <w:r>
                <w:rPr>
                  <w:rStyle w:val="Referenciaatema"/>
                </w:rPr>
                <w:t xml:space="preserve">3.B.18</w:t>
              </w:r>
            </w:hyperlink>
            <w:r>
              <w:t xml:space="preserve">,</w:t>
            </w:r>
            <w:r>
              <w:t xml:space="preserve"> </w:t>
            </w:r>
            <w:hyperlink r:id="rId402">
              <w:r>
                <w:rPr>
                  <w:rStyle w:val="Referenciaatema"/>
                </w:rPr>
                <w:t xml:space="preserve">3.B.23</w:t>
              </w:r>
            </w:hyperlink>
            <w:r>
              <w:t xml:space="preserve">,</w:t>
            </w:r>
            <w:r>
              <w:t xml:space="preserve"> </w:t>
            </w:r>
            <w:hyperlink r:id="rId62">
              <w:r>
                <w:rPr>
                  <w:rStyle w:val="Referenciaatema"/>
                </w:rPr>
                <w:t xml:space="preserve">3.B.24</w:t>
              </w:r>
            </w:hyperlink>
            <w:r>
              <w:t xml:space="preserve">,</w:t>
            </w:r>
            <w:r>
              <w:t xml:space="preserve"> </w:t>
            </w:r>
            <w:hyperlink r:id="rId403">
              <w:r>
                <w:rPr>
                  <w:rStyle w:val="Referenciaatema"/>
                </w:rPr>
                <w:t xml:space="preserve">3.B.26</w:t>
              </w:r>
            </w:hyperlink>
            <w:r>
              <w:t xml:space="preserve">,</w:t>
            </w:r>
            <w:r>
              <w:t xml:space="preserve"> </w:t>
            </w:r>
            <w:hyperlink r:id="rId161">
              <w:r>
                <w:rPr>
                  <w:rStyle w:val="Referenciaatema"/>
                </w:rPr>
                <w:t xml:space="preserve">3.B.27</w:t>
              </w:r>
            </w:hyperlink>
            <w:r>
              <w:t xml:space="preserve">,</w:t>
            </w:r>
            <w:r>
              <w:t xml:space="preserve"> </w:t>
            </w:r>
            <w:hyperlink r:id="rId259">
              <w:r>
                <w:rPr>
                  <w:rStyle w:val="Referenciaatema"/>
                </w:rPr>
                <w:t xml:space="preserve">3.B.44</w:t>
              </w:r>
            </w:hyperlink>
          </w:p>
        </w:tc>
        <w:tc>
          <w:tcPr/>
          <w:p>
            <w:pPr>
              <w:pStyle w:val="Compact"/>
              <w:jc w:val="left"/>
            </w:pPr>
            <w:hyperlink r:id="rId369">
              <w:r>
                <w:rPr>
                  <w:rStyle w:val="Referenciaatema"/>
                </w:rPr>
                <w:t xml:space="preserve">4.A.2</w:t>
              </w:r>
            </w:hyperlink>
            <w:r>
              <w:t xml:space="preserve">,</w:t>
            </w:r>
            <w:r>
              <w:t xml:space="preserve"> </w:t>
            </w:r>
            <w:hyperlink r:id="rId85">
              <w:r>
                <w:rPr>
                  <w:rStyle w:val="Referenciaatema"/>
                </w:rPr>
                <w:t xml:space="preserve">4.A.11</w:t>
              </w:r>
            </w:hyperlink>
            <w:r>
              <w:t xml:space="preserve">,</w:t>
            </w:r>
            <w:r>
              <w:t xml:space="preserve"> </w:t>
            </w:r>
            <w:hyperlink r:id="rId122">
              <w:r>
                <w:rPr>
                  <w:rStyle w:val="Referenciaatema"/>
                </w:rPr>
                <w:t xml:space="preserve">4.A.16</w:t>
              </w:r>
            </w:hyperlink>
            <w:r>
              <w:t xml:space="preserve">,</w:t>
            </w:r>
            <w:r>
              <w:t xml:space="preserve"> </w:t>
            </w:r>
            <w:hyperlink r:id="rId338">
              <w:r>
                <w:rPr>
                  <w:rStyle w:val="Referenciaatema"/>
                </w:rPr>
                <w:t xml:space="preserve">4.A.18</w:t>
              </w:r>
            </w:hyperlink>
            <w:r>
              <w:t xml:space="preserve">,</w:t>
            </w:r>
            <w:r>
              <w:t xml:space="preserve"> </w:t>
            </w:r>
            <w:hyperlink r:id="rId162">
              <w:r>
                <w:rPr>
                  <w:rStyle w:val="Referenciaatema"/>
                </w:rPr>
                <w:t xml:space="preserve">4.A.19</w:t>
              </w:r>
            </w:hyperlink>
            <w:r>
              <w:t xml:space="preserve">,</w:t>
            </w:r>
            <w:r>
              <w:t xml:space="preserve"> </w:t>
            </w:r>
            <w:hyperlink r:id="rId404">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67">
              <w:r>
                <w:rPr>
                  <w:rStyle w:val="Referenciaatema"/>
                </w:rPr>
                <w:t xml:space="preserve">3.A.9</w:t>
              </w:r>
            </w:hyperlink>
            <w:r>
              <w:t xml:space="preserve">,</w:t>
            </w:r>
            <w:r>
              <w:t xml:space="preserve"> </w:t>
            </w:r>
            <w:hyperlink r:id="rId182">
              <w:r>
                <w:rPr>
                  <w:rStyle w:val="Referenciaatema"/>
                </w:rPr>
                <w:t xml:space="preserve">3.A.41</w:t>
              </w:r>
            </w:hyperlink>
            <w:r>
              <w:t xml:space="preserve">,</w:t>
            </w:r>
            <w:r>
              <w:t xml:space="preserve"> </w:t>
            </w:r>
            <w:hyperlink r:id="rId213">
              <w:r>
                <w:rPr>
                  <w:rStyle w:val="Referenciaatema"/>
                </w:rPr>
                <w:t xml:space="preserve">3.B.5</w:t>
              </w:r>
            </w:hyperlink>
            <w:r>
              <w:t xml:space="preserve">,</w:t>
            </w:r>
            <w:r>
              <w:t xml:space="preserve"> </w:t>
            </w:r>
            <w:hyperlink r:id="rId205">
              <w:r>
                <w:rPr>
                  <w:rStyle w:val="Referenciaatema"/>
                </w:rPr>
                <w:t xml:space="preserve">3.B.6</w:t>
              </w:r>
            </w:hyperlink>
            <w:r>
              <w:t xml:space="preserve">,</w:t>
            </w:r>
            <w:r>
              <w:t xml:space="preserve"> </w:t>
            </w:r>
            <w:hyperlink r:id="rId372">
              <w:r>
                <w:rPr>
                  <w:rStyle w:val="Referenciaatema"/>
                </w:rPr>
                <w:t xml:space="preserve">3.B.7</w:t>
              </w:r>
            </w:hyperlink>
            <w:r>
              <w:t xml:space="preserve">,</w:t>
            </w:r>
            <w:r>
              <w:t xml:space="preserve"> </w:t>
            </w:r>
            <w:hyperlink r:id="rId195">
              <w:r>
                <w:rPr>
                  <w:rStyle w:val="Referenciaatema"/>
                </w:rPr>
                <w:t xml:space="preserve">3.B.12</w:t>
              </w:r>
            </w:hyperlink>
            <w:r>
              <w:t xml:space="preserve">,</w:t>
            </w:r>
            <w:r>
              <w:t xml:space="preserve"> </w:t>
            </w:r>
            <w:hyperlink r:id="rId192">
              <w:r>
                <w:rPr>
                  <w:rStyle w:val="Referenciaatema"/>
                </w:rPr>
                <w:t xml:space="preserve">3.B.13</w:t>
              </w:r>
            </w:hyperlink>
            <w:r>
              <w:t xml:space="preserve">,</w:t>
            </w:r>
            <w:r>
              <w:t xml:space="preserve"> </w:t>
            </w:r>
            <w:hyperlink r:id="rId405">
              <w:r>
                <w:rPr>
                  <w:rStyle w:val="Referenciaatema"/>
                </w:rPr>
                <w:t xml:space="preserve">3.B.14</w:t>
              </w:r>
            </w:hyperlink>
            <w:r>
              <w:t xml:space="preserve">,</w:t>
            </w:r>
            <w:r>
              <w:t xml:space="preserve"> </w:t>
            </w:r>
            <w:hyperlink r:id="rId202">
              <w:r>
                <w:rPr>
                  <w:rStyle w:val="Referenciaatema"/>
                </w:rPr>
                <w:t xml:space="preserve">3.B.15</w:t>
              </w:r>
            </w:hyperlink>
            <w:r>
              <w:t xml:space="preserve">,</w:t>
            </w:r>
            <w:r>
              <w:t xml:space="preserve"> </w:t>
            </w:r>
            <w:hyperlink r:id="rId373">
              <w:r>
                <w:rPr>
                  <w:rStyle w:val="Referenciaatema"/>
                </w:rPr>
                <w:t xml:space="preserve">3.B.33</w:t>
              </w:r>
            </w:hyperlink>
            <w:r>
              <w:t xml:space="preserve">,</w:t>
            </w:r>
            <w:r>
              <w:t xml:space="preserve"> </w:t>
            </w:r>
            <w:hyperlink r:id="rId374">
              <w:r>
                <w:rPr>
                  <w:rStyle w:val="Referenciaatema"/>
                </w:rPr>
                <w:t xml:space="preserve">3.B.41</w:t>
              </w:r>
            </w:hyperlink>
          </w:p>
        </w:tc>
        <w:tc>
          <w:tcPr/>
          <w:p>
            <w:pPr>
              <w:pStyle w:val="Compact"/>
              <w:jc w:val="left"/>
            </w:pPr>
            <w:hyperlink r:id="rId50">
              <w:r>
                <w:rPr>
                  <w:rStyle w:val="Referenciaatema"/>
                </w:rPr>
                <w:t xml:space="preserve">4.A.1</w:t>
              </w:r>
            </w:hyperlink>
            <w:r>
              <w:t xml:space="preserve">,</w:t>
            </w:r>
            <w:r>
              <w:t xml:space="preserve"> </w:t>
            </w:r>
            <w:hyperlink r:id="rId140">
              <w:r>
                <w:rPr>
                  <w:rStyle w:val="Referenciaatema"/>
                </w:rPr>
                <w:t xml:space="preserve">4.A.22</w:t>
              </w:r>
            </w:hyperlink>
            <w:r>
              <w:t xml:space="preserve">,</w:t>
            </w:r>
            <w:r>
              <w:t xml:space="preserve"> </w:t>
            </w:r>
            <w:hyperlink r:id="rId406">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58">
              <w:r>
                <w:rPr>
                  <w:rStyle w:val="Referenciaatema"/>
                </w:rPr>
                <w:t xml:space="preserve">3.B.11</w:t>
              </w:r>
            </w:hyperlink>
            <w:r>
              <w:t xml:space="preserve">,</w:t>
            </w:r>
            <w:r>
              <w:t xml:space="preserve"> </w:t>
            </w:r>
            <w:hyperlink r:id="rId195">
              <w:r>
                <w:rPr>
                  <w:rStyle w:val="Referenciaatema"/>
                </w:rPr>
                <w:t xml:space="preserve">3.B.12</w:t>
              </w:r>
            </w:hyperlink>
            <w:r>
              <w:t xml:space="preserve">,</w:t>
            </w:r>
            <w:r>
              <w:t xml:space="preserve"> </w:t>
            </w:r>
            <w:hyperlink r:id="rId202">
              <w:r>
                <w:rPr>
                  <w:rStyle w:val="Referenciaatema"/>
                </w:rPr>
                <w:t xml:space="preserve">3.B.15</w:t>
              </w:r>
            </w:hyperlink>
            <w:r>
              <w:t xml:space="preserve">,</w:t>
            </w:r>
            <w:r>
              <w:t xml:space="preserve"> </w:t>
            </w:r>
            <w:hyperlink r:id="rId407">
              <w:r>
                <w:rPr>
                  <w:rStyle w:val="Referenciaatema"/>
                </w:rPr>
                <w:t xml:space="preserve">3.B.17</w:t>
              </w:r>
            </w:hyperlink>
            <w:r>
              <w:t xml:space="preserve">,</w:t>
            </w:r>
            <w:r>
              <w:t xml:space="preserve"> </w:t>
            </w:r>
            <w:hyperlink r:id="rId401">
              <w:r>
                <w:rPr>
                  <w:rStyle w:val="Referenciaatema"/>
                </w:rPr>
                <w:t xml:space="preserve">3.B.18</w:t>
              </w:r>
            </w:hyperlink>
            <w:r>
              <w:t xml:space="preserve">,</w:t>
            </w:r>
            <w:r>
              <w:t xml:space="preserve"> </w:t>
            </w:r>
            <w:hyperlink r:id="rId225">
              <w:r>
                <w:rPr>
                  <w:rStyle w:val="Referenciaatema"/>
                </w:rPr>
                <w:t xml:space="preserve">3.B.22</w:t>
              </w:r>
            </w:hyperlink>
            <w:r>
              <w:t xml:space="preserve">,</w:t>
            </w:r>
            <w:r>
              <w:t xml:space="preserve"> </w:t>
            </w:r>
            <w:hyperlink r:id="rId335">
              <w:r>
                <w:rPr>
                  <w:rStyle w:val="Referenciaatema"/>
                </w:rPr>
                <w:t xml:space="preserve">3.B.29</w:t>
              </w:r>
            </w:hyperlink>
            <w:r>
              <w:t xml:space="preserve">,</w:t>
            </w:r>
            <w:r>
              <w:t xml:space="preserve"> </w:t>
            </w:r>
            <w:hyperlink r:id="rId291">
              <w:r>
                <w:rPr>
                  <w:rStyle w:val="Referenciaatema"/>
                </w:rPr>
                <w:t xml:space="preserve">3.B.45</w:t>
              </w:r>
            </w:hyperlink>
          </w:p>
        </w:tc>
        <w:tc>
          <w:tcPr/>
          <w:p>
            <w:pPr>
              <w:pStyle w:val="Compact"/>
              <w:jc w:val="left"/>
            </w:pPr>
            <w:hyperlink r:id="rId59">
              <w:r>
                <w:rPr>
                  <w:rStyle w:val="Referenciaatema"/>
                </w:rPr>
                <w:t xml:space="preserve">4.A.21</w:t>
              </w:r>
            </w:hyperlink>
            <w:r>
              <w:t xml:space="preserve">,</w:t>
            </w:r>
            <w:r>
              <w:t xml:space="preserve"> </w:t>
            </w:r>
            <w:hyperlink r:id="rId140">
              <w:r>
                <w:rPr>
                  <w:rStyle w:val="Referenciaatema"/>
                </w:rPr>
                <w:t xml:space="preserve">4.A.22</w:t>
              </w:r>
            </w:hyperlink>
            <w:r>
              <w:t xml:space="preserve">,</w:t>
            </w:r>
            <w:r>
              <w:t xml:space="preserve"> </w:t>
            </w:r>
            <w:hyperlink r:id="rId408">
              <w:r>
                <w:rPr>
                  <w:rStyle w:val="Referenciaatema"/>
                </w:rPr>
                <w:t xml:space="preserve">4.A.23</w:t>
              </w:r>
            </w:hyperlink>
            <w:r>
              <w:t xml:space="preserve">,</w:t>
            </w:r>
            <w:r>
              <w:t xml:space="preserve"> </w:t>
            </w:r>
            <w:hyperlink r:id="rId66">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217">
              <w:r>
                <w:rPr>
                  <w:rStyle w:val="Referenciaatema"/>
                </w:rPr>
                <w:t xml:space="preserve">3.A.32</w:t>
              </w:r>
            </w:hyperlink>
            <w:r>
              <w:t xml:space="preserve">,</w:t>
            </w:r>
            <w:r>
              <w:t xml:space="preserve"> </w:t>
            </w:r>
            <w:hyperlink r:id="rId409">
              <w:r>
                <w:rPr>
                  <w:rStyle w:val="Referenciaatema"/>
                </w:rPr>
                <w:t xml:space="preserve">3.A.35</w:t>
              </w:r>
            </w:hyperlink>
            <w:r>
              <w:t xml:space="preserve">,</w:t>
            </w:r>
            <w:r>
              <w:t xml:space="preserve"> </w:t>
            </w:r>
            <w:hyperlink r:id="rId189">
              <w:r>
                <w:rPr>
                  <w:rStyle w:val="Referenciaatema"/>
                </w:rPr>
                <w:t xml:space="preserve">3.A.36</w:t>
              </w:r>
            </w:hyperlink>
            <w:r>
              <w:t xml:space="preserve">,</w:t>
            </w:r>
            <w:r>
              <w:t xml:space="preserve"> </w:t>
            </w:r>
            <w:hyperlink r:id="rId247">
              <w:r>
                <w:rPr>
                  <w:rStyle w:val="Referenciaatema"/>
                </w:rPr>
                <w:t xml:space="preserve">3.A.37</w:t>
              </w:r>
            </w:hyperlink>
            <w:r>
              <w:t xml:space="preserve">,</w:t>
            </w:r>
            <w:r>
              <w:t xml:space="preserve"> </w:t>
            </w:r>
            <w:hyperlink r:id="rId282">
              <w:r>
                <w:rPr>
                  <w:rStyle w:val="Referenciaatema"/>
                </w:rPr>
                <w:t xml:space="preserve">3.A.38</w:t>
              </w:r>
            </w:hyperlink>
            <w:r>
              <w:t xml:space="preserve">,</w:t>
            </w:r>
            <w:r>
              <w:t xml:space="preserve"> </w:t>
            </w:r>
            <w:hyperlink r:id="rId77">
              <w:r>
                <w:rPr>
                  <w:rStyle w:val="Referenciaatema"/>
                </w:rPr>
                <w:t xml:space="preserve">3.A.39</w:t>
              </w:r>
            </w:hyperlink>
            <w:r>
              <w:t xml:space="preserve">,</w:t>
            </w:r>
            <w:r>
              <w:t xml:space="preserve"> </w:t>
            </w:r>
            <w:hyperlink r:id="rId312">
              <w:r>
                <w:rPr>
                  <w:rStyle w:val="Referenciaatema"/>
                </w:rPr>
                <w:t xml:space="preserve">3.A.40</w:t>
              </w:r>
            </w:hyperlink>
            <w:r>
              <w:t xml:space="preserve">,</w:t>
            </w:r>
            <w:r>
              <w:t xml:space="preserve"> </w:t>
            </w:r>
            <w:hyperlink r:id="rId182">
              <w:r>
                <w:rPr>
                  <w:rStyle w:val="Referenciaatema"/>
                </w:rPr>
                <w:t xml:space="preserve">3.A.41</w:t>
              </w:r>
            </w:hyperlink>
            <w:r>
              <w:t xml:space="preserve">,</w:t>
            </w:r>
            <w:r>
              <w:t xml:space="preserve"> </w:t>
            </w:r>
            <w:hyperlink r:id="rId410">
              <w:r>
                <w:rPr>
                  <w:rStyle w:val="Referenciaatema"/>
                </w:rPr>
                <w:t xml:space="preserve">3.B.19</w:t>
              </w:r>
            </w:hyperlink>
            <w:r>
              <w:t xml:space="preserve">,</w:t>
            </w:r>
            <w:r>
              <w:t xml:space="preserve"> </w:t>
            </w:r>
            <w:hyperlink r:id="rId411">
              <w:r>
                <w:rPr>
                  <w:rStyle w:val="Referenciaatema"/>
                </w:rPr>
                <w:t xml:space="preserve">3.B.43</w:t>
              </w:r>
            </w:hyperlink>
            <w:r>
              <w:t xml:space="preserve">,</w:t>
            </w:r>
            <w:r>
              <w:t xml:space="preserve"> </w:t>
            </w:r>
            <w:hyperlink r:id="rId291">
              <w:r>
                <w:rPr>
                  <w:rStyle w:val="Referenciaatema"/>
                </w:rPr>
                <w:t xml:space="preserve">3.B.45</w:t>
              </w:r>
            </w:hyperlink>
          </w:p>
        </w:tc>
        <w:tc>
          <w:tcPr/>
          <w:p>
            <w:pPr>
              <w:pStyle w:val="Compact"/>
              <w:jc w:val="left"/>
            </w:pPr>
            <w:hyperlink r:id="rId412">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336">
              <w:r>
                <w:rPr>
                  <w:rStyle w:val="Referenciaatema"/>
                </w:rPr>
                <w:t xml:space="preserve">4.B.1</w:t>
              </w:r>
            </w:hyperlink>
            <w:r>
              <w:t xml:space="preserve">,</w:t>
            </w:r>
            <w:r>
              <w:t xml:space="preserve"> </w:t>
            </w:r>
            <w:hyperlink r:id="rId54">
              <w:r>
                <w:rPr>
                  <w:rStyle w:val="Referenciaatema"/>
                </w:rPr>
                <w:t xml:space="preserve">4.B.4</w:t>
              </w:r>
            </w:hyperlink>
            <w:r>
              <w:t xml:space="preserve">,</w:t>
            </w:r>
            <w:r>
              <w:t xml:space="preserve"> </w:t>
            </w:r>
            <w:hyperlink r:id="rId307">
              <w:r>
                <w:rPr>
                  <w:rStyle w:val="Referenciaatema"/>
                </w:rPr>
                <w:t xml:space="preserve">4.B.5</w:t>
              </w:r>
            </w:hyperlink>
            <w:r>
              <w:t xml:space="preserve">,</w:t>
            </w:r>
            <w:r>
              <w:t xml:space="preserve"> </w:t>
            </w:r>
            <w:hyperlink r:id="rId308">
              <w:r>
                <w:rPr>
                  <w:rStyle w:val="Referenciaatema"/>
                </w:rPr>
                <w:t xml:space="preserve">4.B.7</w:t>
              </w:r>
            </w:hyperlink>
            <w:r>
              <w:t xml:space="preserve">,</w:t>
            </w:r>
            <w:r>
              <w:t xml:space="preserve"> </w:t>
            </w:r>
            <w:hyperlink r:id="rId292">
              <w:r>
                <w:rPr>
                  <w:rStyle w:val="Referenciaatema"/>
                </w:rPr>
                <w:t xml:space="preserve">4.B.21</w:t>
              </w:r>
            </w:hyperlink>
            <w:r>
              <w:t xml:space="preserve">,</w:t>
            </w:r>
            <w:r>
              <w:t xml:space="preserve"> </w:t>
            </w:r>
            <w:hyperlink r:id="rId413">
              <w:r>
                <w:rPr>
                  <w:rStyle w:val="Referenciaatema"/>
                </w:rPr>
                <w:t xml:space="preserve">4.B.23</w:t>
              </w:r>
            </w:hyperlink>
            <w:r>
              <w:t xml:space="preserve">,</w:t>
            </w:r>
            <w:r>
              <w:t xml:space="preserve"> </w:t>
            </w:r>
            <w:hyperlink r:id="rId299">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414">
              <w:r>
                <w:rPr>
                  <w:rStyle w:val="Referenciaatema"/>
                </w:rPr>
                <w:t xml:space="preserve">3.A.15</w:t>
              </w:r>
            </w:hyperlink>
            <w:r>
              <w:t xml:space="preserve">,</w:t>
            </w:r>
            <w:r>
              <w:t xml:space="preserve"> </w:t>
            </w:r>
            <w:hyperlink r:id="rId415">
              <w:r>
                <w:rPr>
                  <w:rStyle w:val="Referenciaatema"/>
                </w:rPr>
                <w:t xml:space="preserve">3.A.20</w:t>
              </w:r>
            </w:hyperlink>
            <w:r>
              <w:t xml:space="preserve">,</w:t>
            </w:r>
            <w:r>
              <w:t xml:space="preserve"> </w:t>
            </w:r>
            <w:hyperlink r:id="rId416">
              <w:r>
                <w:rPr>
                  <w:rStyle w:val="Referenciaatema"/>
                </w:rPr>
                <w:t xml:space="preserve">3.A.23</w:t>
              </w:r>
            </w:hyperlink>
            <w:r>
              <w:t xml:space="preserve">,</w:t>
            </w:r>
            <w:r>
              <w:t xml:space="preserve"> </w:t>
            </w:r>
            <w:hyperlink r:id="rId225">
              <w:r>
                <w:rPr>
                  <w:rStyle w:val="Referenciaatema"/>
                </w:rPr>
                <w:t xml:space="preserve">3.B.22</w:t>
              </w:r>
            </w:hyperlink>
          </w:p>
        </w:tc>
        <w:tc>
          <w:tcPr/>
          <w:p>
            <w:pPr>
              <w:pStyle w:val="Compact"/>
              <w:jc w:val="left"/>
            </w:pPr>
            <w:hyperlink r:id="rId417">
              <w:r>
                <w:rPr>
                  <w:rStyle w:val="Referenciaatema"/>
                </w:rPr>
                <w:t xml:space="preserve">4.A.7</w:t>
              </w:r>
            </w:hyperlink>
            <w:r>
              <w:t xml:space="preserve">,</w:t>
            </w:r>
            <w:r>
              <w:t xml:space="preserve"> </w:t>
            </w:r>
            <w:hyperlink r:id="rId412">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418">
              <w:r>
                <w:rPr>
                  <w:rStyle w:val="Referenciaatema"/>
                </w:rPr>
                <w:t xml:space="preserve">4.A.24</w:t>
              </w:r>
            </w:hyperlink>
            <w:r>
              <w:t xml:space="preserve">,</w:t>
            </w:r>
            <w:r>
              <w:t xml:space="preserve"> </w:t>
            </w:r>
            <w:hyperlink r:id="rId406">
              <w:r>
                <w:rPr>
                  <w:rStyle w:val="Referenciaatema"/>
                </w:rPr>
                <w:t xml:space="preserve">4.A.25</w:t>
              </w:r>
            </w:hyperlink>
          </w:p>
        </w:tc>
      </w:tr>
      <w:tr>
        <w:trPr>
          <w:cantSplit/>
        </w:trPr>
        <w:tc>
          <w:tcPr/>
          <w:p>
            <w:pPr>
              <w:pStyle w:val="Compact"/>
              <w:jc w:val="left"/>
            </w:pPr>
            <w:r>
              <w:t xml:space="preserve">Hechos estilizados y series</w:t>
            </w:r>
          </w:p>
        </w:tc>
        <w:tc>
          <w:tcPr/>
          <w:p>
            <w:pPr>
              <w:pStyle w:val="Compact"/>
              <w:jc w:val="left"/>
            </w:pPr>
            <w:hyperlink r:id="rId21">
              <w:r>
                <w:rPr>
                  <w:rStyle w:val="Referenciaatema"/>
                </w:rPr>
                <w:t xml:space="preserve">3.A.42</w:t>
              </w:r>
            </w:hyperlink>
            <w:r>
              <w:t xml:space="preserve">,</w:t>
            </w:r>
            <w:r>
              <w:t xml:space="preserve"> </w:t>
            </w:r>
            <w:hyperlink r:id="rId31">
              <w:r>
                <w:rPr>
                  <w:rStyle w:val="Referenciaatema"/>
                </w:rPr>
                <w:t xml:space="preserve">5.B.5</w:t>
              </w:r>
            </w:hyperlink>
          </w:p>
        </w:tc>
        <w:tc>
          <w:tcPr/>
          <w:p>
            <w:pPr>
              <w:pStyle w:val="Compact"/>
              <w:jc w:val="left"/>
            </w:pPr>
            <w:hyperlink r:id="rId50">
              <w:r>
                <w:rPr>
                  <w:rStyle w:val="Referenciaatema"/>
                </w:rPr>
                <w:t xml:space="preserve">4.A.1</w:t>
              </w:r>
            </w:hyperlink>
          </w:p>
        </w:tc>
      </w:tr>
    </w:tbl>
    <w:bookmarkEnd w:id="419"/>
    <w:p>
      <w:pPr>
        <w:pStyle w:val="BodyText"/>
      </w:pPr>
      <w:r>
        <w:rPr>
          <w:i/>
          <w:iCs/>
        </w:rPr>
        <w:t xml:space="preserve">Fuente: Elaboración propia a partir de los títulos del temario vigente.</w:t>
      </w:r>
    </w:p>
    <w:bookmarkEnd w:id="420"/>
    <w:bookmarkEnd w:id="421"/>
    <w:bookmarkStart w:id="439" w:name="anexo_metodo"/>
    <w:p>
      <w:pPr>
        <w:pStyle w:val="Heading1"/>
      </w:pPr>
      <w:r>
        <w:t xml:space="preserve">D. El ejercicio y el método</w:t>
      </w:r>
    </w:p>
    <w:p>
      <w:pPr>
        <w:numPr>
          <w:ilvl w:val="0"/>
          <w:numId w:val="1227"/>
        </w:numPr>
      </w:pPr>
      <w:r>
        <w:t xml:space="preserve">Este anexo recoge lo que se refiere al examen: qué es, cómo se califica, qué valora el tribunal, cómo se reparte el tiempo, cómo se lee el cuadernillo, cómo se redacta, qué errores evitar, cómo comprobar la coherencia entre bloques, la matriz de fortalezas y debilidades y, al final, lo que se ha preguntado en cada convocatoria desde 2011.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423" w:name="anexo_ejercicio"/>
    <w:p>
      <w:pPr>
        <w:pStyle w:val="Heading2"/>
      </w:pPr>
      <w:r>
        <w:t xml:space="preserve">D.1. Qué es el ejercicio y cómo se califica</w:t>
      </w:r>
    </w:p>
    <w:p>
      <w:pPr>
        <w:numPr>
          <w:ilvl w:val="0"/>
          <w:numId w:val="1228"/>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228"/>
        </w:numPr>
      </w:pPr>
      <w:r>
        <w:rPr>
          <w:i/>
          <w:iCs/>
        </w:rPr>
        <w:t xml:space="preserve">Qué trae el cuadernillo</w:t>
      </w:r>
      <w:r>
        <w:t xml:space="preserve">:</w:t>
      </w:r>
    </w:p>
    <w:p>
      <w:pPr>
        <w:numPr>
          <w:ilvl w:val="1"/>
          <w:numId w:val="1229"/>
        </w:numPr>
      </w:pPr>
      <w:r>
        <w:t xml:space="preserve">un cuadro macroeconómico de unos 8-12 años (a veces con previsiones), con el PIB y sus componentes, el mercado de trabajo, los precios, el sector exterior, las cuentas públicas y los tipos de interés;</w:t>
      </w:r>
    </w:p>
    <w:p>
      <w:pPr>
        <w:numPr>
          <w:ilvl w:val="1"/>
          <w:numId w:val="1229"/>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229"/>
        </w:numPr>
      </w:pPr>
      <w:r>
        <w:t xml:space="preserve">a veces, unas líneas de contexto: régimen cambiario, objetivo de inflación, pertenencia al euro o al G-20, un programa del FMI, un sector dominante;</w:t>
      </w:r>
    </w:p>
    <w:p>
      <w:pPr>
        <w:numPr>
          <w:ilvl w:val="1"/>
          <w:numId w:val="1229"/>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28"/>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228"/>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30"/>
        </w:numPr>
      </w:pPr>
      <w:r>
        <w:t xml:space="preserve">no se da la vuelta al cuadernillo hasta que lo indique el tribunal, so pena de eliminación;</w:t>
      </w:r>
    </w:p>
    <w:p>
      <w:pPr>
        <w:numPr>
          <w:ilvl w:val="1"/>
          <w:numId w:val="1230"/>
        </w:numPr>
      </w:pPr>
      <w:r>
        <w:t xml:space="preserve">nombre y apellidos en la parte superior de cada hoja, antes de que acabe la prueba, y hojas numeradas;</w:t>
      </w:r>
    </w:p>
    <w:p>
      <w:pPr>
        <w:numPr>
          <w:ilvl w:val="1"/>
          <w:numId w:val="1230"/>
        </w:numPr>
      </w:pPr>
      <w:r>
        <w:t xml:space="preserve">el tribunal no contesta preguntas: en caso de duda, cada aspirante interpreta lo que está escrito;</w:t>
      </w:r>
    </w:p>
    <w:p>
      <w:pPr>
        <w:numPr>
          <w:ilvl w:val="1"/>
          <w:numId w:val="1230"/>
        </w:numPr>
      </w:pPr>
      <w:r>
        <w:t xml:space="preserve">no se puede salir de la sala en los 10 primeros ni en los 10 últimos minutos (para salir, se levanta la mano y se espera a que recojan las hojas);</w:t>
      </w:r>
    </w:p>
    <w:p>
      <w:pPr>
        <w:numPr>
          <w:ilvl w:val="1"/>
          <w:numId w:val="1230"/>
        </w:numPr>
      </w:pPr>
      <w:r>
        <w:t xml:space="preserve">al anunciarse el final hay que dejar de escribir inmediatamente, también so pena de eliminación;</w:t>
      </w:r>
    </w:p>
    <w:p>
      <w:pPr>
        <w:numPr>
          <w:ilvl w:val="1"/>
          <w:numId w:val="1230"/>
        </w:numPr>
      </w:pPr>
      <w:r>
        <w:t xml:space="preserve">las hojas se meten en un sobre cerrado, con el nombre delante y la firma por detrás, abarcando la solapa y el sobre, que se abre delante del aspirante el día de su lectura;</w:t>
      </w:r>
    </w:p>
    <w:p>
      <w:pPr>
        <w:numPr>
          <w:ilvl w:val="1"/>
          <w:numId w:val="1230"/>
        </w:numPr>
      </w:pPr>
      <w:r>
        <w:t xml:space="preserve">tapones sí, cascos no; móviles y dispositivos, apagados y lejos.</w:t>
      </w:r>
    </w:p>
    <w:p>
      <w:pPr>
        <w:numPr>
          <w:ilvl w:val="0"/>
          <w:numId w:val="1228"/>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8"/>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8"/>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16</w:t>
        </w:r>
      </w:hyperlink>
      <w:r>
        <w:t xml:space="preserve">). La guía, por eso, da reglas que valen para cualquier formato y no un horario cerrado.</w:t>
      </w:r>
    </w:p>
    <w:bookmarkStart w:id="422" w:name="tab_formato"/>
    <w:p>
      <w:pPr>
        <w:pStyle w:val="TableCaption"/>
      </w:pPr>
      <w:r>
        <w:t xml:space="preserve">Tabla 16.–</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6.–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422"/>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423"/>
    <w:bookmarkStart w:id="424" w:name="anexo_que_valora"/>
    <w:p>
      <w:pPr>
        <w:pStyle w:val="Heading2"/>
      </w:pPr>
      <w:r>
        <w:t xml:space="preserve">D.2. Qué valora el tribunal</w:t>
      </w:r>
    </w:p>
    <w:p>
      <w:pPr>
        <w:numPr>
          <w:ilvl w:val="0"/>
          <w:numId w:val="1231"/>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31"/>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231"/>
        </w:numPr>
      </w:pPr>
      <w:r>
        <w:t xml:space="preserve">De ahí salen 4 capacidades:</w:t>
      </w:r>
    </w:p>
    <w:p>
      <w:pPr>
        <w:numPr>
          <w:ilvl w:val="1"/>
          <w:numId w:val="1232"/>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232"/>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D.5</w:t>
        </w:r>
      </w:hyperlink>
      <w:r>
        <w:t xml:space="preserve">), y una visión de conjunto de la serie, no año a año.</w:t>
      </w:r>
    </w:p>
    <w:p>
      <w:pPr>
        <w:numPr>
          <w:ilvl w:val="1"/>
          <w:numId w:val="1232"/>
        </w:numPr>
      </w:pPr>
      <w:r>
        <w:rPr>
          <w:b/>
          <w:bCs/>
        </w:rPr>
        <w:t xml:space="preserve">Comprensión lectora</w:t>
      </w:r>
      <w:r>
        <w:t xml:space="preserve">: contestar a todo lo que se pregunta, cada subpregunta con su rótulo, y solo a eso.</w:t>
      </w:r>
    </w:p>
    <w:p>
      <w:pPr>
        <w:numPr>
          <w:ilvl w:val="1"/>
          <w:numId w:val="1232"/>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231"/>
        </w:numPr>
      </w:pPr>
      <w:r>
        <w:t xml:space="preserve">Y 2 principios que ordenan todo el análisis:</w:t>
      </w:r>
    </w:p>
    <w:p>
      <w:pPr>
        <w:numPr>
          <w:ilvl w:val="1"/>
          <w:numId w:val="1233"/>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233"/>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231"/>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424"/>
    <w:bookmarkStart w:id="427" w:name="anexo_tiempo"/>
    <w:p>
      <w:pPr>
        <w:pStyle w:val="Heading2"/>
      </w:pPr>
      <w:r>
        <w:t xml:space="preserve">D.3. El reparto del tiempo</w:t>
      </w:r>
    </w:p>
    <w:p>
      <w:pPr>
        <w:numPr>
          <w:ilvl w:val="0"/>
          <w:numId w:val="1234"/>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234"/>
        </w:numPr>
      </w:pPr>
      <w:r>
        <w:t xml:space="preserve">No hay tiempo que perder: si las preguntas o las tablas vienen grapadas, se separan. Si el dictamen es libre (sin preguntas), se empieza anunciando la estructura que se va a seguir.</w:t>
      </w:r>
    </w:p>
    <w:p>
      <w:pPr>
        <w:keepNext/>
        <w:numPr>
          <w:ilvl w:val="0"/>
          <w:numId w:val="1234"/>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235"/>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D.4</w:t>
        </w:r>
      </w:hyperlink>
      <w:r>
        <w:t xml:space="preserve">).</w:t>
      </w:r>
    </w:p>
    <w:p>
      <w:pPr>
        <w:numPr>
          <w:ilvl w:val="1"/>
          <w:numId w:val="1235"/>
        </w:numPr>
      </w:pPr>
      <w:r>
        <w:rPr>
          <w:i/>
          <w:iCs/>
        </w:rPr>
        <w:t xml:space="preserve">Repaso final</w:t>
      </w:r>
      <w:r>
        <w:t xml:space="preserve">: 4′-8′ (en torno al 5 %), para releer, completar la frase de diagnóstico y cerrar lo que haya quedado abierto.</w:t>
      </w:r>
    </w:p>
    <w:p>
      <w:pPr>
        <w:keepNext/>
        <w:numPr>
          <w:ilvl w:val="1"/>
          <w:numId w:val="1235"/>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236"/>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236"/>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234"/>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17</w:t>
        </w:r>
      </w:hyperlink>
      <w:r>
        <w:t xml:space="preserve">). Son medias: dentro de ellas se da más a la pregunta del reto principal y menos a las de trámite.</w:t>
      </w:r>
    </w:p>
    <w:bookmarkStart w:id="425" w:name="tab_reparto"/>
    <w:p>
      <w:pPr>
        <w:pStyle w:val="TableCaption"/>
      </w:pPr>
      <w:r>
        <w:t xml:space="preserve">Tabla 17.–</w:t>
      </w:r>
      <w:r>
        <w:t xml:space="preserve"> </w:t>
      </w:r>
      <w:r>
        <w:t xml:space="preserve">Reparto del tiempo según la regla, por convocatoria</w:t>
      </w:r>
    </w:p>
    <w:tbl>
      <w:tblPr>
        <w:tblStyle w:val="Table"/>
        <w:tblW w:type="auto" w:w="0"/>
        <w:tblLook w:firstRow="1" w:lastRow="0" w:firstColumn="0" w:lastColumn="0" w:noHBand="0" w:noVBand="0" w:val="0020"/>
        <w:tblCaption w:val="Tabla 17.–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425"/>
    <w:p>
      <w:pPr>
        <w:pStyle w:val="BodyText"/>
        <w:keepNext/>
      </w:pPr>
      <w:r>
        <w:rPr>
          <w:i/>
          <w:iCs/>
        </w:rPr>
        <w:t xml:space="preserve">Fuente: Elaboración propia con la regla del texto y los formatos de la tabla </w:t>
      </w:r>
      <w:hyperlink w:anchor="tab_formato">
        <w:r>
          <w:rPr>
            <w:rStyle w:val="Hyperlink"/>
            <w:i/>
            <w:iCs/>
          </w:rPr>
          <w:t xml:space="preserve">16</w:t>
        </w:r>
      </w:hyperlink>
      <w:r>
        <w:rPr>
          <w:i/>
          <w:iCs/>
        </w:rPr>
        <w:t xml:space="preserve">.</w:t>
      </w:r>
    </w:p>
    <w:p>
      <w:pPr>
        <w:numPr>
          <w:ilvl w:val="0"/>
          <w:numId w:val="1237"/>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18</w:t>
        </w:r>
      </w:hyperlink>
      <w:r>
        <w:t xml:space="preserve">). Supone que el número de preguntas incluye el perfil cíclico y no deja tiempo aparte para el repaso.</w:t>
      </w:r>
    </w:p>
    <w:bookmarkStart w:id="426" w:name="tab_reparto_anterior"/>
    <w:p>
      <w:pPr>
        <w:pStyle w:val="TableCaption"/>
      </w:pPr>
      <w:r>
        <w:t xml:space="preserve">Tabla 18.–</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18.–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426"/>
    <w:p>
      <w:pPr>
        <w:pStyle w:val="BodyText"/>
        <w:keepNext/>
      </w:pPr>
      <w:r>
        <w:rPr>
          <w:i/>
          <w:iCs/>
        </w:rPr>
        <w:t xml:space="preserve">Fuente: Guía anterior (versión de 2025). Qué hay que ver: las cifras son medias; las preguntas con más peso o más análisis reciben más.</w:t>
      </w:r>
    </w:p>
    <w:p>
      <w:pPr>
        <w:numPr>
          <w:ilvl w:val="0"/>
          <w:numId w:val="1238"/>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238"/>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238"/>
        </w:numPr>
      </w:pPr>
      <w:r>
        <w:rPr>
          <w:i/>
          <w:iCs/>
        </w:rPr>
        <w:t xml:space="preserve">Antes de cada pregunta</w:t>
      </w:r>
      <w:r>
        <w:t xml:space="preserve">, si el tiempo lo permite, 1 o 2 minutos para pensar la frase que anticipa el diagnóstico de ese bloque.</w:t>
      </w:r>
    </w:p>
    <w:bookmarkEnd w:id="427"/>
    <w:bookmarkStart w:id="430" w:name="anexo_leer"/>
    <w:p>
      <w:pPr>
        <w:pStyle w:val="Heading2"/>
      </w:pPr>
      <w:r>
        <w:t xml:space="preserve">D.4. Cómo leer el cuadernillo</w:t>
      </w:r>
    </w:p>
    <w:p>
      <w:pPr>
        <w:numPr>
          <w:ilvl w:val="0"/>
          <w:numId w:val="1239"/>
        </w:numPr>
      </w:pPr>
      <w:r>
        <w:t xml:space="preserve">La idea: en los 10-12 primeros minutos no se escribe nada en las hojas de respuesta. Se trabaja sobre el cuadernillo, en el que sí se puede anotar, y se sale de ahí con el dictamen pensado.</w:t>
      </w:r>
    </w:p>
    <w:p>
      <w:pPr>
        <w:keepNext/>
        <w:numPr>
          <w:ilvl w:val="0"/>
          <w:numId w:val="1239"/>
        </w:numPr>
      </w:pPr>
      <w:r>
        <w:t xml:space="preserve">Los pasos, por este orden:</w:t>
      </w:r>
    </w:p>
    <w:p>
      <w:pPr>
        <w:numPr>
          <w:ilvl w:val="1"/>
          <w:numId w:val="1240"/>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240"/>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0"/>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240"/>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240"/>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240"/>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428"/>
      </w:r>
    </w:p>
    <w:p>
      <w:pPr>
        <w:numPr>
          <w:ilvl w:val="1"/>
          <w:numId w:val="1240"/>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D.8</w:t>
        </w:r>
      </w:hyperlink>
      <w:r>
        <w:t xml:space="preserve">).</w:t>
      </w:r>
    </w:p>
    <w:bookmarkStart w:id="429" w:name="tab_cuadernillo"/>
    <w:p>
      <w:pPr>
        <w:pStyle w:val="TableCaption"/>
      </w:pPr>
      <w:r>
        <w:t xml:space="preserve">Tabla 19.–</w:t>
      </w:r>
      <w:r>
        <w:t xml:space="preserve"> </w:t>
      </w:r>
      <w:r>
        <w:t xml:space="preserve">Un cuadro macroeconómico leído: el dictamen de 2026</w:t>
      </w:r>
    </w:p>
    <w:tbl>
      <w:tblPr>
        <w:tblStyle w:val="Table"/>
        <w:tblW w:type="auto" w:w="0"/>
        <w:tblLook w:firstRow="0" w:lastRow="0" w:firstColumn="0" w:lastColumn="0" w:noHBand="0" w:noVBand="0" w:val="0000"/>
        <w:tblCaption w:val="Tabla 19.–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429"/>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241"/>
        </w:numPr>
      </w:pPr>
      <w:r>
        <w:rPr>
          <w:i/>
          <w:iCs/>
        </w:rPr>
        <w:t xml:space="preserve">Qué hay que ver en la tabla </w:t>
      </w:r>
      <w:hyperlink w:anchor="tab_cuadernillo">
        <w:r>
          <w:rPr>
            <w:rStyle w:val="Hyperlink"/>
            <w:i/>
            <w:iCs/>
          </w:rPr>
          <w:t xml:space="preserve">19</w:t>
        </w:r>
      </w:hyperlink>
      <w:r>
        <w:t xml:space="preserve">: el cuadro no da la brecha de producción, así que las fases salen solo del crecimiento del PIB.</w:t>
      </w:r>
    </w:p>
    <w:p>
      <w:pPr>
        <w:numPr>
          <w:ilvl w:val="1"/>
          <w:numId w:val="1242"/>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242"/>
        </w:numPr>
      </w:pPr>
      <w:r>
        <w:t xml:space="preserve">La RNB crece más que el PIB en varios años y el superávit corriente lo explican las rentas primarias: un acreedor neto frente al exterior (preguntas 1 y 2).</w:t>
      </w:r>
    </w:p>
    <w:p>
      <w:pPr>
        <w:numPr>
          <w:ilvl w:val="1"/>
          <w:numId w:val="1242"/>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2"/>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41"/>
        </w:numPr>
      </w:pPr>
      <w:r>
        <w:t xml:space="preserve">Ni hace falta ni conviene adivinar el país: basta con lo que dice el cuadernillo.</w:t>
      </w:r>
    </w:p>
    <w:bookmarkEnd w:id="430"/>
    <w:bookmarkStart w:id="431" w:name="anexo_redactar"/>
    <w:p>
      <w:pPr>
        <w:pStyle w:val="Heading2"/>
      </w:pPr>
      <w:r>
        <w:t xml:space="preserve">D.5. Cómo redactar</w:t>
      </w:r>
    </w:p>
    <w:p>
      <w:pPr>
        <w:numPr>
          <w:ilvl w:val="0"/>
          <w:numId w:val="1243"/>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243"/>
        </w:numPr>
      </w:pPr>
      <w:r>
        <w:rPr>
          <w:i/>
          <w:iCs/>
        </w:rPr>
        <w:t xml:space="preserve">Analizar, no describir</w:t>
      </w:r>
      <w:r>
        <w:t xml:space="preserve">:</w:t>
      </w:r>
    </w:p>
    <w:p>
      <w:pPr>
        <w:numPr>
          <w:ilvl w:val="1"/>
          <w:numId w:val="1244"/>
        </w:numPr>
      </w:pPr>
      <w:r>
        <w:t xml:space="preserve">Descriptivo (a evitar): «la contribución de la demanda interna es positiva en 20x1, negativa en 20x2 y vuelve a ser positiva en 20x3».</w:t>
      </w:r>
    </w:p>
    <w:p>
      <w:pPr>
        <w:numPr>
          <w:ilvl w:val="1"/>
          <w:numId w:val="1244"/>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244"/>
        </w:numPr>
      </w:pPr>
      <w:r>
        <w:t xml:space="preserve">La descripción de los datos es tarea de la estadística; al economista le toca explicar lo que hay detrás.</w:t>
      </w:r>
    </w:p>
    <w:p>
      <w:pPr>
        <w:numPr>
          <w:ilvl w:val="0"/>
          <w:numId w:val="1243"/>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243"/>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243"/>
        </w:numPr>
      </w:pPr>
      <w:r>
        <w:rPr>
          <w:i/>
          <w:iCs/>
        </w:rPr>
        <w:t xml:space="preserve">Condicionales y matices</w:t>
      </w:r>
      <w:r>
        <w:t xml:space="preserve">: con pocos datos y poco tiempo solo se ven correlaciones, no causalidad (</w:t>
      </w:r>
      <w:hyperlink r:id="rId31">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243"/>
        </w:numPr>
      </w:pPr>
      <w:r>
        <w:rPr>
          <w:i/>
          <w:iCs/>
        </w:rPr>
        <w:t xml:space="preserve">Sin solapes</w:t>
      </w:r>
      <w:r>
        <w:t xml:space="preserve">: cada cosa en su pregunta, tratadas como estancas. Si algo ya se ha explicado, basta una remisión («como se ha visto al analizar la demanda…»).</w:t>
      </w:r>
    </w:p>
    <w:p>
      <w:pPr>
        <w:numPr>
          <w:ilvl w:val="0"/>
          <w:numId w:val="1243"/>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243"/>
        </w:numPr>
      </w:pPr>
      <w:r>
        <w:rPr>
          <w:i/>
          <w:iCs/>
        </w:rPr>
        <w:t xml:space="preserve">Recomendaciones concretas</w:t>
      </w:r>
      <w:r>
        <w:t xml:space="preserve">: qué medida, para qué desequilibrio y con qué riesgo («una consolidación gradual, centrada en el gasto corriente, para no frenar la recuperación»).</w:t>
      </w:r>
    </w:p>
    <w:bookmarkEnd w:id="431"/>
    <w:bookmarkStart w:id="432" w:name="anexo_errores"/>
    <w:p>
      <w:pPr>
        <w:pStyle w:val="Heading2"/>
      </w:pPr>
      <w:r>
        <w:t xml:space="preserve">D.6. Errores típicos y la lectura</w:t>
      </w:r>
    </w:p>
    <w:p>
      <w:pPr>
        <w:keepNext/>
        <w:numPr>
          <w:ilvl w:val="0"/>
          <w:numId w:val="1245"/>
        </w:numPr>
      </w:pPr>
      <w:r>
        <w:rPr>
          <w:i/>
          <w:iCs/>
        </w:rPr>
        <w:t xml:space="preserve">Errores que más se repiten</w:t>
      </w:r>
      <w:r>
        <w:t xml:space="preserve">:</w:t>
      </w:r>
    </w:p>
    <w:p>
      <w:pPr>
        <w:numPr>
          <w:ilvl w:val="1"/>
          <w:numId w:val="1246"/>
        </w:numPr>
      </w:pPr>
      <w:r>
        <w:t xml:space="preserve">describir sin analizar («en 20x1 sube, en 20x2 baja, en 20x3 sube»);</w:t>
      </w:r>
    </w:p>
    <w:p>
      <w:pPr>
        <w:numPr>
          <w:ilvl w:val="1"/>
          <w:numId w:val="1246"/>
        </w:numPr>
      </w:pPr>
      <w:r>
        <w:t xml:space="preserve">confundir porcentajes con puntos porcentuales, niveles con variaciones o tasas nominales con reales;</w:t>
      </w:r>
    </w:p>
    <w:p>
      <w:pPr>
        <w:numPr>
          <w:ilvl w:val="1"/>
          <w:numId w:val="1246"/>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246"/>
        </w:numPr>
      </w:pPr>
      <w:r>
        <w:t xml:space="preserve">leer al revés el tipo de cambio (directo o indirecto) o la posición de inversión internacional;</w:t>
      </w:r>
    </w:p>
    <w:p>
      <w:pPr>
        <w:numPr>
          <w:ilvl w:val="1"/>
          <w:numId w:val="1246"/>
        </w:numPr>
      </w:pPr>
      <w:r>
        <w:t xml:space="preserve">juzgar el tono de la política monetaria solo por si el tipo nominal sube o baja, o el de la fiscal por el saldo total y no por el estructural primario;</w:t>
      </w:r>
    </w:p>
    <w:p>
      <w:pPr>
        <w:numPr>
          <w:ilvl w:val="1"/>
          <w:numId w:val="1246"/>
        </w:numPr>
      </w:pPr>
      <w:r>
        <w:t xml:space="preserve">dedicar demasiado tiempo al perfil cíclico y dejar a medias las últimas preguntas;</w:t>
      </w:r>
    </w:p>
    <w:p>
      <w:pPr>
        <w:numPr>
          <w:ilvl w:val="1"/>
          <w:numId w:val="1246"/>
        </w:numPr>
      </w:pPr>
      <w:r>
        <w:t xml:space="preserve">no contestar a una subpregunta, o contestar a lo que no se pregunta.</w:t>
      </w:r>
    </w:p>
    <w:p>
      <w:pPr>
        <w:numPr>
          <w:ilvl w:val="0"/>
          <w:numId w:val="1245"/>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245"/>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432"/>
    <w:bookmarkStart w:id="433" w:name="anexo_coherencia"/>
    <w:p>
      <w:pPr>
        <w:pStyle w:val="Heading2"/>
      </w:pPr>
      <w:r>
        <w:t xml:space="preserve">D.7. Comprobaciones de coherencia entre bloques</w:t>
      </w:r>
    </w:p>
    <w:p>
      <w:pPr>
        <w:keepNext/>
        <w:numPr>
          <w:ilvl w:val="0"/>
          <w:numId w:val="1247"/>
        </w:numPr>
      </w:pPr>
      <w:r>
        <w:t xml:space="preserve">Antes de dar por buena una lectura, conviene comprobar que los bloques cuadran entre sí. Las comprobaciones que usan los economistas del FMI al construir un escenario sirven también para no contradecirse en el dictamen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248"/>
        </w:numPr>
      </w:pPr>
      <w:r>
        <w:t xml:space="preserve">la</w:t>
      </w:r>
      <w:r>
        <w:t xml:space="preserve"> </w:t>
      </w:r>
      <w:r>
        <w:rPr>
          <w:b/>
          <w:bCs/>
        </w:rPr>
        <w:t xml:space="preserve">tasa de ahorro nacional</w:t>
      </w:r>
      <w:r>
        <w:t xml:space="preserve"> </w:t>
      </w:r>
      <w:r>
        <w:t xml:space="preserve">cambia despacio: si el saldo corriente da un salto, lo normal es que lo explique la inversión o un choque de precios, no un cambio brusco del ahorro;</w:t>
      </w:r>
    </w:p>
    <w:p>
      <w:pPr>
        <w:numPr>
          <w:ilvl w:val="1"/>
          <w:numId w:val="1248"/>
        </w:numPr>
      </w:pPr>
      <w:r>
        <w:t xml:space="preserve">un</w:t>
      </w:r>
      <w:r>
        <w:t xml:space="preserve"> </w:t>
      </w:r>
      <w:r>
        <w:rPr>
          <w:b/>
          <w:bCs/>
        </w:rPr>
        <w:t xml:space="preserve">crecimiento fuerte de M2 o M3</w:t>
      </w:r>
      <w:r>
        <w:t xml:space="preserve"> </w:t>
      </w:r>
      <w:r>
        <w:t xml:space="preserve">no es coherente con una inflación baja y un crecimiento moderado, salvo que cambie la demanda de dinero;</w:t>
      </w:r>
    </w:p>
    <w:p>
      <w:pPr>
        <w:numPr>
          <w:ilvl w:val="1"/>
          <w:numId w:val="1248"/>
        </w:numPr>
      </w:pPr>
      <w:r>
        <w:t xml:space="preserve">el</w:t>
      </w:r>
      <w:r>
        <w:t xml:space="preserve"> </w:t>
      </w:r>
      <w:r>
        <w:rPr>
          <w:b/>
          <w:bCs/>
        </w:rPr>
        <w:t xml:space="preserve">crecimiento</w:t>
      </w:r>
      <w:r>
        <w:t xml:space="preserve"> </w:t>
      </w:r>
      <w:r>
        <w:t xml:space="preserve">debe ir acompañado de crédito real al sector privado: crecer con fuerza mientras el crédito cae pide una explicación (autofinanciación, entrada de capital);</w:t>
      </w:r>
    </w:p>
    <w:p>
      <w:pPr>
        <w:numPr>
          <w:ilvl w:val="1"/>
          <w:numId w:val="1248"/>
        </w:numPr>
      </w:pPr>
      <w:r>
        <w:t xml:space="preserve">un</w:t>
      </w:r>
      <w:r>
        <w:t xml:space="preserve"> </w:t>
      </w:r>
      <w:r>
        <w:rPr>
          <w:b/>
          <w:bCs/>
        </w:rPr>
        <w:t xml:space="preserve">déficit monetizado</w:t>
      </w:r>
      <w:r>
        <w:t xml:space="preserve"> </w:t>
      </w:r>
      <w:r>
        <w:t xml:space="preserve">no es coherente con una inflación que baja;</w:t>
      </w:r>
    </w:p>
    <w:p>
      <w:pPr>
        <w:numPr>
          <w:ilvl w:val="1"/>
          <w:numId w:val="1248"/>
        </w:numPr>
      </w:pPr>
      <w:r>
        <w:t xml:space="preserve">con</w:t>
      </w:r>
      <w:r>
        <w:t xml:space="preserve"> </w:t>
      </w:r>
      <w:r>
        <w:rPr>
          <w:b/>
          <w:bCs/>
        </w:rPr>
        <w:t xml:space="preserve">tipo fijo y grandes entradas de capital</w:t>
      </w:r>
      <w:r>
        <w:t xml:space="preserve">, las reservas suben y, si no se esterilizan, también la base monetaria;</w:t>
      </w:r>
    </w:p>
    <w:p>
      <w:pPr>
        <w:numPr>
          <w:ilvl w:val="1"/>
          <w:numId w:val="1248"/>
        </w:numPr>
      </w:pPr>
      <w:r>
        <w:t xml:space="preserve">las</w:t>
      </w:r>
      <w:r>
        <w:t xml:space="preserve"> </w:t>
      </w:r>
      <w:r>
        <w:rPr>
          <w:b/>
          <w:bCs/>
        </w:rPr>
        <w:t xml:space="preserve">tasas de renovación de la deuda</w:t>
      </w:r>
      <w:r>
        <w:t xml:space="preserve"> </w:t>
      </w:r>
      <w:r>
        <w:t xml:space="preserve">que supone el escenario tienen que ser realistas (¿quién va a refinanciar?).</w:t>
      </w:r>
    </w:p>
    <w:bookmarkEnd w:id="433"/>
    <w:bookmarkStart w:id="436" w:name="anexo_matriz"/>
    <w:p>
      <w:pPr>
        <w:pStyle w:val="Heading2"/>
      </w:pPr>
      <w:r>
        <w:t xml:space="preserve">D.8. La matriz de fortalezas y debilidades</w:t>
      </w:r>
    </w:p>
    <w:p>
      <w:pPr>
        <w:numPr>
          <w:ilvl w:val="0"/>
          <w:numId w:val="1249"/>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249"/>
        </w:numPr>
      </w:pPr>
      <w:r>
        <w:t xml:space="preserve">Sirve para 3 cosas:</w:t>
      </w:r>
    </w:p>
    <w:p>
      <w:pPr>
        <w:numPr>
          <w:ilvl w:val="1"/>
          <w:numId w:val="1250"/>
        </w:numPr>
      </w:pPr>
      <w:r>
        <w:t xml:space="preserve">anticipar el diagnóstico en la primera pregunta (apartado </w:t>
      </w:r>
      <w:hyperlink w:anchor="sec_anticipar">
        <w:r>
          <w:rPr>
            <w:rStyle w:val="Hyperlink"/>
          </w:rPr>
          <w:t xml:space="preserve">I.6</w:t>
        </w:r>
      </w:hyperlink>
      <w:r>
        <w:t xml:space="preserve">);</w:t>
      </w:r>
    </w:p>
    <w:p>
      <w:pPr>
        <w:numPr>
          <w:ilvl w:val="1"/>
          <w:numId w:val="1250"/>
        </w:numPr>
      </w:pPr>
      <w:r>
        <w:t xml:space="preserve">no contradecirse entre preguntas;</w:t>
      </w:r>
    </w:p>
    <w:p>
      <w:pPr>
        <w:numPr>
          <w:ilvl w:val="1"/>
          <w:numId w:val="1250"/>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4" w:name="tab_matriz"/>
    <w:p>
      <w:pPr>
        <w:pStyle w:val="TableCaption"/>
      </w:pPr>
      <w:r>
        <w:t xml:space="preserve">Tabla 20.–</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20.–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434"/>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251"/>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21</w:t>
        </w:r>
      </w:hyperlink>
      <w:r>
        <w:t xml:space="preserve">). Las columnas de fortalezas y de tendencia se dejan en blanco para rellenarlas con el cuadro de cada examen.</w:t>
      </w:r>
    </w:p>
    <w:bookmarkStart w:id="435" w:name="tab_matriz_completa"/>
    <w:p>
      <w:pPr>
        <w:pStyle w:val="TableCaption"/>
      </w:pPr>
      <w:r>
        <w:t xml:space="preserve">Tabla 21.–</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21.–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oferta; flexibilizar el mercado laboral</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435"/>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252"/>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15</w:t>
        </w:r>
      </w:hyperlink>
      <w:r>
        <w:t xml:space="preserve"> </w:t>
      </w:r>
      <w:r>
        <w:t xml:space="preserve">los reúne por bloque.</w:t>
      </w:r>
    </w:p>
    <w:p>
      <w:pPr>
        <w:numPr>
          <w:ilvl w:val="0"/>
          <w:numId w:val="1252"/>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 Conviene leer, además del artículo IV de España, el de algún</w:t>
      </w:r>
      <w:r>
        <w:t xml:space="preserve"> </w:t>
      </w:r>
      <w:r>
        <w:rPr>
          <w:b/>
          <w:bCs/>
        </w:rPr>
        <w:t xml:space="preserve">emergente</w:t>
      </w:r>
      <w:r>
        <w:t xml:space="preserve">, porque el país del dictamen puede serlo.</w:t>
      </w:r>
    </w:p>
    <w:p>
      <w:pPr>
        <w:numPr>
          <w:ilvl w:val="0"/>
          <w:numId w:val="1252"/>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436"/>
    <w:bookmarkStart w:id="438" w:name="anexo_preguntas"/>
    <w:p>
      <w:pPr>
        <w:pStyle w:val="Heading2"/>
      </w:pPr>
      <w:r>
        <w:t xml:space="preserve">D.9. Qué se ha preguntado en los dictámenes oficiales</w:t>
      </w:r>
    </w:p>
    <w:p>
      <w:pPr>
        <w:numPr>
          <w:ilvl w:val="0"/>
          <w:numId w:val="1253"/>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3"/>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3"/>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7" w:name="tab_bloques_anio"/>
    <w:p>
      <w:pPr>
        <w:pStyle w:val="TableCaption"/>
      </w:pPr>
      <w:r>
        <w:t xml:space="preserve">Tabla 22.–</w:t>
      </w:r>
      <w:r>
        <w:t xml:space="preserve"> </w:t>
      </w:r>
      <w:r>
        <w:t xml:space="preserve">Bloques preguntados en cada dictamen</w:t>
      </w:r>
    </w:p>
    <w:tbl>
      <w:tblPr>
        <w:tblStyle w:val="Table"/>
        <w:tblW w:type="auto" w:w="0"/>
        <w:tblLook w:firstRow="1" w:lastRow="0" w:firstColumn="0" w:lastColumn="0" w:noHBand="0" w:noVBand="0" w:val="0020"/>
        <w:tblCaption w:val="Tabla 22.–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437"/>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438"/>
    <w:bookmarkEnd w:id="439"/>
    <w:bookmarkStart w:id="761" w:name="bibliografia"/>
    <w:p>
      <w:pPr>
        <w:pStyle w:val="Heading1"/>
      </w:pPr>
      <w:r>
        <w:t xml:space="preserve">Bibliografía</w:t>
      </w:r>
    </w:p>
    <w:bookmarkStart w:id="760" w:name="refs"/>
    <w:bookmarkStart w:id="440" w:name="ref_Allen2002Balances"/>
    <w:p>
      <w:pPr>
        <w:pStyle w:val="Bibliography"/>
      </w:pPr>
      <w:r>
        <w:t xml:space="preserve">Allen, Mark, Christoph Rosenberg, Christian Keller, Brad Setser y Nouriel Roubini (2002).</w:t>
      </w:r>
      <w:r>
        <w:t xml:space="preserve"> </w:t>
      </w:r>
      <w:r>
        <w:t xml:space="preserve">«A Balance Sheet Approach to Financial Crisis»</w:t>
      </w:r>
      <w:r>
        <w:t xml:space="preserve">. IMF Working Paper WP/02/210. Fondo Monetario Internacional.</w:t>
      </w:r>
    </w:p>
    <w:bookmarkEnd w:id="440"/>
    <w:bookmarkStart w:id="442"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441">
        <w:r>
          <w:rPr>
            <w:rStyle w:val="Hyperlink"/>
          </w:rPr>
          <w:t xml:space="preserve">https://doi.org/10.1257/jep.33.4.187</w:t>
        </w:r>
      </w:hyperlink>
      <w:r>
        <w:t xml:space="preserve">.</w:t>
      </w:r>
    </w:p>
    <w:bookmarkEnd w:id="442"/>
    <w:bookmarkStart w:id="444"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443">
        <w:r>
          <w:rPr>
            <w:rStyle w:val="Hyperlink"/>
          </w:rPr>
          <w:t xml:space="preserve">https://youtu.be/gJoQz2CiHBI</w:t>
        </w:r>
      </w:hyperlink>
      <w:r>
        <w:t xml:space="preserve">.</w:t>
      </w:r>
    </w:p>
    <w:bookmarkEnd w:id="444"/>
    <w:bookmarkStart w:id="445" w:name="ref_ArslanalpTsuda2014"/>
    <w:p>
      <w:pPr>
        <w:pStyle w:val="Bibliography"/>
      </w:pPr>
      <w:r>
        <w:t xml:space="preserve">Arslanalp, Serkan y Takahiro Tsuda (2014).</w:t>
      </w:r>
      <w:r>
        <w:t xml:space="preserve"> </w:t>
      </w:r>
      <w:r>
        <w:t xml:space="preserve">«Tracking Global Demand for Advanced Economy Sovereign Debt»</w:t>
      </w:r>
      <w:r>
        <w:t xml:space="preserve">.</w:t>
      </w:r>
      <w:r>
        <w:t xml:space="preserve"> </w:t>
      </w:r>
      <w:r>
        <w:rPr>
          <w:i/>
          <w:iCs/>
        </w:rPr>
        <w:t xml:space="preserve">IMF Economic Review</w:t>
      </w:r>
      <w:r>
        <w:t xml:space="preserve"> </w:t>
      </w:r>
      <w:r>
        <w:t xml:space="preserve">62 (3): 430-64.</w:t>
      </w:r>
    </w:p>
    <w:bookmarkEnd w:id="445"/>
    <w:bookmarkStart w:id="447"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446">
        <w:r>
          <w:rPr>
            <w:rStyle w:val="Hyperlink"/>
          </w:rPr>
          <w:t xml:space="preserve">https://atcee.es/la-oposicion-tcee/examenes-anteriores/</w:t>
        </w:r>
      </w:hyperlink>
      <w:r>
        <w:t xml:space="preserve">.</w:t>
      </w:r>
    </w:p>
    <w:bookmarkEnd w:id="447"/>
    <w:bookmarkStart w:id="449"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448">
        <w:r>
          <w:rPr>
            <w:rStyle w:val="Hyperlink"/>
          </w:rPr>
          <w:t xml:space="preserve">https://www.eba.europa.eu/regulation-and-policy/credit-risk/guidelines-legislative-and-non-legislative-moratoria-loan-repayments-applied-light-covid-19-crisis</w:t>
        </w:r>
      </w:hyperlink>
      <w:r>
        <w:t xml:space="preserve">.</w:t>
      </w:r>
    </w:p>
    <w:bookmarkEnd w:id="449"/>
    <w:bookmarkStart w:id="450" w:name="ref_Bagehot1873"/>
    <w:p>
      <w:pPr>
        <w:pStyle w:val="Bibliography"/>
      </w:pPr>
      <w:r>
        <w:t xml:space="preserve">Bagehot, Walter (1873).</w:t>
      </w:r>
      <w:r>
        <w:t xml:space="preserve"> </w:t>
      </w:r>
      <w:r>
        <w:rPr>
          <w:i/>
          <w:iCs/>
        </w:rPr>
        <w:t xml:space="preserve">Lombard Street: A Description of the Money Market</w:t>
      </w:r>
      <w:r>
        <w:t xml:space="preserve">. Londres: Henry S. King.</w:t>
      </w:r>
    </w:p>
    <w:bookmarkEnd w:id="450"/>
    <w:bookmarkStart w:id="451" w:name="ref_Balassa1964"/>
    <w:p>
      <w:pPr>
        <w:pStyle w:val="Bibliography"/>
      </w:pPr>
      <w:r>
        <w:t xml:space="preserve">Balassa, Bela (1964).</w:t>
      </w:r>
      <w:r>
        <w:t xml:space="preserve"> </w:t>
      </w:r>
      <w:r>
        <w:t xml:space="preserve">«The Purchasing-Power Parity Doctrine: A Reappraisal»</w:t>
      </w:r>
      <w:r>
        <w:t xml:space="preserve">.</w:t>
      </w:r>
      <w:r>
        <w:t xml:space="preserve"> </w:t>
      </w:r>
      <w:r>
        <w:rPr>
          <w:i/>
          <w:iCs/>
        </w:rPr>
        <w:t xml:space="preserve">Journal of Political Economy</w:t>
      </w:r>
      <w:r>
        <w:t xml:space="preserve"> </w:t>
      </w:r>
      <w:r>
        <w:t xml:space="preserve">72 (6): 584-96.</w:t>
      </w:r>
    </w:p>
    <w:bookmarkEnd w:id="451"/>
    <w:bookmarkStart w:id="453"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452">
        <w:r>
          <w:rPr>
            <w:rStyle w:val="Hyperlink"/>
          </w:rPr>
          <w:t xml:space="preserve">https://doi.org/10.1111/jmcb.12420</w:t>
        </w:r>
      </w:hyperlink>
      <w:r>
        <w:t xml:space="preserve">.</w:t>
      </w:r>
    </w:p>
    <w:bookmarkEnd w:id="453"/>
    <w:bookmarkStart w:id="455"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454">
        <w:r>
          <w:rPr>
            <w:rStyle w:val="Hyperlink"/>
          </w:rPr>
          <w:t xml:space="preserve">https://www.ecb.europa.eu/pub/financial-stability/fsr/html/ecb.fsr202011~b7be9ae1f1.en.html</w:t>
        </w:r>
      </w:hyperlink>
      <w:r>
        <w:t xml:space="preserve">.</w:t>
      </w:r>
    </w:p>
    <w:bookmarkEnd w:id="455"/>
    <w:bookmarkStart w:id="457"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456">
        <w:r>
          <w:rPr>
            <w:rStyle w:val="Hyperlink"/>
          </w:rPr>
          <w:t xml:space="preserve">https://eur-lex.europa.eu/legal-content/ES/TXT/?uri=CELEX:32020HB0019</w:t>
        </w:r>
      </w:hyperlink>
      <w:r>
        <w:t xml:space="preserve">.</w:t>
      </w:r>
    </w:p>
    <w:bookmarkEnd w:id="457"/>
    <w:bookmarkStart w:id="459"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458">
        <w:r>
          <w:rPr>
            <w:rStyle w:val="Hyperlink"/>
          </w:rPr>
          <w:t xml:space="preserve">https://www.ecb.europa.eu/pub/annual/html/ecb.ar2022~8ae51d163b.es.html</w:t>
        </w:r>
      </w:hyperlink>
      <w:r>
        <w:t xml:space="preserve">.</w:t>
      </w:r>
    </w:p>
    <w:bookmarkEnd w:id="459"/>
    <w:bookmarkStart w:id="461"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460">
        <w:r>
          <w:rPr>
            <w:rStyle w:val="Hyperlink"/>
          </w:rPr>
          <w:t xml:space="preserve">https://www.ecb.europa.eu/press/pr/date/2024/html/ecb.pr240313~807e240020.en.html</w:t>
        </w:r>
      </w:hyperlink>
      <w:r>
        <w:t xml:space="preserve">.</w:t>
      </w:r>
    </w:p>
    <w:bookmarkEnd w:id="461"/>
    <w:bookmarkStart w:id="463"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462">
        <w:r>
          <w:rPr>
            <w:rStyle w:val="Hyperlink"/>
          </w:rPr>
          <w:t xml:space="preserve">https://www.bankingsupervision.europa.eu/activities/srep/2025/html/ssm.srep202511_aggregatedresults2025.en.html</w:t>
        </w:r>
      </w:hyperlink>
      <w:r>
        <w:t xml:space="preserve">.</w:t>
      </w:r>
    </w:p>
    <w:bookmarkEnd w:id="463"/>
    <w:bookmarkStart w:id="465"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464">
        <w:r>
          <w:rPr>
            <w:rStyle w:val="Hyperlink"/>
          </w:rPr>
          <w:t xml:space="preserve">https://www.ecb.europa.eu/mopo/strategy/strategy-review/ecb.strategyreview202506_strategy_statement.es.html</w:t>
        </w:r>
      </w:hyperlink>
      <w:r>
        <w:t xml:space="preserve">.</w:t>
      </w:r>
    </w:p>
    <w:bookmarkEnd w:id="465"/>
    <w:bookmarkStart w:id="467"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466">
        <w:r>
          <w:rPr>
            <w:rStyle w:val="Hyperlink"/>
          </w:rPr>
          <w:t xml:space="preserve">https://www.ecb.europa.eu/press/pr/date/2026/html/ecb.pr260101~c830245e42.es.html</w:t>
        </w:r>
      </w:hyperlink>
      <w:r>
        <w:t xml:space="preserve">.</w:t>
      </w:r>
    </w:p>
    <w:bookmarkEnd w:id="467"/>
    <w:bookmarkStart w:id="469"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468">
        <w:r>
          <w:rPr>
            <w:rStyle w:val="Hyperlink"/>
          </w:rPr>
          <w:t xml:space="preserve">https://data.ecb.europa.eu/data/datasets/EXR</w:t>
        </w:r>
      </w:hyperlink>
      <w:r>
        <w:t xml:space="preserve">.</w:t>
      </w:r>
    </w:p>
    <w:bookmarkEnd w:id="469"/>
    <w:bookmarkStart w:id="471"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470">
        <w:r>
          <w:rPr>
            <w:rStyle w:val="Hyperlink"/>
          </w:rPr>
          <w:t xml:space="preserve">https://data.ecb.europa.eu/data/datasets/ILM</w:t>
        </w:r>
      </w:hyperlink>
      <w:r>
        <w:t xml:space="preserve">.</w:t>
      </w:r>
    </w:p>
    <w:bookmarkEnd w:id="471"/>
    <w:bookmarkStart w:id="473"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472">
        <w:r>
          <w:rPr>
            <w:rStyle w:val="Hyperlink"/>
          </w:rPr>
          <w:t xml:space="preserve">https://www.bankingsupervision.europa.eu/press/pr/date/2026/html/ssm.pr260915~7917ca1416.es.html</w:t>
        </w:r>
      </w:hyperlink>
      <w:r>
        <w:t xml:space="preserve">.</w:t>
      </w:r>
    </w:p>
    <w:bookmarkEnd w:id="473"/>
    <w:bookmarkStart w:id="475"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474">
        <w:r>
          <w:rPr>
            <w:rStyle w:val="Hyperlink"/>
          </w:rPr>
          <w:t xml:space="preserve">https://www.ecb.europa.eu/paym/coll/risk/ecaf/html/index.en.html</w:t>
        </w:r>
      </w:hyperlink>
      <w:r>
        <w:t xml:space="preserve">.</w:t>
      </w:r>
    </w:p>
    <w:bookmarkEnd w:id="475"/>
    <w:bookmarkStart w:id="477"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476">
        <w:r>
          <w:rPr>
            <w:rStyle w:val="Hyperlink"/>
          </w:rPr>
          <w:t xml:space="preserve">https://www.ecb.europa.eu/stats/policy_and_exchange_rates/key_ecb_interest_rates/html/index.en.html</w:t>
        </w:r>
      </w:hyperlink>
      <w:r>
        <w:t xml:space="preserve">.</w:t>
      </w:r>
    </w:p>
    <w:bookmarkEnd w:id="477"/>
    <w:bookmarkStart w:id="479" w:name="ref_BCE2026SAFE"/>
    <w:p>
      <w:pPr>
        <w:pStyle w:val="Bibliography"/>
      </w:pPr>
      <w:r>
        <w:t xml:space="preserve">Banco Central Europeo (2026g).</w:t>
      </w:r>
      <w:r>
        <w:t xml:space="preserve"> </w:t>
      </w:r>
      <w:r>
        <w:t xml:space="preserve">«Survey on the Access to Finance of Enterprises (SAFE)»</w:t>
      </w:r>
      <w:r>
        <w:t xml:space="preserve">. 2026.</w:t>
      </w:r>
      <w:r>
        <w:t xml:space="preserve"> </w:t>
      </w:r>
      <w:hyperlink r:id="rId478">
        <w:r>
          <w:rPr>
            <w:rStyle w:val="Hyperlink"/>
          </w:rPr>
          <w:t xml:space="preserve">https://www.ecb.europa.eu/stats/ecb_surveys/safe/html/index.en.html</w:t>
        </w:r>
      </w:hyperlink>
      <w:r>
        <w:t xml:space="preserve">.</w:t>
      </w:r>
    </w:p>
    <w:bookmarkEnd w:id="479"/>
    <w:bookmarkStart w:id="481"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480">
        <w:r>
          <w:rPr>
            <w:rStyle w:val="Hyperlink"/>
          </w:rPr>
          <w:t xml:space="preserve">https://www.bde.es/webbe/es/estadisticas/compartido/docs/notaNGEU.pdf</w:t>
        </w:r>
      </w:hyperlink>
      <w:r>
        <w:t xml:space="preserve">.</w:t>
      </w:r>
    </w:p>
    <w:bookmarkEnd w:id="481"/>
    <w:bookmarkStart w:id="483" w:name="ref_BdE2022InformeAnual2021"/>
    <w:p>
      <w:pPr>
        <w:pStyle w:val="Bibliography"/>
      </w:pPr>
      <w:r>
        <w:t xml:space="preserve">Banco de España (2022).</w:t>
      </w:r>
      <w:r>
        <w:t xml:space="preserve"> </w:t>
      </w:r>
      <w:r>
        <w:t xml:space="preserve">«Informe Anual 2021»</w:t>
      </w:r>
      <w:r>
        <w:t xml:space="preserve">. Informe. Madrid: Banco de España.</w:t>
      </w:r>
      <w:r>
        <w:t xml:space="preserve"> </w:t>
      </w:r>
      <w:hyperlink r:id="rId482">
        <w:r>
          <w:rPr>
            <w:rStyle w:val="Hyperlink"/>
          </w:rPr>
          <w:t xml:space="preserve">https://www.bde.es/f/webbde/SES/Secciones/Publicaciones/PublicacionesAnuales/InformesAnuales/21/Fich/InfAnual_2021.pdf</w:t>
        </w:r>
      </w:hyperlink>
      <w:r>
        <w:t xml:space="preserve">.</w:t>
      </w:r>
    </w:p>
    <w:bookmarkEnd w:id="483"/>
    <w:bookmarkStart w:id="485"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484">
        <w:r>
          <w:rPr>
            <w:rStyle w:val="Hyperlink"/>
          </w:rPr>
          <w:t xml:space="preserve">https://www.bde.es/f/webbe/INF/MenuVertical/EstabilidadFinanciera/Colchon_capital/Resolucion_CCA_2025T4.pdf</w:t>
        </w:r>
      </w:hyperlink>
      <w:r>
        <w:t xml:space="preserve">.</w:t>
      </w:r>
    </w:p>
    <w:bookmarkEnd w:id="485"/>
    <w:bookmarkStart w:id="487"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486">
        <w:r>
          <w:rPr>
            <w:rStyle w:val="Hyperlink"/>
          </w:rPr>
          <w:t xml:space="preserve">https://www.bde.es/f/webbe/GAP/Secciones/SalaPrensa/NotasInformativas/26/presbe2026-90.pdf</w:t>
        </w:r>
      </w:hyperlink>
      <w:r>
        <w:t xml:space="preserve">.</w:t>
      </w:r>
    </w:p>
    <w:bookmarkEnd w:id="487"/>
    <w:bookmarkStart w:id="489"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488">
        <w:r>
          <w:rPr>
            <w:rStyle w:val="Hyperlink"/>
          </w:rPr>
          <w:t xml:space="preserve">https://www.bde.es/wbe/es/publicaciones/informes-memorias-anuales/informe-anual/informe-anual-2025.html</w:t>
        </w:r>
      </w:hyperlink>
      <w:r>
        <w:t xml:space="preserve">.</w:t>
      </w:r>
    </w:p>
    <w:bookmarkEnd w:id="489"/>
    <w:bookmarkStart w:id="491" w:name="ref_BPI2022Inflacion"/>
    <w:p>
      <w:pPr>
        <w:pStyle w:val="Bibliography"/>
      </w:pPr>
      <w:r>
        <w:t xml:space="preserve">Banco de Pagos Internacionales (2022).</w:t>
      </w:r>
      <w:r>
        <w:t xml:space="preserve"> </w:t>
      </w:r>
      <w:r>
        <w:t xml:space="preserve">«Inflation: A Look under the Hood»</w:t>
      </w:r>
      <w:r>
        <w:t xml:space="preserve">. En</w:t>
      </w:r>
      <w:r>
        <w:t xml:space="preserve"> </w:t>
      </w:r>
      <w:r>
        <w:rPr>
          <w:i/>
          <w:iCs/>
        </w:rPr>
        <w:t xml:space="preserve">Annual Economic Report 2022</w:t>
      </w:r>
      <w:r>
        <w:t xml:space="preserve">. Basilea: Banco de Pagos Internacionales.</w:t>
      </w:r>
      <w:r>
        <w:t xml:space="preserve"> </w:t>
      </w:r>
      <w:hyperlink r:id="rId490">
        <w:r>
          <w:rPr>
            <w:rStyle w:val="Hyperlink"/>
          </w:rPr>
          <w:t xml:space="preserve">https://www.bis.org/publ/arpdf/ar2022e2.htm</w:t>
        </w:r>
      </w:hyperlink>
      <w:r>
        <w:t xml:space="preserve">.</w:t>
      </w:r>
    </w:p>
    <w:bookmarkEnd w:id="491"/>
    <w:bookmarkStart w:id="493"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492">
        <w:r>
          <w:rPr>
            <w:rStyle w:val="Hyperlink"/>
          </w:rPr>
          <w:t xml:space="preserve">https://www.bis.org/publ/arpdf/ar2024e.htm</w:t>
        </w:r>
      </w:hyperlink>
      <w:r>
        <w:t xml:space="preserve">.</w:t>
      </w:r>
    </w:p>
    <w:bookmarkEnd w:id="493"/>
    <w:bookmarkStart w:id="495" w:name="ref_BM2026WDI"/>
    <w:p>
      <w:pPr>
        <w:pStyle w:val="Bibliography"/>
      </w:pPr>
      <w:r>
        <w:t xml:space="preserve">Banco Mundial (2026).</w:t>
      </w:r>
      <w:r>
        <w:t xml:space="preserve"> </w:t>
      </w:r>
      <w:r>
        <w:t xml:space="preserve">«World Development Indicators»</w:t>
      </w:r>
      <w:r>
        <w:t xml:space="preserve">. 2026.</w:t>
      </w:r>
      <w:r>
        <w:t xml:space="preserve"> </w:t>
      </w:r>
      <w:hyperlink r:id="rId494">
        <w:r>
          <w:rPr>
            <w:rStyle w:val="Hyperlink"/>
          </w:rPr>
          <w:t xml:space="preserve">https://data.worldbank.org/indicator/NE.TRD.GNFS.ZS</w:t>
        </w:r>
      </w:hyperlink>
      <w:r>
        <w:t xml:space="preserve">.</w:t>
      </w:r>
    </w:p>
    <w:bookmarkEnd w:id="495"/>
    <w:bookmarkStart w:id="497"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496">
        <w:r>
          <w:rPr>
            <w:rStyle w:val="Hyperlink"/>
          </w:rPr>
          <w:t xml:space="preserve">https://www.bankinter.com/blog/economia/leer-rating-agencias-calificacion-financiera</w:t>
        </w:r>
      </w:hyperlink>
      <w:r>
        <w:t xml:space="preserve">.</w:t>
      </w:r>
    </w:p>
    <w:bookmarkEnd w:id="497"/>
    <w:bookmarkStart w:id="499"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498">
        <w:r>
          <w:rPr>
            <w:rStyle w:val="Hyperlink"/>
          </w:rPr>
          <w:t xml:space="preserve">https://doi.org/10.1086/260266</w:t>
        </w:r>
      </w:hyperlink>
      <w:r>
        <w:t xml:space="preserve">.</w:t>
      </w:r>
    </w:p>
    <w:bookmarkEnd w:id="499"/>
    <w:bookmarkStart w:id="501"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500">
        <w:r>
          <w:rPr>
            <w:rStyle w:val="Hyperlink"/>
          </w:rPr>
          <w:t xml:space="preserve">https://www.bis.org/bcbs/publ/d424.htm</w:t>
        </w:r>
      </w:hyperlink>
      <w:r>
        <w:t xml:space="preserve">.</w:t>
      </w:r>
    </w:p>
    <w:bookmarkEnd w:id="501"/>
    <w:bookmarkStart w:id="502" w:name="ref_BernankeGertler1995"/>
    <w:p>
      <w:pPr>
        <w:pStyle w:val="Bibliography"/>
      </w:pPr>
      <w:r>
        <w:t xml:space="preserve">Bernanke, Ben S. y Mark Gertler (1995).</w:t>
      </w:r>
      <w:r>
        <w:t xml:space="preserve"> </w:t>
      </w:r>
      <w:r>
        <w:t xml:space="preserve">«Inside the Black Box: The Credit Channel of Monetary Policy Transmission»</w:t>
      </w:r>
      <w:r>
        <w:t xml:space="preserve">.</w:t>
      </w:r>
      <w:r>
        <w:t xml:space="preserve"> </w:t>
      </w:r>
      <w:r>
        <w:rPr>
          <w:i/>
          <w:iCs/>
        </w:rPr>
        <w:t xml:space="preserve">Journal of Economic Perspectives</w:t>
      </w:r>
      <w:r>
        <w:t xml:space="preserve"> </w:t>
      </w:r>
      <w:r>
        <w:t xml:space="preserve">9 (4): 27-48.</w:t>
      </w:r>
    </w:p>
    <w:bookmarkEnd w:id="502"/>
    <w:bookmarkStart w:id="504" w:name="ref_Biddle2014LaborHoarding"/>
    <w:p>
      <w:pPr>
        <w:pStyle w:val="Bibliography"/>
      </w:pPr>
      <w:r>
        <w:t xml:space="preserve">Biddle, Jeff E. (2014).</w:t>
      </w:r>
      <w:r>
        <w:t xml:space="preserve"> </w:t>
      </w:r>
      <w:r>
        <w:t xml:space="preserve">«Retrospectives: The Cyclical Behavior of Labor Productivity and the Emergence of the Labor Hoarding Concept»</w:t>
      </w:r>
      <w:r>
        <w:t xml:space="preserve">.</w:t>
      </w:r>
      <w:r>
        <w:t xml:space="preserve"> </w:t>
      </w:r>
      <w:r>
        <w:rPr>
          <w:i/>
          <w:iCs/>
        </w:rPr>
        <w:t xml:space="preserve">Journal of Economic Perspectives</w:t>
      </w:r>
      <w:r>
        <w:t xml:space="preserve"> </w:t>
      </w:r>
      <w:r>
        <w:t xml:space="preserve">28 (2): 197-212.</w:t>
      </w:r>
      <w:r>
        <w:t xml:space="preserve"> </w:t>
      </w:r>
      <w:hyperlink r:id="rId503">
        <w:r>
          <w:rPr>
            <w:rStyle w:val="Hyperlink"/>
          </w:rPr>
          <w:t xml:space="preserve">https://doi.org/10.1257/jep.28.2.197</w:t>
        </w:r>
      </w:hyperlink>
      <w:r>
        <w:t xml:space="preserve">.</w:t>
      </w:r>
    </w:p>
    <w:bookmarkEnd w:id="504"/>
    <w:bookmarkStart w:id="506"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505">
        <w:r>
          <w:rPr>
            <w:rStyle w:val="Hyperlink"/>
          </w:rPr>
          <w:t xml:space="preserve">https://doi.org/10.1257/aer.109.4.1197</w:t>
        </w:r>
      </w:hyperlink>
      <w:r>
        <w:t xml:space="preserve">.</w:t>
      </w:r>
    </w:p>
    <w:bookmarkEnd w:id="506"/>
    <w:bookmarkStart w:id="508"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507">
        <w:r>
          <w:rPr>
            <w:rStyle w:val="Hyperlink"/>
          </w:rPr>
          <w:t xml:space="preserve">https://doi.org/10.2307/2534495</w:t>
        </w:r>
      </w:hyperlink>
      <w:r>
        <w:t xml:space="preserve">.</w:t>
      </w:r>
    </w:p>
    <w:bookmarkEnd w:id="508"/>
    <w:bookmarkStart w:id="509" w:name="ref_BlanchardLeigh2013"/>
    <w:p>
      <w:pPr>
        <w:pStyle w:val="Bibliography"/>
      </w:pPr>
      <w:r>
        <w:t xml:space="preserve">Blanchard, Olivier J. y Daniel Leigh (2013).</w:t>
      </w:r>
      <w:r>
        <w:t xml:space="preserve"> </w:t>
      </w:r>
      <w:r>
        <w:t xml:space="preserve">«Growth Forecast Errors and Fiscal Multipliers»</w:t>
      </w:r>
      <w:r>
        <w:t xml:space="preserve">.</w:t>
      </w:r>
      <w:r>
        <w:t xml:space="preserve"> </w:t>
      </w:r>
      <w:r>
        <w:rPr>
          <w:i/>
          <w:iCs/>
        </w:rPr>
        <w:t xml:space="preserve">American Economic Review</w:t>
      </w:r>
      <w:r>
        <w:t xml:space="preserve"> </w:t>
      </w:r>
      <w:r>
        <w:t xml:space="preserve">103 (3): 117-20.</w:t>
      </w:r>
    </w:p>
    <w:bookmarkEnd w:id="509"/>
    <w:bookmarkStart w:id="510" w:name="ref_BlanchardGiavazzi2002"/>
    <w:p>
      <w:pPr>
        <w:pStyle w:val="Bibliography"/>
      </w:pPr>
      <w:r>
        <w:t xml:space="preserve">Blanchard, Olivier y Francesco Giavazzi (2002).</w:t>
      </w:r>
      <w:r>
        <w:t xml:space="preserve"> </w:t>
      </w:r>
      <w:r>
        <w:t xml:space="preserve">«Current Account Deficits in the Euro Area: The End of the</w:t>
      </w:r>
      <w:r>
        <w:t xml:space="preserve"> </w:t>
      </w:r>
      <w:r>
        <w:t xml:space="preserve">Feldstein-Horioka</w:t>
      </w:r>
      <w:r>
        <w:t xml:space="preserve"> </w:t>
      </w:r>
      <w:r>
        <w:t xml:space="preserve">Puzzle?»</w:t>
      </w:r>
      <w:r>
        <w:t xml:space="preserve"> </w:t>
      </w:r>
      <w:r>
        <w:rPr>
          <w:i/>
          <w:iCs/>
        </w:rPr>
        <w:t xml:space="preserve">Brookings Papers on Economic Activity</w:t>
      </w:r>
      <w:r>
        <w:t xml:space="preserve"> </w:t>
      </w:r>
      <w:r>
        <w:t xml:space="preserve">2002 (2): 147-209.</w:t>
      </w:r>
    </w:p>
    <w:bookmarkEnd w:id="510"/>
    <w:bookmarkStart w:id="512"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511">
        <w:r>
          <w:rPr>
            <w:rStyle w:val="Hyperlink"/>
          </w:rPr>
          <w:t xml:space="preserve">https://doi.org/10.1257/jep.5.1.73</w:t>
        </w:r>
      </w:hyperlink>
      <w:r>
        <w:t xml:space="preserve">.</w:t>
      </w:r>
    </w:p>
    <w:bookmarkEnd w:id="512"/>
    <w:bookmarkStart w:id="514" w:name="ref_BordoFilardo2005Deflacion"/>
    <w:p>
      <w:pPr>
        <w:pStyle w:val="Bibliography"/>
      </w:pPr>
      <w:r>
        <w:t xml:space="preserve">Bordo, Michael D. y Andrew Filardo (2005).</w:t>
      </w:r>
      <w:r>
        <w:t xml:space="preserve"> </w:t>
      </w:r>
      <w:r>
        <w:t xml:space="preserve">«Deflation in a Historical Perspective»</w:t>
      </w:r>
      <w:r>
        <w:t xml:space="preserve">. BIS Working Papers 186. Banco de Pagos Internacionales.</w:t>
      </w:r>
      <w:r>
        <w:t xml:space="preserve"> </w:t>
      </w:r>
      <w:hyperlink r:id="rId513">
        <w:r>
          <w:rPr>
            <w:rStyle w:val="Hyperlink"/>
          </w:rPr>
          <w:t xml:space="preserve">https://www.bis.org/publ/work186.htm</w:t>
        </w:r>
      </w:hyperlink>
      <w:r>
        <w:t xml:space="preserve">.</w:t>
      </w:r>
    </w:p>
    <w:bookmarkEnd w:id="514"/>
    <w:bookmarkStart w:id="516"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515">
        <w:r>
          <w:rPr>
            <w:rStyle w:val="Hyperlink"/>
          </w:rPr>
          <w:t xml:space="preserve">https://www.bbvaresearch.com/publicaciones/espana-la-economia-espanola-en-el-primer-ano-de-la-guerra-de-ucrania/</w:t>
        </w:r>
      </w:hyperlink>
      <w:r>
        <w:t xml:space="preserve">.</w:t>
      </w:r>
    </w:p>
    <w:bookmarkEnd w:id="516"/>
    <w:bookmarkStart w:id="518"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517">
        <w:r>
          <w:rPr>
            <w:rStyle w:val="Hyperlink"/>
          </w:rPr>
          <w:t xml:space="preserve">https://doi.org/10.2307/1344503</w:t>
        </w:r>
      </w:hyperlink>
      <w:r>
        <w:t xml:space="preserve">.</w:t>
      </w:r>
    </w:p>
    <w:bookmarkEnd w:id="518"/>
    <w:bookmarkStart w:id="519" w:name="ref_Calvo1991Esterilizacion"/>
    <w:p>
      <w:pPr>
        <w:pStyle w:val="Bibliography"/>
      </w:pPr>
      <w:r>
        <w:t xml:space="preserve">Calvo, Guillermo A. (1991).</w:t>
      </w:r>
      <w:r>
        <w:t xml:space="preserve"> </w:t>
      </w:r>
      <w:r>
        <w:t xml:space="preserve">«The Perils of Sterilization»</w:t>
      </w:r>
      <w:r>
        <w:t xml:space="preserve">.</w:t>
      </w:r>
      <w:r>
        <w:t xml:space="preserve"> </w:t>
      </w:r>
      <w:r>
        <w:rPr>
          <w:i/>
          <w:iCs/>
        </w:rPr>
        <w:t xml:space="preserve">IMF Staff Papers</w:t>
      </w:r>
      <w:r>
        <w:t xml:space="preserve"> </w:t>
      </w:r>
      <w:r>
        <w:t xml:space="preserve">38 (4): 921-26.</w:t>
      </w:r>
    </w:p>
    <w:bookmarkEnd w:id="519"/>
    <w:bookmarkStart w:id="521"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520">
        <w:r>
          <w:rPr>
            <w:rStyle w:val="Hyperlink"/>
          </w:rPr>
          <w:t xml:space="preserve">https://doi.org/10.1080/15140326.1998.12040516</w:t>
        </w:r>
      </w:hyperlink>
      <w:r>
        <w:t xml:space="preserve">.</w:t>
      </w:r>
    </w:p>
    <w:bookmarkEnd w:id="521"/>
    <w:bookmarkStart w:id="522" w:name="ref_CalvoLeidermanReinhart1993"/>
    <w:p>
      <w:pPr>
        <w:pStyle w:val="Bibliography"/>
      </w:pPr>
      <w:r>
        <w:t xml:space="preserve">Calvo, Guillermo A., Leonardo Leiderman y Carmen M. Reinhart (1993).</w:t>
      </w:r>
      <w:r>
        <w:t xml:space="preserve"> </w:t>
      </w:r>
      <w:r>
        <w:t xml:space="preserve">«Capital Inflows and Real Exchange Rate Appreciation in</w:t>
      </w:r>
      <w:r>
        <w:t xml:space="preserve"> </w:t>
      </w:r>
      <w:r>
        <w:t xml:space="preserve">Latin America</w:t>
      </w:r>
      <w:r>
        <w:t xml:space="preserve">: The Role of External Factors»</w:t>
      </w:r>
      <w:r>
        <w:t xml:space="preserve">.</w:t>
      </w:r>
      <w:r>
        <w:t xml:space="preserve"> </w:t>
      </w:r>
      <w:r>
        <w:rPr>
          <w:i/>
          <w:iCs/>
        </w:rPr>
        <w:t xml:space="preserve">IMF Staff Papers</w:t>
      </w:r>
      <w:r>
        <w:t xml:space="preserve"> </w:t>
      </w:r>
      <w:r>
        <w:t xml:space="preserve">40 (1): 108-51.</w:t>
      </w:r>
    </w:p>
    <w:bookmarkEnd w:id="522"/>
    <w:bookmarkStart w:id="524"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523">
        <w:r>
          <w:rPr>
            <w:rStyle w:val="Hyperlink"/>
          </w:rPr>
          <w:t xml:space="preserve">https://doi.org/10.1162/003355302753650274</w:t>
        </w:r>
      </w:hyperlink>
      <w:r>
        <w:t xml:space="preserve">.</w:t>
      </w:r>
    </w:p>
    <w:bookmarkEnd w:id="524"/>
    <w:bookmarkStart w:id="526"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525">
        <w:r>
          <w:rPr>
            <w:rStyle w:val="Hyperlink"/>
          </w:rPr>
          <w:t xml:space="preserve">https://doi.org/10.1162/003465305775098189</w:t>
        </w:r>
      </w:hyperlink>
      <w:r>
        <w:t xml:space="preserve">.</w:t>
      </w:r>
    </w:p>
    <w:bookmarkEnd w:id="526"/>
    <w:bookmarkStart w:id="527" w:name="ref_CampbellShiller1998"/>
    <w:p>
      <w:pPr>
        <w:pStyle w:val="Bibliography"/>
      </w:pPr>
      <w:r>
        <w:t xml:space="preserve">Campbell, John Y. y Robert J. Shiller (1998).</w:t>
      </w:r>
      <w:r>
        <w:t xml:space="preserve"> </w:t>
      </w:r>
      <w:r>
        <w:t xml:space="preserve">«Valuation Ratios and the Long-Run Stock Market Outlook»</w:t>
      </w:r>
      <w:r>
        <w:t xml:space="preserve">.</w:t>
      </w:r>
      <w:r>
        <w:t xml:space="preserve"> </w:t>
      </w:r>
      <w:r>
        <w:rPr>
          <w:i/>
          <w:iCs/>
        </w:rPr>
        <w:t xml:space="preserve">Journal of Portfolio Management</w:t>
      </w:r>
      <w:r>
        <w:t xml:space="preserve"> </w:t>
      </w:r>
      <w:r>
        <w:t xml:space="preserve">24 (2): 11-26.</w:t>
      </w:r>
    </w:p>
    <w:bookmarkEnd w:id="527"/>
    <w:bookmarkStart w:id="529"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528">
        <w:r>
          <w:rPr>
            <w:rStyle w:val="Hyperlink"/>
          </w:rPr>
          <w:t xml:space="preserve">https://doi.org/10.1093/jeea/jvx028</w:t>
        </w:r>
      </w:hyperlink>
      <w:r>
        <w:t xml:space="preserve">.</w:t>
      </w:r>
    </w:p>
    <w:bookmarkEnd w:id="529"/>
    <w:bookmarkStart w:id="530"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530"/>
    <w:bookmarkStart w:id="532"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531">
        <w:r>
          <w:rPr>
            <w:rStyle w:val="Hyperlink"/>
          </w:rPr>
          <w:t xml:space="preserve">https://doi.org/10.1016/j.jinteco.2014.05.003</w:t>
        </w:r>
      </w:hyperlink>
      <w:r>
        <w:t xml:space="preserve">.</w:t>
      </w:r>
    </w:p>
    <w:bookmarkEnd w:id="532"/>
    <w:bookmarkStart w:id="534" w:name="ref_BCE2022RentaBaja"/>
    <w:p>
      <w:pPr>
        <w:pStyle w:val="Bibliography"/>
      </w:pPr>
      <w:r>
        <w:t xml:space="preserve">Charalampakis, Evangelos, Bruno Fagandini, Lukas Henkel y Chiara Osbat (2022).</w:t>
      </w:r>
      <w:r>
        <w:t xml:space="preserve"> </w:t>
      </w:r>
      <w:r>
        <w:t xml:space="preserve">«The Impact of the Recent Rise in Inflation on Low-Income Households»</w:t>
      </w:r>
      <w:r>
        <w:t xml:space="preserve">.</w:t>
      </w:r>
      <w:r>
        <w:t xml:space="preserve"> </w:t>
      </w:r>
      <w:r>
        <w:rPr>
          <w:i/>
          <w:iCs/>
        </w:rPr>
        <w:t xml:space="preserve">Boletín Económico del BCE</w:t>
      </w:r>
      <w:r>
        <w:t xml:space="preserve">, n.º 7/2022.</w:t>
      </w:r>
      <w:r>
        <w:t xml:space="preserve"> </w:t>
      </w:r>
      <w:hyperlink r:id="rId533">
        <w:r>
          <w:rPr>
            <w:rStyle w:val="Hyperlink"/>
          </w:rPr>
          <w:t xml:space="preserve">https://www.ecb.europa.eu/press/economic-bulletin/focus/2022/html/ecb.ebbox202207_04~a89ec1a6fe.en.html</w:t>
        </w:r>
      </w:hyperlink>
      <w:r>
        <w:t xml:space="preserve">.</w:t>
      </w:r>
    </w:p>
    <w:bookmarkEnd w:id="534"/>
    <w:bookmarkStart w:id="535" w:name="ref_Coenen2012Multiplicadores"/>
    <w:p>
      <w:pPr>
        <w:pStyle w:val="Bibliography"/>
      </w:pPr>
      <w:r>
        <w:t xml:space="preserve">Coenen, Günter, Christopher J. Erceg, Charles Freedman, Davide Furceri, Michael Kumhof, René Lalonde, Douglas Laxton, et al. (2012).</w:t>
      </w:r>
      <w:r>
        <w:t xml:space="preserve"> </w:t>
      </w:r>
      <w:r>
        <w:t xml:space="preserve">«Effects of Fiscal Stimulus in Structural Models»</w:t>
      </w:r>
      <w:r>
        <w:t xml:space="preserve">.</w:t>
      </w:r>
      <w:r>
        <w:t xml:space="preserve"> </w:t>
      </w:r>
      <w:r>
        <w:rPr>
          <w:i/>
          <w:iCs/>
        </w:rPr>
        <w:t xml:space="preserve">American Economic Journal: Macroeconomics</w:t>
      </w:r>
      <w:r>
        <w:t xml:space="preserve"> </w:t>
      </w:r>
      <w:r>
        <w:t xml:space="preserve">4 (1): 22-68.</w:t>
      </w:r>
    </w:p>
    <w:bookmarkEnd w:id="535"/>
    <w:bookmarkStart w:id="537"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536">
        <w:r>
          <w:rPr>
            <w:rStyle w:val="Hyperlink"/>
          </w:rPr>
          <w:t xml:space="preserve">https://eur-lex.europa.eu/legal-content/ES/TXT/?uri=CELEX:52015PC0586</w:t>
        </w:r>
      </w:hyperlink>
      <w:r>
        <w:t xml:space="preserve">.</w:t>
      </w:r>
    </w:p>
    <w:bookmarkEnd w:id="537"/>
    <w:bookmarkStart w:id="539" w:name="ref_CE2022REPowerEU"/>
    <w:p>
      <w:pPr>
        <w:pStyle w:val="Bibliography"/>
      </w:pPr>
      <w:r>
        <w:t xml:space="preserve">Comisión Europea (2022).</w:t>
      </w:r>
      <w:r>
        <w:t xml:space="preserve"> </w:t>
      </w:r>
      <w:r>
        <w:t xml:space="preserve">«Plan REPowerEU, COM(2022) 230 final»</w:t>
      </w:r>
      <w:r>
        <w:t xml:space="preserve">. 18 de mayo de 2022.</w:t>
      </w:r>
      <w:r>
        <w:t xml:space="preserve"> </w:t>
      </w:r>
      <w:hyperlink r:id="rId538">
        <w:r>
          <w:rPr>
            <w:rStyle w:val="Hyperlink"/>
          </w:rPr>
          <w:t xml:space="preserve">https://eur-lex.europa.eu/legal-content/ES/TXT/?uri=CELEX:52022DC0230</w:t>
        </w:r>
      </w:hyperlink>
      <w:r>
        <w:t xml:space="preserve">.</w:t>
      </w:r>
    </w:p>
    <w:bookmarkEnd w:id="539"/>
    <w:bookmarkStart w:id="541" w:name="ref_CE2024Envejecimiento"/>
    <w:p>
      <w:pPr>
        <w:pStyle w:val="Bibliography"/>
      </w:pPr>
      <w:r>
        <w:t xml:space="preserve">Comisión Europea (2024a).</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540">
        <w:r>
          <w:rPr>
            <w:rStyle w:val="Hyperlink"/>
          </w:rPr>
          <w:t xml:space="preserve">https://doi.org/10.2765/022983</w:t>
        </w:r>
      </w:hyperlink>
      <w:r>
        <w:t xml:space="preserve">.</w:t>
      </w:r>
    </w:p>
    <w:bookmarkEnd w:id="541"/>
    <w:bookmarkStart w:id="543" w:name="ref_CE2024AMR2025"/>
    <w:p>
      <w:pPr>
        <w:pStyle w:val="Bibliography"/>
      </w:pPr>
      <w:r>
        <w:t xml:space="preserve">Comisión Europea (2024b).</w:t>
      </w:r>
      <w:r>
        <w:t xml:space="preserve"> </w:t>
      </w:r>
      <w:r>
        <w:t xml:space="preserve">«Alert Mechanism Report 2025. Statistical annex and country sections»</w:t>
      </w:r>
      <w:r>
        <w:t xml:space="preserve">. 2024.</w:t>
      </w:r>
      <w:r>
        <w:t xml:space="preserve"> </w:t>
      </w:r>
      <w:hyperlink r:id="rId542">
        <w:r>
          <w:rPr>
            <w:rStyle w:val="Hyperlink"/>
          </w:rPr>
          <w:t xml:space="preserve">https://data.consilium.europa.eu/doc/document/ST-17077-2024-ADD-1/en/pdf</w:t>
        </w:r>
      </w:hyperlink>
      <w:r>
        <w:t xml:space="preserve">.</w:t>
      </w:r>
    </w:p>
    <w:bookmarkEnd w:id="543"/>
    <w:bookmarkStart w:id="545"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544">
        <w:r>
          <w:rPr>
            <w:rStyle w:val="Hyperlink"/>
          </w:rPr>
          <w:t xml:space="preserve">https://eur-lex.europa.eu/legal-content/EN/ALL/?uri=CELEX:52025DC0956</w:t>
        </w:r>
      </w:hyperlink>
      <w:r>
        <w:t xml:space="preserve">.</w:t>
      </w:r>
    </w:p>
    <w:bookmarkEnd w:id="545"/>
    <w:bookmarkStart w:id="547"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546">
        <w:r>
          <w:rPr>
            <w:rStyle w:val="Hyperlink"/>
          </w:rPr>
          <w:t xml:space="preserve">https://economy-finance.ec.europa.eu/economic-forecast-and-surveys/business-and-consumer-surveys_en</w:t>
        </w:r>
      </w:hyperlink>
      <w:r>
        <w:t xml:space="preserve">.</w:t>
      </w:r>
    </w:p>
    <w:bookmarkEnd w:id="547"/>
    <w:bookmarkStart w:id="548" w:name="ref_CE2025Defensa"/>
    <w:p>
      <w:pPr>
        <w:pStyle w:val="Bibliography"/>
      </w:pPr>
      <w:r>
        <w:t xml:space="preserve">Comisión Europea (2025c).</w:t>
      </w:r>
      <w:r>
        <w:t xml:space="preserve"> </w:t>
      </w:r>
      <w:r>
        <w:t xml:space="preserve">«Accommodating Increased Defence Expenditure within the Stability and Growth Pact, C(2025) 2000 final»</w:t>
      </w:r>
      <w:r>
        <w:t xml:space="preserve">. Comunicación. Comisión Europea.</w:t>
      </w:r>
    </w:p>
    <w:bookmarkEnd w:id="548"/>
    <w:bookmarkStart w:id="550"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549">
        <w:r>
          <w:rPr>
            <w:rStyle w:val="Hyperlink"/>
          </w:rPr>
          <w:t xml:space="preserve">https://economy-finance.ec.europa.eu/economic-research-and-databases/economic-databases/ameco-database_en</w:t>
        </w:r>
      </w:hyperlink>
      <w:r>
        <w:t xml:space="preserve">.</w:t>
      </w:r>
    </w:p>
    <w:bookmarkEnd w:id="550"/>
    <w:bookmarkStart w:id="552"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551">
        <w:r>
          <w:rPr>
            <w:rStyle w:val="Hyperlink"/>
          </w:rPr>
          <w:t xml:space="preserve">https://www.bis.org/publ/bcbs187.htm</w:t>
        </w:r>
      </w:hyperlink>
      <w:r>
        <w:t xml:space="preserve">.</w:t>
      </w:r>
    </w:p>
    <w:bookmarkEnd w:id="552"/>
    <w:bookmarkStart w:id="554"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553">
        <w:r>
          <w:rPr>
            <w:rStyle w:val="Hyperlink"/>
          </w:rPr>
          <w:t xml:space="preserve">https://www.bis.org/publ/bcbs189.htm</w:t>
        </w:r>
      </w:hyperlink>
      <w:r>
        <w:t xml:space="preserve">.</w:t>
      </w:r>
    </w:p>
    <w:bookmarkEnd w:id="554"/>
    <w:bookmarkStart w:id="556"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555">
        <w:r>
          <w:rPr>
            <w:rStyle w:val="Hyperlink"/>
          </w:rPr>
          <w:t xml:space="preserve">https://www.bis.org/publ/bcbs238.htm</w:t>
        </w:r>
      </w:hyperlink>
      <w:r>
        <w:t xml:space="preserve">.</w:t>
      </w:r>
    </w:p>
    <w:bookmarkEnd w:id="556"/>
    <w:bookmarkStart w:id="558"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557">
        <w:r>
          <w:rPr>
            <w:rStyle w:val="Hyperlink"/>
          </w:rPr>
          <w:t xml:space="preserve">https://www.bis.org/bcbs/publ/d295.htm</w:t>
        </w:r>
      </w:hyperlink>
      <w:r>
        <w:t xml:space="preserve">.</w:t>
      </w:r>
    </w:p>
    <w:bookmarkEnd w:id="558"/>
    <w:bookmarkStart w:id="560"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559">
        <w:r>
          <w:rPr>
            <w:rStyle w:val="Hyperlink"/>
          </w:rPr>
          <w:t xml:space="preserve">https://eur-lex.europa.eu/legal-content/ES/TXT/?uri=CELEX:32013R1024</w:t>
        </w:r>
      </w:hyperlink>
      <w:r>
        <w:t xml:space="preserve">.</w:t>
      </w:r>
    </w:p>
    <w:bookmarkEnd w:id="560"/>
    <w:bookmarkStart w:id="562"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561">
        <w:r>
          <w:rPr>
            <w:rStyle w:val="Hyperlink"/>
          </w:rPr>
          <w:t xml:space="preserve">https://eur-lex.europa.eu/eli/reg/2024/1264/oj</w:t>
        </w:r>
      </w:hyperlink>
      <w:r>
        <w:t xml:space="preserve">.</w:t>
      </w:r>
    </w:p>
    <w:bookmarkEnd w:id="562"/>
    <w:bookmarkStart w:id="564"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563">
        <w:r>
          <w:rPr>
            <w:rStyle w:val="Hyperlink"/>
          </w:rPr>
          <w:t xml:space="preserve">https://doi.org/10.2307/2232670</w:t>
        </w:r>
      </w:hyperlink>
      <w:r>
        <w:t xml:space="preserve">.</w:t>
      </w:r>
    </w:p>
    <w:bookmarkEnd w:id="564"/>
    <w:bookmarkStart w:id="565" w:name="ref_GuiaDictamenJLCT"/>
    <w:p>
      <w:pPr>
        <w:pStyle w:val="Bibliography"/>
      </w:pPr>
      <w:r>
        <w:t xml:space="preserve">Cordero Tarifa, Juan Luis (s. f.).</w:t>
      </w:r>
      <w:r>
        <w:t xml:space="preserve"> </w:t>
      </w:r>
      <w:r>
        <w:t xml:space="preserve">«Guía de dictamen económico»</w:t>
      </w:r>
      <w:r>
        <w:t xml:space="preserve">.</w:t>
      </w:r>
    </w:p>
    <w:bookmarkEnd w:id="565"/>
    <w:bookmarkStart w:id="566"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566"/>
    <w:bookmarkStart w:id="567" w:name="ref_DiamondDybvig1983"/>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p>
    <w:bookmarkEnd w:id="567"/>
    <w:bookmarkStart w:id="569"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568">
        <w:r>
          <w:rPr>
            <w:rStyle w:val="Hyperlink"/>
          </w:rPr>
          <w:t xml:space="preserve">https://doi.org/10.7208/chicago/9780226194578.003.0002</w:t>
        </w:r>
      </w:hyperlink>
      <w:r>
        <w:t xml:space="preserve">.</w:t>
      </w:r>
    </w:p>
    <w:bookmarkEnd w:id="569"/>
    <w:bookmarkStart w:id="571"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570">
        <w:r>
          <w:rPr>
            <w:rStyle w:val="Hyperlink"/>
          </w:rPr>
          <w:t xml:space="preserve">https://doi.org/10.1162/003465398557320</w:t>
        </w:r>
      </w:hyperlink>
      <w:r>
        <w:t xml:space="preserve">.</w:t>
      </w:r>
    </w:p>
    <w:bookmarkEnd w:id="571"/>
    <w:bookmarkStart w:id="573"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572">
        <w:r>
          <w:rPr>
            <w:rStyle w:val="Hyperlink"/>
          </w:rPr>
          <w:t xml:space="preserve">https://www.eba.europa.eu/risk-and-data-analysis/risk-analysis/risk-monitoring/risk-dashboard</w:t>
        </w:r>
      </w:hyperlink>
      <w:r>
        <w:t xml:space="preserve">.</w:t>
      </w:r>
    </w:p>
    <w:bookmarkEnd w:id="573"/>
    <w:bookmarkStart w:id="575"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574">
        <w:r>
          <w:rPr>
            <w:rStyle w:val="Hyperlink"/>
          </w:rPr>
          <w:t xml:space="preserve">https://www.eba.europa.eu/sites/default/files/2026-09/26394108-1837-4b5b-bce2-fba1d3c574b1/EBA%20Dashboard%20-%20Q2%202026.pdf</w:t>
        </w:r>
      </w:hyperlink>
      <w:r>
        <w:t xml:space="preserve">.</w:t>
      </w:r>
    </w:p>
    <w:bookmarkEnd w:id="575"/>
    <w:bookmarkStart w:id="577"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576">
        <w:r>
          <w:rPr>
            <w:rStyle w:val="Hyperlink"/>
          </w:rPr>
          <w:t xml:space="preserve">https://commission.europa.eu/system/files/2021-06/2021_06_16_efb_assessment_of_euro_area_fiscal_stance_en.pdf</w:t>
        </w:r>
      </w:hyperlink>
      <w:r>
        <w:t xml:space="preserve">.</w:t>
      </w:r>
    </w:p>
    <w:bookmarkEnd w:id="577"/>
    <w:bookmarkStart w:id="579"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578">
        <w:r>
          <w:rPr>
            <w:rStyle w:val="Hyperlink"/>
          </w:rPr>
          <w:t xml:space="preserve">https://ec.europa.eu/eurostat/web/products-euro-indicators/-/2-22042013-ap</w:t>
        </w:r>
      </w:hyperlink>
      <w:r>
        <w:t xml:space="preserve">.</w:t>
      </w:r>
    </w:p>
    <w:bookmarkEnd w:id="579"/>
    <w:bookmarkStart w:id="581"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580">
        <w:r>
          <w:rPr>
            <w:rStyle w:val="Hyperlink"/>
          </w:rPr>
          <w:t xml:space="preserve">https://ec.europa.eu/eurostat/statistics-explained/index.php?title=Glossary:Housing_cost_overburden_rate</w:t>
        </w:r>
      </w:hyperlink>
      <w:r>
        <w:t xml:space="preserve">.</w:t>
      </w:r>
    </w:p>
    <w:bookmarkEnd w:id="581"/>
    <w:bookmarkStart w:id="583"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582">
        <w:r>
          <w:rPr>
            <w:rStyle w:val="Hyperlink"/>
          </w:rPr>
          <w:t xml:space="preserve">https://ec.europa.eu/eurostat/statistics-explained/index.php?title=The_Macroeconomic_Imbalance_Procedure_(MIP)_introduced</w:t>
        </w:r>
      </w:hyperlink>
      <w:r>
        <w:t xml:space="preserve">.</w:t>
      </w:r>
    </w:p>
    <w:bookmarkEnd w:id="583"/>
    <w:bookmarkStart w:id="585"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584">
        <w:r>
          <w:rPr>
            <w:rStyle w:val="Hyperlink"/>
          </w:rPr>
          <w:t xml:space="preserve">https://ec.europa.eu/eurostat/databrowser/view/lfsq_argan/default/table</w:t>
        </w:r>
      </w:hyperlink>
      <w:r>
        <w:t xml:space="preserve">.</w:t>
      </w:r>
    </w:p>
    <w:bookmarkEnd w:id="585"/>
    <w:bookmarkStart w:id="587"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586">
        <w:r>
          <w:rPr>
            <w:rStyle w:val="Hyperlink"/>
          </w:rPr>
          <w:t xml:space="preserve">https://ec.europa.eu/eurostat/databrowser/view/lfsa_argan/default/table</w:t>
        </w:r>
      </w:hyperlink>
      <w:r>
        <w:t xml:space="preserve">.</w:t>
      </w:r>
    </w:p>
    <w:bookmarkEnd w:id="587"/>
    <w:bookmarkStart w:id="589"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588">
        <w:r>
          <w:rPr>
            <w:rStyle w:val="Hyperlink"/>
          </w:rPr>
          <w:t xml:space="preserve">https://ec.europa.eu/eurostat/databrowser/view/namq_10_a10_e/default/table</w:t>
        </w:r>
      </w:hyperlink>
      <w:r>
        <w:t xml:space="preserve">.</w:t>
      </w:r>
    </w:p>
    <w:bookmarkEnd w:id="589"/>
    <w:bookmarkStart w:id="591"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590">
        <w:r>
          <w:rPr>
            <w:rStyle w:val="Hyperlink"/>
          </w:rPr>
          <w:t xml:space="preserve">https://ec.europa.eu/eurostat/databrowser/view/namq_10_gdp/default/table</w:t>
        </w:r>
      </w:hyperlink>
      <w:r>
        <w:t xml:space="preserve">.</w:t>
      </w:r>
    </w:p>
    <w:bookmarkEnd w:id="591"/>
    <w:bookmarkStart w:id="593"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592">
        <w:r>
          <w:rPr>
            <w:rStyle w:val="Hyperlink"/>
          </w:rPr>
          <w:t xml:space="preserve">https://ec.europa.eu/eurostat/databrowser/view/nama_10_gdp/default/table</w:t>
        </w:r>
      </w:hyperlink>
      <w:r>
        <w:t xml:space="preserve">.</w:t>
      </w:r>
    </w:p>
    <w:bookmarkEnd w:id="593"/>
    <w:bookmarkStart w:id="595"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594">
        <w:r>
          <w:rPr>
            <w:rStyle w:val="Hyperlink"/>
          </w:rPr>
          <w:t xml:space="preserve">https://ec.europa.eu/eurostat/databrowser/view/nama_10_a10/default/table</w:t>
        </w:r>
      </w:hyperlink>
      <w:r>
        <w:t xml:space="preserve">.</w:t>
      </w:r>
    </w:p>
    <w:bookmarkEnd w:id="595"/>
    <w:bookmarkStart w:id="597"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596">
        <w:r>
          <w:rPr>
            <w:rStyle w:val="Hyperlink"/>
          </w:rPr>
          <w:t xml:space="preserve">https://ec.europa.eu/eurostat/databrowser/view/prc_hicp_minr/default/table</w:t>
        </w:r>
      </w:hyperlink>
      <w:r>
        <w:t xml:space="preserve">.</w:t>
      </w:r>
    </w:p>
    <w:bookmarkEnd w:id="597"/>
    <w:bookmarkStart w:id="599"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598">
        <w:r>
          <w:rPr>
            <w:rStyle w:val="Hyperlink"/>
          </w:rPr>
          <w:t xml:space="preserve">https://ec.europa.eu/eurostat/databrowser/view/jvs_q_r21/default/table</w:t>
        </w:r>
      </w:hyperlink>
      <w:r>
        <w:t xml:space="preserve">.</w:t>
      </w:r>
    </w:p>
    <w:bookmarkEnd w:id="599"/>
    <w:bookmarkStart w:id="601"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600">
        <w:r>
          <w:rPr>
            <w:rStyle w:val="Hyperlink"/>
          </w:rPr>
          <w:t xml:space="preserve">https://ec.europa.eu/eurostat/databrowser/view/une_rt_q/default/table</w:t>
        </w:r>
      </w:hyperlink>
      <w:r>
        <w:t xml:space="preserve">.</w:t>
      </w:r>
    </w:p>
    <w:bookmarkEnd w:id="601"/>
    <w:bookmarkStart w:id="603"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602">
        <w:r>
          <w:rPr>
            <w:rStyle w:val="Hyperlink"/>
          </w:rPr>
          <w:t xml:space="preserve">https://doi.org/10.1093/qje/qjz036</w:t>
        </w:r>
      </w:hyperlink>
      <w:r>
        <w:t xml:space="preserve">.</w:t>
      </w:r>
    </w:p>
    <w:bookmarkEnd w:id="603"/>
    <w:bookmarkStart w:id="605"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604">
        <w:r>
          <w:rPr>
            <w:rStyle w:val="Hyperlink"/>
          </w:rPr>
          <w:t xml:space="preserve">https://www.levyinstitute.org/pubs/wp_651.pdf</w:t>
        </w:r>
      </w:hyperlink>
      <w:r>
        <w:t xml:space="preserve">.</w:t>
      </w:r>
    </w:p>
    <w:bookmarkEnd w:id="605"/>
    <w:bookmarkStart w:id="607" w:name="ref_Fisher1933"/>
    <w:p>
      <w:pPr>
        <w:pStyle w:val="Bibliography"/>
      </w:pPr>
      <w:r>
        <w:t xml:space="preserve">Fisher, Irving (1933).</w:t>
      </w:r>
      <w:r>
        <w:t xml:space="preserve"> </w:t>
      </w:r>
      <w:r>
        <w:t xml:space="preserve">«The Debt-Deflation Theory of Great Depressions»</w:t>
      </w:r>
      <w:r>
        <w:t xml:space="preserve">.</w:t>
      </w:r>
      <w:r>
        <w:t xml:space="preserve"> </w:t>
      </w:r>
      <w:r>
        <w:rPr>
          <w:i/>
          <w:iCs/>
        </w:rPr>
        <w:t xml:space="preserve">Econometrica</w:t>
      </w:r>
      <w:r>
        <w:t xml:space="preserve"> </w:t>
      </w:r>
      <w:r>
        <w:t xml:space="preserve">1 (4): 337-57.</w:t>
      </w:r>
      <w:r>
        <w:t xml:space="preserve"> </w:t>
      </w:r>
      <w:hyperlink r:id="rId606">
        <w:r>
          <w:rPr>
            <w:rStyle w:val="Hyperlink"/>
          </w:rPr>
          <w:t xml:space="preserve">https://doi.org/10.2307/1907327</w:t>
        </w:r>
      </w:hyperlink>
      <w:r>
        <w:t xml:space="preserve">.</w:t>
      </w:r>
    </w:p>
    <w:bookmarkEnd w:id="607"/>
    <w:bookmarkStart w:id="609"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608">
        <w:r>
          <w:rPr>
            <w:rStyle w:val="Hyperlink"/>
          </w:rPr>
          <w:t xml:space="preserve">https://www.imf.org/external/pubs/ft/bop/2007/pdf/bpm6.pdf</w:t>
        </w:r>
      </w:hyperlink>
      <w:r>
        <w:t xml:space="preserve">.</w:t>
      </w:r>
    </w:p>
    <w:bookmarkEnd w:id="609"/>
    <w:bookmarkStart w:id="611"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610">
        <w:r>
          <w:rPr>
            <w:rStyle w:val="Hyperlink"/>
          </w:rPr>
          <w:t xml:space="preserve">https://www.imf.org/external/np/pp/eng/2011/021411b.pdf</w:t>
        </w:r>
      </w:hyperlink>
      <w:r>
        <w:t xml:space="preserve">.</w:t>
      </w:r>
    </w:p>
    <w:bookmarkEnd w:id="611"/>
    <w:bookmarkStart w:id="613" w:name="ref_FMI2012VisionInstitucional"/>
    <w:p>
      <w:pPr>
        <w:pStyle w:val="Bibliography"/>
      </w:pPr>
      <w:r>
        <w:t xml:space="preserve">Fondo Monetario Internacional (2012).</w:t>
      </w:r>
      <w:r>
        <w:t xml:space="preserve"> </w:t>
      </w:r>
      <w:r>
        <w:t xml:space="preserve">«The Liberalization and Management of Capital Flows: An Institutional View»</w:t>
      </w:r>
      <w:r>
        <w:t xml:space="preserve">. Policy Paper. Fondo Monetario Internacional.</w:t>
      </w:r>
      <w:r>
        <w:t xml:space="preserve"> </w:t>
      </w:r>
      <w:hyperlink r:id="rId612">
        <w:r>
          <w:rPr>
            <w:rStyle w:val="Hyperlink"/>
          </w:rPr>
          <w:t xml:space="preserve">https://www.imf.org/external/np/pp/eng/2012/111412.pdf</w:t>
        </w:r>
      </w:hyperlink>
      <w:r>
        <w:t xml:space="preserve">.</w:t>
      </w:r>
    </w:p>
    <w:bookmarkEnd w:id="613"/>
    <w:bookmarkStart w:id="614"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614"/>
    <w:bookmarkStart w:id="615" w:name="ref_FMI2014DeudaExterna"/>
    <w:p>
      <w:pPr>
        <w:pStyle w:val="Bibliography"/>
      </w:pPr>
      <w:r>
        <w:t xml:space="preserve">Fondo Monetario Internacional (2014).</w:t>
      </w:r>
      <w:r>
        <w:t xml:space="preserve"> </w:t>
      </w:r>
      <w:r>
        <w:rPr>
          <w:i/>
          <w:iCs/>
        </w:rPr>
        <w:t xml:space="preserve">External Debt Statistics: Guide for Compilers and Users</w:t>
      </w:r>
      <w:r>
        <w:t xml:space="preserve">. Washington: Fondo Monetario Internacional.</w:t>
      </w:r>
    </w:p>
    <w:bookmarkEnd w:id="615"/>
    <w:bookmarkStart w:id="617" w:name="ref_FMI2018FiscalMonitor"/>
    <w:p>
      <w:pPr>
        <w:pStyle w:val="Bibliography"/>
      </w:pPr>
      <w:r>
        <w:t xml:space="preserve">Fondo Monetario Internacional (2018).</w:t>
      </w:r>
      <w:r>
        <w:t xml:space="preserve"> </w:t>
      </w:r>
      <w:r>
        <w:t xml:space="preserve">«Fiscal Monitor: Managing Public Wealth»</w:t>
      </w:r>
      <w:r>
        <w:t xml:space="preserve">. Fiscal Monitor. Fondo Monetario Internacional.</w:t>
      </w:r>
      <w:r>
        <w:t xml:space="preserve"> </w:t>
      </w:r>
      <w:hyperlink r:id="rId616">
        <w:r>
          <w:rPr>
            <w:rStyle w:val="Hyperlink"/>
          </w:rPr>
          <w:t xml:space="preserve">https://www.imf.org/en/Publications/FM/Issues/2018/10/04/fiscal-monitor-october-2018</w:t>
        </w:r>
      </w:hyperlink>
      <w:r>
        <w:t xml:space="preserve">.</w:t>
      </w:r>
    </w:p>
    <w:bookmarkEnd w:id="617"/>
    <w:bookmarkStart w:id="618" w:name="ref_FMI2021DSA"/>
    <w:p>
      <w:pPr>
        <w:pStyle w:val="Bibliography"/>
      </w:pPr>
      <w:r>
        <w:t xml:space="preserve">Fondo Monetario Internacional (2021a).</w:t>
      </w:r>
      <w:r>
        <w:t xml:space="preserve"> </w:t>
      </w:r>
      <w:r>
        <w:t xml:space="preserve">«Review of the Debt Sustainability Framework for Market Access Countries»</w:t>
      </w:r>
      <w:r>
        <w:t xml:space="preserve">. Policy Paper 2021/003. Fondo Monetario Internacional.</w:t>
      </w:r>
    </w:p>
    <w:bookmarkEnd w:id="618"/>
    <w:bookmarkStart w:id="619" w:name="ref_FMI2021WEOabr"/>
    <w:p>
      <w:pPr>
        <w:pStyle w:val="Bibliography"/>
      </w:pPr>
      <w:r>
        <w:t xml:space="preserve">Fondo Monetario Internacional (2021b).</w:t>
      </w:r>
      <w:r>
        <w:t xml:space="preserve"> </w:t>
      </w:r>
      <w:r>
        <w:t xml:space="preserve">«World Economic Outlook, April 2021: Managing Divergent Recoveries»</w:t>
      </w:r>
      <w:r>
        <w:t xml:space="preserve">. Informe. Fondo Monetario Internacional.</w:t>
      </w:r>
    </w:p>
    <w:bookmarkEnd w:id="619"/>
    <w:bookmarkStart w:id="620" w:name="ref_FMI2021WEOoct"/>
    <w:p>
      <w:pPr>
        <w:pStyle w:val="Bibliography"/>
      </w:pPr>
      <w:r>
        <w:t xml:space="preserve">Fondo Monetario Internacional (2021c).</w:t>
      </w:r>
      <w:r>
        <w:t xml:space="preserve"> </w:t>
      </w:r>
      <w:r>
        <w:t xml:space="preserve">«World Economic Outlook, October 2021: Recovery during a Pandemic. Health Concerns, Supply Disruptions, and Price Pressures»</w:t>
      </w:r>
      <w:r>
        <w:t xml:space="preserve">. Informe. Fondo Monetario Internacional.</w:t>
      </w:r>
    </w:p>
    <w:bookmarkEnd w:id="620"/>
    <w:bookmarkStart w:id="622"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621">
        <w:r>
          <w:rPr>
            <w:rStyle w:val="Hyperlink"/>
          </w:rPr>
          <w:t xml:space="preserve">https://www.edx.org/es/learn/finance/the-international-monetary-fund-financial-programming-and-policies-part-1-macroeconomic-accounts-analysis</w:t>
        </w:r>
      </w:hyperlink>
      <w:r>
        <w:t xml:space="preserve">.</w:t>
      </w:r>
    </w:p>
    <w:bookmarkEnd w:id="622"/>
    <w:bookmarkStart w:id="624"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623">
        <w:r>
          <w:rPr>
            <w:rStyle w:val="Hyperlink"/>
          </w:rPr>
          <w:t xml:space="preserve">https://www.edx.org/es/course/programacion-y-politicas-financieras-parte-1-cue-2</w:t>
        </w:r>
      </w:hyperlink>
      <w:r>
        <w:t xml:space="preserve">.</w:t>
      </w:r>
    </w:p>
    <w:bookmarkEnd w:id="624"/>
    <w:bookmarkStart w:id="625" w:name="ref_FMI2022WEOabr"/>
    <w:p>
      <w:pPr>
        <w:pStyle w:val="Bibliography"/>
      </w:pPr>
      <w:r>
        <w:t xml:space="preserve">Fondo Monetario Internacional (2022c).</w:t>
      </w:r>
      <w:r>
        <w:t xml:space="preserve"> </w:t>
      </w:r>
      <w:r>
        <w:t xml:space="preserve">«World Economic Outlook, April 2022: War Sets Back the Global Recovery»</w:t>
      </w:r>
      <w:r>
        <w:t xml:space="preserve">. Informe. Fondo Monetario Internacional.</w:t>
      </w:r>
    </w:p>
    <w:bookmarkEnd w:id="625"/>
    <w:bookmarkStart w:id="627"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626">
        <w:r>
          <w:rPr>
            <w:rStyle w:val="Hyperlink"/>
          </w:rPr>
          <w:t xml:space="preserve">https://www.imf.org/es/Publications/FM/Issues/2023/04/03/fiscal-monitor-april-2023</w:t>
        </w:r>
      </w:hyperlink>
      <w:r>
        <w:t xml:space="preserve">.</w:t>
      </w:r>
    </w:p>
    <w:bookmarkEnd w:id="627"/>
    <w:bookmarkStart w:id="629"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628">
        <w:r>
          <w:rPr>
            <w:rStyle w:val="Hyperlink"/>
          </w:rPr>
          <w:t xml:space="preserve">https://doi.org/10.5089/9798400230622.002.A001</w:t>
        </w:r>
      </w:hyperlink>
      <w:r>
        <w:t xml:space="preserve">.</w:t>
      </w:r>
    </w:p>
    <w:bookmarkEnd w:id="629"/>
    <w:bookmarkStart w:id="631"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630">
        <w:r>
          <w:rPr>
            <w:rStyle w:val="Hyperlink"/>
          </w:rPr>
          <w:t xml:space="preserve">https://www.imf.org/en/news/articles/2025/03/20/pr25072-imf-and-statistical-community-release-new-global-standards-for-macroeconomic-stats</w:t>
        </w:r>
      </w:hyperlink>
      <w:r>
        <w:t xml:space="preserve">.</w:t>
      </w:r>
    </w:p>
    <w:bookmarkEnd w:id="631"/>
    <w:bookmarkStart w:id="633"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632">
        <w:r>
          <w:rPr>
            <w:rStyle w:val="Hyperlink"/>
          </w:rPr>
          <w:t xml:space="preserve">https://www.imf.org/en/About/Factsheets/Sheets/2023/IMF-Conditionality</w:t>
        </w:r>
      </w:hyperlink>
      <w:r>
        <w:t xml:space="preserve">.</w:t>
      </w:r>
    </w:p>
    <w:bookmarkEnd w:id="633"/>
    <w:bookmarkStart w:id="635"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634">
        <w:r>
          <w:rPr>
            <w:rStyle w:val="Hyperlink"/>
          </w:rPr>
          <w:t xml:space="preserve">https://data.imf.org/en/Dashboards/FM%20Dashboard</w:t>
        </w:r>
      </w:hyperlink>
      <w:r>
        <w:t xml:space="preserve">.</w:t>
      </w:r>
    </w:p>
    <w:bookmarkEnd w:id="635"/>
    <w:bookmarkStart w:id="637"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636">
        <w:r>
          <w:rPr>
            <w:rStyle w:val="Hyperlink"/>
          </w:rPr>
          <w:t xml:space="preserve">https://www.imf.org/en/About/executive-board/Article-IV</w:t>
        </w:r>
      </w:hyperlink>
      <w:r>
        <w:t xml:space="preserve">.</w:t>
      </w:r>
    </w:p>
    <w:bookmarkEnd w:id="637"/>
    <w:bookmarkStart w:id="639"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638">
        <w:r>
          <w:rPr>
            <w:rStyle w:val="Hyperlink"/>
          </w:rPr>
          <w:t xml:space="preserve">https://www.imf.org/en/publications/cr/issues/2026/05/21/spain-2026-article-iv-consultation-press-release-staff-report-and-statement-by-the-576248</w:t>
        </w:r>
      </w:hyperlink>
      <w:r>
        <w:t xml:space="preserve">.</w:t>
      </w:r>
    </w:p>
    <w:bookmarkEnd w:id="639"/>
    <w:bookmarkStart w:id="641"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640">
        <w:r>
          <w:rPr>
            <w:rStyle w:val="Hyperlink"/>
          </w:rPr>
          <w:t xml:space="preserve">https://www.imf.org/en/publications/weo/issues/2026/10/13/world-economic-outlook-october-2026</w:t>
        </w:r>
      </w:hyperlink>
      <w:r>
        <w:t xml:space="preserve">.</w:t>
      </w:r>
    </w:p>
    <w:bookmarkEnd w:id="641"/>
    <w:bookmarkStart w:id="642"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642"/>
    <w:bookmarkStart w:id="644"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643">
        <w:r>
          <w:rPr>
            <w:rStyle w:val="Hyperlink"/>
          </w:rPr>
          <w:t xml:space="preserve">https://doi.org/10.1086/654131</w:t>
        </w:r>
      </w:hyperlink>
      <w:r>
        <w:t xml:space="preserve">.</w:t>
      </w:r>
    </w:p>
    <w:bookmarkEnd w:id="644"/>
    <w:bookmarkStart w:id="646"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645">
        <w:r>
          <w:rPr>
            <w:rStyle w:val="Hyperlink"/>
          </w:rPr>
          <w:t xml:space="preserve">https://doi.org/10.1257/aer.20171201</w:t>
        </w:r>
      </w:hyperlink>
      <w:r>
        <w:t xml:space="preserve">.</w:t>
      </w:r>
    </w:p>
    <w:bookmarkEnd w:id="646"/>
    <w:bookmarkStart w:id="648"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647">
        <w:r>
          <w:rPr>
            <w:rStyle w:val="Hyperlink"/>
          </w:rPr>
          <w:t xml:space="preserve">https://doi.org/10.1111/j.1468-0335.2009.00815.x</w:t>
        </w:r>
      </w:hyperlink>
      <w:r>
        <w:t xml:space="preserve">.</w:t>
      </w:r>
    </w:p>
    <w:bookmarkEnd w:id="648"/>
    <w:bookmarkStart w:id="649" w:name="ref_GrubelLloyd1975"/>
    <w:p>
      <w:pPr>
        <w:pStyle w:val="Bibliography"/>
      </w:pPr>
      <w:r>
        <w:t xml:space="preserve">Grubel, Herbert G. y Peter J. Lloyd (1975).</w:t>
      </w:r>
      <w:r>
        <w:t xml:space="preserve"> </w:t>
      </w:r>
      <w:r>
        <w:rPr>
          <w:i/>
          <w:iCs/>
        </w:rPr>
        <w:t xml:space="preserve">Intra-Industry Trade: The Theory and Measurement of International Trade in Differentiated Products</w:t>
      </w:r>
      <w:r>
        <w:t xml:space="preserve">. Londres: Macmillan.</w:t>
      </w:r>
    </w:p>
    <w:bookmarkEnd w:id="649"/>
    <w:bookmarkStart w:id="651"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650">
        <w:r>
          <w:rPr>
            <w:rStyle w:val="Hyperlink"/>
          </w:rPr>
          <w:t xml:space="preserve">https://doi.org/10.1111/jeea.12083</w:t>
        </w:r>
      </w:hyperlink>
      <w:r>
        <w:t xml:space="preserve">.</w:t>
      </w:r>
    </w:p>
    <w:bookmarkEnd w:id="651"/>
    <w:bookmarkStart w:id="653"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652">
        <w:r>
          <w:rPr>
            <w:rStyle w:val="Hyperlink"/>
          </w:rPr>
          <w:t xml:space="preserve">https://doi.org/10.1086/260724</w:t>
        </w:r>
      </w:hyperlink>
      <w:r>
        <w:t xml:space="preserve">.</w:t>
      </w:r>
    </w:p>
    <w:bookmarkEnd w:id="653"/>
    <w:bookmarkStart w:id="655"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654">
        <w:r>
          <w:rPr>
            <w:rStyle w:val="Hyperlink"/>
          </w:rPr>
          <w:t xml:space="preserve">https://doi.org/10.2765/71437</w:t>
        </w:r>
      </w:hyperlink>
      <w:r>
        <w:t xml:space="preserve">.</w:t>
      </w:r>
    </w:p>
    <w:bookmarkEnd w:id="655"/>
    <w:bookmarkStart w:id="656" w:name="ref_HavranekRusnak2013"/>
    <w:p>
      <w:pPr>
        <w:pStyle w:val="Bibliography"/>
      </w:pPr>
      <w:r>
        <w:t xml:space="preserve">Havranek, Tomas y Marek Rusnak (2013).</w:t>
      </w:r>
      <w:r>
        <w:t xml:space="preserve"> </w:t>
      </w:r>
      <w:r>
        <w:t xml:space="preserve">«Transmission Lags of Monetary Policy: A Meta-Analysis»</w:t>
      </w:r>
      <w:r>
        <w:t xml:space="preserve">.</w:t>
      </w:r>
      <w:r>
        <w:t xml:space="preserve"> </w:t>
      </w:r>
      <w:r>
        <w:rPr>
          <w:i/>
          <w:iCs/>
        </w:rPr>
        <w:t xml:space="preserve">International Journal of Central Banking</w:t>
      </w:r>
      <w:r>
        <w:t xml:space="preserve"> </w:t>
      </w:r>
      <w:r>
        <w:t xml:space="preserve">9 (4): 39-75.</w:t>
      </w:r>
    </w:p>
    <w:bookmarkEnd w:id="656"/>
    <w:bookmarkStart w:id="658"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657">
        <w:r>
          <w:rPr>
            <w:rStyle w:val="Hyperlink"/>
          </w:rPr>
          <w:t xml:space="preserve">https://doi.org/10.2307/2953682</w:t>
        </w:r>
      </w:hyperlink>
      <w:r>
        <w:t xml:space="preserve">.</w:t>
      </w:r>
    </w:p>
    <w:bookmarkEnd w:id="658"/>
    <w:bookmarkStart w:id="660"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659">
        <w:r>
          <w:rPr>
            <w:rStyle w:val="Hyperlink"/>
          </w:rPr>
          <w:t xml:space="preserve">https://www.ine.es/dyngs/INEbase/es/operacion.htm?c=Estadistica_C&amp;cid=1254736176918&amp;menu=metodologia&amp;idp=1254735976595</w:t>
        </w:r>
      </w:hyperlink>
      <w:r>
        <w:t xml:space="preserve">.</w:t>
      </w:r>
    </w:p>
    <w:bookmarkEnd w:id="660"/>
    <w:bookmarkStart w:id="662"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661">
        <w:r>
          <w:rPr>
            <w:rStyle w:val="Hyperlink"/>
          </w:rPr>
          <w:t xml:space="preserve">https://www.ine.es/metodologia/t25/metodologia_IPC_base_2025.pdf</w:t>
        </w:r>
      </w:hyperlink>
      <w:r>
        <w:t xml:space="preserve">.</w:t>
      </w:r>
    </w:p>
    <w:bookmarkEnd w:id="662"/>
    <w:bookmarkStart w:id="663" w:name="ref_Johnson1958"/>
    <w:p>
      <w:pPr>
        <w:pStyle w:val="Bibliography"/>
      </w:pPr>
      <w:r>
        <w:t xml:space="preserve">Johnson, Harry G. (1958).</w:t>
      </w:r>
      <w:r>
        <w:t xml:space="preserve"> </w:t>
      </w:r>
      <w:r>
        <w:t xml:space="preserve">«Towards a General Theory of the Balance of Payments»</w:t>
      </w:r>
      <w:r>
        <w:t xml:space="preserve">. En</w:t>
      </w:r>
      <w:r>
        <w:t xml:space="preserve"> </w:t>
      </w:r>
      <w:r>
        <w:rPr>
          <w:i/>
          <w:iCs/>
        </w:rPr>
        <w:t xml:space="preserve">International Trade and Economic Growth: Studies in Pure Theory</w:t>
      </w:r>
      <w:r>
        <w:t xml:space="preserve">, 153-68. Londres: George Allen &amp; Unwin.</w:t>
      </w:r>
    </w:p>
    <w:bookmarkEnd w:id="663"/>
    <w:bookmarkStart w:id="665"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664">
        <w:r>
          <w:rPr>
            <w:rStyle w:val="Hyperlink"/>
          </w:rPr>
          <w:t xml:space="preserve">https://www.esrb.europa.eu/pub/pdf/other/140303_esrb_handbook_mp.en.pdf</w:t>
        </w:r>
      </w:hyperlink>
      <w:r>
        <w:t xml:space="preserve">.</w:t>
      </w:r>
    </w:p>
    <w:bookmarkEnd w:id="665"/>
    <w:bookmarkStart w:id="666"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666"/>
    <w:bookmarkStart w:id="668"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667">
        <w:r>
          <w:rPr>
            <w:rStyle w:val="Hyperlink"/>
          </w:rPr>
          <w:t xml:space="preserve">https://doi.org/10.1086/ma.19.3585327</w:t>
        </w:r>
      </w:hyperlink>
      <w:r>
        <w:t xml:space="preserve">.</w:t>
      </w:r>
    </w:p>
    <w:bookmarkEnd w:id="668"/>
    <w:bookmarkStart w:id="669"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669"/>
    <w:bookmarkStart w:id="670" w:name="ref_KrugmanObstfeldMelitz2018"/>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670"/>
    <w:bookmarkStart w:id="671" w:name="ref_LaneMilesiFerretti2007"/>
    <w:p>
      <w:pPr>
        <w:pStyle w:val="Bibliography"/>
      </w:pPr>
      <w:r>
        <w:t xml:space="preserve">Lane, Philip R. y Gian Maria Milesi-Ferretti (2007).</w:t>
      </w:r>
      <w:r>
        <w:t xml:space="preserve"> </w:t>
      </w:r>
      <w:r>
        <w:t xml:space="preserve">«The External Wealth of Nations Mark</w:t>
      </w:r>
      <w:r>
        <w:t xml:space="preserve"> </w:t>
      </w:r>
      <w:r>
        <w:t xml:space="preserve">II</w:t>
      </w:r>
      <w:r>
        <w:t xml:space="preserve">: Revised and Extended Estimates of Foreign Assets and Liabilities, 1970–2004»</w:t>
      </w:r>
      <w:r>
        <w:t xml:space="preserve">.</w:t>
      </w:r>
      <w:r>
        <w:t xml:space="preserve"> </w:t>
      </w:r>
      <w:r>
        <w:rPr>
          <w:i/>
          <w:iCs/>
        </w:rPr>
        <w:t xml:space="preserve">Journal of International Economics</w:t>
      </w:r>
      <w:r>
        <w:t xml:space="preserve"> </w:t>
      </w:r>
      <w:r>
        <w:t xml:space="preserve">73 (2): 223-50.</w:t>
      </w:r>
    </w:p>
    <w:bookmarkEnd w:id="671"/>
    <w:bookmarkStart w:id="673"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672">
        <w:r>
          <w:rPr>
            <w:rStyle w:val="Hyperlink"/>
          </w:rPr>
          <w:t xml:space="preserve">https://doi.org/10.1016/0304-3932(91)90007-B</w:t>
        </w:r>
      </w:hyperlink>
      <w:r>
        <w:t xml:space="preserve">.</w:t>
      </w:r>
    </w:p>
    <w:bookmarkEnd w:id="673"/>
    <w:bookmarkStart w:id="674"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674"/>
    <w:bookmarkStart w:id="675"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675"/>
    <w:bookmarkStart w:id="677"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676">
        <w:r>
          <w:rPr>
            <w:rStyle w:val="Hyperlink"/>
          </w:rPr>
          <w:t xml:space="preserve">https://doi.org/10.2307/2534091</w:t>
        </w:r>
      </w:hyperlink>
      <w:r>
        <w:t xml:space="preserve">.</w:t>
      </w:r>
    </w:p>
    <w:bookmarkEnd w:id="677"/>
    <w:bookmarkStart w:id="679"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678">
        <w:r>
          <w:rPr>
            <w:rStyle w:val="Hyperlink"/>
          </w:rPr>
          <w:t xml:space="preserve">https://doi.org/10.1257/jep.35.1.3</w:t>
        </w:r>
      </w:hyperlink>
      <w:r>
        <w:t xml:space="preserve">.</w:t>
      </w:r>
    </w:p>
    <w:bookmarkEnd w:id="679"/>
    <w:bookmarkStart w:id="680" w:name="ref_Marshall1923"/>
    <w:p>
      <w:pPr>
        <w:pStyle w:val="Bibliography"/>
      </w:pPr>
      <w:r>
        <w:t xml:space="preserve">Marshall, Alfred (1923).</w:t>
      </w:r>
      <w:r>
        <w:t xml:space="preserve"> </w:t>
      </w:r>
      <w:r>
        <w:rPr>
          <w:i/>
          <w:iCs/>
        </w:rPr>
        <w:t xml:space="preserve">Money, Credit and Commerce</w:t>
      </w:r>
      <w:r>
        <w:t xml:space="preserve">. Londres: Macmillan.</w:t>
      </w:r>
    </w:p>
    <w:bookmarkEnd w:id="680"/>
    <w:bookmarkStart w:id="681" w:name="ref_McCandlessWeber1995"/>
    <w:p>
      <w:pPr>
        <w:pStyle w:val="Bibliography"/>
      </w:pPr>
      <w:r>
        <w:t xml:space="preserve">McCandless, George T. y Warren E. Weber (1995).</w:t>
      </w:r>
      <w:r>
        <w:t xml:space="preserve"> </w:t>
      </w:r>
      <w:r>
        <w:t xml:space="preserve">«Some Monetary Facts»</w:t>
      </w:r>
      <w:r>
        <w:t xml:space="preserve">.</w:t>
      </w:r>
      <w:r>
        <w:t xml:space="preserve"> </w:t>
      </w:r>
      <w:r>
        <w:rPr>
          <w:i/>
          <w:iCs/>
        </w:rPr>
        <w:t xml:space="preserve">Federal Reserve Bank of Minneapolis Quarterly Review</w:t>
      </w:r>
      <w:r>
        <w:t xml:space="preserve"> </w:t>
      </w:r>
      <w:r>
        <w:t xml:space="preserve">19 (3): 2-11.</w:t>
      </w:r>
    </w:p>
    <w:bookmarkEnd w:id="681"/>
    <w:bookmarkStart w:id="683"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682">
        <w:r>
          <w:rPr>
            <w:rStyle w:val="Hyperlink"/>
          </w:rPr>
          <w:t xml:space="preserve">https://www.boe.es/diario_boe/txt.php?id=BOE-A-2024-27439</w:t>
        </w:r>
      </w:hyperlink>
      <w:r>
        <w:t xml:space="preserve">.</w:t>
      </w:r>
    </w:p>
    <w:bookmarkEnd w:id="683"/>
    <w:bookmarkStart w:id="685"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684">
        <w:r>
          <w:rPr>
            <w:rStyle w:val="Hyperlink"/>
          </w:rPr>
          <w:t xml:space="preserve">https://www.boe.es/diario_boe/txt.php?id=BOE-A-2025-26902</w:t>
        </w:r>
      </w:hyperlink>
      <w:r>
        <w:t xml:space="preserve">.</w:t>
      </w:r>
    </w:p>
    <w:bookmarkEnd w:id="685"/>
    <w:bookmarkStart w:id="686"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686"/>
    <w:bookmarkStart w:id="688" w:name="ref_MorrisSchuknecht2007"/>
    <w:p>
      <w:pPr>
        <w:pStyle w:val="Bibliography"/>
      </w:pPr>
      <w:r>
        <w:t xml:space="preserve">Morris, Richard y Ludger Schuknecht (2007).</w:t>
      </w:r>
      <w:r>
        <w:t xml:space="preserve"> </w:t>
      </w:r>
      <w:r>
        <w:t xml:space="preserve">«Structural Balances and Revenue Windfalls: The Role of Asset Prices Revisited»</w:t>
      </w:r>
      <w:r>
        <w:t xml:space="preserve">. ECB Working Paper 737. Banco Central Europeo.</w:t>
      </w:r>
      <w:r>
        <w:t xml:space="preserve"> </w:t>
      </w:r>
      <w:hyperlink r:id="rId687">
        <w:r>
          <w:rPr>
            <w:rStyle w:val="Hyperlink"/>
          </w:rPr>
          <w:t xml:space="preserve">https://www.ecb.europa.eu/pub/pdf/scpwps/ecbwp737.pdf</w:t>
        </w:r>
      </w:hyperlink>
      <w:r>
        <w:t xml:space="preserve">.</w:t>
      </w:r>
    </w:p>
    <w:bookmarkEnd w:id="688"/>
    <w:bookmarkStart w:id="690"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689">
        <w:r>
          <w:rPr>
            <w:rStyle w:val="Hyperlink"/>
          </w:rPr>
          <w:t xml:space="preserve">https://www.nber.org/research/business-cycle-dating/business-cycle-dating-procedure-frequently-asked-questions</w:t>
        </w:r>
      </w:hyperlink>
      <w:r>
        <w:t xml:space="preserve">.</w:t>
      </w:r>
    </w:p>
    <w:bookmarkEnd w:id="690"/>
    <w:bookmarkStart w:id="692" w:name="ref_OCDE2023TiVA"/>
    <w:p>
      <w:pPr>
        <w:pStyle w:val="Bibliography"/>
      </w:pPr>
      <w:r>
        <w:t xml:space="preserve">OCDE (2023).</w:t>
      </w:r>
      <w:r>
        <w:t xml:space="preserve"> </w:t>
      </w:r>
      <w:r>
        <w:t xml:space="preserve">«Trade in Value Added (TiVA) database, 2023 edition»</w:t>
      </w:r>
      <w:r>
        <w:t xml:space="preserve">. 2023.</w:t>
      </w:r>
      <w:r>
        <w:t xml:space="preserve"> </w:t>
      </w:r>
      <w:hyperlink r:id="rId691">
        <w:r>
          <w:rPr>
            <w:rStyle w:val="Hyperlink"/>
          </w:rPr>
          <w:t xml:space="preserve">https://www.oecd.org/en/topics/sub-issues/trade-in-value-added.html</w:t>
        </w:r>
      </w:hyperlink>
      <w:r>
        <w:t xml:space="preserve">.</w:t>
      </w:r>
    </w:p>
    <w:bookmarkEnd w:id="692"/>
    <w:bookmarkStart w:id="694"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693">
        <w:r>
          <w:rPr>
            <w:rStyle w:val="Hyperlink"/>
          </w:rPr>
          <w:t xml:space="preserve">https://data-explorer.oecd.org/</w:t>
        </w:r>
      </w:hyperlink>
      <w:r>
        <w:t xml:space="preserve">.</w:t>
      </w:r>
    </w:p>
    <w:bookmarkEnd w:id="694"/>
    <w:bookmarkStart w:id="696"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695">
        <w:r>
          <w:rPr>
            <w:rStyle w:val="Hyperlink"/>
          </w:rPr>
          <w:t xml:space="preserve">https://www.oecd.org/en/publications/2026/06/oecd-economic-outlook-volume-2026-issue-1_8be0dba6.html</w:t>
        </w:r>
      </w:hyperlink>
      <w:r>
        <w:t xml:space="preserve">.</w:t>
      </w:r>
    </w:p>
    <w:bookmarkEnd w:id="696"/>
    <w:bookmarkStart w:id="697"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697"/>
    <w:bookmarkStart w:id="699"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698">
        <w:r>
          <w:rPr>
            <w:rStyle w:val="Hyperlink"/>
          </w:rPr>
          <w:t xml:space="preserve">https://www.ilo.org/resource/article/moving-towards-full-employment-interview-aurelio-parisotto</w:t>
        </w:r>
      </w:hyperlink>
      <w:r>
        <w:t xml:space="preserve">.</w:t>
      </w:r>
    </w:p>
    <w:bookmarkEnd w:id="699"/>
    <w:bookmarkStart w:id="701"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700">
        <w:r>
          <w:rPr>
            <w:rStyle w:val="Hyperlink"/>
          </w:rPr>
          <w:t xml:space="preserve">https://eur-lex.europa.eu/eli/dir/2013/36/oj</w:t>
        </w:r>
      </w:hyperlink>
      <w:r>
        <w:t xml:space="preserve">.</w:t>
      </w:r>
    </w:p>
    <w:bookmarkEnd w:id="701"/>
    <w:bookmarkStart w:id="703"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702">
        <w:r>
          <w:rPr>
            <w:rStyle w:val="Hyperlink"/>
          </w:rPr>
          <w:t xml:space="preserve">https://eur-lex.europa.eu/eli/reg/2013/575/oj</w:t>
        </w:r>
      </w:hyperlink>
      <w:r>
        <w:t xml:space="preserve">.</w:t>
      </w:r>
    </w:p>
    <w:bookmarkEnd w:id="703"/>
    <w:bookmarkStart w:id="705"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704">
        <w:r>
          <w:rPr>
            <w:rStyle w:val="Hyperlink"/>
          </w:rPr>
          <w:t xml:space="preserve">https://eur-lex.europa.eu/eli/reg/2013/549/oj</w:t>
        </w:r>
      </w:hyperlink>
      <w:r>
        <w:t xml:space="preserve">.</w:t>
      </w:r>
    </w:p>
    <w:bookmarkEnd w:id="705"/>
    <w:bookmarkStart w:id="707" w:name="ref_DirUE2014BRRD"/>
    <w:p>
      <w:pPr>
        <w:pStyle w:val="Bibliography"/>
      </w:pPr>
      <w:r>
        <w:t xml:space="preserve">Parlamento Europeo y Consejo de la Unión Europea (2014a).</w:t>
      </w:r>
      <w:r>
        <w:t xml:space="preserve"> </w:t>
      </w:r>
      <w:r>
        <w:t xml:space="preserve">«Directiva 2014/59/UE del Parlamento Europeo y del Consejo, de 15 de mayo de 2014, por la que se establece un marco para la reestructuración y la resolución de entidades de crédito y empresas de servicios de inversión»</w:t>
      </w:r>
      <w:r>
        <w:t xml:space="preserve">. 12 de junio de 2014.</w:t>
      </w:r>
      <w:r>
        <w:t xml:space="preserve"> </w:t>
      </w:r>
      <w:hyperlink r:id="rId706">
        <w:r>
          <w:rPr>
            <w:rStyle w:val="Hyperlink"/>
          </w:rPr>
          <w:t xml:space="preserve">https://eur-lex.europa.eu/legal-content/ES/TXT/?uri=CELEX:32014L0059</w:t>
        </w:r>
      </w:hyperlink>
      <w:r>
        <w:t xml:space="preserve">.</w:t>
      </w:r>
    </w:p>
    <w:bookmarkEnd w:id="707"/>
    <w:bookmarkStart w:id="709" w:name="ref_RegUE2014MUR"/>
    <w:p>
      <w:pPr>
        <w:pStyle w:val="Bibliography"/>
      </w:pPr>
      <w:r>
        <w:t xml:space="preserve">Parlamento Europeo y Consejo de la Unión Europea (2014b).</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708">
        <w:r>
          <w:rPr>
            <w:rStyle w:val="Hyperlink"/>
          </w:rPr>
          <w:t xml:space="preserve">https://eur-lex.europa.eu/legal-content/ES/TXT/?uri=CELEX:32014R0806</w:t>
        </w:r>
      </w:hyperlink>
      <w:r>
        <w:t xml:space="preserve">.</w:t>
      </w:r>
    </w:p>
    <w:bookmarkEnd w:id="709"/>
    <w:bookmarkStart w:id="711"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710">
        <w:r>
          <w:rPr>
            <w:rStyle w:val="Hyperlink"/>
          </w:rPr>
          <w:t xml:space="preserve">https://eur-lex.europa.eu/eli/reg/2024/1263/oj</w:t>
        </w:r>
      </w:hyperlink>
      <w:r>
        <w:t xml:space="preserve">.</w:t>
      </w:r>
    </w:p>
    <w:bookmarkEnd w:id="711"/>
    <w:bookmarkStart w:id="713"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712">
        <w:r>
          <w:rPr>
            <w:rStyle w:val="Hyperlink"/>
          </w:rPr>
          <w:t xml:space="preserve">https://eur-lex.europa.eu/eli/reg/2024/1623/oj</w:t>
        </w:r>
      </w:hyperlink>
      <w:r>
        <w:t xml:space="preserve">.</w:t>
      </w:r>
    </w:p>
    <w:bookmarkEnd w:id="713"/>
    <w:bookmarkStart w:id="714"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714"/>
    <w:bookmarkStart w:id="716"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715">
        <w:r>
          <w:rPr>
            <w:rStyle w:val="Hyperlink"/>
          </w:rPr>
          <w:t xml:space="preserve">https://doi.org/10.2307/2550759</w:t>
        </w:r>
      </w:hyperlink>
      <w:r>
        <w:t xml:space="preserve">.</w:t>
      </w:r>
    </w:p>
    <w:bookmarkEnd w:id="716"/>
    <w:bookmarkStart w:id="717" w:name="ref_RachelSmith2017"/>
    <w:p>
      <w:pPr>
        <w:pStyle w:val="Bibliography"/>
      </w:pPr>
      <w:r>
        <w:t xml:space="preserve">Rachel, Lukasz y Thomas D. Smith (2017).</w:t>
      </w:r>
      <w:r>
        <w:t xml:space="preserve"> </w:t>
      </w:r>
      <w:r>
        <w:t xml:space="preserve">«Are Low Real Interest Rates Here to Stay?»</w:t>
      </w:r>
      <w:r>
        <w:t xml:space="preserve"> </w:t>
      </w:r>
      <w:r>
        <w:rPr>
          <w:i/>
          <w:iCs/>
        </w:rPr>
        <w:t xml:space="preserve">International Journal of Central Banking</w:t>
      </w:r>
      <w:r>
        <w:t xml:space="preserve"> </w:t>
      </w:r>
      <w:r>
        <w:t xml:space="preserve">13 (3): 1-42.</w:t>
      </w:r>
    </w:p>
    <w:bookmarkEnd w:id="717"/>
    <w:bookmarkStart w:id="719"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718">
        <w:r>
          <w:rPr>
            <w:rStyle w:val="Hyperlink"/>
          </w:rPr>
          <w:t xml:space="preserve">https://doi.org/10.1353/eca.2003.0018</w:t>
        </w:r>
      </w:hyperlink>
      <w:r>
        <w:t xml:space="preserve">.</w:t>
      </w:r>
    </w:p>
    <w:bookmarkEnd w:id="719"/>
    <w:bookmarkStart w:id="720" w:name="ref_Rey2013Dilema"/>
    <w:p>
      <w:pPr>
        <w:pStyle w:val="Bibliography"/>
      </w:pPr>
      <w:r>
        <w:t xml:space="preserve">Rey, Hélène (2013).</w:t>
      </w:r>
      <w:r>
        <w:t xml:space="preserve"> </w:t>
      </w:r>
      <w:r>
        <w:t xml:space="preserve">«Dilemma not Trilemma: The Global Financial Cycle and Monetary Policy Independence»</w:t>
      </w:r>
      <w:r>
        <w:t xml:space="preserve">. En</w:t>
      </w:r>
      <w:r>
        <w:t xml:space="preserve"> </w:t>
      </w:r>
      <w:r>
        <w:rPr>
          <w:i/>
          <w:iCs/>
        </w:rPr>
        <w:t xml:space="preserve">Global Dimensions of Unconventional Monetary Policy. Jackson Hole Economic Policy Symposium</w:t>
      </w:r>
      <w:r>
        <w:t xml:space="preserve">, 285-333. Banco de la Reserva Federal de Kansas City.</w:t>
      </w:r>
    </w:p>
    <w:bookmarkEnd w:id="720"/>
    <w:bookmarkStart w:id="721" w:name="ref_Rogoff1996PPA"/>
    <w:p>
      <w:pPr>
        <w:pStyle w:val="Bibliography"/>
      </w:pPr>
      <w:r>
        <w:t xml:space="preserve">Rogoff, Kenneth (1996).</w:t>
      </w:r>
      <w:r>
        <w:t xml:space="preserve"> </w:t>
      </w:r>
      <w:r>
        <w:t xml:space="preserve">«The Purchasing Power Parity Puzzle»</w:t>
      </w:r>
      <w:r>
        <w:t xml:space="preserve">.</w:t>
      </w:r>
      <w:r>
        <w:t xml:space="preserve"> </w:t>
      </w:r>
      <w:r>
        <w:rPr>
          <w:i/>
          <w:iCs/>
        </w:rPr>
        <w:t xml:space="preserve">Journal of Economic Literature</w:t>
      </w:r>
      <w:r>
        <w:t xml:space="preserve"> </w:t>
      </w:r>
      <w:r>
        <w:t xml:space="preserve">34 (2): 647-68.</w:t>
      </w:r>
    </w:p>
    <w:bookmarkEnd w:id="721"/>
    <w:bookmarkStart w:id="722"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722"/>
    <w:bookmarkStart w:id="723" w:name="ref_Samuelson1964"/>
    <w:p>
      <w:pPr>
        <w:pStyle w:val="Bibliography"/>
      </w:pPr>
      <w:r>
        <w:t xml:space="preserve">Samuelson, Paul A. (1964).</w:t>
      </w:r>
      <w:r>
        <w:t xml:space="preserve"> </w:t>
      </w:r>
      <w:r>
        <w:t xml:space="preserve">«Theoretical Notes on Trade Problems»</w:t>
      </w:r>
      <w:r>
        <w:t xml:space="preserve">.</w:t>
      </w:r>
      <w:r>
        <w:t xml:space="preserve"> </w:t>
      </w:r>
      <w:r>
        <w:rPr>
          <w:i/>
          <w:iCs/>
        </w:rPr>
        <w:t xml:space="preserve">Review of Economics and Statistics</w:t>
      </w:r>
      <w:r>
        <w:t xml:space="preserve"> </w:t>
      </w:r>
      <w:r>
        <w:t xml:space="preserve">46 (2): 145-54.</w:t>
      </w:r>
    </w:p>
    <w:bookmarkEnd w:id="723"/>
    <w:bookmarkStart w:id="725"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724">
        <w:r>
          <w:rPr>
            <w:rStyle w:val="Hyperlink"/>
          </w:rPr>
          <w:t xml:space="preserve">https://doi.org/10.21034/qr.531</w:t>
        </w:r>
      </w:hyperlink>
      <w:r>
        <w:t xml:space="preserve">.</w:t>
      </w:r>
    </w:p>
    <w:bookmarkEnd w:id="725"/>
    <w:bookmarkStart w:id="726" w:name="ref_Schaechter2012Reglas"/>
    <w:p>
      <w:pPr>
        <w:pStyle w:val="Bibliography"/>
      </w:pPr>
      <w:r>
        <w:t xml:space="preserve">Schaechter, Andrea, Tidiane Kinda, Nina Budina y Anke Weber (2012).</w:t>
      </w:r>
      <w:r>
        <w:t xml:space="preserve"> </w:t>
      </w:r>
      <w:r>
        <w:t xml:space="preserve">«Fiscal Rules in Response to the Crisis: Toward the «Next-Generation» Rules. A New Dataset»</w:t>
      </w:r>
      <w:r>
        <w:t xml:space="preserve">. IMF Working Paper WP/12/187. Fondo Monetario Internacional.</w:t>
      </w:r>
    </w:p>
    <w:bookmarkEnd w:id="726"/>
    <w:bookmarkStart w:id="728"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727">
        <w:r>
          <w:rPr>
            <w:rStyle w:val="Hyperlink"/>
          </w:rPr>
          <w:t xml:space="preserve">https://laadministracionaldia.inap.es/noticia.asp?id=1500719</w:t>
        </w:r>
      </w:hyperlink>
      <w:r>
        <w:t xml:space="preserve">.</w:t>
      </w:r>
    </w:p>
    <w:bookmarkEnd w:id="728"/>
    <w:bookmarkStart w:id="729" w:name="ref_Shapiro2022Oferta"/>
    <w:p>
      <w:pPr>
        <w:pStyle w:val="Bibliography"/>
      </w:pPr>
      <w:r>
        <w:t xml:space="preserve">Shapiro, Adam Hale (2022).</w:t>
      </w:r>
      <w:r>
        <w:t xml:space="preserve"> </w:t>
      </w:r>
      <w:r>
        <w:t xml:space="preserve">«Decomposing Supply and Demand Driven Inflation»</w:t>
      </w:r>
      <w:r>
        <w:t xml:space="preserve">. Working Paper 2022-18. Banco de la Reserva Federal de San Francisco.</w:t>
      </w:r>
    </w:p>
    <w:bookmarkEnd w:id="729"/>
    <w:bookmarkStart w:id="731"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730">
        <w:r>
          <w:rPr>
            <w:rStyle w:val="Hyperlink"/>
          </w:rPr>
          <w:t xml:space="preserve">https://doi.org/10.1057/imfer.2012.6</w:t>
        </w:r>
      </w:hyperlink>
      <w:r>
        <w:t xml:space="preserve">.</w:t>
      </w:r>
    </w:p>
    <w:bookmarkEnd w:id="731"/>
    <w:bookmarkStart w:id="732"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732"/>
    <w:bookmarkStart w:id="733" w:name="ref_Solon1994Composicion"/>
    <w:p>
      <w:pPr>
        <w:pStyle w:val="Bibliography"/>
      </w:pPr>
      <w:r>
        <w:t xml:space="preserve">Solon, Gary, Robert Barsky y Jonathan A. Parker (1994).</w:t>
      </w:r>
      <w:r>
        <w:t xml:space="preserve"> </w:t>
      </w:r>
      <w:r>
        <w:t xml:space="preserve">«Measuring the Cyclicality of Real Wages: How Important Is Composition Bias?»</w:t>
      </w:r>
      <w:r>
        <w:t xml:space="preserve"> </w:t>
      </w:r>
      <w:r>
        <w:rPr>
          <w:i/>
          <w:iCs/>
        </w:rPr>
        <w:t xml:space="preserve">Quarterly Journal of Economics</w:t>
      </w:r>
      <w:r>
        <w:t xml:space="preserve"> </w:t>
      </w:r>
      <w:r>
        <w:t xml:space="preserve">109 (1): 1-25.</w:t>
      </w:r>
    </w:p>
    <w:bookmarkEnd w:id="733"/>
    <w:bookmarkStart w:id="735"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734">
        <w:r>
          <w:rPr>
            <w:rStyle w:val="Hyperlink"/>
          </w:rPr>
          <w:t xml:space="preserve">https://www.spglobal.com/marketintelligence/en/mi/products/pmi.html</w:t>
        </w:r>
      </w:hyperlink>
      <w:r>
        <w:t xml:space="preserve">.</w:t>
      </w:r>
    </w:p>
    <w:bookmarkEnd w:id="735"/>
    <w:bookmarkStart w:id="737"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736">
        <w:r>
          <w:rPr>
            <w:rStyle w:val="Hyperlink"/>
          </w:rPr>
          <w:t xml:space="preserve">https://doi.org/10.1016/S1574-0048(99)01004-6</w:t>
        </w:r>
      </w:hyperlink>
      <w:r>
        <w:t xml:space="preserve">.</w:t>
      </w:r>
    </w:p>
    <w:bookmarkEnd w:id="737"/>
    <w:bookmarkStart w:id="739"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738">
        <w:r>
          <w:rPr>
            <w:rStyle w:val="Hyperlink"/>
          </w:rPr>
          <w:t xml:space="preserve">https://doi.org/10.1016/0167-2231(93)90009-L</w:t>
        </w:r>
      </w:hyperlink>
      <w:r>
        <w:t xml:space="preserve">.</w:t>
      </w:r>
    </w:p>
    <w:bookmarkEnd w:id="739"/>
    <w:bookmarkStart w:id="741"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740">
        <w:r>
          <w:rPr>
            <w:rStyle w:val="Hyperlink"/>
          </w:rPr>
          <w:t xml:space="preserve">https://doi.org/10.1016/S0014-2921(00)00037-4</w:t>
        </w:r>
      </w:hyperlink>
      <w:r>
        <w:t xml:space="preserve">.</w:t>
      </w:r>
    </w:p>
    <w:bookmarkEnd w:id="741"/>
    <w:bookmarkStart w:id="743" w:name="ref_TaylorWilliams2009"/>
    <w:p>
      <w:pPr>
        <w:pStyle w:val="Bibliography"/>
      </w:pPr>
      <w:r>
        <w:t xml:space="preserve">Taylor, John B. y John C. Williams (2009).</w:t>
      </w:r>
      <w:r>
        <w:t xml:space="preserve"> </w:t>
      </w:r>
      <w:r>
        <w:t xml:space="preserve">«A Black Swan in the Money Market»</w:t>
      </w:r>
      <w:r>
        <w:t xml:space="preserve">.</w:t>
      </w:r>
      <w:r>
        <w:t xml:space="preserve"> </w:t>
      </w:r>
      <w:r>
        <w:rPr>
          <w:i/>
          <w:iCs/>
        </w:rPr>
        <w:t xml:space="preserve">American Economic Journal: Macroeconomics</w:t>
      </w:r>
      <w:r>
        <w:t xml:space="preserve"> </w:t>
      </w:r>
      <w:r>
        <w:t xml:space="preserve">1 (1): 58-83.</w:t>
      </w:r>
      <w:r>
        <w:t xml:space="preserve"> </w:t>
      </w:r>
      <w:hyperlink r:id="rId742">
        <w:r>
          <w:rPr>
            <w:rStyle w:val="Hyperlink"/>
          </w:rPr>
          <w:t xml:space="preserve">https://doi.org/10.1257/mac.1.1.58</w:t>
        </w:r>
      </w:hyperlink>
      <w:r>
        <w:t xml:space="preserve">.</w:t>
      </w:r>
    </w:p>
    <w:bookmarkEnd w:id="743"/>
    <w:bookmarkStart w:id="745"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744">
        <w:r>
          <w:rPr>
            <w:rStyle w:val="Hyperlink"/>
          </w:rPr>
          <w:t xml:space="preserve">https://www.conference-board.org/topics/us-leading-indicators</w:t>
        </w:r>
      </w:hyperlink>
      <w:r>
        <w:t xml:space="preserve">.</w:t>
      </w:r>
    </w:p>
    <w:bookmarkEnd w:id="745"/>
    <w:bookmarkStart w:id="747"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746">
        <w:r>
          <w:rPr>
            <w:rStyle w:val="Hyperlink"/>
          </w:rPr>
          <w:t xml:space="preserve">https://www.economist.com/finance-and-economics/2008/12/30/diagnosing-depression</w:t>
        </w:r>
      </w:hyperlink>
      <w:r>
        <w:t xml:space="preserve">.</w:t>
      </w:r>
    </w:p>
    <w:bookmarkEnd w:id="747"/>
    <w:bookmarkStart w:id="749"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748">
        <w:r>
          <w:rPr>
            <w:rStyle w:val="Hyperlink"/>
          </w:rPr>
          <w:t xml:space="preserve">https://uniblog.unicajabanco.es/8-indicadores-bancarios-para-no-iniciados</w:t>
        </w:r>
      </w:hyperlink>
      <w:r>
        <w:t xml:space="preserve">.</w:t>
      </w:r>
    </w:p>
    <w:bookmarkEnd w:id="749"/>
    <w:bookmarkStart w:id="751"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750">
        <w:r>
          <w:rPr>
            <w:rStyle w:val="Hyperlink"/>
          </w:rPr>
          <w:t xml:space="preserve">https://eur-lex.europa.eu/legal-content/ES/TXT/?uri=CELEX:12012E/PRO/12</w:t>
        </w:r>
      </w:hyperlink>
      <w:r>
        <w:t xml:space="preserve">.</w:t>
      </w:r>
    </w:p>
    <w:bookmarkEnd w:id="751"/>
    <w:bookmarkStart w:id="753"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752">
        <w:r>
          <w:rPr>
            <w:rStyle w:val="Hyperlink"/>
          </w:rPr>
          <w:t xml:space="preserve">https://www.ucm.es/data/cont/docs/518-2015-04-29-COSTE%20LABORAL%20UNITARIO.pdf</w:t>
        </w:r>
      </w:hyperlink>
      <w:r>
        <w:t xml:space="preserve">.</w:t>
      </w:r>
    </w:p>
    <w:bookmarkEnd w:id="753"/>
    <w:bookmarkStart w:id="755"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754">
        <w:r>
          <w:rPr>
            <w:rStyle w:val="Hyperlink"/>
          </w:rPr>
          <w:t xml:space="preserve">https://fred.stlouisfed.org/series/GDPC1</w:t>
        </w:r>
      </w:hyperlink>
      <w:r>
        <w:t xml:space="preserve">.</w:t>
      </w:r>
    </w:p>
    <w:bookmarkEnd w:id="755"/>
    <w:bookmarkStart w:id="757"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756">
        <w:r>
          <w:rPr>
            <w:rStyle w:val="Hyperlink"/>
          </w:rPr>
          <w:t xml:space="preserve">https://www.eia.gov/dnav/pet/hist/LeafHandler.ashx?n=PET&amp;s=RBRTE&amp;f=M</w:t>
        </w:r>
      </w:hyperlink>
      <w:r>
        <w:t xml:space="preserve">.</w:t>
      </w:r>
    </w:p>
    <w:bookmarkEnd w:id="757"/>
    <w:bookmarkStart w:id="758" w:name="ref_VichGadella2007Guia"/>
    <w:p>
      <w:pPr>
        <w:pStyle w:val="Bibliography"/>
      </w:pPr>
      <w:r>
        <w:t xml:space="preserve">Vich Gadella, Ana Lucía (2007).</w:t>
      </w:r>
      <w:r>
        <w:t xml:space="preserve"> </w:t>
      </w:r>
      <w:r>
        <w:t xml:space="preserve">«Guía de dictamen económico»</w:t>
      </w:r>
      <w:r>
        <w:t xml:space="preserve">. ICEX-CECO.</w:t>
      </w:r>
    </w:p>
    <w:bookmarkEnd w:id="758"/>
    <w:bookmarkStart w:id="759"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759"/>
    <w:bookmarkEnd w:id="760"/>
    <w:bookmarkEnd w:id="76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9">
    <w:p>
      <w:pPr>
        <w:pStyle w:val="FootnoteText"/>
      </w:pPr>
      <w:r>
        <w:rPr>
          <w:rStyle w:val="FootnoteReference"/>
        </w:rPr>
        <w:footnoteRef/>
      </w:r>
      <w:r>
        <w:t xml:space="preserve"> </w:t>
      </w:r>
      <w:r>
        <w:t xml:space="preserve">Traducción propia de la nota de prensa del FMI.</w:t>
      </w:r>
    </w:p>
  </w:footnote>
  <w:footnote w:id="41">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52">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53">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55">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61">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62">
        <w:r>
          <w:rPr>
            <w:rStyle w:val="Referenciaatema"/>
          </w:rPr>
          <w:t xml:space="preserve">[ver tema 3.B.24]</w:t>
        </w:r>
      </w:hyperlink>
      <w:r>
        <w:t xml:space="preserve">.</w:t>
      </w:r>
    </w:p>
  </w:footnote>
  <w:footnote w:id="73">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74">
    <w:p>
      <w:pPr>
        <w:pStyle w:val="FootnoteText"/>
      </w:pPr>
      <w:r>
        <w:rPr>
          <w:rStyle w:val="FootnoteReference"/>
        </w:rPr>
        <w:footnoteRef/>
      </w:r>
      <w:r>
        <w:t xml:space="preserve"> </w:t>
      </w:r>
      <w:r>
        <w:t xml:space="preserve">El signo negativo es el del</w:t>
      </w:r>
      <w:r>
        <w:t xml:space="preserve"> </w:t>
      </w:r>
      <w:r>
        <w:rPr>
          <w:i/>
          <w:iCs/>
        </w:rPr>
        <w:t xml:space="preserve">efecto sustitución</w:t>
      </w:r>
      <w:r>
        <w:t xml:space="preserve"> </w:t>
      </w:r>
      <w:r>
        <w:t xml:space="preserve">(consumir hoy sale más caro frente a mañana) y el de los hogares endeudados. Pero el tipo tiene también un</w:t>
      </w:r>
      <w:r>
        <w:t xml:space="preserve"> </w:t>
      </w:r>
      <w:r>
        <w:rPr>
          <w:i/>
          <w:iCs/>
        </w:rPr>
        <w:t xml:space="preserve">efecto renta</w:t>
      </w:r>
      <w:r>
        <w:t xml:space="preserve">: si los hogares son</w:t>
      </w:r>
      <w:r>
        <w:t xml:space="preserve"> </w:t>
      </w:r>
      <w:r>
        <w:rPr>
          <w:i/>
          <w:iCs/>
        </w:rPr>
        <w:t xml:space="preserve">acreedores netos</w:t>
      </w:r>
      <w:r>
        <w:t xml:space="preserve"> </w:t>
      </w:r>
      <w:r>
        <w:t xml:space="preserve">(mucho ahorro en depósitos, pocos préstamos), una subida de tipos les da más renta y puede elevar su consumo. El signo agregado depende, por tanto, de quién tenga la deuda y quién el ahorro, y de la</w:t>
      </w:r>
      <w:r>
        <w:t xml:space="preserve"> </w:t>
      </w:r>
      <w:r>
        <w:rPr>
          <w:i/>
          <w:iCs/>
        </w:rPr>
        <w:t xml:space="preserve">distribución de la renta</w:t>
      </w:r>
      <w:r>
        <w:t xml:space="preserve">: los hogares de renta baja ahorran poco y tienen más restricciones de crédito, así que su consumo sigue sobre todo a su renta corriente</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footnote>
  <w:footnote w:id="75">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78">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84">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85">
        <w:r>
          <w:rPr>
            <w:rStyle w:val="Referenciaatema"/>
          </w:rPr>
          <w:t xml:space="preserve">[ver tema 4.A.11]</w:t>
        </w:r>
      </w:hyperlink>
      <w:r>
        <w:t xml:space="preserve">.</w:t>
      </w:r>
    </w:p>
  </w:footnote>
  <w:footnote w:id="86">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87">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88">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92">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120">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133">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138">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143">
    <w:p>
      <w:pPr>
        <w:pStyle w:val="FootnoteText"/>
      </w:pPr>
      <w:r>
        <w:rPr>
          <w:rStyle w:val="FootnoteReference"/>
        </w:rPr>
        <w:footnoteRef/>
      </w:r>
      <w:r>
        <w:t xml:space="preserve"> </w:t>
      </w:r>
      <w:r>
        <w:t xml:space="preserve">Con una cautela: el</w:t>
      </w:r>
      <w:r>
        <w:t xml:space="preserve"> </w:t>
      </w:r>
      <w:r>
        <w:rPr>
          <w:i/>
          <w:iCs/>
        </w:rPr>
        <w:t xml:space="preserve">efecto composición</w:t>
      </w:r>
      <w:r>
        <w:t xml:space="preserve">. En una recesión pierden el empleo sobre todo los trabajadores de salario más bajo (temporales, jóvenes, poco cualificados), así que el salario medio de los que siguen ocupados sube aunque ningún salario individual haya subido. Unos salarios reales medios que suben con el paro no prueban, por sí solos, la rigidez salarial</w:t>
      </w:r>
      <w:r>
        <w:t xml:space="preserve"> </w:t>
      </w:r>
      <w:r>
        <w:t xml:space="preserve">(</w:t>
      </w:r>
      <w:hyperlink w:anchor="ref_Solon1994Composicion">
        <w:r>
          <w:rPr>
            <w:rStyle w:val="Hyperlink"/>
            <w:smallCaps/>
          </w:rPr>
          <w:t xml:space="preserve">Solon</w:t>
        </w:r>
        <w:r>
          <w:rPr>
            <w:rStyle w:val="Hyperlink"/>
          </w:rPr>
          <w:t xml:space="preserve">,</w:t>
        </w:r>
        <w:r>
          <w:rPr>
            <w:rStyle w:val="Hyperlink"/>
          </w:rPr>
          <w:t xml:space="preserve"> </w:t>
        </w:r>
        <w:r>
          <w:rPr>
            <w:rStyle w:val="Hyperlink"/>
            <w:smallCaps/>
          </w:rPr>
          <w:t xml:space="preserve">Barsky</w:t>
        </w:r>
        <w:r>
          <w:rPr>
            <w:rStyle w:val="Hyperlink"/>
          </w:rPr>
          <w:t xml:space="preserve"> </w:t>
        </w:r>
        <w:r>
          <w:rPr>
            <w:rStyle w:val="Hyperlink"/>
          </w:rPr>
          <w:t xml:space="preserve">y</w:t>
        </w:r>
        <w:r>
          <w:rPr>
            <w:rStyle w:val="Hyperlink"/>
          </w:rPr>
          <w:t xml:space="preserve"> </w:t>
        </w:r>
        <w:r>
          <w:rPr>
            <w:rStyle w:val="Hyperlink"/>
            <w:smallCaps/>
          </w:rPr>
          <w:t xml:space="preserve">Parker</w:t>
        </w:r>
        <w:r>
          <w:rPr>
            <w:rStyle w:val="Hyperlink"/>
          </w:rPr>
          <w:t xml:space="preserve">, 1994</w:t>
        </w:r>
      </w:hyperlink>
      <w:r>
        <w:t xml:space="preserve">)</w:t>
      </w:r>
      <w:r>
        <w:t xml:space="preserve">.</w:t>
      </w:r>
    </w:p>
  </w:footnote>
  <w:footnote w:id="150">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53">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66">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74">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209">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22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241">
    <w:p>
      <w:pPr>
        <w:pStyle w:val="FootnoteText"/>
      </w:pPr>
      <w:r>
        <w:rPr>
          <w:rStyle w:val="FootnoteReference"/>
        </w:rPr>
        <w:footnoteRef/>
      </w:r>
      <w:r>
        <w:t xml:space="preserve"> </w:t>
      </w:r>
      <w:r>
        <w:t xml:space="preserve">El tipo natural es el tipo real que equilibra el ahorro y la inversión con la producción en su potencial y la inflación estable. Bajó durante décadas en las economías avanzadas por más ahorro (envejecimiento, desigualdad, demanda de activos seguros de los emergentes) y menos inversión (menor crecimiento de la productividad y bienes de equipo más baratos)</w:t>
      </w:r>
      <w:r>
        <w:t xml:space="preserve"> </w:t>
      </w:r>
      <w:r>
        <w:t xml:space="preserve">(</w:t>
      </w:r>
      <w:hyperlink w:anchor="ref_RachelSmith2017">
        <w:r>
          <w:rPr>
            <w:rStyle w:val="Hyperlink"/>
            <w:smallCaps/>
          </w:rPr>
          <w:t xml:space="preserve">Rachel</w:t>
        </w:r>
        <w:r>
          <w:rPr>
            <w:rStyle w:val="Hyperlink"/>
          </w:rPr>
          <w:t xml:space="preserve"> </w:t>
        </w:r>
        <w:r>
          <w:rPr>
            <w:rStyle w:val="Hyperlink"/>
          </w:rPr>
          <w:t xml:space="preserve">y</w:t>
        </w:r>
        <w:r>
          <w:rPr>
            <w:rStyle w:val="Hyperlink"/>
          </w:rPr>
          <w:t xml:space="preserve"> </w:t>
        </w:r>
        <w:r>
          <w:rPr>
            <w:rStyle w:val="Hyperlink"/>
            <w:smallCaps/>
          </w:rPr>
          <w:t xml:space="preserve">Smith</w:t>
        </w:r>
        <w:r>
          <w:rPr>
            <w:rStyle w:val="Hyperlink"/>
          </w:rPr>
          <w:t xml:space="preserve">, 2017</w:t>
        </w:r>
      </w:hyperlink>
      <w:r>
        <w:t xml:space="preserve">)</w:t>
      </w:r>
      <w:r>
        <w:t xml:space="preserve">. Por eso un mismo tipo nominal puede ser expansivo en una época y neutral en otra.</w:t>
      </w:r>
    </w:p>
  </w:footnote>
  <w:footnote w:id="2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275">
    <w:p>
      <w:pPr>
        <w:pStyle w:val="FootnoteText"/>
      </w:pPr>
      <w:r>
        <w:rPr>
          <w:rStyle w:val="FootnoteReference"/>
        </w:rPr>
        <w:footnoteRef/>
      </w:r>
      <w:r>
        <w:t xml:space="preserve"> </w:t>
      </w:r>
      <w:r>
        <w:t xml:space="preserve">Es el umbral del cuadro revisado que la Comisión aplica desde el informe del mecanismo de alerta de 2025. Hasta entonces el indicador era la variación del precio de la vivienda</w:t>
      </w:r>
      <w:r>
        <w:t xml:space="preserve"> </w:t>
      </w:r>
      <w:r>
        <w:rPr>
          <w:i/>
          <w:iCs/>
        </w:rPr>
        <w:t xml:space="preserve">deflactado</w:t>
      </w:r>
      <w:r>
        <w:t xml:space="preserve"> </w:t>
      </w:r>
      <w:r>
        <w:t xml:space="preserve">(con el deflactor del consumo privado), con un umbral del 6 %</w:t>
      </w:r>
      <w:r>
        <w:t xml:space="preserve"> </w:t>
      </w:r>
      <w:r>
        <w:t xml:space="preserve">(</w:t>
      </w:r>
      <w:hyperlink w:anchor="ref_Eurostat2025MIP">
        <w:r>
          <w:rPr>
            <w:rStyle w:val="Hyperlink"/>
            <w:smallCaps/>
          </w:rPr>
          <w:t xml:space="preserve">Eurostat</w:t>
        </w:r>
        <w:r>
          <w:rPr>
            <w:rStyle w:val="Hyperlink"/>
          </w:rPr>
          <w:t xml:space="preserve">, 2025b</w:t>
        </w:r>
      </w:hyperlink>
      <w:r>
        <w:t xml:space="preserve">;</w:t>
      </w:r>
      <w:r>
        <w:t xml:space="preserve"> </w:t>
      </w:r>
      <w:hyperlink w:anchor="ref_CE2024AMR2025">
        <w:r>
          <w:rPr>
            <w:rStyle w:val="Hyperlink"/>
            <w:smallCaps/>
          </w:rPr>
          <w:t xml:space="preserve">Comisión Europea</w:t>
        </w:r>
        <w:r>
          <w:rPr>
            <w:rStyle w:val="Hyperlink"/>
          </w:rPr>
          <w:t xml:space="preserve">, 2024b</w:t>
        </w:r>
      </w:hyperlink>
      <w:r>
        <w:t xml:space="preserve">)</w:t>
      </w:r>
      <w:r>
        <w:t xml:space="preserve">. Los cuadros de exámenes antiguos y algunas guías usan todavía el 6 % real.</w:t>
      </w:r>
    </w:p>
  </w:footnote>
  <w:footnote w:id="281">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53">
        <w:r>
          <w:rPr>
            <w:rStyle w:val="Referenciaatema"/>
          </w:rPr>
          <w:t xml:space="preserve">[ver tema 3.A.28]</w:t>
        </w:r>
      </w:hyperlink>
      <w:r>
        <w:t xml:space="preserve">.</w:t>
      </w:r>
    </w:p>
  </w:footnote>
  <w:footnote w:id="283">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428">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A.3</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153" Target="media/rId153.png" /><Relationship Type="http://schemas.openxmlformats.org/officeDocument/2006/relationships/image" Id="rId108" Target="media/rId108.png" /><Relationship Type="http://schemas.openxmlformats.org/officeDocument/2006/relationships/image" Id="rId376" Target="media/rId376.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79" Target="media/rId79.png" /><Relationship Type="http://schemas.openxmlformats.org/officeDocument/2006/relationships/image" Id="rId67" Target="media/rId67.png" /><Relationship Type="http://schemas.openxmlformats.org/officeDocument/2006/relationships/image" Id="rId123" Target="media/rId123.png" /><Relationship Type="http://schemas.openxmlformats.org/officeDocument/2006/relationships/image" Id="rId262" Target="media/rId262.png" /><Relationship Type="http://schemas.openxmlformats.org/officeDocument/2006/relationships/image" Id="rId248" Target="media/rId248.png" /><Relationship Type="http://schemas.openxmlformats.org/officeDocument/2006/relationships/image" Id="rId134" Target="media/rId134.png" /><Relationship Type="http://schemas.openxmlformats.org/officeDocument/2006/relationships/image" Id="rId221" Target="media/rId221.png" /><Relationship Type="http://schemas.openxmlformats.org/officeDocument/2006/relationships/image" Id="rId321" Target="media/rId321.png" /><Relationship Type="http://schemas.openxmlformats.org/officeDocument/2006/relationships/image" Id="rId295" Target="media/rId295.png" /><Relationship Type="http://schemas.openxmlformats.org/officeDocument/2006/relationships/image" Id="rId197" Target="media/rId197.png" /><Relationship Type="http://schemas.openxmlformats.org/officeDocument/2006/relationships/image" Id="rId169" Target="media/rId169.png" /><Relationship Type="http://schemas.openxmlformats.org/officeDocument/2006/relationships/image" Id="rId183" Target="media/rId183.png" /><Relationship Type="http://schemas.openxmlformats.org/officeDocument/2006/relationships/image" Id="rId23" Target="media/rId23.png" /><Relationship Type="http://schemas.openxmlformats.org/officeDocument/2006/relationships/image" Id="rId270" Target="media/rId270.png" /><Relationship Type="http://schemas.openxmlformats.org/officeDocument/2006/relationships/image" Id="rId144" Target="media/rId144.png" /><Relationship Type="http://schemas.openxmlformats.org/officeDocument/2006/relationships/image" Id="rId242" Target="media/rId242.png" /><Relationship Type="http://schemas.openxmlformats.org/officeDocument/2006/relationships/image" Id="rId330" Target="media/rId330.png" /><Relationship Type="http://schemas.openxmlformats.org/officeDocument/2006/relationships/image" Id="rId37" Target="media/rId37.png" /><Relationship Type="http://schemas.openxmlformats.org/officeDocument/2006/relationships/image" Id="rId176" Target="media/rId176.png" /><Relationship Type="http://schemas.openxmlformats.org/officeDocument/2006/relationships/image" Id="rId285" Target="media/rId285.png" /><Relationship Type="http://schemas.openxmlformats.org/officeDocument/2006/relationships/image" Id="rId302" Target="media/rId302.png" /><Relationship Type="http://schemas.openxmlformats.org/officeDocument/2006/relationships/image" Id="rId93" Target="media/rId93.png" /><Relationship Type="http://schemas.openxmlformats.org/officeDocument/2006/relationships/image" Id="rId128" Target="media/rId128.png" /><Relationship Type="http://schemas.openxmlformats.org/officeDocument/2006/relationships/image" Id="rId313" Target="media/rId313.png" /><Relationship Type="http://schemas.openxmlformats.org/officeDocument/2006/relationships/image" Id="rId253" Target="media/rId253.png" /><Relationship Type="http://schemas.openxmlformats.org/officeDocument/2006/relationships/hyperlink" Id="rId446" Target="https://atcee.es/la-oposicion-tcee/examenes-anteriores/" TargetMode="External" /><Relationship Type="http://schemas.openxmlformats.org/officeDocument/2006/relationships/hyperlink" Id="rId576" Target="https://commission.europa.eu/system/files/2021-06/2021_06_16_efb_assessment_of_euro_area_fiscal_stance_en.pdf" TargetMode="External" /><Relationship Type="http://schemas.openxmlformats.org/officeDocument/2006/relationships/hyperlink" Id="rId693" Target="https://data-explorer.oecd.org/" TargetMode="External" /><Relationship Type="http://schemas.openxmlformats.org/officeDocument/2006/relationships/hyperlink" Id="rId542" Target="https://data.consilium.europa.eu/doc/document/ST-17077-2024-ADD-1/en/pdf" TargetMode="External" /><Relationship Type="http://schemas.openxmlformats.org/officeDocument/2006/relationships/hyperlink" Id="rId468" Target="https://data.ecb.europa.eu/data/datasets/EXR" TargetMode="External" /><Relationship Type="http://schemas.openxmlformats.org/officeDocument/2006/relationships/hyperlink" Id="rId470" Target="https://data.ecb.europa.eu/data/datasets/ILM" TargetMode="External" /><Relationship Type="http://schemas.openxmlformats.org/officeDocument/2006/relationships/hyperlink" Id="rId634" Target="https://data.imf.org/en/Dashboards/FM%20Dashboard" TargetMode="External" /><Relationship Type="http://schemas.openxmlformats.org/officeDocument/2006/relationships/hyperlink" Id="rId494" Target="https://data.worldbank.org/indicator/NE.TRD.GNFS.ZS" TargetMode="External" /><Relationship Type="http://schemas.openxmlformats.org/officeDocument/2006/relationships/hyperlink" Id="rId738" Target="https://doi.org/10.1016/0167-2231(93)90009-L" TargetMode="External" /><Relationship Type="http://schemas.openxmlformats.org/officeDocument/2006/relationships/hyperlink" Id="rId672" Target="https://doi.org/10.1016/0304-3932(91)90007-B" TargetMode="External" /><Relationship Type="http://schemas.openxmlformats.org/officeDocument/2006/relationships/hyperlink" Id="rId740" Target="https://doi.org/10.1016/S0014-2921(00)00037-4" TargetMode="External" /><Relationship Type="http://schemas.openxmlformats.org/officeDocument/2006/relationships/hyperlink" Id="rId736" Target="https://doi.org/10.1016/S1574-0048(99)01004-6" TargetMode="External" /><Relationship Type="http://schemas.openxmlformats.org/officeDocument/2006/relationships/hyperlink" Id="rId531" Target="https://doi.org/10.1016/j.jinteco.2014.05.003" TargetMode="External" /><Relationship Type="http://schemas.openxmlformats.org/officeDocument/2006/relationships/hyperlink" Id="rId730" Target="https://doi.org/10.1057/imfer.2012.6" TargetMode="External" /><Relationship Type="http://schemas.openxmlformats.org/officeDocument/2006/relationships/hyperlink" Id="rId520" Target="https://doi.org/10.1080/15140326.1998.12040516" TargetMode="External" /><Relationship Type="http://schemas.openxmlformats.org/officeDocument/2006/relationships/hyperlink" Id="rId498" Target="https://doi.org/10.1086/260266" TargetMode="External" /><Relationship Type="http://schemas.openxmlformats.org/officeDocument/2006/relationships/hyperlink" Id="rId652" Target="https://doi.org/10.1086/260724" TargetMode="External" /><Relationship Type="http://schemas.openxmlformats.org/officeDocument/2006/relationships/hyperlink" Id="rId643" Target="https://doi.org/10.1086/654131" TargetMode="External" /><Relationship Type="http://schemas.openxmlformats.org/officeDocument/2006/relationships/hyperlink" Id="rId667" Target="https://doi.org/10.1086/ma.19.3585327" TargetMode="External" /><Relationship Type="http://schemas.openxmlformats.org/officeDocument/2006/relationships/hyperlink" Id="rId528" Target="https://doi.org/10.1093/jeea/jvx028" TargetMode="External" /><Relationship Type="http://schemas.openxmlformats.org/officeDocument/2006/relationships/hyperlink" Id="rId602" Target="https://doi.org/10.1093/qje/qjz036" TargetMode="External" /><Relationship Type="http://schemas.openxmlformats.org/officeDocument/2006/relationships/hyperlink" Id="rId647" Target="https://doi.org/10.1111/j.1468-0335.2009.00815.x" TargetMode="External" /><Relationship Type="http://schemas.openxmlformats.org/officeDocument/2006/relationships/hyperlink" Id="rId650" Target="https://doi.org/10.1111/jeea.12083" TargetMode="External" /><Relationship Type="http://schemas.openxmlformats.org/officeDocument/2006/relationships/hyperlink" Id="rId452" Target="https://doi.org/10.1111/jmcb.12420" TargetMode="External" /><Relationship Type="http://schemas.openxmlformats.org/officeDocument/2006/relationships/hyperlink" Id="rId523" Target="https://doi.org/10.1162/003355302753650274" TargetMode="External" /><Relationship Type="http://schemas.openxmlformats.org/officeDocument/2006/relationships/hyperlink" Id="rId525" Target="https://doi.org/10.1162/003465305775098189" TargetMode="External" /><Relationship Type="http://schemas.openxmlformats.org/officeDocument/2006/relationships/hyperlink" Id="rId570" Target="https://doi.org/10.1162/003465398557320" TargetMode="External" /><Relationship Type="http://schemas.openxmlformats.org/officeDocument/2006/relationships/hyperlink" Id="rId505" Target="https://doi.org/10.1257/aer.109.4.1197" TargetMode="External" /><Relationship Type="http://schemas.openxmlformats.org/officeDocument/2006/relationships/hyperlink" Id="rId645" Target="https://doi.org/10.1257/aer.20171201" TargetMode="External" /><Relationship Type="http://schemas.openxmlformats.org/officeDocument/2006/relationships/hyperlink" Id="rId503" Target="https://doi.org/10.1257/jep.28.2.197" TargetMode="External" /><Relationship Type="http://schemas.openxmlformats.org/officeDocument/2006/relationships/hyperlink" Id="rId441" Target="https://doi.org/10.1257/jep.33.4.187" TargetMode="External" /><Relationship Type="http://schemas.openxmlformats.org/officeDocument/2006/relationships/hyperlink" Id="rId678" Target="https://doi.org/10.1257/jep.35.1.3" TargetMode="External" /><Relationship Type="http://schemas.openxmlformats.org/officeDocument/2006/relationships/hyperlink" Id="rId511" Target="https://doi.org/10.1257/jep.5.1.73" TargetMode="External" /><Relationship Type="http://schemas.openxmlformats.org/officeDocument/2006/relationships/hyperlink" Id="rId742" Target="https://doi.org/10.1257/mac.1.1.58" TargetMode="External" /><Relationship Type="http://schemas.openxmlformats.org/officeDocument/2006/relationships/hyperlink" Id="rId718" Target="https://doi.org/10.1353/eca.2003.0018" TargetMode="External" /><Relationship Type="http://schemas.openxmlformats.org/officeDocument/2006/relationships/hyperlink" Id="rId724" Target="https://doi.org/10.21034/qr.531" TargetMode="External" /><Relationship Type="http://schemas.openxmlformats.org/officeDocument/2006/relationships/hyperlink" Id="rId517" Target="https://doi.org/10.2307/1344503" TargetMode="External" /><Relationship Type="http://schemas.openxmlformats.org/officeDocument/2006/relationships/hyperlink" Id="rId606" Target="https://doi.org/10.2307/1907327" TargetMode="External" /><Relationship Type="http://schemas.openxmlformats.org/officeDocument/2006/relationships/hyperlink" Id="rId563" Target="https://doi.org/10.2307/2232670" TargetMode="External" /><Relationship Type="http://schemas.openxmlformats.org/officeDocument/2006/relationships/hyperlink" Id="rId676" Target="https://doi.org/10.2307/2534091" TargetMode="External" /><Relationship Type="http://schemas.openxmlformats.org/officeDocument/2006/relationships/hyperlink" Id="rId507" Target="https://doi.org/10.2307/2534495" TargetMode="External" /><Relationship Type="http://schemas.openxmlformats.org/officeDocument/2006/relationships/hyperlink" Id="rId715" Target="https://doi.org/10.2307/2550759" TargetMode="External" /><Relationship Type="http://schemas.openxmlformats.org/officeDocument/2006/relationships/hyperlink" Id="rId657" Target="https://doi.org/10.2307/2953682" TargetMode="External" /><Relationship Type="http://schemas.openxmlformats.org/officeDocument/2006/relationships/hyperlink" Id="rId540" Target="https://doi.org/10.2765/022983" TargetMode="External" /><Relationship Type="http://schemas.openxmlformats.org/officeDocument/2006/relationships/hyperlink" Id="rId654" Target="https://doi.org/10.2765/71437" TargetMode="External" /><Relationship Type="http://schemas.openxmlformats.org/officeDocument/2006/relationships/hyperlink" Id="rId628" Target="https://doi.org/10.5089/9798400230622.002.A001" TargetMode="External" /><Relationship Type="http://schemas.openxmlformats.org/officeDocument/2006/relationships/hyperlink" Id="rId568" Target="https://doi.org/10.7208/chicago/9780226194578.003.0002" TargetMode="External" /><Relationship Type="http://schemas.openxmlformats.org/officeDocument/2006/relationships/hyperlink" Id="rId598" Target="https://ec.europa.eu/eurostat/databrowser/view/jvs_q_r21/default/table" TargetMode="External" /><Relationship Type="http://schemas.openxmlformats.org/officeDocument/2006/relationships/hyperlink" Id="rId586" Target="https://ec.europa.eu/eurostat/databrowser/view/lfsa_argan/default/table" TargetMode="External" /><Relationship Type="http://schemas.openxmlformats.org/officeDocument/2006/relationships/hyperlink" Id="rId584" Target="https://ec.europa.eu/eurostat/databrowser/view/lfsq_argan/default/table" TargetMode="External" /><Relationship Type="http://schemas.openxmlformats.org/officeDocument/2006/relationships/hyperlink" Id="rId594" Target="https://ec.europa.eu/eurostat/databrowser/view/nama_10_a10/default/table" TargetMode="External" /><Relationship Type="http://schemas.openxmlformats.org/officeDocument/2006/relationships/hyperlink" Id="rId592" Target="https://ec.europa.eu/eurostat/databrowser/view/nama_10_gdp/default/table" TargetMode="External" /><Relationship Type="http://schemas.openxmlformats.org/officeDocument/2006/relationships/hyperlink" Id="rId588" Target="https://ec.europa.eu/eurostat/databrowser/view/namq_10_a10_e/default/table" TargetMode="External" /><Relationship Type="http://schemas.openxmlformats.org/officeDocument/2006/relationships/hyperlink" Id="rId590" Target="https://ec.europa.eu/eurostat/databrowser/view/namq_10_gdp/default/table" TargetMode="External" /><Relationship Type="http://schemas.openxmlformats.org/officeDocument/2006/relationships/hyperlink" Id="rId596" Target="https://ec.europa.eu/eurostat/databrowser/view/prc_hicp_minr/default/table" TargetMode="External" /><Relationship Type="http://schemas.openxmlformats.org/officeDocument/2006/relationships/hyperlink" Id="rId600" Target="https://ec.europa.eu/eurostat/databrowser/view/une_rt_q/default/table" TargetMode="External" /><Relationship Type="http://schemas.openxmlformats.org/officeDocument/2006/relationships/hyperlink" Id="rId580" Target="https://ec.europa.eu/eurostat/statistics-explained/index.php?title=Glossary:Housing_cost_overburden_rate" TargetMode="External" /><Relationship Type="http://schemas.openxmlformats.org/officeDocument/2006/relationships/hyperlink" Id="rId582" Target="https://ec.europa.eu/eurostat/statistics-explained/index.php?title=The_Macroeconomic_Imbalance_Procedure_(MIP)_introduced" TargetMode="External" /><Relationship Type="http://schemas.openxmlformats.org/officeDocument/2006/relationships/hyperlink" Id="rId578" Target="https://ec.europa.eu/eurostat/web/products-euro-indicators/-/2-22042013-ap" TargetMode="External" /><Relationship Type="http://schemas.openxmlformats.org/officeDocument/2006/relationships/hyperlink" Id="rId546" Target="https://economy-finance.ec.europa.eu/economic-forecast-and-surveys/business-and-consumer-surveys_en" TargetMode="External" /><Relationship Type="http://schemas.openxmlformats.org/officeDocument/2006/relationships/hyperlink" Id="rId549" Target="https://economy-finance.ec.europa.eu/economic-research-and-databases/economic-databases/ameco-database_en" TargetMode="External" /><Relationship Type="http://schemas.openxmlformats.org/officeDocument/2006/relationships/hyperlink" Id="rId700" Target="https://eur-lex.europa.eu/eli/dir/2013/36/oj" TargetMode="External" /><Relationship Type="http://schemas.openxmlformats.org/officeDocument/2006/relationships/hyperlink" Id="rId704" Target="https://eur-lex.europa.eu/eli/reg/2013/549/oj" TargetMode="External" /><Relationship Type="http://schemas.openxmlformats.org/officeDocument/2006/relationships/hyperlink" Id="rId702" Target="https://eur-lex.europa.eu/eli/reg/2013/575/oj" TargetMode="External" /><Relationship Type="http://schemas.openxmlformats.org/officeDocument/2006/relationships/hyperlink" Id="rId710" Target="https://eur-lex.europa.eu/eli/reg/2024/1263/oj" TargetMode="External" /><Relationship Type="http://schemas.openxmlformats.org/officeDocument/2006/relationships/hyperlink" Id="rId561" Target="https://eur-lex.europa.eu/eli/reg/2024/1264/oj" TargetMode="External" /><Relationship Type="http://schemas.openxmlformats.org/officeDocument/2006/relationships/hyperlink" Id="rId712" Target="https://eur-lex.europa.eu/eli/reg/2024/1623/oj" TargetMode="External" /><Relationship Type="http://schemas.openxmlformats.org/officeDocument/2006/relationships/hyperlink" Id="rId544" Target="https://eur-lex.europa.eu/legal-content/EN/ALL/?uri=CELEX:52025DC0956" TargetMode="External" /><Relationship Type="http://schemas.openxmlformats.org/officeDocument/2006/relationships/hyperlink" Id="rId750" Target="https://eur-lex.europa.eu/legal-content/ES/TXT/?uri=CELEX:12012E/PRO/12" TargetMode="External" /><Relationship Type="http://schemas.openxmlformats.org/officeDocument/2006/relationships/hyperlink" Id="rId559" Target="https://eur-lex.europa.eu/legal-content/ES/TXT/?uri=CELEX:32013R1024" TargetMode="External" /><Relationship Type="http://schemas.openxmlformats.org/officeDocument/2006/relationships/hyperlink" Id="rId706" Target="https://eur-lex.europa.eu/legal-content/ES/TXT/?uri=CELEX:32014L0059" TargetMode="External" /><Relationship Type="http://schemas.openxmlformats.org/officeDocument/2006/relationships/hyperlink" Id="rId708" Target="https://eur-lex.europa.eu/legal-content/ES/TXT/?uri=CELEX:32014R0806" TargetMode="External" /><Relationship Type="http://schemas.openxmlformats.org/officeDocument/2006/relationships/hyperlink" Id="rId456" Target="https://eur-lex.europa.eu/legal-content/ES/TXT/?uri=CELEX:32020HB0019" TargetMode="External" /><Relationship Type="http://schemas.openxmlformats.org/officeDocument/2006/relationships/hyperlink" Id="rId536" Target="https://eur-lex.europa.eu/legal-content/ES/TXT/?uri=CELEX:52015PC0586" TargetMode="External" /><Relationship Type="http://schemas.openxmlformats.org/officeDocument/2006/relationships/hyperlink" Id="rId538" Target="https://eur-lex.europa.eu/legal-content/ES/TXT/?uri=CELEX:52022DC0230" TargetMode="External" /><Relationship Type="http://schemas.openxmlformats.org/officeDocument/2006/relationships/hyperlink" Id="rId754" Target="https://fred.stlouisfed.org/series/GDPC1" TargetMode="External" /><Relationship Type="http://schemas.openxmlformats.org/officeDocument/2006/relationships/hyperlink" Id="rId727" Target="https://laadministracionaldia.inap.es/noticia.asp?id=1500719" TargetMode="External" /><Relationship Type="http://schemas.openxmlformats.org/officeDocument/2006/relationships/hyperlink" Id="rId748" Target="https://uniblog.unicajabanco.es/8-indicadores-bancarios-para-no-iniciados" TargetMode="External" /><Relationship Type="http://schemas.openxmlformats.org/officeDocument/2006/relationships/hyperlink" Id="rId462" Target="https://www.bankingsupervision.europa.eu/activities/srep/2025/html/ssm.srep202511_aggregatedresults2025.en.html" TargetMode="External" /><Relationship Type="http://schemas.openxmlformats.org/officeDocument/2006/relationships/hyperlink" Id="rId472" Target="https://www.bankingsupervision.europa.eu/press/pr/date/2026/html/ssm.pr260915~7917ca1416.es.html" TargetMode="External" /><Relationship Type="http://schemas.openxmlformats.org/officeDocument/2006/relationships/hyperlink" Id="rId496" Target="https://www.bankinter.com/blog/economia/leer-rating-agencias-calificacion-financiera" TargetMode="External" /><Relationship Type="http://schemas.openxmlformats.org/officeDocument/2006/relationships/hyperlink" Id="rId515" Target="https://www.bbvaresearch.com/publicaciones/espana-la-economia-espanola-en-el-primer-ano-de-la-guerra-de-ucrania/" TargetMode="External" /><Relationship Type="http://schemas.openxmlformats.org/officeDocument/2006/relationships/hyperlink" Id="rId482" Target="https://www.bde.es/f/webbde/SES/Secciones/Publicaciones/PublicacionesAnuales/InformesAnuales/21/Fich/InfAnual_2021.pdf" TargetMode="External" /><Relationship Type="http://schemas.openxmlformats.org/officeDocument/2006/relationships/hyperlink" Id="rId486" Target="https://www.bde.es/f/webbe/GAP/Secciones/SalaPrensa/NotasInformativas/26/presbe2026-90.pdf" TargetMode="External" /><Relationship Type="http://schemas.openxmlformats.org/officeDocument/2006/relationships/hyperlink" Id="rId484" Target="https://www.bde.es/f/webbe/INF/MenuVertical/EstabilidadFinanciera/Colchon_capital/Resolucion_CCA_2025T4.pdf" TargetMode="External" /><Relationship Type="http://schemas.openxmlformats.org/officeDocument/2006/relationships/hyperlink" Id="rId488" Target="https://www.bde.es/wbe/es/publicaciones/informes-memorias-anuales/informe-anual/informe-anual-2025.html" TargetMode="External" /><Relationship Type="http://schemas.openxmlformats.org/officeDocument/2006/relationships/hyperlink" Id="rId480" Target="https://www.bde.es/webbe/es/estadisticas/compartido/docs/notaNGEU.pdf" TargetMode="External" /><Relationship Type="http://schemas.openxmlformats.org/officeDocument/2006/relationships/hyperlink" Id="rId557" Target="https://www.bis.org/bcbs/publ/d295.htm" TargetMode="External" /><Relationship Type="http://schemas.openxmlformats.org/officeDocument/2006/relationships/hyperlink" Id="rId500" Target="https://www.bis.org/bcbs/publ/d424.htm" TargetMode="External" /><Relationship Type="http://schemas.openxmlformats.org/officeDocument/2006/relationships/hyperlink" Id="rId490" Target="https://www.bis.org/publ/arpdf/ar2022e2.htm" TargetMode="External" /><Relationship Type="http://schemas.openxmlformats.org/officeDocument/2006/relationships/hyperlink" Id="rId492" Target="https://www.bis.org/publ/arpdf/ar2024e.htm" TargetMode="External" /><Relationship Type="http://schemas.openxmlformats.org/officeDocument/2006/relationships/hyperlink" Id="rId551" Target="https://www.bis.org/publ/bcbs187.htm" TargetMode="External" /><Relationship Type="http://schemas.openxmlformats.org/officeDocument/2006/relationships/hyperlink" Id="rId553" Target="https://www.bis.org/publ/bcbs189.htm" TargetMode="External" /><Relationship Type="http://schemas.openxmlformats.org/officeDocument/2006/relationships/hyperlink" Id="rId555" Target="https://www.bis.org/publ/bcbs238.htm" TargetMode="External" /><Relationship Type="http://schemas.openxmlformats.org/officeDocument/2006/relationships/hyperlink" Id="rId513" Target="https://www.bis.org/publ/work186.htm" TargetMode="External" /><Relationship Type="http://schemas.openxmlformats.org/officeDocument/2006/relationships/hyperlink" Id="rId682" Target="https://www.boe.es/diario_boe/txt.php?id=BOE-A-2024-27439" TargetMode="External" /><Relationship Type="http://schemas.openxmlformats.org/officeDocument/2006/relationships/hyperlink" Id="rId684" Target="https://www.boe.es/diario_boe/txt.php?id=BOE-A-2025-26902" TargetMode="External" /><Relationship Type="http://schemas.openxmlformats.org/officeDocument/2006/relationships/hyperlink" Id="rId744" Target="https://www.conference-board.org/topics/us-leading-indicators" TargetMode="External" /><Relationship Type="http://schemas.openxmlformats.org/officeDocument/2006/relationships/hyperlink" Id="rId448" Target="https://www.eba.europa.eu/regulation-and-policy/credit-risk/guidelines-legislative-and-non-legislative-moratoria-loan-repayments-applied-light-covid-19-crisis" TargetMode="External" /><Relationship Type="http://schemas.openxmlformats.org/officeDocument/2006/relationships/hyperlink" Id="rId572" Target="https://www.eba.europa.eu/risk-and-data-analysis/risk-analysis/risk-monitoring/risk-dashboard" TargetMode="External" /><Relationship Type="http://schemas.openxmlformats.org/officeDocument/2006/relationships/hyperlink" Id="rId574" Target="https://www.eba.europa.eu/sites/default/files/2026-09/26394108-1837-4b5b-bce2-fba1d3c574b1/EBA%20Dashboard%20-%20Q2%202026.pdf" TargetMode="External" /><Relationship Type="http://schemas.openxmlformats.org/officeDocument/2006/relationships/hyperlink" Id="rId464" Target="https://www.ecb.europa.eu/mopo/strategy/strategy-review/ecb.strategyreview202506_strategy_statement.es.html" TargetMode="External" /><Relationship Type="http://schemas.openxmlformats.org/officeDocument/2006/relationships/hyperlink" Id="rId474" Target="https://www.ecb.europa.eu/paym/coll/risk/ecaf/html/index.en.html" TargetMode="External" /><Relationship Type="http://schemas.openxmlformats.org/officeDocument/2006/relationships/hyperlink" Id="rId533" Target="https://www.ecb.europa.eu/press/economic-bulletin/focus/2022/html/ecb.ebbox202207_04~a89ec1a6fe.en.html" TargetMode="External" /><Relationship Type="http://schemas.openxmlformats.org/officeDocument/2006/relationships/hyperlink" Id="rId460" Target="https://www.ecb.europa.eu/press/pr/date/2024/html/ecb.pr240313~807e240020.en.html" TargetMode="External" /><Relationship Type="http://schemas.openxmlformats.org/officeDocument/2006/relationships/hyperlink" Id="rId466" Target="https://www.ecb.europa.eu/press/pr/date/2026/html/ecb.pr260101~c830245e42.es.html" TargetMode="External" /><Relationship Type="http://schemas.openxmlformats.org/officeDocument/2006/relationships/hyperlink" Id="rId458" Target="https://www.ecb.europa.eu/pub/annual/html/ecb.ar2022~8ae51d163b.es.html" TargetMode="External" /><Relationship Type="http://schemas.openxmlformats.org/officeDocument/2006/relationships/hyperlink" Id="rId454" Target="https://www.ecb.europa.eu/pub/financial-stability/fsr/html/ecb.fsr202011~b7be9ae1f1.en.html" TargetMode="External" /><Relationship Type="http://schemas.openxmlformats.org/officeDocument/2006/relationships/hyperlink" Id="rId687" Target="https://www.ecb.europa.eu/pub/pdf/scpwps/ecbwp737.pdf" TargetMode="External" /><Relationship Type="http://schemas.openxmlformats.org/officeDocument/2006/relationships/hyperlink" Id="rId478" Target="https://www.ecb.europa.eu/stats/ecb_surveys/safe/html/index.en.html" TargetMode="External" /><Relationship Type="http://schemas.openxmlformats.org/officeDocument/2006/relationships/hyperlink" Id="rId476" Target="https://www.ecb.europa.eu/stats/policy_and_exchange_rates/key_ecb_interest_rates/html/index.en.html" TargetMode="External" /><Relationship Type="http://schemas.openxmlformats.org/officeDocument/2006/relationships/hyperlink" Id="rId746" Target="https://www.economist.com/finance-and-economics/2008/12/30/diagnosing-depression" TargetMode="External" /><Relationship Type="http://schemas.openxmlformats.org/officeDocument/2006/relationships/hyperlink" Id="rId623" Target="https://www.edx.org/es/course/programacion-y-politicas-financieras-parte-1-cue-2" TargetMode="External" /><Relationship Type="http://schemas.openxmlformats.org/officeDocument/2006/relationships/hyperlink" Id="rId621" Target="https://www.edx.org/es/learn/finance/the-international-monetary-fund-financial-programming-and-policies-part-1-macroeconomic-accounts-analysis" TargetMode="External" /><Relationship Type="http://schemas.openxmlformats.org/officeDocument/2006/relationships/hyperlink" Id="rId756" Target="https://www.eia.gov/dnav/pet/hist/LeafHandler.ashx?n=PET&amp;s=RBRTE&amp;f=M" TargetMode="External" /><Relationship Type="http://schemas.openxmlformats.org/officeDocument/2006/relationships/hyperlink" Id="rId664" Target="https://www.esrb.europa.eu/pub/pdf/other/140303_esrb_handbook_mp.en.pdf" TargetMode="External" /><Relationship Type="http://schemas.openxmlformats.org/officeDocument/2006/relationships/hyperlink" Id="rId698" Target="https://www.ilo.org/resource/article/moving-towards-full-employment-interview-aurelio-parisotto" TargetMode="External" /><Relationship Type="http://schemas.openxmlformats.org/officeDocument/2006/relationships/hyperlink" Id="rId632" Target="https://www.imf.org/en/About/Factsheets/Sheets/2023/IMF-Conditionality" TargetMode="External" /><Relationship Type="http://schemas.openxmlformats.org/officeDocument/2006/relationships/hyperlink" Id="rId636" Target="https://www.imf.org/en/About/executive-board/Article-IV" TargetMode="External" /><Relationship Type="http://schemas.openxmlformats.org/officeDocument/2006/relationships/hyperlink" Id="rId616" Target="https://www.imf.org/en/Publications/FM/Issues/2018/10/04/fiscal-monitor-october-2018" TargetMode="External" /><Relationship Type="http://schemas.openxmlformats.org/officeDocument/2006/relationships/hyperlink" Id="rId630" Target="https://www.imf.org/en/news/articles/2025/03/20/pr25072-imf-and-statistical-community-release-new-global-standards-for-macroeconomic-stats" TargetMode="External" /><Relationship Type="http://schemas.openxmlformats.org/officeDocument/2006/relationships/hyperlink" Id="rId638" Target="https://www.imf.org/en/publications/cr/issues/2026/05/21/spain-2026-article-iv-consultation-press-release-staff-report-and-statement-by-the-576248" TargetMode="External" /><Relationship Type="http://schemas.openxmlformats.org/officeDocument/2006/relationships/hyperlink" Id="rId640" Target="https://www.imf.org/en/publications/weo/issues/2026/10/13/world-economic-outlook-october-2026" TargetMode="External" /><Relationship Type="http://schemas.openxmlformats.org/officeDocument/2006/relationships/hyperlink" Id="rId626" Target="https://www.imf.org/es/Publications/FM/Issues/2023/04/03/fiscal-monitor-april-2023" TargetMode="External" /><Relationship Type="http://schemas.openxmlformats.org/officeDocument/2006/relationships/hyperlink" Id="rId610" Target="https://www.imf.org/external/np/pp/eng/2011/021411b.pdf" TargetMode="External" /><Relationship Type="http://schemas.openxmlformats.org/officeDocument/2006/relationships/hyperlink" Id="rId612" Target="https://www.imf.org/external/np/pp/eng/2012/111412.pdf" TargetMode="External" /><Relationship Type="http://schemas.openxmlformats.org/officeDocument/2006/relationships/hyperlink" Id="rId608" Target="https://www.imf.org/external/pubs/ft/bop/2007/pdf/bpm6.pdf" TargetMode="External" /><Relationship Type="http://schemas.openxmlformats.org/officeDocument/2006/relationships/hyperlink" Id="rId659" Target="https://www.ine.es/dyngs/INEbase/es/operacion.htm?c=Estadistica_C&amp;cid=1254736176918&amp;menu=metodologia&amp;idp=1254735976595" TargetMode="External" /><Relationship Type="http://schemas.openxmlformats.org/officeDocument/2006/relationships/hyperlink" Id="rId661" Target="https://www.ine.es/metodologia/t25/metodologia_IPC_base_2025.pdf" TargetMode="External" /><Relationship Type="http://schemas.openxmlformats.org/officeDocument/2006/relationships/hyperlink" Id="rId604" Target="https://www.levyinstitute.org/pubs/wp_651.pdf" TargetMode="External" /><Relationship Type="http://schemas.openxmlformats.org/officeDocument/2006/relationships/hyperlink" Id="rId689" Target="https://www.nber.org/research/business-cycle-dating/business-cycle-dating-procedure-frequently-asked-questions" TargetMode="External" /><Relationship Type="http://schemas.openxmlformats.org/officeDocument/2006/relationships/hyperlink" Id="rId695" Target="https://www.oecd.org/en/publications/2026/06/oecd-economic-outlook-volume-2026-issue-1_8be0dba6.html" TargetMode="External" /><Relationship Type="http://schemas.openxmlformats.org/officeDocument/2006/relationships/hyperlink" Id="rId691" Target="https://www.oecd.org/en/topics/sub-issues/trade-in-value-added.html" TargetMode="External" /><Relationship Type="http://schemas.openxmlformats.org/officeDocument/2006/relationships/hyperlink" Id="rId734" Target="https://www.spglobal.com/marketintelligence/en/mi/products/pmi.html" TargetMode="External" /><Relationship Type="http://schemas.openxmlformats.org/officeDocument/2006/relationships/hyperlink" Id="rId752"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2"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38"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4"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08" Target="https://www.victorgutierrezmarcos.es/oposicion/temario/cuarto-ejercicio/4A23.pdf" TargetMode="External" /><Relationship Type="http://schemas.openxmlformats.org/officeDocument/2006/relationships/hyperlink" Id="rId418"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6"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399"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1" Target="https://www.victorgutierrezmarcos.es/oposicion/temario/tema-no-disponible.html?tema=3.B.18" TargetMode="External" /><Relationship Type="http://schemas.openxmlformats.org/officeDocument/2006/relationships/hyperlink" Id="rId403" Target="https://www.victorgutierrezmarcos.es/oposicion/temario/tema-no-disponible.html?tema=3.B.26" TargetMode="External" /><Relationship Type="http://schemas.openxmlformats.org/officeDocument/2006/relationships/hyperlink" Id="rId335"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1"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69" Target="https://www.victorgutierrezmarcos.es/oposicion/temario/tema-no-disponible.html?tema=4.A.2" TargetMode="External" /><Relationship Type="http://schemas.openxmlformats.org/officeDocument/2006/relationships/hyperlink" Id="rId406"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17"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3"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0" Target="https://www.victorgutierrezmarcos.es/oposicion/temario/tercer-ejercicio/3A13.pdf" TargetMode="External" /><Relationship Type="http://schemas.openxmlformats.org/officeDocument/2006/relationships/hyperlink" Id="rId414" Target="https://www.victorgutierrezmarcos.es/oposicion/temario/tercer-ejercicio/3A15.pdf" TargetMode="External" /><Relationship Type="http://schemas.openxmlformats.org/officeDocument/2006/relationships/hyperlink" Id="rId370" Target="https://www.victorgutierrezmarcos.es/oposicion/temario/tercer-ejercicio/3A17.pdf" TargetMode="External" /><Relationship Type="http://schemas.openxmlformats.org/officeDocument/2006/relationships/hyperlink" Id="rId415" Target="https://www.victorgutierrezmarcos.es/oposicion/temario/tercer-ejercicio/3A20.pdf" TargetMode="External" /><Relationship Type="http://schemas.openxmlformats.org/officeDocument/2006/relationships/hyperlink" Id="rId416"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09"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2"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5"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07" Target="https://www.victorgutierrezmarcos.es/oposicion/temario/tercer-ejercicio/3B17.pdf" TargetMode="External" /><Relationship Type="http://schemas.openxmlformats.org/officeDocument/2006/relationships/hyperlink" Id="rId410"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2"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3" Target="https://www.victorgutierrezmarcos.es/oposicion/temario/tercer-ejercicio/3B33.pdf" TargetMode="External" /><Relationship Type="http://schemas.openxmlformats.org/officeDocument/2006/relationships/hyperlink" Id="rId374" Target="https://www.victorgutierrezmarcos.es/oposicion/temario/tercer-ejercicio/3B41.pdf" TargetMode="External" /><Relationship Type="http://schemas.openxmlformats.org/officeDocument/2006/relationships/hyperlink" Id="rId443"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46" Target="https://atcee.es/la-oposicion-tcee/examenes-anteriores/" TargetMode="External" /><Relationship Type="http://schemas.openxmlformats.org/officeDocument/2006/relationships/hyperlink" Id="rId576" Target="https://commission.europa.eu/system/files/2021-06/2021_06_16_efb_assessment_of_euro_area_fiscal_stance_en.pdf" TargetMode="External" /><Relationship Type="http://schemas.openxmlformats.org/officeDocument/2006/relationships/hyperlink" Id="rId693" Target="https://data-explorer.oecd.org/" TargetMode="External" /><Relationship Type="http://schemas.openxmlformats.org/officeDocument/2006/relationships/hyperlink" Id="rId542" Target="https://data.consilium.europa.eu/doc/document/ST-17077-2024-ADD-1/en/pdf" TargetMode="External" /><Relationship Type="http://schemas.openxmlformats.org/officeDocument/2006/relationships/hyperlink" Id="rId468" Target="https://data.ecb.europa.eu/data/datasets/EXR" TargetMode="External" /><Relationship Type="http://schemas.openxmlformats.org/officeDocument/2006/relationships/hyperlink" Id="rId470" Target="https://data.ecb.europa.eu/data/datasets/ILM" TargetMode="External" /><Relationship Type="http://schemas.openxmlformats.org/officeDocument/2006/relationships/hyperlink" Id="rId634" Target="https://data.imf.org/en/Dashboards/FM%20Dashboard" TargetMode="External" /><Relationship Type="http://schemas.openxmlformats.org/officeDocument/2006/relationships/hyperlink" Id="rId494" Target="https://data.worldbank.org/indicator/NE.TRD.GNFS.ZS" TargetMode="External" /><Relationship Type="http://schemas.openxmlformats.org/officeDocument/2006/relationships/hyperlink" Id="rId738" Target="https://doi.org/10.1016/0167-2231(93)90009-L" TargetMode="External" /><Relationship Type="http://schemas.openxmlformats.org/officeDocument/2006/relationships/hyperlink" Id="rId672" Target="https://doi.org/10.1016/0304-3932(91)90007-B" TargetMode="External" /><Relationship Type="http://schemas.openxmlformats.org/officeDocument/2006/relationships/hyperlink" Id="rId740" Target="https://doi.org/10.1016/S0014-2921(00)00037-4" TargetMode="External" /><Relationship Type="http://schemas.openxmlformats.org/officeDocument/2006/relationships/hyperlink" Id="rId736" Target="https://doi.org/10.1016/S1574-0048(99)01004-6" TargetMode="External" /><Relationship Type="http://schemas.openxmlformats.org/officeDocument/2006/relationships/hyperlink" Id="rId531" Target="https://doi.org/10.1016/j.jinteco.2014.05.003" TargetMode="External" /><Relationship Type="http://schemas.openxmlformats.org/officeDocument/2006/relationships/hyperlink" Id="rId730" Target="https://doi.org/10.1057/imfer.2012.6" TargetMode="External" /><Relationship Type="http://schemas.openxmlformats.org/officeDocument/2006/relationships/hyperlink" Id="rId520" Target="https://doi.org/10.1080/15140326.1998.12040516" TargetMode="External" /><Relationship Type="http://schemas.openxmlformats.org/officeDocument/2006/relationships/hyperlink" Id="rId498" Target="https://doi.org/10.1086/260266" TargetMode="External" /><Relationship Type="http://schemas.openxmlformats.org/officeDocument/2006/relationships/hyperlink" Id="rId652" Target="https://doi.org/10.1086/260724" TargetMode="External" /><Relationship Type="http://schemas.openxmlformats.org/officeDocument/2006/relationships/hyperlink" Id="rId643" Target="https://doi.org/10.1086/654131" TargetMode="External" /><Relationship Type="http://schemas.openxmlformats.org/officeDocument/2006/relationships/hyperlink" Id="rId667" Target="https://doi.org/10.1086/ma.19.3585327" TargetMode="External" /><Relationship Type="http://schemas.openxmlformats.org/officeDocument/2006/relationships/hyperlink" Id="rId528" Target="https://doi.org/10.1093/jeea/jvx028" TargetMode="External" /><Relationship Type="http://schemas.openxmlformats.org/officeDocument/2006/relationships/hyperlink" Id="rId602" Target="https://doi.org/10.1093/qje/qjz036" TargetMode="External" /><Relationship Type="http://schemas.openxmlformats.org/officeDocument/2006/relationships/hyperlink" Id="rId647" Target="https://doi.org/10.1111/j.1468-0335.2009.00815.x" TargetMode="External" /><Relationship Type="http://schemas.openxmlformats.org/officeDocument/2006/relationships/hyperlink" Id="rId650" Target="https://doi.org/10.1111/jeea.12083" TargetMode="External" /><Relationship Type="http://schemas.openxmlformats.org/officeDocument/2006/relationships/hyperlink" Id="rId452" Target="https://doi.org/10.1111/jmcb.12420" TargetMode="External" /><Relationship Type="http://schemas.openxmlformats.org/officeDocument/2006/relationships/hyperlink" Id="rId523" Target="https://doi.org/10.1162/003355302753650274" TargetMode="External" /><Relationship Type="http://schemas.openxmlformats.org/officeDocument/2006/relationships/hyperlink" Id="rId525" Target="https://doi.org/10.1162/003465305775098189" TargetMode="External" /><Relationship Type="http://schemas.openxmlformats.org/officeDocument/2006/relationships/hyperlink" Id="rId570" Target="https://doi.org/10.1162/003465398557320" TargetMode="External" /><Relationship Type="http://schemas.openxmlformats.org/officeDocument/2006/relationships/hyperlink" Id="rId505" Target="https://doi.org/10.1257/aer.109.4.1197" TargetMode="External" /><Relationship Type="http://schemas.openxmlformats.org/officeDocument/2006/relationships/hyperlink" Id="rId645" Target="https://doi.org/10.1257/aer.20171201" TargetMode="External" /><Relationship Type="http://schemas.openxmlformats.org/officeDocument/2006/relationships/hyperlink" Id="rId503" Target="https://doi.org/10.1257/jep.28.2.197" TargetMode="External" /><Relationship Type="http://schemas.openxmlformats.org/officeDocument/2006/relationships/hyperlink" Id="rId441" Target="https://doi.org/10.1257/jep.33.4.187" TargetMode="External" /><Relationship Type="http://schemas.openxmlformats.org/officeDocument/2006/relationships/hyperlink" Id="rId678" Target="https://doi.org/10.1257/jep.35.1.3" TargetMode="External" /><Relationship Type="http://schemas.openxmlformats.org/officeDocument/2006/relationships/hyperlink" Id="rId511" Target="https://doi.org/10.1257/jep.5.1.73" TargetMode="External" /><Relationship Type="http://schemas.openxmlformats.org/officeDocument/2006/relationships/hyperlink" Id="rId742" Target="https://doi.org/10.1257/mac.1.1.58" TargetMode="External" /><Relationship Type="http://schemas.openxmlformats.org/officeDocument/2006/relationships/hyperlink" Id="rId718" Target="https://doi.org/10.1353/eca.2003.0018" TargetMode="External" /><Relationship Type="http://schemas.openxmlformats.org/officeDocument/2006/relationships/hyperlink" Id="rId724" Target="https://doi.org/10.21034/qr.531" TargetMode="External" /><Relationship Type="http://schemas.openxmlformats.org/officeDocument/2006/relationships/hyperlink" Id="rId517" Target="https://doi.org/10.2307/1344503" TargetMode="External" /><Relationship Type="http://schemas.openxmlformats.org/officeDocument/2006/relationships/hyperlink" Id="rId606" Target="https://doi.org/10.2307/1907327" TargetMode="External" /><Relationship Type="http://schemas.openxmlformats.org/officeDocument/2006/relationships/hyperlink" Id="rId563" Target="https://doi.org/10.2307/2232670" TargetMode="External" /><Relationship Type="http://schemas.openxmlformats.org/officeDocument/2006/relationships/hyperlink" Id="rId676" Target="https://doi.org/10.2307/2534091" TargetMode="External" /><Relationship Type="http://schemas.openxmlformats.org/officeDocument/2006/relationships/hyperlink" Id="rId507" Target="https://doi.org/10.2307/2534495" TargetMode="External" /><Relationship Type="http://schemas.openxmlformats.org/officeDocument/2006/relationships/hyperlink" Id="rId715" Target="https://doi.org/10.2307/2550759" TargetMode="External" /><Relationship Type="http://schemas.openxmlformats.org/officeDocument/2006/relationships/hyperlink" Id="rId657" Target="https://doi.org/10.2307/2953682" TargetMode="External" /><Relationship Type="http://schemas.openxmlformats.org/officeDocument/2006/relationships/hyperlink" Id="rId540" Target="https://doi.org/10.2765/022983" TargetMode="External" /><Relationship Type="http://schemas.openxmlformats.org/officeDocument/2006/relationships/hyperlink" Id="rId654" Target="https://doi.org/10.2765/71437" TargetMode="External" /><Relationship Type="http://schemas.openxmlformats.org/officeDocument/2006/relationships/hyperlink" Id="rId628" Target="https://doi.org/10.5089/9798400230622.002.A001" TargetMode="External" /><Relationship Type="http://schemas.openxmlformats.org/officeDocument/2006/relationships/hyperlink" Id="rId568" Target="https://doi.org/10.7208/chicago/9780226194578.003.0002" TargetMode="External" /><Relationship Type="http://schemas.openxmlformats.org/officeDocument/2006/relationships/hyperlink" Id="rId598" Target="https://ec.europa.eu/eurostat/databrowser/view/jvs_q_r21/default/table" TargetMode="External" /><Relationship Type="http://schemas.openxmlformats.org/officeDocument/2006/relationships/hyperlink" Id="rId586" Target="https://ec.europa.eu/eurostat/databrowser/view/lfsa_argan/default/table" TargetMode="External" /><Relationship Type="http://schemas.openxmlformats.org/officeDocument/2006/relationships/hyperlink" Id="rId584" Target="https://ec.europa.eu/eurostat/databrowser/view/lfsq_argan/default/table" TargetMode="External" /><Relationship Type="http://schemas.openxmlformats.org/officeDocument/2006/relationships/hyperlink" Id="rId594" Target="https://ec.europa.eu/eurostat/databrowser/view/nama_10_a10/default/table" TargetMode="External" /><Relationship Type="http://schemas.openxmlformats.org/officeDocument/2006/relationships/hyperlink" Id="rId592" Target="https://ec.europa.eu/eurostat/databrowser/view/nama_10_gdp/default/table" TargetMode="External" /><Relationship Type="http://schemas.openxmlformats.org/officeDocument/2006/relationships/hyperlink" Id="rId588" Target="https://ec.europa.eu/eurostat/databrowser/view/namq_10_a10_e/default/table" TargetMode="External" /><Relationship Type="http://schemas.openxmlformats.org/officeDocument/2006/relationships/hyperlink" Id="rId590" Target="https://ec.europa.eu/eurostat/databrowser/view/namq_10_gdp/default/table" TargetMode="External" /><Relationship Type="http://schemas.openxmlformats.org/officeDocument/2006/relationships/hyperlink" Id="rId596" Target="https://ec.europa.eu/eurostat/databrowser/view/prc_hicp_minr/default/table" TargetMode="External" /><Relationship Type="http://schemas.openxmlformats.org/officeDocument/2006/relationships/hyperlink" Id="rId600" Target="https://ec.europa.eu/eurostat/databrowser/view/une_rt_q/default/table" TargetMode="External" /><Relationship Type="http://schemas.openxmlformats.org/officeDocument/2006/relationships/hyperlink" Id="rId580" Target="https://ec.europa.eu/eurostat/statistics-explained/index.php?title=Glossary:Housing_cost_overburden_rate" TargetMode="External" /><Relationship Type="http://schemas.openxmlformats.org/officeDocument/2006/relationships/hyperlink" Id="rId582" Target="https://ec.europa.eu/eurostat/statistics-explained/index.php?title=The_Macroeconomic_Imbalance_Procedure_(MIP)_introduced" TargetMode="External" /><Relationship Type="http://schemas.openxmlformats.org/officeDocument/2006/relationships/hyperlink" Id="rId578" Target="https://ec.europa.eu/eurostat/web/products-euro-indicators/-/2-22042013-ap" TargetMode="External" /><Relationship Type="http://schemas.openxmlformats.org/officeDocument/2006/relationships/hyperlink" Id="rId546" Target="https://economy-finance.ec.europa.eu/economic-forecast-and-surveys/business-and-consumer-surveys_en" TargetMode="External" /><Relationship Type="http://schemas.openxmlformats.org/officeDocument/2006/relationships/hyperlink" Id="rId549" Target="https://economy-finance.ec.europa.eu/economic-research-and-databases/economic-databases/ameco-database_en" TargetMode="External" /><Relationship Type="http://schemas.openxmlformats.org/officeDocument/2006/relationships/hyperlink" Id="rId700" Target="https://eur-lex.europa.eu/eli/dir/2013/36/oj" TargetMode="External" /><Relationship Type="http://schemas.openxmlformats.org/officeDocument/2006/relationships/hyperlink" Id="rId704" Target="https://eur-lex.europa.eu/eli/reg/2013/549/oj" TargetMode="External" /><Relationship Type="http://schemas.openxmlformats.org/officeDocument/2006/relationships/hyperlink" Id="rId702" Target="https://eur-lex.europa.eu/eli/reg/2013/575/oj" TargetMode="External" /><Relationship Type="http://schemas.openxmlformats.org/officeDocument/2006/relationships/hyperlink" Id="rId710" Target="https://eur-lex.europa.eu/eli/reg/2024/1263/oj" TargetMode="External" /><Relationship Type="http://schemas.openxmlformats.org/officeDocument/2006/relationships/hyperlink" Id="rId561" Target="https://eur-lex.europa.eu/eli/reg/2024/1264/oj" TargetMode="External" /><Relationship Type="http://schemas.openxmlformats.org/officeDocument/2006/relationships/hyperlink" Id="rId712" Target="https://eur-lex.europa.eu/eli/reg/2024/1623/oj" TargetMode="External" /><Relationship Type="http://schemas.openxmlformats.org/officeDocument/2006/relationships/hyperlink" Id="rId544" Target="https://eur-lex.europa.eu/legal-content/EN/ALL/?uri=CELEX:52025DC0956" TargetMode="External" /><Relationship Type="http://schemas.openxmlformats.org/officeDocument/2006/relationships/hyperlink" Id="rId750" Target="https://eur-lex.europa.eu/legal-content/ES/TXT/?uri=CELEX:12012E/PRO/12" TargetMode="External" /><Relationship Type="http://schemas.openxmlformats.org/officeDocument/2006/relationships/hyperlink" Id="rId559" Target="https://eur-lex.europa.eu/legal-content/ES/TXT/?uri=CELEX:32013R1024" TargetMode="External" /><Relationship Type="http://schemas.openxmlformats.org/officeDocument/2006/relationships/hyperlink" Id="rId706" Target="https://eur-lex.europa.eu/legal-content/ES/TXT/?uri=CELEX:32014L0059" TargetMode="External" /><Relationship Type="http://schemas.openxmlformats.org/officeDocument/2006/relationships/hyperlink" Id="rId708" Target="https://eur-lex.europa.eu/legal-content/ES/TXT/?uri=CELEX:32014R0806" TargetMode="External" /><Relationship Type="http://schemas.openxmlformats.org/officeDocument/2006/relationships/hyperlink" Id="rId456" Target="https://eur-lex.europa.eu/legal-content/ES/TXT/?uri=CELEX:32020HB0019" TargetMode="External" /><Relationship Type="http://schemas.openxmlformats.org/officeDocument/2006/relationships/hyperlink" Id="rId536" Target="https://eur-lex.europa.eu/legal-content/ES/TXT/?uri=CELEX:52015PC0586" TargetMode="External" /><Relationship Type="http://schemas.openxmlformats.org/officeDocument/2006/relationships/hyperlink" Id="rId538" Target="https://eur-lex.europa.eu/legal-content/ES/TXT/?uri=CELEX:52022DC0230" TargetMode="External" /><Relationship Type="http://schemas.openxmlformats.org/officeDocument/2006/relationships/hyperlink" Id="rId754" Target="https://fred.stlouisfed.org/series/GDPC1" TargetMode="External" /><Relationship Type="http://schemas.openxmlformats.org/officeDocument/2006/relationships/hyperlink" Id="rId727" Target="https://laadministracionaldia.inap.es/noticia.asp?id=1500719" TargetMode="External" /><Relationship Type="http://schemas.openxmlformats.org/officeDocument/2006/relationships/hyperlink" Id="rId748" Target="https://uniblog.unicajabanco.es/8-indicadores-bancarios-para-no-iniciados" TargetMode="External" /><Relationship Type="http://schemas.openxmlformats.org/officeDocument/2006/relationships/hyperlink" Id="rId462" Target="https://www.bankingsupervision.europa.eu/activities/srep/2025/html/ssm.srep202511_aggregatedresults2025.en.html" TargetMode="External" /><Relationship Type="http://schemas.openxmlformats.org/officeDocument/2006/relationships/hyperlink" Id="rId472" Target="https://www.bankingsupervision.europa.eu/press/pr/date/2026/html/ssm.pr260915~7917ca1416.es.html" TargetMode="External" /><Relationship Type="http://schemas.openxmlformats.org/officeDocument/2006/relationships/hyperlink" Id="rId496" Target="https://www.bankinter.com/blog/economia/leer-rating-agencias-calificacion-financiera" TargetMode="External" /><Relationship Type="http://schemas.openxmlformats.org/officeDocument/2006/relationships/hyperlink" Id="rId515" Target="https://www.bbvaresearch.com/publicaciones/espana-la-economia-espanola-en-el-primer-ano-de-la-guerra-de-ucrania/" TargetMode="External" /><Relationship Type="http://schemas.openxmlformats.org/officeDocument/2006/relationships/hyperlink" Id="rId482" Target="https://www.bde.es/f/webbde/SES/Secciones/Publicaciones/PublicacionesAnuales/InformesAnuales/21/Fich/InfAnual_2021.pdf" TargetMode="External" /><Relationship Type="http://schemas.openxmlformats.org/officeDocument/2006/relationships/hyperlink" Id="rId486" Target="https://www.bde.es/f/webbe/GAP/Secciones/SalaPrensa/NotasInformativas/26/presbe2026-90.pdf" TargetMode="External" /><Relationship Type="http://schemas.openxmlformats.org/officeDocument/2006/relationships/hyperlink" Id="rId484" Target="https://www.bde.es/f/webbe/INF/MenuVertical/EstabilidadFinanciera/Colchon_capital/Resolucion_CCA_2025T4.pdf" TargetMode="External" /><Relationship Type="http://schemas.openxmlformats.org/officeDocument/2006/relationships/hyperlink" Id="rId488" Target="https://www.bde.es/wbe/es/publicaciones/informes-memorias-anuales/informe-anual/informe-anual-2025.html" TargetMode="External" /><Relationship Type="http://schemas.openxmlformats.org/officeDocument/2006/relationships/hyperlink" Id="rId480" Target="https://www.bde.es/webbe/es/estadisticas/compartido/docs/notaNGEU.pdf" TargetMode="External" /><Relationship Type="http://schemas.openxmlformats.org/officeDocument/2006/relationships/hyperlink" Id="rId557" Target="https://www.bis.org/bcbs/publ/d295.htm" TargetMode="External" /><Relationship Type="http://schemas.openxmlformats.org/officeDocument/2006/relationships/hyperlink" Id="rId500" Target="https://www.bis.org/bcbs/publ/d424.htm" TargetMode="External" /><Relationship Type="http://schemas.openxmlformats.org/officeDocument/2006/relationships/hyperlink" Id="rId490" Target="https://www.bis.org/publ/arpdf/ar2022e2.htm" TargetMode="External" /><Relationship Type="http://schemas.openxmlformats.org/officeDocument/2006/relationships/hyperlink" Id="rId492" Target="https://www.bis.org/publ/arpdf/ar2024e.htm" TargetMode="External" /><Relationship Type="http://schemas.openxmlformats.org/officeDocument/2006/relationships/hyperlink" Id="rId551" Target="https://www.bis.org/publ/bcbs187.htm" TargetMode="External" /><Relationship Type="http://schemas.openxmlformats.org/officeDocument/2006/relationships/hyperlink" Id="rId553" Target="https://www.bis.org/publ/bcbs189.htm" TargetMode="External" /><Relationship Type="http://schemas.openxmlformats.org/officeDocument/2006/relationships/hyperlink" Id="rId555" Target="https://www.bis.org/publ/bcbs238.htm" TargetMode="External" /><Relationship Type="http://schemas.openxmlformats.org/officeDocument/2006/relationships/hyperlink" Id="rId513" Target="https://www.bis.org/publ/work186.htm" TargetMode="External" /><Relationship Type="http://schemas.openxmlformats.org/officeDocument/2006/relationships/hyperlink" Id="rId682" Target="https://www.boe.es/diario_boe/txt.php?id=BOE-A-2024-27439" TargetMode="External" /><Relationship Type="http://schemas.openxmlformats.org/officeDocument/2006/relationships/hyperlink" Id="rId684" Target="https://www.boe.es/diario_boe/txt.php?id=BOE-A-2025-26902" TargetMode="External" /><Relationship Type="http://schemas.openxmlformats.org/officeDocument/2006/relationships/hyperlink" Id="rId744" Target="https://www.conference-board.org/topics/us-leading-indicators" TargetMode="External" /><Relationship Type="http://schemas.openxmlformats.org/officeDocument/2006/relationships/hyperlink" Id="rId448" Target="https://www.eba.europa.eu/regulation-and-policy/credit-risk/guidelines-legislative-and-non-legislative-moratoria-loan-repayments-applied-light-covid-19-crisis" TargetMode="External" /><Relationship Type="http://schemas.openxmlformats.org/officeDocument/2006/relationships/hyperlink" Id="rId572" Target="https://www.eba.europa.eu/risk-and-data-analysis/risk-analysis/risk-monitoring/risk-dashboard" TargetMode="External" /><Relationship Type="http://schemas.openxmlformats.org/officeDocument/2006/relationships/hyperlink" Id="rId574" Target="https://www.eba.europa.eu/sites/default/files/2026-09/26394108-1837-4b5b-bce2-fba1d3c574b1/EBA%20Dashboard%20-%20Q2%202026.pdf" TargetMode="External" /><Relationship Type="http://schemas.openxmlformats.org/officeDocument/2006/relationships/hyperlink" Id="rId464" Target="https://www.ecb.europa.eu/mopo/strategy/strategy-review/ecb.strategyreview202506_strategy_statement.es.html" TargetMode="External" /><Relationship Type="http://schemas.openxmlformats.org/officeDocument/2006/relationships/hyperlink" Id="rId474" Target="https://www.ecb.europa.eu/paym/coll/risk/ecaf/html/index.en.html" TargetMode="External" /><Relationship Type="http://schemas.openxmlformats.org/officeDocument/2006/relationships/hyperlink" Id="rId533" Target="https://www.ecb.europa.eu/press/economic-bulletin/focus/2022/html/ecb.ebbox202207_04~a89ec1a6fe.en.html" TargetMode="External" /><Relationship Type="http://schemas.openxmlformats.org/officeDocument/2006/relationships/hyperlink" Id="rId460" Target="https://www.ecb.europa.eu/press/pr/date/2024/html/ecb.pr240313~807e240020.en.html" TargetMode="External" /><Relationship Type="http://schemas.openxmlformats.org/officeDocument/2006/relationships/hyperlink" Id="rId466" Target="https://www.ecb.europa.eu/press/pr/date/2026/html/ecb.pr260101~c830245e42.es.html" TargetMode="External" /><Relationship Type="http://schemas.openxmlformats.org/officeDocument/2006/relationships/hyperlink" Id="rId458" Target="https://www.ecb.europa.eu/pub/annual/html/ecb.ar2022~8ae51d163b.es.html" TargetMode="External" /><Relationship Type="http://schemas.openxmlformats.org/officeDocument/2006/relationships/hyperlink" Id="rId454" Target="https://www.ecb.europa.eu/pub/financial-stability/fsr/html/ecb.fsr202011~b7be9ae1f1.en.html" TargetMode="External" /><Relationship Type="http://schemas.openxmlformats.org/officeDocument/2006/relationships/hyperlink" Id="rId687" Target="https://www.ecb.europa.eu/pub/pdf/scpwps/ecbwp737.pdf" TargetMode="External" /><Relationship Type="http://schemas.openxmlformats.org/officeDocument/2006/relationships/hyperlink" Id="rId478" Target="https://www.ecb.europa.eu/stats/ecb_surveys/safe/html/index.en.html" TargetMode="External" /><Relationship Type="http://schemas.openxmlformats.org/officeDocument/2006/relationships/hyperlink" Id="rId476" Target="https://www.ecb.europa.eu/stats/policy_and_exchange_rates/key_ecb_interest_rates/html/index.en.html" TargetMode="External" /><Relationship Type="http://schemas.openxmlformats.org/officeDocument/2006/relationships/hyperlink" Id="rId746" Target="https://www.economist.com/finance-and-economics/2008/12/30/diagnosing-depression" TargetMode="External" /><Relationship Type="http://schemas.openxmlformats.org/officeDocument/2006/relationships/hyperlink" Id="rId623" Target="https://www.edx.org/es/course/programacion-y-politicas-financieras-parte-1-cue-2" TargetMode="External" /><Relationship Type="http://schemas.openxmlformats.org/officeDocument/2006/relationships/hyperlink" Id="rId621" Target="https://www.edx.org/es/learn/finance/the-international-monetary-fund-financial-programming-and-policies-part-1-macroeconomic-accounts-analysis" TargetMode="External" /><Relationship Type="http://schemas.openxmlformats.org/officeDocument/2006/relationships/hyperlink" Id="rId756" Target="https://www.eia.gov/dnav/pet/hist/LeafHandler.ashx?n=PET&amp;s=RBRTE&amp;f=M" TargetMode="External" /><Relationship Type="http://schemas.openxmlformats.org/officeDocument/2006/relationships/hyperlink" Id="rId664" Target="https://www.esrb.europa.eu/pub/pdf/other/140303_esrb_handbook_mp.en.pdf" TargetMode="External" /><Relationship Type="http://schemas.openxmlformats.org/officeDocument/2006/relationships/hyperlink" Id="rId698" Target="https://www.ilo.org/resource/article/moving-towards-full-employment-interview-aurelio-parisotto" TargetMode="External" /><Relationship Type="http://schemas.openxmlformats.org/officeDocument/2006/relationships/hyperlink" Id="rId632" Target="https://www.imf.org/en/About/Factsheets/Sheets/2023/IMF-Conditionality" TargetMode="External" /><Relationship Type="http://schemas.openxmlformats.org/officeDocument/2006/relationships/hyperlink" Id="rId636" Target="https://www.imf.org/en/About/executive-board/Article-IV" TargetMode="External" /><Relationship Type="http://schemas.openxmlformats.org/officeDocument/2006/relationships/hyperlink" Id="rId616" Target="https://www.imf.org/en/Publications/FM/Issues/2018/10/04/fiscal-monitor-october-2018" TargetMode="External" /><Relationship Type="http://schemas.openxmlformats.org/officeDocument/2006/relationships/hyperlink" Id="rId630" Target="https://www.imf.org/en/news/articles/2025/03/20/pr25072-imf-and-statistical-community-release-new-global-standards-for-macroeconomic-stats" TargetMode="External" /><Relationship Type="http://schemas.openxmlformats.org/officeDocument/2006/relationships/hyperlink" Id="rId638" Target="https://www.imf.org/en/publications/cr/issues/2026/05/21/spain-2026-article-iv-consultation-press-release-staff-report-and-statement-by-the-576248" TargetMode="External" /><Relationship Type="http://schemas.openxmlformats.org/officeDocument/2006/relationships/hyperlink" Id="rId640" Target="https://www.imf.org/en/publications/weo/issues/2026/10/13/world-economic-outlook-october-2026" TargetMode="External" /><Relationship Type="http://schemas.openxmlformats.org/officeDocument/2006/relationships/hyperlink" Id="rId626" Target="https://www.imf.org/es/Publications/FM/Issues/2023/04/03/fiscal-monitor-april-2023" TargetMode="External" /><Relationship Type="http://schemas.openxmlformats.org/officeDocument/2006/relationships/hyperlink" Id="rId610" Target="https://www.imf.org/external/np/pp/eng/2011/021411b.pdf" TargetMode="External" /><Relationship Type="http://schemas.openxmlformats.org/officeDocument/2006/relationships/hyperlink" Id="rId612" Target="https://www.imf.org/external/np/pp/eng/2012/111412.pdf" TargetMode="External" /><Relationship Type="http://schemas.openxmlformats.org/officeDocument/2006/relationships/hyperlink" Id="rId608" Target="https://www.imf.org/external/pubs/ft/bop/2007/pdf/bpm6.pdf" TargetMode="External" /><Relationship Type="http://schemas.openxmlformats.org/officeDocument/2006/relationships/hyperlink" Id="rId659" Target="https://www.ine.es/dyngs/INEbase/es/operacion.htm?c=Estadistica_C&amp;cid=1254736176918&amp;menu=metodologia&amp;idp=1254735976595" TargetMode="External" /><Relationship Type="http://schemas.openxmlformats.org/officeDocument/2006/relationships/hyperlink" Id="rId661" Target="https://www.ine.es/metodologia/t25/metodologia_IPC_base_2025.pdf" TargetMode="External" /><Relationship Type="http://schemas.openxmlformats.org/officeDocument/2006/relationships/hyperlink" Id="rId604" Target="https://www.levyinstitute.org/pubs/wp_651.pdf" TargetMode="External" /><Relationship Type="http://schemas.openxmlformats.org/officeDocument/2006/relationships/hyperlink" Id="rId689" Target="https://www.nber.org/research/business-cycle-dating/business-cycle-dating-procedure-frequently-asked-questions" TargetMode="External" /><Relationship Type="http://schemas.openxmlformats.org/officeDocument/2006/relationships/hyperlink" Id="rId695" Target="https://www.oecd.org/en/publications/2026/06/oecd-economic-outlook-volume-2026-issue-1_8be0dba6.html" TargetMode="External" /><Relationship Type="http://schemas.openxmlformats.org/officeDocument/2006/relationships/hyperlink" Id="rId691" Target="https://www.oecd.org/en/topics/sub-issues/trade-in-value-added.html" TargetMode="External" /><Relationship Type="http://schemas.openxmlformats.org/officeDocument/2006/relationships/hyperlink" Id="rId734" Target="https://www.spglobal.com/marketintelligence/en/mi/products/pmi.html" TargetMode="External" /><Relationship Type="http://schemas.openxmlformats.org/officeDocument/2006/relationships/hyperlink" Id="rId752"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2"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38"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4"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08" Target="https://www.victorgutierrezmarcos.es/oposicion/temario/cuarto-ejercicio/4A23.pdf" TargetMode="External" /><Relationship Type="http://schemas.openxmlformats.org/officeDocument/2006/relationships/hyperlink" Id="rId418"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6"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399"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1" Target="https://www.victorgutierrezmarcos.es/oposicion/temario/tema-no-disponible.html?tema=3.B.18" TargetMode="External" /><Relationship Type="http://schemas.openxmlformats.org/officeDocument/2006/relationships/hyperlink" Id="rId403" Target="https://www.victorgutierrezmarcos.es/oposicion/temario/tema-no-disponible.html?tema=3.B.26" TargetMode="External" /><Relationship Type="http://schemas.openxmlformats.org/officeDocument/2006/relationships/hyperlink" Id="rId335"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1"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69" Target="https://www.victorgutierrezmarcos.es/oposicion/temario/tema-no-disponible.html?tema=4.A.2" TargetMode="External" /><Relationship Type="http://schemas.openxmlformats.org/officeDocument/2006/relationships/hyperlink" Id="rId406"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17"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3"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0" Target="https://www.victorgutierrezmarcos.es/oposicion/temario/tercer-ejercicio/3A13.pdf" TargetMode="External" /><Relationship Type="http://schemas.openxmlformats.org/officeDocument/2006/relationships/hyperlink" Id="rId414" Target="https://www.victorgutierrezmarcos.es/oposicion/temario/tercer-ejercicio/3A15.pdf" TargetMode="External" /><Relationship Type="http://schemas.openxmlformats.org/officeDocument/2006/relationships/hyperlink" Id="rId370" Target="https://www.victorgutierrezmarcos.es/oposicion/temario/tercer-ejercicio/3A17.pdf" TargetMode="External" /><Relationship Type="http://schemas.openxmlformats.org/officeDocument/2006/relationships/hyperlink" Id="rId415" Target="https://www.victorgutierrezmarcos.es/oposicion/temario/tercer-ejercicio/3A20.pdf" TargetMode="External" /><Relationship Type="http://schemas.openxmlformats.org/officeDocument/2006/relationships/hyperlink" Id="rId416"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09"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2"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5"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07" Target="https://www.victorgutierrezmarcos.es/oposicion/temario/tercer-ejercicio/3B17.pdf" TargetMode="External" /><Relationship Type="http://schemas.openxmlformats.org/officeDocument/2006/relationships/hyperlink" Id="rId410"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2"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3" Target="https://www.victorgutierrezmarcos.es/oposicion/temario/tercer-ejercicio/3B33.pdf" TargetMode="External" /><Relationship Type="http://schemas.openxmlformats.org/officeDocument/2006/relationships/hyperlink" Id="rId374" Target="https://www.victorgutierrezmarcos.es/oposicion/temario/tercer-ejercicio/3B41.pdf" TargetMode="External" /><Relationship Type="http://schemas.openxmlformats.org/officeDocument/2006/relationships/hyperlink" Id="rId443"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2026-10-25T23:50:23Z</dcterms:created>
  <dcterms:modified xsi:type="dcterms:W3CDTF">2026-10-25T23:50:23Z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25/10/2026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25/10/2026</vt:lpwstr>
  </property>
  <property fmtid="{D5CDD505-2E9C-101B-9397-08002B2CF9AE}" pid="15" name="fecha-cita">
    <vt:lpwstr>2026/10/25</vt:lpwstr>
  </property>
  <property fmtid="{D5CDD505-2E9C-101B-9397-08002B2CF9AE}" pid="16" name="fecha-iso">
    <vt:lpwstr>2026-10-25</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74 págs. · Anexos: 32 · Bibliografía: 11</vt:lpwstr>
  </property>
  <property fmtid="{D5CDD505-2E9C-101B-9397-08002B2CF9AE}" pid="22"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efectos de segunda ronda, posición de inversión internacional, financiar o ajustar, fortalezas y debilidades, Macroeconomía</vt:lpwstr>
  </property>
  <property fmtid="{D5CDD505-2E9C-101B-9397-08002B2CF9AE}" pid="23" name="reference-section-title">
    <vt:lpwstr>Bibliografía</vt:lpwstr>
  </property>
  <property fmtid="{D5CDD505-2E9C-101B-9397-08002B2CF9AE}" pid="24" name="resumen">
    <vt:lpwstr>Cómo interpretar un cuadro macroeconómico en el dictamen: ciclo, empleo, inflación, balanza de pagos, políticas y banca, con esquemas y gráficos.</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