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6.png" ContentType="image/png"/>
  <Override PartName="/word/media/rId71.png" ContentType="image/png"/>
  <Override PartName="/word/media/rId103.png" ContentType="image/png"/>
  <Override PartName="/word/media/rId98.png" ContentType="image/png"/>
  <Override PartName="/word/media/rId48.png" ContentType="image/png"/>
  <Override PartName="/word/media/rId170.png" ContentType="image/png"/>
  <Override PartName="/word/media/rId143.png" ContentType="image/png"/>
  <Override PartName="/word/media/rId118.png" ContentType="image/png"/>
  <Override PartName="/word/media/rId187.png" ContentType="image/png"/>
  <Override PartName="/word/media/rId159.png" ContentType="image/png"/>
  <Override PartName="/word/media/rId44.png" ContentType="image/png"/>
  <Override PartName="/word/media/rId52.png" ContentType="image/png"/>
  <Override PartName="/word/media/rId75.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3.A.15: La empresa: el tamaño eficiente y sus límites.</w:t>
      </w:r>
      <w:r>
        <w:br/>
      </w:r>
      <w:r>
        <w:t xml:space="preserve">Mención especial de la economía de los costes</w:t>
      </w:r>
      <w:r>
        <w:br/>
      </w:r>
      <w:r>
        <w:t xml:space="preserve">de transacción. La Teoría de la Organización Industrial:</w:t>
      </w:r>
      <w:r>
        <w:br/>
      </w:r>
      <w:r>
        <w:t xml:space="preserve">barreras a la entrada y mercados impugnables.</w:t>
      </w:r>
    </w:p>
    <w:p>
      <w:pPr>
        <w:pStyle w:val="Author"/>
      </w:pPr>
      <w:r>
        <w:t xml:space="preserve">Víctor Gutiérrez Marcos</w:t>
      </w:r>
    </w:p>
    <w:p>
      <w:pPr>
        <w:pStyle w:val="Date"/>
      </w:pPr>
      <w:r>
        <w:t xml:space="preserve">Última actualización: 20/10/2026</w:t>
      </w:r>
    </w:p>
    <w:p>
      <w:pPr>
        <w:pStyle w:val="Paginasdeltema"/>
      </w:pPr>
      <w:r>
        <w:t xml:space="preserve">Tema: 33 págs. · Anexos: 4 · Bibliografía: 8 (PDF)</w:t>
      </w:r>
    </w:p>
    <w:bookmarkStart w:id="40"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En 1931, un estudiante de 20 años de la London School of Economics, Ronald</w:t>
      </w:r>
      <w:r>
        <w:t xml:space="preserve"> </w:t>
      </w:r>
      <w:r>
        <w:rPr>
          <w:smallCaps/>
        </w:rPr>
        <w:t xml:space="preserve">Coase</w:t>
      </w:r>
      <w:r>
        <w:t xml:space="preserve">, cruzó el Atlántico con una beca de viaje para averiguar por qué las industrias de Estados Unidos se organizaban de formas tan distintas. Le inquietaba una paradoja. Sus profesores le enseñaban que el sistema de precios coordina toda la economía, y muchos economistas occidentales sostenían que la planificación central, la economía soviética que según</w:t>
      </w:r>
      <w:r>
        <w:t xml:space="preserve"> </w:t>
      </w:r>
      <w:r>
        <w:rPr>
          <w:smallCaps/>
        </w:rPr>
        <w:t xml:space="preserve">Lenin</w:t>
      </w:r>
      <w:r>
        <w:t xml:space="preserve"> </w:t>
      </w:r>
      <w:r>
        <w:t xml:space="preserve">funcionaría como una gran fábrica, era imposible. Y, sin embargo, en Occidente había fábricas, algunas enormes: pequeñas economías planificadas que funcionaban dentro del mercado</w:t>
      </w:r>
      <w:r>
        <w:t xml:space="preserve"> </w:t>
      </w:r>
      <w:r>
        <w:t xml:space="preserve">(</w:t>
      </w:r>
      <w:hyperlink w:anchor="ref_Coase1991Institutional">
        <w:r>
          <w:rPr>
            <w:rStyle w:val="Hyperlink"/>
            <w:smallCaps/>
          </w:rPr>
          <w:t xml:space="preserve">Coase</w:t>
        </w:r>
        <w:r>
          <w:rPr>
            <w:rStyle w:val="Hyperlink"/>
          </w:rPr>
          <w:t xml:space="preserve">, 1991</w:t>
        </w:r>
      </w:hyperlink>
      <w:r>
        <w:t xml:space="preserve">)</w:t>
      </w:r>
      <w:r>
        <w:t xml:space="preserve">.</w:t>
      </w:r>
    </w:p>
    <w:p>
      <w:pPr>
        <w:keepNext/>
        <w:numPr>
          <w:ilvl w:val="1"/>
          <w:numId w:val="1002"/>
        </w:numPr>
      </w:pPr>
      <w:r>
        <w:t xml:space="preserve">Detrás está la pregunta de esta exposición: si el mercado coordina tan bien, ¿por qué existen las empresas? Y si dentro de una empresa se planifica con éxito, ¿por qué no se organiza toda la economía como una sola empresa?</w:t>
      </w:r>
      <w:r>
        <w:t xml:space="preserve"> </w:t>
      </w:r>
      <w:r>
        <w:rPr>
          <w:smallCaps/>
        </w:rPr>
        <w:t xml:space="preserve">Coase</w:t>
      </w:r>
      <w:r>
        <w:t xml:space="preserve"> </w:t>
      </w:r>
      <w:r>
        <w:t xml:space="preserve">encontró la respuesta en el verano de 1932, y con ella abrió la caja negra de la empresa.</w:t>
      </w:r>
    </w:p>
    <w:p>
      <w:pPr>
        <w:numPr>
          <w:ilvl w:val="2"/>
          <w:numId w:val="1003"/>
        </w:numPr>
      </w:pPr>
      <w:r>
        <w:t xml:space="preserve">La respuesta de la microeconomía parte del</w:t>
      </w:r>
      <w:r>
        <w:t xml:space="preserve"> </w:t>
      </w:r>
      <w:r>
        <w:rPr>
          <w:b/>
          <w:bCs/>
        </w:rPr>
        <w:t xml:space="preserve">individualismo metodológico</w:t>
      </w:r>
      <w:r>
        <w:t xml:space="preserve">:</w:t>
      </w:r>
      <w:r>
        <w:rPr>
          <w:rStyle w:val="FootnoteReference"/>
        </w:rPr>
        <w:footnoteReference w:id="20"/>
      </w:r>
      <w:r>
        <w:t xml:space="preserve"> </w:t>
      </w:r>
      <w:r>
        <w:t xml:space="preserve">explica los fenómenos agregados a partir de las decisiones de individuos que optimizan</w:t>
      </w:r>
      <w:r>
        <w:t xml:space="preserve"> </w:t>
      </w:r>
      <w:hyperlink r:id="rId21">
        <w:r>
          <w:rPr>
            <w:rStyle w:val="Referenciaatema"/>
          </w:rPr>
          <w:t xml:space="preserve">[ver tema 3.A.8]</w:t>
        </w:r>
      </w:hyperlink>
      <w:r>
        <w:t xml:space="preserve">.</w:t>
      </w:r>
    </w:p>
    <w:p>
      <w:pPr>
        <w:keepNext/>
        <w:numPr>
          <w:ilvl w:val="1"/>
          <w:numId w:val="1002"/>
        </w:numPr>
      </w:pPr>
      <w:r>
        <w:t xml:space="preserve">Para comprender y predecir el funcionamiento de los mercados, la</w:t>
      </w:r>
      <w:r>
        <w:t xml:space="preserve"> </w:t>
      </w:r>
      <w:r>
        <w:rPr>
          <w:b/>
          <w:bCs/>
        </w:rPr>
        <w:t xml:space="preserve">microeconomía</w:t>
      </w:r>
      <w:r>
        <w:t xml:space="preserve"> </w:t>
      </w:r>
      <w:r>
        <w:t xml:space="preserve">estudia 2 agentes,</w:t>
      </w:r>
      <w:r>
        <w:t xml:space="preserve"> </w:t>
      </w:r>
      <w:r>
        <w:rPr>
          <w:i/>
          <w:iCs/>
        </w:rPr>
        <w:t xml:space="preserve">consumidores</w:t>
      </w:r>
      <w:r>
        <w:t xml:space="preserve"> </w:t>
      </w:r>
      <w:r>
        <w:t xml:space="preserve">y</w:t>
      </w:r>
      <w:r>
        <w:t xml:space="preserve"> </w:t>
      </w:r>
      <w:r>
        <w:rPr>
          <w:i/>
          <w:iCs/>
        </w:rPr>
        <w:t xml:space="preserve">productores</w:t>
      </w:r>
      <w:r>
        <w:t xml:space="preserve">:</w:t>
      </w:r>
      <w:r>
        <w:rPr>
          <w:rStyle w:val="FootnoteReference"/>
        </w:rPr>
        <w:footnoteReference w:id="22"/>
      </w:r>
      <w:r>
        <w:t xml:space="preserve"> </w:t>
      </w:r>
      <w:r>
        <w:t xml:space="preserve">los consumidores eligen qué consumir sujetos a su restricción presupuestaria, y los productores transforman factores (</w:t>
      </w:r>
      <w:r>
        <w:rPr>
          <w:i/>
          <w:iCs/>
        </w:rPr>
        <w:t xml:space="preserve">inputs</w:t>
      </w:r>
      <w:r>
        <w:t xml:space="preserve">) en productos (</w:t>
      </w:r>
      <w:r>
        <w:rPr>
          <w:i/>
          <w:iCs/>
        </w:rPr>
        <w:t xml:space="preserve">outputs</w:t>
      </w:r>
      <w:r>
        <w:t xml:space="preserve">). Las decisiones de los productores están restringidas por aspectos:</w:t>
      </w:r>
    </w:p>
    <w:p>
      <w:pPr>
        <w:numPr>
          <w:ilvl w:val="2"/>
          <w:numId w:val="1004"/>
        </w:numPr>
      </w:pPr>
      <w:r>
        <w:rPr>
          <w:i/>
          <w:iCs/>
        </w:rPr>
        <w:t xml:space="preserve">técnicos</w:t>
      </w:r>
      <w:r>
        <w:t xml:space="preserve">: cómo se combinan los factores de forma eficiente, dada una tecnología, que estudia la teoría de la producción</w:t>
      </w:r>
      <w:r>
        <w:t xml:space="preserve"> </w:t>
      </w:r>
      <w:hyperlink r:id="rId23">
        <w:r>
          <w:rPr>
            <w:rStyle w:val="Referenciaatema"/>
          </w:rPr>
          <w:t xml:space="preserve">[ver tema 3.A.11]</w:t>
        </w:r>
      </w:hyperlink>
      <w:r>
        <w:t xml:space="preserve">;</w:t>
      </w:r>
    </w:p>
    <w:p>
      <w:pPr>
        <w:numPr>
          <w:ilvl w:val="2"/>
          <w:numId w:val="1004"/>
        </w:numPr>
      </w:pPr>
      <w:r>
        <w:rPr>
          <w:i/>
          <w:iCs/>
        </w:rPr>
        <w:t xml:space="preserve">de costes</w:t>
      </w:r>
      <w:r>
        <w:t xml:space="preserve">: cuál de las combinaciones técnicamente eficientes es la más barata, que estudia la teoría de los costes</w:t>
      </w:r>
      <w:r>
        <w:t xml:space="preserve"> </w:t>
      </w:r>
      <w:hyperlink r:id="rId24">
        <w:r>
          <w:rPr>
            <w:rStyle w:val="Referenciaatema"/>
          </w:rPr>
          <w:t xml:space="preserve">[ver tema 3.A.12]</w:t>
        </w:r>
      </w:hyperlink>
      <w:r>
        <w:t xml:space="preserve">;</w:t>
      </w:r>
    </w:p>
    <w:p>
      <w:pPr>
        <w:numPr>
          <w:ilvl w:val="2"/>
          <w:numId w:val="1004"/>
        </w:numPr>
      </w:pPr>
      <w:r>
        <w:rPr>
          <w:i/>
          <w:iCs/>
        </w:rPr>
        <w:t xml:space="preserve">organizativos y de mercado</w:t>
      </w:r>
      <w:r>
        <w:t xml:space="preserve">: el tamaño y los límites de la empresa (esta exposición) y el mercado en el que vende y compra</w:t>
      </w:r>
      <w:r>
        <w:t xml:space="preserve"> </w:t>
      </w:r>
      <w:hyperlink r:id="rId25">
        <w:r>
          <w:rPr>
            <w:rStyle w:val="Referenciaatema"/>
          </w:rPr>
          <w:t xml:space="preserve">[ver tema 3.A.16]</w:t>
        </w:r>
      </w:hyperlink>
      <w:r>
        <w:t xml:space="preserve"> </w:t>
      </w:r>
      <w:hyperlink r:id="rId26">
        <w:r>
          <w:rPr>
            <w:rStyle w:val="Referenciaatema"/>
          </w:rPr>
          <w:t xml:space="preserve">[ver tema 3.A.17]</w:t>
        </w:r>
      </w:hyperlink>
      <w:r>
        <w:t xml:space="preserve"> </w:t>
      </w:r>
      <w:hyperlink r:id="rId27">
        <w:r>
          <w:rPr>
            <w:rStyle w:val="Referenciaatema"/>
          </w:rPr>
          <w:t xml:space="preserve">[ver tema 3.A.18]</w:t>
        </w:r>
      </w:hyperlink>
      <w:r>
        <w:t xml:space="preserve"> </w:t>
      </w:r>
      <w:hyperlink r:id="rId28">
        <w:r>
          <w:rPr>
            <w:rStyle w:val="Referenciaatema"/>
          </w:rPr>
          <w:t xml:space="preserve">[ver tema 3.A.19]</w:t>
        </w:r>
      </w:hyperlink>
      <w:r>
        <w:t xml:space="preserve">.</w:t>
      </w:r>
    </w:p>
    <w:p>
      <w:pPr>
        <w:numPr>
          <w:ilvl w:val="1"/>
          <w:numId w:val="1002"/>
        </w:numPr>
      </w:pPr>
      <w:r>
        <w:t xml:space="preserve">La</w:t>
      </w:r>
      <w:r>
        <w:t xml:space="preserve"> </w:t>
      </w:r>
      <w:r>
        <w:rPr>
          <w:b/>
          <w:bCs/>
        </w:rPr>
        <w:t xml:space="preserve">empresa</w:t>
      </w:r>
      <w:r>
        <w:t xml:space="preserve"> </w:t>
      </w:r>
      <w:r>
        <w:t xml:space="preserve">es la unidad que organiza la producción: reúne factores bajo una dirección común y vende lo que produce en el mercado. La teoría neoclásica la trata como una</w:t>
      </w:r>
      <w:r>
        <w:t xml:space="preserve"> </w:t>
      </w:r>
      <w:r>
        <w:rPr>
          <w:b/>
          <w:bCs/>
        </w:rPr>
        <w:t xml:space="preserve">caja negra</w:t>
      </w:r>
      <w:r>
        <w:t xml:space="preserve">: sabemos qué entra en ella y qué sale, pero no qué ocurre dentro, ni por qué existe, ni dónde termina.</w:t>
      </w:r>
    </w:p>
    <w:p>
      <w:pPr>
        <w:keepNext/>
        <w:numPr>
          <w:ilvl w:val="0"/>
          <w:numId w:val="1001"/>
        </w:numPr>
      </w:pPr>
      <w:r>
        <w:rPr>
          <w:b/>
          <w:bCs/>
          <w:i/>
          <w:iCs/>
        </w:rPr>
        <w:t xml:space="preserve">Relevancia</w:t>
      </w:r>
      <w:r>
        <w:t xml:space="preserve">:</w:t>
      </w:r>
    </w:p>
    <w:p>
      <w:pPr>
        <w:numPr>
          <w:ilvl w:val="1"/>
          <w:numId w:val="1005"/>
        </w:numPr>
      </w:pPr>
      <w:r>
        <w:rPr>
          <w:i/>
          <w:iCs/>
        </w:rPr>
        <w:t xml:space="preserve">Teórica</w:t>
      </w:r>
      <w:r>
        <w:t xml:space="preserve">: el premio Nobel de Economía ha reconocido 6 veces este campo (traducciones propias de las motivaciones oficiales): a Herbert</w:t>
      </w:r>
      <w:r>
        <w:t xml:space="preserve"> </w:t>
      </w:r>
      <w:r>
        <w:rPr>
          <w:smallCaps/>
        </w:rPr>
        <w:t xml:space="preserve">Simon</w:t>
      </w:r>
      <w:r>
        <w:t xml:space="preserve"> </w:t>
      </w:r>
      <w:r>
        <w:t xml:space="preserve">en 1978, «por su investigación pionera sobre el proceso de toma de decisiones en las organizaciones económicas»</w:t>
      </w:r>
      <w:r>
        <w:t xml:space="preserve"> </w:t>
      </w:r>
      <w:r>
        <w:t xml:space="preserve">(</w:t>
      </w:r>
      <w:hyperlink w:anchor="ref_Nobel1978Simon">
        <w:r>
          <w:rPr>
            <w:rStyle w:val="Hyperlink"/>
            <w:smallCaps/>
          </w:rPr>
          <w:t xml:space="preserve">The Nobel Prize</w:t>
        </w:r>
        <w:r>
          <w:rPr>
            <w:rStyle w:val="Hyperlink"/>
          </w:rPr>
          <w:t xml:space="preserve">, 1978</w:t>
        </w:r>
      </w:hyperlink>
      <w:r>
        <w:t xml:space="preserve">)</w:t>
      </w:r>
      <w:r>
        <w:t xml:space="preserve">; a George</w:t>
      </w:r>
      <w:r>
        <w:t xml:space="preserve"> </w:t>
      </w:r>
      <w:r>
        <w:rPr>
          <w:smallCaps/>
        </w:rPr>
        <w:t xml:space="preserve">Stigler</w:t>
      </w:r>
      <w:r>
        <w:t xml:space="preserve"> </w:t>
      </w:r>
      <w:r>
        <w:t xml:space="preserve">en 1982, «por sus estudios fundamentales de las estructuras industriales, el funcionamiento de los mercados y las causas y los efectos de la regulación pública»</w:t>
      </w:r>
      <w:r>
        <w:t xml:space="preserve"> </w:t>
      </w:r>
      <w:r>
        <w:t xml:space="preserve">(</w:t>
      </w:r>
      <w:hyperlink w:anchor="ref_Nobel1982Stigler">
        <w:r>
          <w:rPr>
            <w:rStyle w:val="Hyperlink"/>
            <w:smallCaps/>
          </w:rPr>
          <w:t xml:space="preserve">The Nobel Prize</w:t>
        </w:r>
        <w:r>
          <w:rPr>
            <w:rStyle w:val="Hyperlink"/>
          </w:rPr>
          <w:t xml:space="preserve">, 1982</w:t>
        </w:r>
      </w:hyperlink>
      <w:r>
        <w:t xml:space="preserve">)</w:t>
      </w:r>
      <w:r>
        <w:t xml:space="preserve">; a Ronald</w:t>
      </w:r>
      <w:r>
        <w:t xml:space="preserve"> </w:t>
      </w:r>
      <w:r>
        <w:rPr>
          <w:smallCaps/>
        </w:rPr>
        <w:t xml:space="preserve">Coase</w:t>
      </w:r>
      <w:r>
        <w:t xml:space="preserve"> </w:t>
      </w:r>
      <w:r>
        <w:t xml:space="preserve">en 1991, «por su descubrimiento y aclaración de la importancia de los costes de transacción y de los derechos de propiedad para la estructura institucional y el funcionamiento de la economía»</w:t>
      </w:r>
      <w:r>
        <w:t xml:space="preserve"> </w:t>
      </w:r>
      <w:r>
        <w:t xml:space="preserve">(</w:t>
      </w:r>
      <w:hyperlink w:anchor="ref_Nobel1991Coase">
        <w:r>
          <w:rPr>
            <w:rStyle w:val="Hyperlink"/>
            <w:smallCaps/>
          </w:rPr>
          <w:t xml:space="preserve">The Nobel Prize</w:t>
        </w:r>
        <w:r>
          <w:rPr>
            <w:rStyle w:val="Hyperlink"/>
          </w:rPr>
          <w:t xml:space="preserve">, 1991</w:t>
        </w:r>
      </w:hyperlink>
      <w:r>
        <w:t xml:space="preserve">)</w:t>
      </w:r>
      <w:r>
        <w:t xml:space="preserve">; a Oliver</w:t>
      </w:r>
      <w:r>
        <w:t xml:space="preserve"> </w:t>
      </w:r>
      <w:r>
        <w:rPr>
          <w:smallCaps/>
        </w:rPr>
        <w:t xml:space="preserve">Williamson</w:t>
      </w:r>
      <w:r>
        <w:t xml:space="preserve"> </w:t>
      </w:r>
      <w:r>
        <w:t xml:space="preserve">en 2009, «por su análisis de la gobernanza económica, en especial de los</w:t>
      </w:r>
      <w:r>
        <w:t xml:space="preserve"> </w:t>
      </w:r>
      <w:r>
        <w:rPr>
          <w:i/>
          <w:iCs/>
        </w:rPr>
        <w:t xml:space="preserve">límites de la empresa</w:t>
      </w:r>
      <w:r>
        <w:t xml:space="preserve">», justo el epígrafe con el que empieza el título</w:t>
      </w:r>
      <w:r>
        <w:t xml:space="preserve"> </w:t>
      </w:r>
      <w:r>
        <w:t xml:space="preserve">(</w:t>
      </w:r>
      <w:hyperlink w:anchor="ref_Nobel2009OstromWilliamson">
        <w:r>
          <w:rPr>
            <w:rStyle w:val="Hyperlink"/>
            <w:smallCaps/>
          </w:rPr>
          <w:t xml:space="preserve">The Nobel Prize</w:t>
        </w:r>
        <w:r>
          <w:rPr>
            <w:rStyle w:val="Hyperlink"/>
          </w:rPr>
          <w:t xml:space="preserve">, 2009</w:t>
        </w:r>
      </w:hyperlink>
      <w:r>
        <w:t xml:space="preserve">)</w:t>
      </w:r>
      <w:r>
        <w:t xml:space="preserve">;</w:t>
      </w:r>
      <w:r>
        <w:rPr>
          <w:rStyle w:val="FootnoteReference"/>
        </w:rPr>
        <w:footnoteReference w:id="29"/>
      </w:r>
      <w:r>
        <w:t xml:space="preserve"> </w:t>
      </w:r>
      <w:r>
        <w:t xml:space="preserve">a Jean</w:t>
      </w:r>
      <w:r>
        <w:t xml:space="preserve"> </w:t>
      </w:r>
      <w:r>
        <w:rPr>
          <w:smallCaps/>
        </w:rPr>
        <w:t xml:space="preserve">Tirole</w:t>
      </w:r>
      <w:r>
        <w:t xml:space="preserve"> </w:t>
      </w:r>
      <w:r>
        <w:t xml:space="preserve">en 2014, «por su análisis del poder de mercado y la regulación»</w:t>
      </w:r>
      <w:r>
        <w:t xml:space="preserve"> </w:t>
      </w:r>
      <w:r>
        <w:t xml:space="preserve">(</w:t>
      </w:r>
      <w:hyperlink w:anchor="ref_Nobel2014Tirole">
        <w:r>
          <w:rPr>
            <w:rStyle w:val="Hyperlink"/>
            <w:smallCaps/>
          </w:rPr>
          <w:t xml:space="preserve">The Nobel Prize</w:t>
        </w:r>
        <w:r>
          <w:rPr>
            <w:rStyle w:val="Hyperlink"/>
          </w:rPr>
          <w:t xml:space="preserve">, 2014</w:t>
        </w:r>
      </w:hyperlink>
      <w:r>
        <w:t xml:space="preserve">)</w:t>
      </w:r>
      <w:r>
        <w:t xml:space="preserve">, y a Oliver</w:t>
      </w:r>
      <w:r>
        <w:t xml:space="preserve"> </w:t>
      </w:r>
      <w:r>
        <w:rPr>
          <w:smallCaps/>
        </w:rPr>
        <w:t xml:space="preserve">Hart</w:t>
      </w:r>
      <w:r>
        <w:t xml:space="preserve"> </w:t>
      </w:r>
      <w:r>
        <w:t xml:space="preserve">y Bengt</w:t>
      </w:r>
      <w:r>
        <w:t xml:space="preserve"> </w:t>
      </w:r>
      <w:r>
        <w:rPr>
          <w:smallCaps/>
        </w:rPr>
        <w:t xml:space="preserve">Holmström</w:t>
      </w:r>
      <w:r>
        <w:t xml:space="preserve"> </w:t>
      </w:r>
      <w:r>
        <w:t xml:space="preserve">en 2016, «por sus contribuciones a la teoría de los contratos»</w:t>
      </w:r>
      <w:r>
        <w:t xml:space="preserve"> </w:t>
      </w:r>
      <w:r>
        <w:t xml:space="preserve">(</w:t>
      </w:r>
      <w:hyperlink w:anchor="ref_Nobel2016HartHolmstrom">
        <w:r>
          <w:rPr>
            <w:rStyle w:val="Hyperlink"/>
            <w:smallCaps/>
          </w:rPr>
          <w:t xml:space="preserve">The Nobel Prize</w:t>
        </w:r>
        <w:r>
          <w:rPr>
            <w:rStyle w:val="Hyperlink"/>
          </w:rPr>
          <w:t xml:space="preserve">, 2016</w:t>
        </w:r>
      </w:hyperlink>
      <w:r>
        <w:t xml:space="preserve">)</w:t>
      </w:r>
      <w:r>
        <w:t xml:space="preserve">.</w:t>
      </w:r>
    </w:p>
    <w:p>
      <w:pPr>
        <w:numPr>
          <w:ilvl w:val="1"/>
          <w:numId w:val="1005"/>
        </w:numPr>
      </w:pPr>
      <w:r>
        <w:rPr>
          <w:i/>
          <w:iCs/>
        </w:rPr>
        <w:t xml:space="preserve">Empírica</w:t>
      </w:r>
      <w:r>
        <w:t xml:space="preserve">: la mayor parte de la actividad económica no se coordina con precios, sino dentro de organizaciones. Un observador que viera las empresas como manchas verdes y las transacciones de mercado como líneas rojas que las unen hablaría de una economía de organizaciones más que de una economía de mercado</w:t>
      </w:r>
      <w:r>
        <w:t xml:space="preserve"> </w:t>
      </w:r>
      <w:r>
        <w:t xml:space="preserve">(</w:t>
      </w:r>
      <w:hyperlink w:anchor="ref_Simon1991Organizations">
        <w:r>
          <w:rPr>
            <w:rStyle w:val="Hyperlink"/>
            <w:smallCaps/>
          </w:rPr>
          <w:t xml:space="preserve">Simon</w:t>
        </w:r>
        <w:r>
          <w:rPr>
            <w:rStyle w:val="Hyperlink"/>
          </w:rPr>
          <w:t xml:space="preserve">, 1991</w:t>
        </w:r>
      </w:hyperlink>
      <w:r>
        <w:t xml:space="preserve">)</w:t>
      </w:r>
      <w:r>
        <w:t xml:space="preserve">. Y el peso de las grandes empresas crece: con datos de empresas cotizadas de Estados Unidos, el precio medio pasó de estar un 21 % por encima del coste marginal en 1980 a un 61 % en 2016</w:t>
      </w:r>
      <w:r>
        <w:t xml:space="preserve"> </w:t>
      </w:r>
      <w:r>
        <w:t xml:space="preserve">(</w:t>
      </w:r>
      <w:hyperlink w:anchor="ref_DeLoeckerEeckhoutUnger2020Rise">
        <w:r>
          <w:rPr>
            <w:rStyle w:val="Hyperlink"/>
            <w:smallCaps/>
          </w:rPr>
          <w:t xml:space="preserve">De Loecker</w:t>
        </w:r>
        <w:r>
          <w:rPr>
            <w:rStyle w:val="Hyperlink"/>
          </w:rPr>
          <w:t xml:space="preserve">,</w:t>
        </w:r>
        <w:r>
          <w:rPr>
            <w:rStyle w:val="Hyperlink"/>
          </w:rPr>
          <w:t xml:space="preserve"> </w:t>
        </w:r>
        <w:r>
          <w:rPr>
            <w:rStyle w:val="Hyperlink"/>
            <w:smallCaps/>
          </w:rPr>
          <w:t xml:space="preserve">Eeckhout</w:t>
        </w:r>
        <w:r>
          <w:rPr>
            <w:rStyle w:val="Hyperlink"/>
          </w:rPr>
          <w:t xml:space="preserve"> </w:t>
        </w:r>
        <w:r>
          <w:rPr>
            <w:rStyle w:val="Hyperlink"/>
          </w:rPr>
          <w:t xml:space="preserve">y</w:t>
        </w:r>
        <w:r>
          <w:rPr>
            <w:rStyle w:val="Hyperlink"/>
          </w:rPr>
          <w:t xml:space="preserve"> </w:t>
        </w:r>
        <w:r>
          <w:rPr>
            <w:rStyle w:val="Hyperlink"/>
            <w:smallCaps/>
          </w:rPr>
          <w:t xml:space="preserve">Unger</w:t>
        </w:r>
        <w:r>
          <w:rPr>
            <w:rStyle w:val="Hyperlink"/>
          </w:rPr>
          <w:t xml:space="preserve">, 2020</w:t>
        </w:r>
      </w:hyperlink>
      <w:r>
        <w:t xml:space="preserve">)</w:t>
      </w:r>
      <w:r>
        <w:t xml:space="preserve">, y la concentración de las ventas en empresas «superestrella» explica buena parte de la caída de la participación de los salarios en la renta</w:t>
      </w:r>
      <w:r>
        <w:t xml:space="preserve"> </w:t>
      </w:r>
      <w:r>
        <w:t xml:space="preserve">(</w:t>
      </w:r>
      <w:hyperlink w:anchor="ref_AutorEtAl2020Fall">
        <w:r>
          <w:rPr>
            <w:rStyle w:val="Hyperlink"/>
            <w:smallCaps/>
          </w:rPr>
          <w:t xml:space="preserve">Autor</w:t>
        </w:r>
        <w:r>
          <w:rPr>
            <w:rStyle w:val="Hyperlink"/>
          </w:rPr>
          <w:t xml:space="preserve"> </w:t>
        </w:r>
        <w:r>
          <w:rPr>
            <w:rStyle w:val="Hyperlink"/>
          </w:rPr>
          <w:t xml:space="preserve">et al., 2020</w:t>
        </w:r>
      </w:hyperlink>
      <w:r>
        <w:t xml:space="preserve">)</w:t>
      </w:r>
      <w:r>
        <w:t xml:space="preserve">.</w:t>
      </w:r>
    </w:p>
    <w:p>
      <w:pPr>
        <w:numPr>
          <w:ilvl w:val="1"/>
          <w:numId w:val="1005"/>
        </w:numPr>
      </w:pPr>
      <w:r>
        <w:rPr>
          <w:i/>
          <w:iCs/>
        </w:rPr>
        <w:t xml:space="preserve">De política económica</w:t>
      </w:r>
      <w:r>
        <w:t xml:space="preserve">: la defensa de la competencia (control de concentraciones, abuso de posición dominante, acuerdos verticales) y la regulación de las industrias de red se apoyan en esta teoría</w:t>
      </w:r>
      <w:r>
        <w:t xml:space="preserve"> </w:t>
      </w:r>
      <w:hyperlink r:id="rId31">
        <w:r>
          <w:rPr>
            <w:rStyle w:val="Referenciaatema"/>
          </w:rPr>
          <w:t xml:space="preserve">[ver tema 3.A.20]</w:t>
        </w:r>
      </w:hyperlink>
      <w:r>
        <w:t xml:space="preserve"> </w:t>
      </w:r>
      <w:hyperlink r:id="rId32">
        <w:r>
          <w:rPr>
            <w:rStyle w:val="Referenciaatema"/>
          </w:rPr>
          <w:t xml:space="preserve">[ver tema 3.B.39]</w:t>
        </w:r>
      </w:hyperlink>
      <w:r>
        <w:t xml:space="preserve"> </w:t>
      </w:r>
      <w:hyperlink r:id="rId33">
        <w:r>
          <w:rPr>
            <w:rStyle w:val="Referenciaatema"/>
          </w:rPr>
          <w:t xml:space="preserve">[ver tema 4.A.15]</w:t>
        </w:r>
      </w:hyperlink>
      <w:r>
        <w:t xml:space="preserve">.</w:t>
      </w:r>
    </w:p>
    <w:p>
      <w:pPr>
        <w:keepNext/>
        <w:numPr>
          <w:ilvl w:val="0"/>
          <w:numId w:val="1001"/>
        </w:numPr>
      </w:pPr>
      <w:r>
        <w:rPr>
          <w:b/>
          <w:bCs/>
          <w:i/>
          <w:iCs/>
        </w:rPr>
        <w:t xml:space="preserve">Contextualización</w:t>
      </w:r>
      <w:r>
        <w:t xml:space="preserve">:</w:t>
      </w:r>
    </w:p>
    <w:p>
      <w:pPr>
        <w:keepNext/>
        <w:numPr>
          <w:ilvl w:val="1"/>
          <w:numId w:val="1006"/>
        </w:numPr>
      </w:pPr>
      <w:r>
        <w:t xml:space="preserve">La teoría neoclásica trata a la empresa como un agente que</w:t>
      </w:r>
      <w:r>
        <w:t xml:space="preserve"> </w:t>
      </w:r>
      <w:r>
        <w:rPr>
          <w:i/>
          <w:iCs/>
        </w:rPr>
        <w:t xml:space="preserve">transforma factores en productos con una tecnología dada</w:t>
      </w:r>
      <w:r>
        <w:t xml:space="preserve"> </w:t>
      </w:r>
      <w:hyperlink r:id="rId23">
        <w:r>
          <w:rPr>
            <w:rStyle w:val="Referenciaatema"/>
          </w:rPr>
          <w:t xml:space="preserve">[ver tema 3.A.11]</w:t>
        </w:r>
      </w:hyperlink>
      <w:r>
        <w:t xml:space="preserve"> </w:t>
      </w:r>
      <w:hyperlink r:id="rId24">
        <w:r>
          <w:rPr>
            <w:rStyle w:val="Referenciaatema"/>
          </w:rPr>
          <w:t xml:space="preserve">[ver tema 3.A.12]</w:t>
        </w:r>
      </w:hyperlink>
      <w:r>
        <w:t xml:space="preserve"> </w:t>
      </w:r>
      <w:r>
        <w:t xml:space="preserve">y que se mueve en una</w:t>
      </w:r>
      <w:r>
        <w:t xml:space="preserve"> </w:t>
      </w:r>
      <w:r>
        <w:rPr>
          <w:i/>
          <w:iCs/>
        </w:rPr>
        <w:t xml:space="preserve">estructura de mercado dada</w:t>
      </w:r>
      <w:r>
        <w:t xml:space="preserve"> </w:t>
      </w:r>
      <w:hyperlink r:id="rId25">
        <w:r>
          <w:rPr>
            <w:rStyle w:val="Referenciaatema"/>
          </w:rPr>
          <w:t xml:space="preserve">[ver tema 3.A.16]</w:t>
        </w:r>
      </w:hyperlink>
      <w:r>
        <w:t xml:space="preserve">. Esa representación descansa en 3 supuestos que esta exposición levanta, uno en cada apartado:</w:t>
      </w:r>
    </w:p>
    <w:p>
      <w:pPr>
        <w:numPr>
          <w:ilvl w:val="2"/>
          <w:numId w:val="1007"/>
        </w:numPr>
      </w:pPr>
      <w:r>
        <w:t xml:space="preserve">la empresa es un agente único que</w:t>
      </w:r>
      <w:r>
        <w:t xml:space="preserve"> </w:t>
      </w:r>
      <w:r>
        <w:rPr>
          <w:i/>
          <w:iCs/>
        </w:rPr>
        <w:t xml:space="preserve">maximiza el beneficio</w:t>
      </w:r>
      <w:r>
        <w:t xml:space="preserve">, aunque la dirijan personas distintas de sus propietarios: se levanta en el apartado </w:t>
      </w:r>
      <w:hyperlink w:anchor="sec_tamano_limites">
        <w:r>
          <w:rPr>
            <w:rStyle w:val="Hyperlink"/>
          </w:rPr>
          <w:t xml:space="preserve">I</w:t>
        </w:r>
      </w:hyperlink>
      <w:r>
        <w:t xml:space="preserve">;</w:t>
      </w:r>
    </w:p>
    <w:p>
      <w:pPr>
        <w:numPr>
          <w:ilvl w:val="2"/>
          <w:numId w:val="1007"/>
        </w:numPr>
      </w:pPr>
      <w:r>
        <w:t xml:space="preserve">la empresa es una</w:t>
      </w:r>
      <w:r>
        <w:t xml:space="preserve"> </w:t>
      </w:r>
      <w:r>
        <w:rPr>
          <w:i/>
          <w:iCs/>
        </w:rPr>
        <w:t xml:space="preserve">caja negra</w:t>
      </w:r>
      <w:r>
        <w:t xml:space="preserve">, una función de producción, y no importa cómo se organizan los intercambios dentro y fuera de ella: se levanta en el apartado </w:t>
      </w:r>
      <w:hyperlink w:anchor="sec_costes_transaccion">
        <w:r>
          <w:rPr>
            <w:rStyle w:val="Hyperlink"/>
          </w:rPr>
          <w:t xml:space="preserve">II</w:t>
        </w:r>
      </w:hyperlink>
      <w:r>
        <w:t xml:space="preserve">;</w:t>
      </w:r>
    </w:p>
    <w:p>
      <w:pPr>
        <w:numPr>
          <w:ilvl w:val="2"/>
          <w:numId w:val="1007"/>
        </w:numPr>
      </w:pPr>
      <w:r>
        <w:t xml:space="preserve">la empresa opera en una</w:t>
      </w:r>
      <w:r>
        <w:t xml:space="preserve"> </w:t>
      </w:r>
      <w:r>
        <w:rPr>
          <w:i/>
          <w:iCs/>
        </w:rPr>
        <w:t xml:space="preserve">estructura de mercado dada</w:t>
      </w:r>
      <w:r>
        <w:t xml:space="preserve">, que su conducta no puede alterar: se levanta en el apartado </w:t>
      </w:r>
      <w:hyperlink w:anchor="sec_toi">
        <w:r>
          <w:rPr>
            <w:rStyle w:val="Hyperlink"/>
          </w:rPr>
          <w:t xml:space="preserve">III</w:t>
        </w:r>
      </w:hyperlink>
      <w:r>
        <w:t xml:space="preserve">.</w:t>
      </w:r>
    </w:p>
    <w:p>
      <w:pPr>
        <w:keepNext/>
        <w:numPr>
          <w:ilvl w:val="1"/>
          <w:numId w:val="1006"/>
        </w:numPr>
      </w:pPr>
      <w:r>
        <w:t xml:space="preserve">Desde un punto de vista histórico, en los años 30 se abren los 3 frentes, en ese mismo orden:</w:t>
      </w:r>
    </w:p>
    <w:p>
      <w:pPr>
        <w:numPr>
          <w:ilvl w:val="2"/>
          <w:numId w:val="1008"/>
        </w:numPr>
      </w:pPr>
      <w:r>
        <w:t xml:space="preserve">en los objetivos,</w:t>
      </w:r>
      <w:r>
        <w:t xml:space="preserve"> </w:t>
      </w:r>
      <w:r>
        <w:rPr>
          <w:smallCaps/>
        </w:rPr>
        <w:t xml:space="preserve">Berle</w:t>
      </w:r>
      <w:r>
        <w:t xml:space="preserve"> </w:t>
      </w:r>
      <w:r>
        <w:t xml:space="preserve">y</w:t>
      </w:r>
      <w:r>
        <w:t xml:space="preserve"> </w:t>
      </w:r>
      <w:r>
        <w:rPr>
          <w:smallCaps/>
        </w:rPr>
        <w:t xml:space="preserve">Means</w:t>
      </w:r>
      <w:r>
        <w:t xml:space="preserve"> </w:t>
      </w:r>
      <w:r>
        <w:t xml:space="preserve">(</w:t>
      </w:r>
      <w:hyperlink w:anchor="ref_BerleMeans1932Modern">
        <w:r>
          <w:rPr>
            <w:rStyle w:val="Hyperlink"/>
          </w:rPr>
          <w:t xml:space="preserve">1932</w:t>
        </w:r>
      </w:hyperlink>
      <w:r>
        <w:t xml:space="preserve">)</w:t>
      </w:r>
      <w:r>
        <w:t xml:space="preserve"> </w:t>
      </w:r>
      <w:r>
        <w:t xml:space="preserve">documentan la</w:t>
      </w:r>
      <w:r>
        <w:t xml:space="preserve"> </w:t>
      </w:r>
      <w:r>
        <w:rPr>
          <w:b/>
          <w:bCs/>
        </w:rPr>
        <w:t xml:space="preserve">separación entre la propiedad y el control</w:t>
      </w:r>
      <w:r>
        <w:t xml:space="preserve"> </w:t>
      </w:r>
      <w:r>
        <w:t xml:space="preserve">en la gran sociedad anónima, y</w:t>
      </w:r>
      <w:r>
        <w:t xml:space="preserve"> </w:t>
      </w:r>
      <w:r>
        <w:rPr>
          <w:smallCaps/>
        </w:rPr>
        <w:t xml:space="preserve">Simon</w:t>
      </w:r>
      <w:r>
        <w:t xml:space="preserve"> </w:t>
      </w:r>
      <w:r>
        <w:t xml:space="preserve">(</w:t>
      </w:r>
      <w:hyperlink w:anchor="ref_Simon1955Behavioral">
        <w:r>
          <w:rPr>
            <w:rStyle w:val="Hyperlink"/>
          </w:rPr>
          <w:t xml:space="preserve">1955</w:t>
        </w:r>
      </w:hyperlink>
      <w:r>
        <w:t xml:space="preserve">)</w:t>
      </w:r>
      <w:r>
        <w:t xml:space="preserve"> </w:t>
      </w:r>
      <w:r>
        <w:t xml:space="preserve">sustituirá después la racionalidad perfecta por la</w:t>
      </w:r>
      <w:r>
        <w:t xml:space="preserve"> </w:t>
      </w:r>
      <w:r>
        <w:rPr>
          <w:b/>
          <w:bCs/>
        </w:rPr>
        <w:t xml:space="preserve">racionalidad limitada</w:t>
      </w:r>
      <w:r>
        <w:t xml:space="preserve"> </w:t>
      </w:r>
      <w:hyperlink r:id="rId34">
        <w:r>
          <w:rPr>
            <w:rStyle w:val="Referenciaatema"/>
          </w:rPr>
          <w:t xml:space="preserve">[ver tema 3.A.1]</w:t>
        </w:r>
      </w:hyperlink>
      <w:r>
        <w:t xml:space="preserve">;</w:t>
      </w:r>
    </w:p>
    <w:p>
      <w:pPr>
        <w:numPr>
          <w:ilvl w:val="2"/>
          <w:numId w:val="1008"/>
        </w:numPr>
      </w:pPr>
      <w:r>
        <w:t xml:space="preserve">en la organización,</w:t>
      </w:r>
      <w:r>
        <w:t xml:space="preserve"> </w:t>
      </w:r>
      <w:r>
        <w:rPr>
          <w:smallCaps/>
        </w:rPr>
        <w:t xml:space="preserve">Coase</w:t>
      </w:r>
      <w:r>
        <w:t xml:space="preserve"> </w:t>
      </w:r>
      <w:r>
        <w:t xml:space="preserve">(</w:t>
      </w:r>
      <w:hyperlink w:anchor="ref_Coase1937Nature">
        <w:r>
          <w:rPr>
            <w:rStyle w:val="Hyperlink"/>
          </w:rPr>
          <w:t xml:space="preserve">1937</w:t>
        </w:r>
      </w:hyperlink>
      <w:r>
        <w:t xml:space="preserve">)</w:t>
      </w:r>
      <w:r>
        <w:t xml:space="preserve"> </w:t>
      </w:r>
      <w:r>
        <w:t xml:space="preserve">pregunta por qué existen las empresas y responde con los</w:t>
      </w:r>
      <w:r>
        <w:t xml:space="preserve"> </w:t>
      </w:r>
      <w:r>
        <w:rPr>
          <w:b/>
          <w:bCs/>
        </w:rPr>
        <w:t xml:space="preserve">costes de transacción</w:t>
      </w:r>
      <w:r>
        <w:t xml:space="preserve">; sus ideas esperan casi 40 años, hasta que</w:t>
      </w:r>
      <w:r>
        <w:t xml:space="preserve"> </w:t>
      </w:r>
      <w:r>
        <w:rPr>
          <w:smallCaps/>
        </w:rPr>
        <w:t xml:space="preserve">Williamson</w:t>
      </w:r>
      <w:r>
        <w:t xml:space="preserve"> </w:t>
      </w:r>
      <w:r>
        <w:t xml:space="preserve">(</w:t>
      </w:r>
      <w:hyperlink w:anchor="ref_Williamson1975Markets">
        <w:r>
          <w:rPr>
            <w:rStyle w:val="Hyperlink"/>
          </w:rPr>
          <w:t xml:space="preserve">1975</w:t>
        </w:r>
      </w:hyperlink>
      <w:r>
        <w:t xml:space="preserve">)</w:t>
      </w:r>
      <w:r>
        <w:t xml:space="preserve"> </w:t>
      </w:r>
      <w:r>
        <w:t xml:space="preserve">las hace operativas;</w:t>
      </w:r>
    </w:p>
    <w:p>
      <w:pPr>
        <w:numPr>
          <w:ilvl w:val="2"/>
          <w:numId w:val="1008"/>
        </w:numPr>
      </w:pPr>
      <w:r>
        <w:t xml:space="preserve">en el mercado,</w:t>
      </w:r>
      <w:r>
        <w:t xml:space="preserve"> </w:t>
      </w:r>
      <w:r>
        <w:rPr>
          <w:smallCaps/>
        </w:rPr>
        <w:t xml:space="preserve">Chamberlin</w:t>
      </w:r>
      <w:r>
        <w:t xml:space="preserve"> </w:t>
      </w:r>
      <w:r>
        <w:t xml:space="preserve">(</w:t>
      </w:r>
      <w:hyperlink w:anchor="ref_Chamberlin1933Theory">
        <w:r>
          <w:rPr>
            <w:rStyle w:val="Hyperlink"/>
          </w:rPr>
          <w:t xml:space="preserve">1933</w:t>
        </w:r>
      </w:hyperlink>
      <w:r>
        <w:t xml:space="preserve">)</w:t>
      </w:r>
      <w:r>
        <w:t xml:space="preserve"> </w:t>
      </w:r>
      <w:r>
        <w:t xml:space="preserve">y Joan</w:t>
      </w:r>
      <w:r>
        <w:t xml:space="preserve"> </w:t>
      </w:r>
      <w:r>
        <w:t xml:space="preserve">J.</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w:t>
      </w:r>
      <w:r>
        <w:t xml:space="preserve">estudian mercados que no son ni competencia perfecta ni monopolio y separan la organización industrial de la teoría de los precios</w:t>
      </w:r>
      <w:r>
        <w:t xml:space="preserve"> </w:t>
      </w:r>
      <w:hyperlink r:id="rId27">
        <w:r>
          <w:rPr>
            <w:rStyle w:val="Referenciaatema"/>
          </w:rPr>
          <w:t xml:space="preserve">[ver tema 3.A.18]</w:t>
        </w:r>
      </w:hyperlink>
      <w:r>
        <w:t xml:space="preserve">.</w:t>
      </w:r>
    </w:p>
    <w:p>
      <w:pPr>
        <w:numPr>
          <w:ilvl w:val="1"/>
          <w:numId w:val="1000"/>
        </w:numPr>
      </w:pPr>
      <w:r>
        <w:t xml:space="preserve">La teoría de la información</w:t>
      </w:r>
      <w:r>
        <w:t xml:space="preserve"> </w:t>
      </w:r>
      <w:hyperlink r:id="rId35">
        <w:r>
          <w:rPr>
            <w:rStyle w:val="Referenciaatema"/>
          </w:rPr>
          <w:t xml:space="preserve">[ver tema 3.A.13]</w:t>
        </w:r>
      </w:hyperlink>
      <w:r>
        <w:t xml:space="preserve"> </w:t>
      </w:r>
      <w:r>
        <w:t xml:space="preserve">y la teoría de juegos</w:t>
      </w:r>
      <w:r>
        <w:t xml:space="preserve"> </w:t>
      </w:r>
      <w:hyperlink r:id="rId36">
        <w:r>
          <w:rPr>
            <w:rStyle w:val="Referenciaatema"/>
          </w:rPr>
          <w:t xml:space="preserve">[ver tema 3.A.14]</w:t>
        </w:r>
      </w:hyperlink>
      <w:r>
        <w:t xml:space="preserve"> </w:t>
      </w:r>
      <w:r>
        <w:t xml:space="preserve">dan después las herramientas de la teoría de los contratos y de la Nueva Teoría de la Organización Industrial.</w:t>
      </w:r>
    </w:p>
    <w:p>
      <w:pPr>
        <w:numPr>
          <w:ilvl w:val="1"/>
          <w:numId w:val="1006"/>
        </w:numPr>
      </w:pPr>
      <w:r>
        <w:t xml:space="preserve">La</w:t>
      </w:r>
      <w:r>
        <w:t xml:space="preserve"> </w:t>
      </w:r>
      <w:r>
        <w:rPr>
          <w:b/>
          <w:bCs/>
        </w:rPr>
        <w:t xml:space="preserve">Teoría de la Organización Industrial</w:t>
      </w:r>
      <w:r>
        <w:t xml:space="preserve"> </w:t>
      </w:r>
      <w:r>
        <w:t xml:space="preserve">(TOI) estudia el funcionamiento de los mercados en los que la competencia es imperfecta, la conducta de las empresas en ellos y sus efectos sobre el bienestar. En sentido amplio, incluye también la teoría de la empresa (por qué existe, dónde están sus fronteras, cómo se organiza por dentro)</w:t>
      </w:r>
      <w:r>
        <w:t xml:space="preserve"> </w:t>
      </w:r>
      <w:r>
        <w:t xml:space="preserve">(</w:t>
      </w:r>
      <w:hyperlink w:anchor="ref_Tirole1988Theory">
        <w:r>
          <w:rPr>
            <w:rStyle w:val="Hyperlink"/>
            <w:smallCaps/>
          </w:rPr>
          <w:t xml:space="preserve">Tirole</w:t>
        </w:r>
        <w:r>
          <w:rPr>
            <w:rStyle w:val="Hyperlink"/>
          </w:rPr>
          <w:t xml:space="preserve">, 1988</w:t>
        </w:r>
      </w:hyperlink>
      <w:r>
        <w:t xml:space="preserve">, introducción)</w:t>
      </w:r>
      <w:r>
        <w:t xml:space="preserve">; el título separa las 2 partes y la exposición las sigue en ese orden.</w:t>
      </w:r>
      <w:r>
        <w:rPr>
          <w:rStyle w:val="FootnoteReference"/>
        </w:rPr>
        <w:footnoteReference w:id="37"/>
      </w:r>
    </w:p>
    <w:p>
      <w:pPr>
        <w:keepNext/>
        <w:numPr>
          <w:ilvl w:val="0"/>
          <w:numId w:val="1001"/>
        </w:numPr>
      </w:pPr>
      <w:r>
        <w:rPr>
          <w:b/>
          <w:bCs/>
          <w:i/>
          <w:iCs/>
        </w:rPr>
        <w:t xml:space="preserve">Problemática (preguntas clave)</w:t>
      </w:r>
      <w:r>
        <w:t xml:space="preserve">:</w:t>
      </w:r>
    </w:p>
    <w:p>
      <w:pPr>
        <w:numPr>
          <w:ilvl w:val="1"/>
          <w:numId w:val="1009"/>
        </w:numPr>
      </w:pPr>
      <w:r>
        <w:t xml:space="preserve">Si el mercado asigna bien los recursos, ¿por qué existen las empresas? ¿Por qué unas transacciones se hacen dentro de una jerarquía y otras en el mercado?</w:t>
      </w:r>
    </w:p>
    <w:p>
      <w:pPr>
        <w:numPr>
          <w:ilvl w:val="1"/>
          <w:numId w:val="1009"/>
        </w:numPr>
      </w:pPr>
      <w:r>
        <w:t xml:space="preserve">¿Qué fija el tamaño eficiente de una empresa? Y, si crecer ahorra costes, ¿qué le impide crecer sin límite?</w:t>
      </w:r>
    </w:p>
    <w:p>
      <w:pPr>
        <w:numPr>
          <w:ilvl w:val="1"/>
          <w:numId w:val="1009"/>
        </w:numPr>
      </w:pPr>
      <w:r>
        <w:t xml:space="preserve">¿Persiguen las empresas el beneficio cuando las dirigen personas distintas de sus propietarios?</w:t>
      </w:r>
    </w:p>
    <w:p>
      <w:pPr>
        <w:numPr>
          <w:ilvl w:val="1"/>
          <w:numId w:val="1009"/>
        </w:numPr>
      </w:pPr>
      <w:r>
        <w:t xml:space="preserve">¿De qué depende el poder de mercado: del número de empresas o de la facilidad para entrar? ¿Pueden las empresas instaladas impedir la entrada, y basta la amenaza de entrada para disciplinarlas?</w:t>
      </w:r>
    </w:p>
    <w:p>
      <w:pPr>
        <w:keepNext/>
        <w:numPr>
          <w:ilvl w:val="0"/>
          <w:numId w:val="1001"/>
        </w:numPr>
      </w:pPr>
      <w:r>
        <w:rPr>
          <w:b/>
          <w:bCs/>
          <w:i/>
          <w:iCs/>
        </w:rPr>
        <w:t xml:space="preserve">Estructura</w:t>
      </w:r>
      <w:r>
        <w:t xml:space="preserve">: la exposición abre la caja negra de dentro hacia fuera, en el orden del título.</w:t>
      </w:r>
    </w:p>
    <w:p>
      <w:pPr>
        <w:numPr>
          <w:ilvl w:val="1"/>
          <w:numId w:val="1010"/>
        </w:numPr>
      </w:pPr>
      <w:r>
        <w:t xml:space="preserve">En primer lugar,</w:t>
      </w:r>
      <w:r>
        <w:t xml:space="preserve"> </w:t>
      </w:r>
      <w:r>
        <w:rPr>
          <w:b/>
          <w:bCs/>
        </w:rPr>
        <w:t xml:space="preserve">el tamaño eficiente y sus límites</w:t>
      </w:r>
      <w:r>
        <w:t xml:space="preserve"> </w:t>
      </w:r>
      <w:r>
        <w:t xml:space="preserve">(</w:t>
      </w:r>
      <w:hyperlink w:anchor="sec_tamano_limites">
        <w:r>
          <w:rPr>
            <w:rStyle w:val="Hyperlink"/>
          </w:rPr>
          <w:t xml:space="preserve">I</w:t>
        </w:r>
      </w:hyperlink>
      <w:r>
        <w:t xml:space="preserve">): qué tamaño dicta la tecnología y qué lo limita cuando quienes dirigen la empresa no son sus dueños.</w:t>
      </w:r>
    </w:p>
    <w:p>
      <w:pPr>
        <w:numPr>
          <w:ilvl w:val="1"/>
          <w:numId w:val="1010"/>
        </w:numPr>
      </w:pPr>
      <w:r>
        <w:t xml:space="preserve">En segundo lugar, la</w:t>
      </w:r>
      <w:r>
        <w:t xml:space="preserve"> </w:t>
      </w:r>
      <w:r>
        <w:rPr>
          <w:i/>
          <w:iCs/>
        </w:rPr>
        <w:t xml:space="preserve">mención especial</w:t>
      </w:r>
      <w:r>
        <w:t xml:space="preserve">, la</w:t>
      </w:r>
      <w:r>
        <w:t xml:space="preserve"> </w:t>
      </w:r>
      <w:r>
        <w:rPr>
          <w:b/>
          <w:bCs/>
        </w:rPr>
        <w:t xml:space="preserve">economía de los costes de transacción</w:t>
      </w:r>
      <w:r>
        <w:t xml:space="preserve"> </w:t>
      </w:r>
      <w:r>
        <w:t xml:space="preserve">(</w:t>
      </w:r>
      <w:hyperlink w:anchor="sec_costes_transaccion">
        <w:r>
          <w:rPr>
            <w:rStyle w:val="Hyperlink"/>
          </w:rPr>
          <w:t xml:space="preserve">II</w:t>
        </w:r>
      </w:hyperlink>
      <w:r>
        <w:t xml:space="preserve">): por qué existe la empresa y dónde están sus fronteras, de</w:t>
      </w:r>
      <w:r>
        <w:t xml:space="preserve"> </w:t>
      </w:r>
      <w:r>
        <w:rPr>
          <w:smallCaps/>
        </w:rPr>
        <w:t xml:space="preserve">Coase</w:t>
      </w:r>
      <w:r>
        <w:t xml:space="preserve"> </w:t>
      </w:r>
      <w:r>
        <w:t xml:space="preserve">a</w:t>
      </w:r>
      <w:r>
        <w:t xml:space="preserve"> </w:t>
      </w:r>
      <w:r>
        <w:rPr>
          <w:smallCaps/>
        </w:rPr>
        <w:t xml:space="preserve">Williamson</w:t>
      </w:r>
      <w:r>
        <w:t xml:space="preserve"> </w:t>
      </w:r>
      <w:r>
        <w:t xml:space="preserve">y a</w:t>
      </w:r>
      <w:r>
        <w:t xml:space="preserve"> </w:t>
      </w:r>
      <w:r>
        <w:rPr>
          <w:smallCaps/>
        </w:rPr>
        <w:t xml:space="preserve">Grossman</w:t>
      </w:r>
      <w:r>
        <w:t xml:space="preserve">,</w:t>
      </w:r>
      <w:r>
        <w:t xml:space="preserve"> </w:t>
      </w:r>
      <w:r>
        <w:rPr>
          <w:smallCaps/>
        </w:rPr>
        <w:t xml:space="preserve">Hart</w:t>
      </w:r>
      <w:r>
        <w:t xml:space="preserve"> </w:t>
      </w:r>
      <w:r>
        <w:t xml:space="preserve">y</w:t>
      </w:r>
      <w:r>
        <w:t xml:space="preserve"> </w:t>
      </w:r>
      <w:r>
        <w:rPr>
          <w:smallCaps/>
        </w:rPr>
        <w:t xml:space="preserve">Moore</w:t>
      </w:r>
      <w:r>
        <w:t xml:space="preserve">.</w:t>
      </w:r>
    </w:p>
    <w:p>
      <w:pPr>
        <w:numPr>
          <w:ilvl w:val="1"/>
          <w:numId w:val="1010"/>
        </w:numPr>
      </w:pPr>
      <w:r>
        <w:t xml:space="preserve">Por último, la</w:t>
      </w:r>
      <w:r>
        <w:t xml:space="preserve"> </w:t>
      </w:r>
      <w:r>
        <w:rPr>
          <w:b/>
          <w:bCs/>
        </w:rPr>
        <w:t xml:space="preserve">Teoría de la Organización Industrial</w:t>
      </w:r>
      <w:r>
        <w:t xml:space="preserve"> </w:t>
      </w:r>
      <w:r>
        <w:t xml:space="preserve">(</w:t>
      </w:r>
      <w:hyperlink w:anchor="sec_toi">
        <w:r>
          <w:rPr>
            <w:rStyle w:val="Hyperlink"/>
          </w:rPr>
          <w:t xml:space="preserve">III</w:t>
        </w:r>
      </w:hyperlink>
      <w:r>
        <w:t xml:space="preserve">): cómo pasa la empresa de tomar la estructura del mercado como dada a influir en ella, con las</w:t>
      </w:r>
      <w:r>
        <w:t xml:space="preserve"> </w:t>
      </w:r>
      <w:r>
        <w:rPr>
          <w:i/>
          <w:iCs/>
        </w:rPr>
        <w:t xml:space="preserve">barreras a la entrada</w:t>
      </w:r>
      <w:r>
        <w:t xml:space="preserve"> </w:t>
      </w:r>
      <w:r>
        <w:t xml:space="preserve">y los</w:t>
      </w:r>
      <w:r>
        <w:t xml:space="preserve"> </w:t>
      </w:r>
      <w:r>
        <w:rPr>
          <w:i/>
          <w:iCs/>
        </w:rPr>
        <w:t xml:space="preserve">mercados impugnables</w:t>
      </w:r>
      <w:r>
        <w:t xml:space="preserve">.</w:t>
      </w:r>
    </w:p>
    <w:p>
      <w:pPr>
        <w:pStyle w:val="Esquema"/>
      </w:pPr>
      <w:r>
        <w:rPr>
          <w:b/>
          <w:bCs/>
        </w:rPr>
        <w:t xml:space="preserve">Esquema del tema. </w:t>
      </w:r>
      <w:r>
        <w:rPr>
          <w:b/>
          <w:bCs/>
        </w:rPr>
        <w:t xml:space="preserve">3.A.15. La empresa: tamaño eficiente, costes de transacción y organización industrial</w:t>
      </w:r>
      <w:r>
        <w:br/>
      </w:r>
      <w:r>
        <w:t xml:space="preserve">Introducción</w:t>
      </w:r>
      <w:r>
        <w:br/>
      </w:r>
      <w:r>
        <w:t xml:space="preserve">I. La empresa: el tamaño eficiente y sus límites</w:t>
      </w:r>
      <w:r>
        <w:br/>
      </w:r>
      <w:r>
        <w:t xml:space="preserve">1. Enfoque tecnológico: escala mínima eficiente</w:t>
      </w:r>
      <w:r>
        <w:t xml:space="preserve"> </w:t>
      </w:r>
      <m:oMath>
        <m:bar>
          <m:barPr>
            <m:pos m:val="top"/>
          </m:barPr>
          <m:e>
            <m:r>
              <m:t>q</m:t>
            </m:r>
          </m:e>
        </m:bar>
      </m:oMath>
      <w:r>
        <w:t xml:space="preserve">, subaditividad, alcance</w:t>
      </w:r>
      <w:r>
        <w:br/>
      </w:r>
      <w:r>
        <w:t xml:space="preserve">2. Límites internos: dirección, gerencialistas (</w:t>
      </w:r>
      <m:oMath>
        <m:bar>
          <m:barPr>
            <m:pos m:val="bot"/>
          </m:barPr>
          <m:e>
            <m:r>
              <m:t>B</m:t>
            </m:r>
          </m:e>
        </m:bar>
      </m:oMath>
      <w:r>
        <w:t xml:space="preserve">), agencia</w:t>
      </w:r>
      <w:r>
        <w:br/>
      </w:r>
      <w:r>
        <w:t xml:space="preserve">II. La economía de los costes de transacción</w:t>
      </w:r>
      <w:r>
        <w:br/>
      </w:r>
      <w:r>
        <w:t xml:space="preserve">1.</w:t>
      </w:r>
      <w:r>
        <w:t xml:space="preserve"> </w:t>
      </w:r>
      <w:r>
        <w:rPr>
          <w:smallCaps/>
        </w:rPr>
        <w:t xml:space="preserve">Coase</w:t>
      </w:r>
      <w:r>
        <w:t xml:space="preserve"> </w:t>
      </w:r>
      <w:r>
        <w:t xml:space="preserve">(1937): la frontera en el margen</w:t>
      </w:r>
      <w:r>
        <w:br/>
      </w:r>
      <w:r>
        <w:t xml:space="preserve">2.</w:t>
      </w:r>
      <w:r>
        <w:t xml:space="preserve"> </w:t>
      </w:r>
      <w:r>
        <w:rPr>
          <w:smallCaps/>
        </w:rPr>
        <w:t xml:space="preserve">Williamson</w:t>
      </w:r>
      <w:r>
        <w:t xml:space="preserve">: especificidad</w:t>
      </w:r>
      <w:r>
        <w:t xml:space="preserve"> </w:t>
      </w:r>
      <m:oMath>
        <m:r>
          <m:t>a</m:t>
        </m:r>
      </m:oMath>
      <w:r>
        <w:t xml:space="preserve"> </w:t>
      </w:r>
      <w:r>
        <w:t xml:space="preserve">y estructuras de gobierno</w:t>
      </w:r>
      <w:r>
        <w:br/>
      </w:r>
      <w:r>
        <w:t xml:space="preserve">3.</w:t>
      </w:r>
      <w:r>
        <w:t xml:space="preserve"> </w:t>
      </w:r>
      <w:r>
        <w:rPr>
          <w:smallCaps/>
        </w:rPr>
        <w:t xml:space="preserve">Grossman</w:t>
      </w:r>
      <w:r>
        <w:t xml:space="preserve">,</w:t>
      </w:r>
      <w:r>
        <w:t xml:space="preserve"> </w:t>
      </w:r>
      <w:r>
        <w:rPr>
          <w:smallCaps/>
        </w:rPr>
        <w:t xml:space="preserve">Hart</w:t>
      </w:r>
      <w:r>
        <w:t xml:space="preserve"> </w:t>
      </w:r>
      <w:r>
        <w:t xml:space="preserve">y</w:t>
      </w:r>
      <w:r>
        <w:t xml:space="preserve"> </w:t>
      </w:r>
      <w:r>
        <w:rPr>
          <w:smallCaps/>
        </w:rPr>
        <w:t xml:space="preserve">Moore</w:t>
      </w:r>
      <w:r>
        <w:t xml:space="preserve">: contratos incompletos y propiedad</w:t>
      </w:r>
      <w:r>
        <w:br/>
      </w:r>
      <w:r>
        <w:t xml:space="preserve">4. Otros enfoques e implicaciones de política económica</w:t>
      </w:r>
      <w:r>
        <w:br/>
      </w:r>
      <w:r>
        <w:t xml:space="preserve">III. La TOI: barreras a la entrada y mercados impugnables</w:t>
      </w:r>
      <w:r>
        <w:br/>
      </w:r>
      <w:r>
        <w:t xml:space="preserve">1. Del enfoque neoclásico a Harvard y Chicago</w:t>
      </w:r>
      <w:r>
        <w:br/>
      </w:r>
      <w:r>
        <w:t xml:space="preserve">2. Barreras a la entrada: precio límite y compromiso</w:t>
      </w:r>
      <w:r>
        <w:br/>
      </w:r>
      <w:r>
        <w:t xml:space="preserve">3. Mercados impugnables</w:t>
      </w:r>
      <w:r>
        <w:br/>
      </w:r>
      <w:r>
        <w:t xml:space="preserve">4. La Nueva TOI</w:t>
      </w:r>
      <w:r>
        <w:br/>
      </w:r>
      <w:r>
        <w:t xml:space="preserve">Conclusión</w:t>
      </w:r>
    </w:p>
    <w:p>
      <w:pPr>
        <w:pStyle w:val="Notaalopositor"/>
      </w:pPr>
      <w:r>
        <w:rPr>
          <w:b/>
          <w:bCs/>
        </w:rPr>
        <w:t xml:space="preserve">Nota al opositor. </w:t>
      </w:r>
      <w:r>
        <w:t xml:space="preserve">Reparto del cante: introducción, 2′30″; I, 7′ (I.1, 3′; I.2, 4′); II, 9′30″ (II.1, 2′; II.2, 3′30″; II.3, 2′30″; II.4, 1′30″); III, 10′ (III.1, 2′30″; III.2, 3′30″; III.3, 2′30″; III.4, 1′30″), y conclusión, 1′. La «mención especial» del título (</w:t>
      </w:r>
      <w:hyperlink w:anchor="sec_costes_transaccion">
        <w:r>
          <w:rPr>
            <w:rStyle w:val="Hyperlink"/>
          </w:rPr>
          <w:t xml:space="preserve">II</w:t>
        </w:r>
      </w:hyperlink>
      <w:r>
        <w:t xml:space="preserve">) y el epígrafe con 2 conceptos (</w:t>
      </w:r>
      <w:hyperlink w:anchor="sec_toi">
        <w:r>
          <w:rPr>
            <w:rStyle w:val="Hyperlink"/>
          </w:rPr>
          <w:t xml:space="preserve">III</w:t>
        </w:r>
      </w:hyperlink>
      <w:r>
        <w:t xml:space="preserve">) se llevan más tiempo; el bloque </w:t>
      </w:r>
      <w:hyperlink w:anchor="sec_tamano_limites">
        <w:r>
          <w:rPr>
            <w:rStyle w:val="Hyperlink"/>
          </w:rPr>
          <w:t xml:space="preserve">I</w:t>
        </w:r>
      </w:hyperlink>
      <w:r>
        <w:t xml:space="preserve"> </w:t>
      </w:r>
      <w:r>
        <w:t xml:space="preserve">es el más corto porque su núcleo técnico (costes, subaditividad, alcance) se resume y se remite. Un hilo recorre la exposición: cada bloque levanta uno de los 3 supuestos de la caja negra, y la conclusión responde a la pregunta de</w:t>
      </w:r>
      <w:r>
        <w:t xml:space="preserve"> </w:t>
      </w:r>
      <w:r>
        <w:rPr>
          <w:smallCaps/>
        </w:rPr>
        <w:t xml:space="preserve">Coase</w:t>
      </w:r>
      <w:r>
        <w:t xml:space="preserve"> </w:t>
      </w:r>
      <w:r>
        <w:t xml:space="preserve">del enganche. Gráficos imprescindibles en la pizarra: la maximización de las ventas de</w:t>
      </w:r>
      <w:r>
        <w:t xml:space="preserve"> </w:t>
      </w:r>
      <w:r>
        <w:rPr>
          <w:smallCaps/>
        </w:rPr>
        <w:t xml:space="preserve">Baumol</w:t>
      </w:r>
      <w:r>
        <w:t xml:space="preserve"> </w:t>
      </w:r>
      <w:r>
        <w:t xml:space="preserve">(</w:t>
      </w:r>
      <w:hyperlink w:anchor="sec_gerencialistas">
        <w:r>
          <w:rPr>
            <w:rStyle w:val="Hyperlink"/>
          </w:rPr>
          <w:t xml:space="preserve">I.2.2</w:t>
        </w:r>
      </w:hyperlink>
      <w:r>
        <w:t xml:space="preserve">), el margen de</w:t>
      </w:r>
      <w:r>
        <w:t xml:space="preserve"> </w:t>
      </w:r>
      <w:r>
        <w:rPr>
          <w:smallCaps/>
        </w:rPr>
        <w:t xml:space="preserve">Coase</w:t>
      </w:r>
      <w:r>
        <w:t xml:space="preserve"> </w:t>
      </w:r>
      <w:r>
        <w:t xml:space="preserve">(</w:t>
      </w:r>
      <w:hyperlink w:anchor="sec_coase">
        <w:r>
          <w:rPr>
            <w:rStyle w:val="Hyperlink"/>
          </w:rPr>
          <w:t xml:space="preserve">II.1</w:t>
        </w:r>
      </w:hyperlink>
      <w:r>
        <w:t xml:space="preserve">), los costes de gobierno de</w:t>
      </w:r>
      <w:r>
        <w:t xml:space="preserve"> </w:t>
      </w:r>
      <w:r>
        <w:rPr>
          <w:smallCaps/>
        </w:rPr>
        <w:t xml:space="preserve">Williamson</w:t>
      </w:r>
      <w:r>
        <w:t xml:space="preserve"> </w:t>
      </w:r>
      <w:r>
        <w:t xml:space="preserve">(</w:t>
      </w:r>
      <w:hyperlink w:anchor="sec_williamson">
        <w:r>
          <w:rPr>
            <w:rStyle w:val="Hyperlink"/>
          </w:rPr>
          <w:t xml:space="preserve">II.2</w:t>
        </w:r>
      </w:hyperlink>
      <w:r>
        <w:t xml:space="preserve">), el precio límite y el árbol de disuasión (</w:t>
      </w:r>
      <w:hyperlink w:anchor="sec_barreras">
        <w:r>
          <w:rPr>
            <w:rStyle w:val="Hyperlink"/>
          </w:rPr>
          <w:t xml:space="preserve">III.2</w:t>
        </w:r>
      </w:hyperlink>
      <w:r>
        <w:t xml:space="preserve">). Funciones clave que se quedan en una esquina de la pizarra: la condición de</w:t>
      </w:r>
      <w:r>
        <w:t xml:space="preserve"> </w:t>
      </w:r>
      <w:r>
        <w:rPr>
          <w:smallCaps/>
        </w:rPr>
        <w:t xml:space="preserve">Coase</w:t>
      </w:r>
      <w:r>
        <w:t xml:space="preserve"> </w:t>
      </w:r>
      <w:r>
        <w:t xml:space="preserve">(</w:t>
      </w:r>
      <w:hyperlink w:anchor="eq_coase">
        <w:r>
          <w:rPr>
            <w:rStyle w:val="Hyperlink"/>
          </w:rPr>
          <w:t xml:space="preserve">2</w:t>
        </w:r>
      </w:hyperlink>
      <w:r>
        <w:t xml:space="preserve">), desde</w:t>
      </w:r>
      <w:r>
        <w:t xml:space="preserve"> </w:t>
      </w:r>
      <w:hyperlink w:anchor="sec_coase">
        <w:r>
          <w:rPr>
            <w:rStyle w:val="Hyperlink"/>
          </w:rPr>
          <w:t xml:space="preserve">II.1</w:t>
        </w:r>
      </w:hyperlink>
      <w:r>
        <w:t xml:space="preserve"> </w:t>
      </w:r>
      <w:r>
        <w:t xml:space="preserve">hasta la conclusión, porque la idea final vuelve a ella; la elección de la estructura de gobierno (</w:t>
      </w:r>
      <w:hyperlink w:anchor="eq_gobierno">
        <w:r>
          <w:rPr>
            <w:rStyle w:val="Hyperlink"/>
          </w:rPr>
          <w:t xml:space="preserve">3</w:t>
        </w:r>
      </w:hyperlink>
      <w:r>
        <w:t xml:space="preserve">), hasta el final del bloque </w:t>
      </w:r>
      <w:hyperlink w:anchor="sec_costes_transaccion">
        <w:r>
          <w:rPr>
            <w:rStyle w:val="Hyperlink"/>
          </w:rPr>
          <w:t xml:space="preserve">II</w:t>
        </w:r>
      </w:hyperlink>
      <w:r>
        <w:t xml:space="preserve">; el precio límite (</w:t>
      </w:r>
      <w:hyperlink w:anchor="eq_precio_limite">
        <w:r>
          <w:rPr>
            <w:rStyle w:val="Hyperlink"/>
          </w:rPr>
          <w:t xml:space="preserve">4</w:t>
        </w:r>
      </w:hyperlink>
      <w:r>
        <w:t xml:space="preserve">), durante</w:t>
      </w:r>
      <w:r>
        <w:t xml:space="preserve"> </w:t>
      </w:r>
      <w:hyperlink w:anchor="sec_barreras">
        <w:r>
          <w:rPr>
            <w:rStyle w:val="Hyperlink"/>
          </w:rPr>
          <w:t xml:space="preserve">III.2</w:t>
        </w:r>
      </w:hyperlink>
      <w:r>
        <w:t xml:space="preserve">, y la configuración sostenible (</w:t>
      </w:r>
      <w:hyperlink w:anchor="eq_sostenible">
        <w:r>
          <w:rPr>
            <w:rStyle w:val="Hyperlink"/>
          </w:rPr>
          <w:t xml:space="preserve">5</w:t>
        </w:r>
      </w:hyperlink>
      <w:r>
        <w:t xml:space="preserve">), desde</w:t>
      </w:r>
      <w:r>
        <w:t xml:space="preserve"> </w:t>
      </w:r>
      <w:hyperlink w:anchor="sec_impugnables">
        <w:r>
          <w:rPr>
            <w:rStyle w:val="Hyperlink"/>
          </w:rPr>
          <w:t xml:space="preserve">III.3</w:t>
        </w:r>
      </w:hyperlink>
      <w:r>
        <w:t xml:space="preserve"> </w:t>
      </w:r>
      <w:r>
        <w:t xml:space="preserve">hasta la conclusión. Conviene escribir este esquema en la pizarra al empezar.</w:t>
      </w:r>
    </w:p>
    <w:p>
      <w:pPr>
        <w:pStyle w:val="Cajadeanotaciones"/>
      </w:pPr>
      <w:r>
        <w:t xml:space="preserve">Para empezar: Ha-Joon</w:t>
      </w:r>
      <w:r>
        <w:t xml:space="preserve"> </w:t>
      </w:r>
      <w:r>
        <w:rPr>
          <w:smallCaps/>
        </w:rPr>
        <w:t xml:space="preserve">Chang</w:t>
      </w:r>
      <w:r>
        <w:t xml:space="preserve">, «Production», en la serie</w:t>
      </w:r>
      <w:r>
        <w:t xml:space="preserve"> </w:t>
      </w:r>
      <w:r>
        <w:rPr>
          <w:i/>
          <w:iCs/>
        </w:rPr>
        <w:t xml:space="preserve">Economics for People</w:t>
      </w:r>
      <w:r>
        <w:t xml:space="preserve"> </w:t>
      </w:r>
      <w:r>
        <w:t xml:space="preserve">(vídeo,</w:t>
      </w:r>
      <w:r>
        <w:t xml:space="preserve"> </w:t>
      </w:r>
      <w:hyperlink r:id="rId38">
        <w:r>
          <w:rPr>
            <w:rStyle w:val="Hyperlink"/>
          </w:rPr>
          <w:t xml:space="preserve">https://youtu.be/8iHeh0iRykw?list=PLmtuEaMvhDZbNVIDHA-MTVH0sLb5HP7Pn</w:t>
        </w:r>
      </w:hyperlink>
      <w:r>
        <w:t xml:space="preserve">), y «Why economics does not understand business»,</w:t>
      </w:r>
      <w:r>
        <w:t xml:space="preserve"> </w:t>
      </w:r>
      <w:r>
        <w:rPr>
          <w:i/>
          <w:iCs/>
        </w:rPr>
        <w:t xml:space="preserve">The Economist</w:t>
      </w:r>
      <w:r>
        <w:t xml:space="preserve">, 4 de abril de 2023 (de pago,</w:t>
      </w:r>
      <w:r>
        <w:t xml:space="preserve"> </w:t>
      </w:r>
      <w:hyperlink r:id="rId39">
        <w:r>
          <w:rPr>
            <w:rStyle w:val="Hyperlink"/>
          </w:rPr>
          <w:t xml:space="preserve">https://www.economist.com/finance-and-economics/2023/04/04/why-economics-does-not-understand-business</w:t>
        </w:r>
      </w:hyperlink>
      <w:r>
        <w:t xml:space="preserve">).</w:t>
      </w:r>
    </w:p>
    <w:bookmarkEnd w:id="40"/>
    <w:bookmarkStart w:id="95" w:name="sec_tamano_limites"/>
    <w:p>
      <w:pPr>
        <w:pStyle w:val="Heading1"/>
      </w:pPr>
      <w:r>
        <w:t xml:space="preserve">I.</w:t>
      </w:r>
      <w:r>
        <w:t xml:space="preserve"> </w:t>
      </w:r>
      <w:r>
        <w:t xml:space="preserve">La empresa: el tamaño eficiente y sus límites</w:t>
      </w:r>
      <w:r>
        <w:t xml:space="preserve"> </w:t>
      </w:r>
      <w:r>
        <w:rPr>
          <w:rStyle w:val="Minutos"/>
        </w:rPr>
        <w:t xml:space="preserve">7′</w:t>
      </w:r>
    </w:p>
    <w:p>
      <w:pPr>
        <w:pStyle w:val="Notaalopositor"/>
      </w:pPr>
      <w:r>
        <w:rPr>
          <w:b/>
          <w:bCs/>
        </w:rPr>
        <w:t xml:space="preserve">Nota al opositor. </w:t>
      </w:r>
      <w:r>
        <w:t xml:space="preserve">En el cante: el tamaño eficiente (escala mínima eficiente, número de empresas que caben en el mercado, subaditividad y alcance con sus fórmulas), la evidencia en una frase con el dato de España y el puzle que deja abierto el enfoque tecnológico (3′); la dirección como factor fijo y la separación entre propiedad y control,</w:t>
      </w:r>
      <w:r>
        <w:t xml:space="preserve"> </w:t>
      </w:r>
      <w:r>
        <w:rPr>
          <w:smallCaps/>
        </w:rPr>
        <w:t xml:space="preserve">Baumol</w:t>
      </w:r>
      <w:r>
        <w:t xml:space="preserve"> </w:t>
      </w:r>
      <w:r>
        <w:t xml:space="preserve">con su gráfico,</w:t>
      </w:r>
      <w:r>
        <w:t xml:space="preserve"> </w:t>
      </w:r>
      <w:r>
        <w:rPr>
          <w:smallCaps/>
        </w:rPr>
        <w:t xml:space="preserve">Williamson</w:t>
      </w:r>
      <w:r>
        <w:t xml:space="preserve"> </w:t>
      </w:r>
      <w:r>
        <w:t xml:space="preserve">(1964) y</w:t>
      </w:r>
      <w:r>
        <w:t xml:space="preserve"> </w:t>
      </w:r>
      <w:r>
        <w:rPr>
          <w:smallCaps/>
        </w:rPr>
        <w:t xml:space="preserve">Marris</w:t>
      </w:r>
      <w:r>
        <w:t xml:space="preserve"> </w:t>
      </w:r>
      <w:r>
        <w:t xml:space="preserve">en una frase cada uno, la ineficiencia X como bisagra y la relación de agencia con los costes de agencia y la disciplina del mercado (4′). Los gráficos de costes (forma en L, subaditividad, alcance) son de apoyo: su tema es el</w:t>
      </w:r>
      <w:r>
        <w:t xml:space="preserve"> </w:t>
      </w:r>
      <w:hyperlink r:id="rId24">
        <w:r>
          <w:rPr>
            <w:rStyle w:val="Referenciaatema"/>
          </w:rPr>
          <w:t xml:space="preserve">[ver tema 3.A.12]</w:t>
        </w:r>
      </w:hyperlink>
      <w:r>
        <w:t xml:space="preserve">. Son de profundización la pérdida de control con su fórmula, el gráfico de</w:t>
      </w:r>
      <w:r>
        <w:t xml:space="preserve"> </w:t>
      </w:r>
      <w:r>
        <w:rPr>
          <w:smallCaps/>
        </w:rPr>
        <w:t xml:space="preserve">Williamson</w:t>
      </w:r>
      <w:r>
        <w:t xml:space="preserve"> </w:t>
      </w:r>
      <w:r>
        <w:t xml:space="preserve">(1964),</w:t>
      </w:r>
      <w:r>
        <w:t xml:space="preserve"> </w:t>
      </w:r>
      <w:r>
        <w:rPr>
          <w:smallCaps/>
        </w:rPr>
        <w:t xml:space="preserve">Marris</w:t>
      </w:r>
      <w:r>
        <w:t xml:space="preserve"> </w:t>
      </w:r>
      <w:r>
        <w:t xml:space="preserve">en detalle, la ley de</w:t>
      </w:r>
      <w:r>
        <w:t xml:space="preserve"> </w:t>
      </w:r>
      <w:r>
        <w:rPr>
          <w:smallCaps/>
        </w:rPr>
        <w:t xml:space="preserve">Gibrat</w:t>
      </w:r>
      <w:r>
        <w:t xml:space="preserve"> </w:t>
      </w:r>
      <w:r>
        <w:t xml:space="preserve">y la distribución de</w:t>
      </w:r>
      <w:r>
        <w:t xml:space="preserve"> </w:t>
      </w:r>
      <w:r>
        <w:rPr>
          <w:smallCaps/>
        </w:rPr>
        <w:t xml:space="preserve">Zipf</w:t>
      </w:r>
      <w:r>
        <w:t xml:space="preserve"> </w:t>
      </w:r>
      <w:r>
        <w:t xml:space="preserve">y el gobierno corporativo en España (anexo </w:t>
      </w:r>
      <w:hyperlink w:anchor="anexo_gobierno_corporativo">
        <w:r>
          <w:rPr>
            <w:rStyle w:val="Hyperlink"/>
          </w:rPr>
          <w:t xml:space="preserve">D</w:t>
        </w:r>
      </w:hyperlink>
      <w:r>
        <w:t xml:space="preserve">).</w:t>
      </w:r>
    </w:p>
    <w:p>
      <w:pPr>
        <w:numPr>
          <w:ilvl w:val="0"/>
          <w:numId w:val="1011"/>
        </w:numPr>
      </w:pPr>
      <w:r>
        <w:t xml:space="preserve">Empezamos por el primer supuesto de la caja negra: la empresa es un agente que maximiza el beneficio con una tecnología dada.</w:t>
      </w:r>
      <w:r>
        <w:t xml:space="preserve"> </w:t>
      </w:r>
      <w:r>
        <w:rPr>
          <w:i/>
          <w:iCs/>
        </w:rPr>
        <w:t xml:space="preserve">Conclusión anticipada</w:t>
      </w:r>
      <w:r>
        <w:t xml:space="preserve">: la tecnología fija un tamaño eficiente</w:t>
      </w:r>
      <w:r>
        <w:t xml:space="preserve"> </w:t>
      </w:r>
      <w:r>
        <w:rPr>
          <w:i/>
          <w:iCs/>
        </w:rPr>
        <w:t xml:space="preserve">mínimo</w:t>
      </w:r>
      <w:r>
        <w:t xml:space="preserve">, pero no un máximo; los límites al tamaño vienen de dentro de la empresa, de la dirección y de los incentivos de quienes la gobiernan.</w:t>
      </w:r>
    </w:p>
    <w:bookmarkStart w:id="66" w:name="sec_tamano_eficiente"/>
    <w:p>
      <w:pPr>
        <w:pStyle w:val="Heading2"/>
      </w:pPr>
      <w:r>
        <w:t xml:space="preserve">I.1.</w:t>
      </w:r>
      <w:r>
        <w:t xml:space="preserve"> </w:t>
      </w:r>
      <w:r>
        <w:t xml:space="preserve">El enfoque tecnológico: el tamaño eficiente</w:t>
      </w:r>
    </w:p>
    <w:bookmarkStart w:id="41" w:name="a_idea"/>
    <w:p>
      <w:pPr>
        <w:pStyle w:val="Heading4"/>
      </w:pPr>
      <w:r>
        <w:t xml:space="preserve">a) Idea</w:t>
      </w:r>
    </w:p>
    <w:p>
      <w:pPr>
        <w:numPr>
          <w:ilvl w:val="0"/>
          <w:numId w:val="1012"/>
        </w:numPr>
      </w:pPr>
      <w:r>
        <w:t xml:space="preserve">Para la teoría neoclásica, la empresa es una tecnología: un conjunto de posibilidades de producción</w:t>
      </w:r>
      <w:r>
        <w:t xml:space="preserve"> </w:t>
      </w:r>
      <w:hyperlink r:id="rId23">
        <w:r>
          <w:rPr>
            <w:rStyle w:val="Referenciaatema"/>
          </w:rPr>
          <w:t xml:space="preserve">[ver tema 3.A.11]</w:t>
        </w:r>
      </w:hyperlink>
      <w:r>
        <w:t xml:space="preserve"> </w:t>
      </w:r>
      <w:r>
        <w:t xml:space="preserve">del que se deriva una función de costes</w:t>
      </w:r>
      <w:r>
        <w:t xml:space="preserve"> </w:t>
      </w:r>
      <m:oMath>
        <m:r>
          <m:t>C</m:t>
        </m:r>
        <m:d>
          <m:dPr>
            <m:begChr m:val="("/>
            <m:sepChr m:val=""/>
            <m:endChr m:val=")"/>
            <m:grow/>
          </m:dPr>
          <m:e>
            <m:acc>
              <m:accPr>
                <m:chr m:val="⃗"/>
              </m:accPr>
              <m:e>
                <m:r>
                  <m:t>w</m:t>
                </m:r>
              </m:e>
            </m:acc>
            <m:r>
              <m:rPr>
                <m:sty m:val="p"/>
              </m:rPr>
              <m:t>,</m:t>
            </m:r>
            <m:r>
              <m:t>q</m:t>
            </m:r>
          </m:e>
        </m:d>
      </m:oMath>
      <w:r>
        <w:t xml:space="preserve"> </w:t>
      </w:r>
      <w:hyperlink r:id="rId24">
        <w:r>
          <w:rPr>
            <w:rStyle w:val="Referenciaatema"/>
          </w:rPr>
          <w:t xml:space="preserve">[ver tema 3.A.12]</w:t>
        </w:r>
      </w:hyperlink>
      <w:r>
        <w:t xml:space="preserve">. Su tamaño eficiente es el que minimiza el coste por unidad, y la configuración eficiente de la industria, la que produce la cantidad demandada al menor coste total.</w:t>
      </w:r>
    </w:p>
    <w:p>
      <w:pPr>
        <w:numPr>
          <w:ilvl w:val="0"/>
          <w:numId w:val="1012"/>
        </w:numPr>
      </w:pPr>
      <w:r>
        <w:t xml:space="preserve">Pese a ser un reduccionismo, este enfoque explica 3 cosas: el</w:t>
      </w:r>
      <w:r>
        <w:t xml:space="preserve"> </w:t>
      </w:r>
      <w:r>
        <w:rPr>
          <w:i/>
          <w:iCs/>
        </w:rPr>
        <w:t xml:space="preserve">tamaño</w:t>
      </w:r>
      <w:r>
        <w:t xml:space="preserve"> </w:t>
      </w:r>
      <w:r>
        <w:t xml:space="preserve">de la empresa, la</w:t>
      </w:r>
      <w:r>
        <w:t xml:space="preserve"> </w:t>
      </w:r>
      <w:r>
        <w:rPr>
          <w:i/>
          <w:iCs/>
        </w:rPr>
        <w:t xml:space="preserve">configuración</w:t>
      </w:r>
      <w:r>
        <w:t xml:space="preserve"> </w:t>
      </w:r>
      <w:r>
        <w:t xml:space="preserve">de la industria y el grado de</w:t>
      </w:r>
      <w:r>
        <w:t xml:space="preserve"> </w:t>
      </w:r>
      <w:r>
        <w:rPr>
          <w:i/>
          <w:iCs/>
        </w:rPr>
        <w:t xml:space="preserve">integración</w:t>
      </w:r>
      <w:r>
        <w:t xml:space="preserve">.</w:t>
      </w:r>
    </w:p>
    <w:bookmarkEnd w:id="41"/>
    <w:bookmarkStart w:id="62" w:name="b_modelo"/>
    <w:p>
      <w:pPr>
        <w:pStyle w:val="Heading4"/>
      </w:pPr>
      <w:r>
        <w:t xml:space="preserve">b) Modelo</w:t>
      </w:r>
    </w:p>
    <w:bookmarkStart w:id="42" w:name="i_supuestos"/>
    <w:p>
      <w:pPr>
        <w:pStyle w:val="Heading5"/>
      </w:pPr>
      <w:r>
        <w:t xml:space="preserve">i) Supuestos</w:t>
      </w:r>
    </w:p>
    <w:p>
      <w:pPr>
        <w:numPr>
          <w:ilvl w:val="0"/>
          <w:numId w:val="1013"/>
        </w:numPr>
      </w:pPr>
      <w:r>
        <w:t xml:space="preserve">Empresas con la misma tecnología, que minimizan costes y toman como dados los precios de los factores,</w:t>
      </w:r>
      <w:r>
        <w:t xml:space="preserve"> </w:t>
      </w:r>
      <m:oMath>
        <m:acc>
          <m:accPr>
            <m:chr m:val="⃗"/>
          </m:accPr>
          <m:e>
            <m:r>
              <m:t>w</m:t>
            </m:r>
          </m:e>
        </m:acc>
      </m:oMath>
      <w:r>
        <w:t xml:space="preserve">.</w:t>
      </w:r>
    </w:p>
    <w:p>
      <w:pPr>
        <w:numPr>
          <w:ilvl w:val="0"/>
          <w:numId w:val="1013"/>
        </w:numPr>
      </w:pPr>
      <w:r>
        <w:t xml:space="preserve">Una demanda de mercado</w:t>
      </w:r>
      <w:r>
        <w:t xml:space="preserve"> </w:t>
      </w:r>
      <m:oMath>
        <m:r>
          <m:t>x</m:t>
        </m:r>
        <m:d>
          <m:dPr>
            <m:begChr m:val="("/>
            <m:sepChr m:val=""/>
            <m:endChr m:val=")"/>
            <m:grow/>
          </m:dPr>
          <m:e>
            <m:r>
              <m:t>p</m:t>
            </m:r>
          </m:e>
        </m:d>
      </m:oMath>
      <w:r>
        <w:t xml:space="preserve"> </w:t>
      </w:r>
      <w:r>
        <w:t xml:space="preserve">y, a largo plazo, libre entrada y salida.</w:t>
      </w:r>
    </w:p>
    <w:bookmarkEnd w:id="42"/>
    <w:bookmarkStart w:id="60" w:name="ii_desarrollo"/>
    <w:p>
      <w:pPr>
        <w:pStyle w:val="Heading5"/>
      </w:pPr>
      <w:r>
        <w:t xml:space="preserve">ii) Desarrollo</w:t>
      </w:r>
    </w:p>
    <w:p>
      <w:pPr>
        <w:keepNext/>
        <w:numPr>
          <w:ilvl w:val="0"/>
          <w:numId w:val="1014"/>
        </w:numPr>
      </w:pPr>
      <w:r>
        <w:rPr>
          <w:b/>
          <w:bCs/>
        </w:rPr>
        <w:t xml:space="preserve">Tamaño eficiente de la empresa</w:t>
      </w:r>
      <w:r>
        <w:t xml:space="preserve">: la</w:t>
      </w:r>
      <w:r>
        <w:t xml:space="preserve"> </w:t>
      </w:r>
      <w:r>
        <w:rPr>
          <w:b/>
          <w:bCs/>
        </w:rPr>
        <w:t xml:space="preserve">escala mínima eficiente</w:t>
      </w:r>
      <w:r>
        <w:t xml:space="preserve">,</w:t>
      </w:r>
      <w:r>
        <w:t xml:space="preserve"> </w:t>
      </w:r>
      <m:oMath>
        <m:bar>
          <m:barPr>
            <m:pos m:val="top"/>
          </m:barPr>
          <m:e>
            <m:r>
              <m:t>q</m:t>
            </m:r>
          </m:e>
        </m:bar>
      </m:oMath>
      <w:r>
        <w:t xml:space="preserve">, es el menor nivel de producción con el que se alcanza el coste medio mínimo a largo plazo,</w:t>
      </w:r>
      <w:r>
        <w:t xml:space="preserve"> </w:t>
      </w:r>
      <m:oMath>
        <m:bar>
          <m:barPr>
            <m:pos m:val="top"/>
          </m:barPr>
          <m:e>
            <m:r>
              <m:t>c</m:t>
            </m:r>
          </m:e>
        </m:bar>
        <m:r>
          <m:rPr>
            <m:sty m:val="p"/>
          </m:rPr>
          <m:t>=</m:t>
        </m:r>
        <m:r>
          <m:t>C</m:t>
        </m:r>
        <m:d>
          <m:dPr>
            <m:begChr m:val="("/>
            <m:sepChr m:val=""/>
            <m:endChr m:val=")"/>
            <m:grow/>
          </m:dPr>
          <m:e>
            <m:bar>
              <m:barPr>
                <m:pos m:val="top"/>
              </m:barPr>
              <m:e>
                <m:r>
                  <m:t>q</m:t>
                </m:r>
              </m:e>
            </m:bar>
          </m:e>
        </m:d>
        <m:r>
          <m:rPr>
            <m:sty m:val="p"/>
          </m:rPr>
          <m:t>/</m:t>
        </m:r>
        <m:bar>
          <m:barPr>
            <m:pos m:val="top"/>
          </m:barPr>
          <m:e>
            <m:r>
              <m:t>q</m:t>
            </m:r>
          </m:e>
        </m:bar>
      </m:oMath>
      <w:r>
        <w:t xml:space="preserve">. Por debajo hay economías de escala (</w:t>
      </w:r>
      <m:oMath>
        <m:r>
          <m:rPr>
            <m:sty m:val="p"/>
          </m:rPr>
          <m:t>C</m:t>
        </m:r>
        <m:r>
          <m:rPr>
            <m:sty m:val="p"/>
          </m:rPr>
          <m:t>M</m:t>
        </m:r>
        <m:r>
          <m:rPr>
            <m:sty m:val="p"/>
          </m:rPr>
          <m:t>g</m:t>
        </m:r>
        <m:r>
          <m:rPr>
            <m:sty m:val="p"/>
          </m:rPr>
          <m:t>&lt;</m:t>
        </m:r>
        <m:r>
          <m:rPr>
            <m:sty m:val="p"/>
          </m:rPr>
          <m:t>C</m:t>
        </m:r>
        <m:r>
          <m:rPr>
            <m:sty m:val="p"/>
          </m:rPr>
          <m:t>M</m:t>
        </m:r>
        <m:r>
          <m:rPr>
            <m:sty m:val="p"/>
          </m:rPr>
          <m:t>e</m:t>
        </m:r>
      </m:oMath>
      <w:r>
        <w:t xml:space="preserve">); por encima, si las hay, deseconomías</w:t>
      </w:r>
      <w:r>
        <w:t xml:space="preserve"> </w:t>
      </w:r>
      <w:hyperlink r:id="rId24">
        <w:r>
          <w:rPr>
            <w:rStyle w:val="Referenciaatema"/>
          </w:rPr>
          <w:t xml:space="preserve">[ver tema 3.A.12]</w:t>
        </w:r>
      </w:hyperlink>
      <w:r>
        <w:t xml:space="preserve">.</w:t>
      </w:r>
    </w:p>
    <w:p>
      <w:pPr>
        <w:numPr>
          <w:ilvl w:val="1"/>
          <w:numId w:val="1015"/>
        </w:numPr>
      </w:pPr>
      <w:r>
        <w:t xml:space="preserve">Si el coste medio tiene forma de U, hay un único tamaño eficiente. Los estudios empíricos encuentran con frecuencia costes medios en forma de L: decrecientes hasta</w:t>
      </w:r>
      <w:r>
        <w:t xml:space="preserve"> </w:t>
      </w:r>
      <m:oMath>
        <m:bar>
          <m:barPr>
            <m:pos m:val="top"/>
          </m:barPr>
          <m:e>
            <m:r>
              <m:t>q</m:t>
            </m:r>
          </m:e>
        </m:bar>
      </m:oMath>
      <w:r>
        <w:t xml:space="preserve"> </w:t>
      </w:r>
      <w:r>
        <w:t xml:space="preserve">y casi constantes después, de modo que hay una</w:t>
      </w:r>
      <w:r>
        <w:t xml:space="preserve"> </w:t>
      </w:r>
      <w:r>
        <w:rPr>
          <w:i/>
          <w:iCs/>
        </w:rPr>
        <w:t xml:space="preserve">horquilla</w:t>
      </w:r>
      <w:r>
        <w:t xml:space="preserve"> </w:t>
      </w:r>
      <w:r>
        <w:t xml:space="preserve">de tamaños eficientes (gráfico </w:t>
      </w:r>
      <w:hyperlink w:anchor="fig_costes_l">
        <w:r>
          <w:rPr>
            <w:rStyle w:val="Hyperlink"/>
          </w:rPr>
          <w:t xml:space="preserve">1</w:t>
        </w:r>
      </w:hyperlink>
      <w:r>
        <w:t xml:space="preserve">)</w:t>
      </w:r>
      <w:r>
        <w:t xml:space="preserve"> </w:t>
      </w:r>
      <w:r>
        <w:t xml:space="preserve">(</w:t>
      </w:r>
      <w:hyperlink w:anchor="ref_Bain1956Barriers">
        <w:r>
          <w:rPr>
            <w:rStyle w:val="Hyperlink"/>
            <w:smallCaps/>
          </w:rPr>
          <w:t xml:space="preserve">Bain</w:t>
        </w:r>
        <w:r>
          <w:rPr>
            <w:rStyle w:val="Hyperlink"/>
          </w:rPr>
          <w:t xml:space="preserve">, 1956</w:t>
        </w:r>
      </w:hyperlink>
      <w:r>
        <w:t xml:space="preserve">;</w:t>
      </w:r>
      <w:r>
        <w:t xml:space="preserve"> </w:t>
      </w:r>
      <w:hyperlink w:anchor="ref_Stigler1958Economies">
        <w:r>
          <w:rPr>
            <w:rStyle w:val="Hyperlink"/>
            <w:smallCaps/>
          </w:rPr>
          <w:t xml:space="preserve">Stigler</w:t>
        </w:r>
        <w:r>
          <w:rPr>
            <w:rStyle w:val="Hyperlink"/>
          </w:rPr>
          <w:t xml:space="preserve">, 1958</w:t>
        </w:r>
      </w:hyperlink>
      <w:r>
        <w:t xml:space="preserve">)</w:t>
      </w:r>
      <w:r>
        <w:t xml:space="preserve">.</w:t>
      </w:r>
      <w:r>
        <w:rPr>
          <w:rStyle w:val="FootnoteReference"/>
        </w:rPr>
        <w:footnoteReference w:id="43"/>
      </w:r>
    </w:p>
    <w:p>
      <w:pPr>
        <w:keepNext/>
        <w:numPr>
          <w:ilvl w:val="0"/>
          <w:numId w:val="1014"/>
        </w:numPr>
      </w:pPr>
      <w:r>
        <w:rPr>
          <w:b/>
          <w:bCs/>
        </w:rPr>
        <w:t xml:space="preserve">Configuración eficiente de la industria</w:t>
      </w:r>
      <w:r>
        <w:t xml:space="preserve">: con libre entrada y coste medio en U, cada empresa produce</w:t>
      </w:r>
      <w:r>
        <w:t xml:space="preserve"> </w:t>
      </w:r>
      <m:oMath>
        <m:bar>
          <m:barPr>
            <m:pos m:val="top"/>
          </m:barPr>
          <m:e>
            <m:r>
              <m:t>q</m:t>
            </m:r>
          </m:e>
        </m:bar>
      </m:oMath>
      <w:r>
        <w:t xml:space="preserve"> </w:t>
      </w:r>
      <w:r>
        <w:t xml:space="preserve">al precio</w:t>
      </w:r>
      <w:r>
        <w:t xml:space="preserve"> </w:t>
      </w:r>
      <m:oMath>
        <m:sSup>
          <m:e>
            <m:r>
              <m:t>p</m:t>
            </m:r>
          </m:e>
          <m:sup>
            <m:r>
              <m:rPr>
                <m:sty m:val="p"/>
              </m:rPr>
              <m:t>*</m:t>
            </m:r>
          </m:sup>
        </m:sSup>
        <m:r>
          <m:rPr>
            <m:sty m:val="p"/>
          </m:rPr>
          <m:t>=</m:t>
        </m:r>
        <m:bar>
          <m:barPr>
            <m:pos m:val="top"/>
          </m:barPr>
          <m:e>
            <m:r>
              <m:t>c</m:t>
            </m:r>
          </m:e>
        </m:bar>
      </m:oMath>
      <w:r>
        <w:t xml:space="preserve">, y el número de empresas es</w:t>
      </w:r>
      <w:r>
        <w:t xml:space="preserve"> </w:t>
      </w:r>
      <m:oMath>
        <m:sSup>
          <m:e>
            <m:r>
              <m:t>J</m:t>
            </m:r>
          </m:e>
          <m:sup>
            <m:r>
              <m:rPr>
                <m:sty m:val="p"/>
              </m:rPr>
              <m:t>*</m:t>
            </m:r>
          </m:sup>
        </m:sSup>
        <m:r>
          <m:rPr>
            <m:sty m:val="p"/>
          </m:rPr>
          <m:t>=</m:t>
        </m:r>
        <m:r>
          <m:t>x</m:t>
        </m:r>
        <m:d>
          <m:dPr>
            <m:begChr m:val="("/>
            <m:sepChr m:val=""/>
            <m:endChr m:val=")"/>
            <m:grow/>
          </m:dPr>
          <m:e>
            <m:bar>
              <m:barPr>
                <m:pos m:val="top"/>
              </m:barPr>
              <m:e>
                <m:r>
                  <m:t>c</m:t>
                </m:r>
              </m:e>
            </m:bar>
          </m:e>
        </m:d>
        <m:r>
          <m:rPr>
            <m:sty m:val="p"/>
          </m:rPr>
          <m:t>/</m:t>
        </m:r>
        <m:bar>
          <m:barPr>
            <m:pos m:val="top"/>
          </m:barPr>
          <m:e>
            <m:r>
              <m:t>q</m:t>
            </m:r>
          </m:e>
        </m:bar>
      </m:oMath>
      <w:r>
        <w:t xml:space="preserve"> </w:t>
      </w:r>
      <w:hyperlink r:id="rId25">
        <w:r>
          <w:rPr>
            <w:rStyle w:val="Referenciaatema"/>
          </w:rPr>
          <w:t xml:space="preserve">[ver tema 3.A.16]</w:t>
        </w:r>
      </w:hyperlink>
      <w:r>
        <w:t xml:space="preserve">. Lo que decide la estructura es el tamaño eficiente</w:t>
      </w:r>
      <w:r>
        <w:t xml:space="preserve"> </w:t>
      </w:r>
      <w:r>
        <w:rPr>
          <w:i/>
          <w:iCs/>
        </w:rPr>
        <w:t xml:space="preserve">relativo a la demanda</w:t>
      </w:r>
      <w:r>
        <w:t xml:space="preserve">:</w:t>
      </w:r>
    </w:p>
    <w:p>
      <w:pPr>
        <w:numPr>
          <w:ilvl w:val="1"/>
          <w:numId w:val="1016"/>
        </w:numPr>
      </w:pPr>
      <w:r>
        <w:t xml:space="preserve">si</w:t>
      </w:r>
      <w:r>
        <w:t xml:space="preserve"> </w:t>
      </w:r>
      <m:oMath>
        <m:bar>
          <m:barPr>
            <m:pos m:val="top"/>
          </m:barPr>
          <m:e>
            <m:r>
              <m:t>q</m:t>
            </m:r>
          </m:e>
        </m:bar>
      </m:oMath>
      <w:r>
        <w:t xml:space="preserve"> </w:t>
      </w:r>
      <w:r>
        <w:t xml:space="preserve">es pequeña frente a</w:t>
      </w:r>
      <w:r>
        <w:t xml:space="preserve"> </w:t>
      </w:r>
      <m:oMath>
        <m:r>
          <m:t>x</m:t>
        </m:r>
        <m:d>
          <m:dPr>
            <m:begChr m:val="("/>
            <m:sepChr m:val=""/>
            <m:endChr m:val=")"/>
            <m:grow/>
          </m:dPr>
          <m:e>
            <m:bar>
              <m:barPr>
                <m:pos m:val="top"/>
              </m:barPr>
              <m:e>
                <m:r>
                  <m:t>c</m:t>
                </m:r>
              </m:e>
            </m:bar>
          </m:e>
        </m:d>
      </m:oMath>
      <w:r>
        <w:t xml:space="preserve">, caben muchas empresas eficientes y la competencia es posible;</w:t>
      </w:r>
    </w:p>
    <w:p>
      <w:pPr>
        <w:numPr>
          <w:ilvl w:val="1"/>
          <w:numId w:val="1016"/>
        </w:numPr>
      </w:pPr>
      <w:r>
        <w:t xml:space="preserve">si es grande, solo caben unas pocas (oligopolio natural)</w:t>
      </w:r>
      <w:r>
        <w:t xml:space="preserve"> </w:t>
      </w:r>
      <w:hyperlink r:id="rId28">
        <w:r>
          <w:rPr>
            <w:rStyle w:val="Referenciaatema"/>
          </w:rPr>
          <w:t xml:space="preserve">[ver tema 3.A.19]</w:t>
        </w:r>
      </w:hyperlink>
      <w:r>
        <w:t xml:space="preserve">;</w:t>
      </w:r>
    </w:p>
    <w:p>
      <w:pPr>
        <w:numPr>
          <w:ilvl w:val="1"/>
          <w:numId w:val="1016"/>
        </w:numPr>
      </w:pPr>
      <w:r>
        <w:t xml:space="preserve">si la función de costes es</w:t>
      </w:r>
      <w:r>
        <w:t xml:space="preserve"> </w:t>
      </w:r>
      <w:r>
        <w:rPr>
          <w:b/>
          <w:bCs/>
        </w:rPr>
        <w:t xml:space="preserve">subaditiva</w:t>
      </w:r>
      <w:r>
        <w:t xml:space="preserve"> </w:t>
      </w:r>
      <w:r>
        <w:t xml:space="preserve">en la producción relevante, producir todo en una sola empresa es lo más barato:</w:t>
      </w:r>
      <w:r>
        <w:t xml:space="preserve"> </w:t>
      </w:r>
      <w:bookmarkStart w:id="47" w:name="eq_subaditividad"/>
      <w:bookmarkEnd w:id="47"/>
    </w:p>
    <w:p>
      <w:pPr>
        <w:pStyle w:val="BodyText"/>
        <w:keepNext/>
      </w:pPr>
      <m:oMathPara>
        <m:oMathParaPr>
          <m:jc m:val="center"/>
        </m:oMathParaPr>
        <m:oMath>
          <m:r>
            <m:t>C</m:t>
          </m:r>
          <m:d>
            <m:dPr>
              <m:begChr m:val="("/>
              <m:sepChr m:val=""/>
              <m:endChr m:val=")"/>
              <m:grow/>
            </m:dPr>
            <m:e>
              <m:nary>
                <m:naryPr>
                  <m:chr m:val="∑"/>
                  <m:limLoc m:val="undOvr"/>
                  <m:subHide m:val="off"/>
                  <m:supHide m:val="off"/>
                </m:naryPr>
                <m:sub>
                  <m:r>
                    <m:t>j</m:t>
                  </m:r>
                  <m:r>
                    <m:rPr>
                      <m:sty m:val="p"/>
                    </m:rPr>
                    <m:t>=</m:t>
                  </m:r>
                  <m:r>
                    <m:t>1</m:t>
                  </m:r>
                </m:sub>
                <m:sup>
                  <m:r>
                    <m:t>J</m:t>
                  </m:r>
                </m:sup>
                <m:e>
                  <m:sSub>
                    <m:e>
                      <m:r>
                        <m:t>q</m:t>
                      </m:r>
                    </m:e>
                    <m:sub>
                      <m:r>
                        <m:t>j</m:t>
                      </m:r>
                    </m:sub>
                  </m:sSub>
                </m:e>
              </m:nary>
            </m:e>
          </m:d>
          <m:r>
            <m:rPr>
              <m:sty m:val="p"/>
            </m:rPr>
            <m:t>&lt;</m:t>
          </m:r>
          <m:nary>
            <m:naryPr>
              <m:chr m:val="∑"/>
              <m:limLoc m:val="undOvr"/>
              <m:subHide m:val="off"/>
              <m:supHide m:val="off"/>
            </m:naryPr>
            <m:sub>
              <m:r>
                <m:t>j</m:t>
              </m:r>
              <m:r>
                <m:rPr>
                  <m:sty m:val="p"/>
                </m:rPr>
                <m:t>=</m:t>
              </m:r>
              <m:r>
                <m:t>1</m:t>
              </m:r>
            </m:sub>
            <m:sup>
              <m:r>
                <m:t>J</m:t>
              </m:r>
            </m:sup>
            <m:e>
              <m:r>
                <m:t>C</m:t>
              </m:r>
            </m:e>
          </m:nary>
          <m:d>
            <m:dPr>
              <m:begChr m:val="("/>
              <m:sepChr m:val=""/>
              <m:endChr m:val=")"/>
              <m:grow/>
            </m:dPr>
            <m:e>
              <m:sSub>
                <m:e>
                  <m:r>
                    <m:t>q</m:t>
                  </m:r>
                </m:e>
                <m:sub>
                  <m:r>
                    <m:t>j</m:t>
                  </m:r>
                </m:sub>
              </m:sSub>
            </m:e>
          </m:d>
          <m:r>
            <m:t>  </m:t>
          </m:r>
          <m:r>
            <m:rPr>
              <m:nor/>
              <m:sty m:val="p"/>
            </m:rPr>
            <m:t>para todo reparto </m:t>
          </m:r>
          <m:d>
            <m:dPr>
              <m:begChr m:val="("/>
              <m:sepChr m:val=""/>
              <m:endChr m:val=")"/>
              <m:grow/>
            </m:dPr>
            <m:e>
              <m:sSub>
                <m:e>
                  <m:r>
                    <m:t>q</m:t>
                  </m:r>
                </m:e>
                <m:sub>
                  <m:r>
                    <m:t>1</m:t>
                  </m:r>
                </m:sub>
              </m:sSub>
              <m:r>
                <m:rPr>
                  <m:sty m:val="p"/>
                </m:rPr>
                <m:t>,</m:t>
              </m:r>
              <m:r>
                <m:rPr>
                  <m:sty m:val="p"/>
                </m:rPr>
                <m:t>…</m:t>
              </m:r>
              <m:r>
                <m:rPr>
                  <m:sty m:val="p"/>
                </m:rPr>
                <m:t>,</m:t>
              </m:r>
              <m:sSub>
                <m:e>
                  <m:r>
                    <m:t>q</m:t>
                  </m:r>
                </m:e>
                <m:sub>
                  <m:r>
                    <m:t>J</m:t>
                  </m:r>
                </m:sub>
              </m:sSub>
            </m:e>
          </m:d>
          <m:r>
            <m:rPr>
              <m:sty m:val="p"/>
            </m:rPr>
            <m:t>,</m:t>
          </m:r>
        </m:oMath>
      </m:oMathPara>
    </w:p>
    <w:p>
      <w:pPr>
        <w:numPr>
          <w:ilvl w:val="1"/>
          <w:numId w:val="1000"/>
        </w:numPr>
      </w:pPr>
      <w:r>
        <w:t xml:space="preserve">con la</w:t>
      </w:r>
      <w:r>
        <w:t xml:space="preserve"> </w:t>
      </w:r>
      <w:r>
        <w:rPr>
          <w:i/>
          <w:iCs/>
        </w:rPr>
        <w:t xml:space="preserve">misma</w:t>
      </w:r>
      <w:r>
        <w:t xml:space="preserve"> </w:t>
      </w:r>
      <w:r>
        <w:t xml:space="preserve">función de costes</w:t>
      </w:r>
      <w:r>
        <w:t xml:space="preserve"> </w:t>
      </w:r>
      <m:oMath>
        <m:r>
          <m:t>C</m:t>
        </m:r>
        <m:d>
          <m:dPr>
            <m:begChr m:val="("/>
            <m:sepChr m:val=""/>
            <m:endChr m:val=")"/>
            <m:grow/>
          </m:dPr>
          <m:e>
            <m:r>
              <m:rPr>
                <m:sty m:val="p"/>
              </m:rPr>
              <m:t>⋅</m:t>
            </m:r>
          </m:e>
        </m:d>
      </m:oMath>
      <w:r>
        <w:t xml:space="preserve"> </w:t>
      </w:r>
      <w:r>
        <w:t xml:space="preserve">para todas las empresas: es la definición de</w:t>
      </w:r>
      <w:r>
        <w:t xml:space="preserve"> </w:t>
      </w:r>
      <w:r>
        <w:rPr>
          <w:b/>
          <w:bCs/>
        </w:rPr>
        <w:t xml:space="preserve">monopolio natural</w:t>
      </w:r>
      <w:r>
        <w:t xml:space="preserve"> </w:t>
      </w:r>
      <w:r>
        <w:t xml:space="preserve">(</w:t>
      </w:r>
      <w:hyperlink w:anchor="ref_Baumol1977Proper">
        <w:r>
          <w:rPr>
            <w:rStyle w:val="Hyperlink"/>
            <w:smallCaps/>
          </w:rPr>
          <w:t xml:space="preserve">Baumol</w:t>
        </w:r>
        <w:r>
          <w:rPr>
            <w:rStyle w:val="Hyperlink"/>
          </w:rPr>
          <w:t xml:space="preserve">, 1977</w:t>
        </w:r>
      </w:hyperlink>
      <w:r>
        <w:t xml:space="preserve">)</w:t>
      </w:r>
      <w:r>
        <w:t xml:space="preserve">. Las economías de escala en todo el tramo la garantizan, pero no son necesarias (gráfico </w:t>
      </w:r>
      <w:hyperlink w:anchor="fig_subaditividad">
        <w:r>
          <w:rPr>
            <w:rStyle w:val="Hyperlink"/>
          </w:rPr>
          <w:t xml:space="preserve">2</w:t>
        </w:r>
      </w:hyperlink>
      <w:r>
        <w:t xml:space="preserve">)</w:t>
      </w:r>
      <w:r>
        <w:t xml:space="preserve"> </w:t>
      </w:r>
      <w:hyperlink r:id="rId26">
        <w:r>
          <w:rPr>
            <w:rStyle w:val="Referenciaatema"/>
          </w:rPr>
          <w:t xml:space="preserve">[ver tema 3.A.17]</w:t>
        </w:r>
      </w:hyperlink>
      <w:r>
        <w:t xml:space="preserve">.</w:t>
      </w:r>
    </w:p>
    <w:p>
      <w:pPr>
        <w:numPr>
          <w:ilvl w:val="0"/>
          <w:numId w:val="1014"/>
        </w:numPr>
      </w:pPr>
      <w:r>
        <w:rPr>
          <w:b/>
          <w:bCs/>
        </w:rPr>
        <w:t xml:space="preserve">Alcance de la empresa</w:t>
      </w:r>
      <w:r>
        <w:t xml:space="preserve">: con varios productos, hay</w:t>
      </w:r>
      <w:r>
        <w:t xml:space="preserve"> </w:t>
      </w:r>
      <w:r>
        <w:rPr>
          <w:b/>
          <w:bCs/>
        </w:rPr>
        <w:t xml:space="preserve">economías de alcance</w:t>
      </w:r>
      <w:r>
        <w:t xml:space="preserve"> </w:t>
      </w:r>
      <w:r>
        <w:t xml:space="preserve">si producirlos juntos es más barato que por separado,</w:t>
      </w:r>
    </w:p>
    <w:p>
      <w:pPr>
        <w:pStyle w:val="BodyText"/>
        <w:keepNext/>
      </w:pPr>
      <m:oMathPara>
        <m:oMathParaPr>
          <m:jc m:val="center"/>
        </m:oMathParaPr>
        <m:oMath>
          <m:r>
            <m:t>C</m:t>
          </m:r>
          <m:d>
            <m:dPr>
              <m:begChr m:val="("/>
              <m:sepChr m:val=""/>
              <m:endChr m:val=")"/>
              <m:grow/>
            </m:dPr>
            <m:e>
              <m:sSub>
                <m:e>
                  <m:r>
                    <m:t>q</m:t>
                  </m:r>
                </m:e>
                <m:sub>
                  <m:r>
                    <m:t>1</m:t>
                  </m:r>
                </m:sub>
              </m:sSub>
              <m:r>
                <m:rPr>
                  <m:sty m:val="p"/>
                </m:rPr>
                <m:t>,</m:t>
              </m:r>
              <m:sSub>
                <m:e>
                  <m:r>
                    <m:t>q</m:t>
                  </m:r>
                </m:e>
                <m:sub>
                  <m:r>
                    <m:t>2</m:t>
                  </m:r>
                </m:sub>
              </m:sSub>
            </m:e>
          </m:d>
          <m:r>
            <m:rPr>
              <m:sty m:val="p"/>
            </m:rPr>
            <m:t>&lt;</m:t>
          </m:r>
          <m:r>
            <m:t>C</m:t>
          </m:r>
          <m:d>
            <m:dPr>
              <m:begChr m:val="("/>
              <m:sepChr m:val=""/>
              <m:endChr m:val=")"/>
              <m:grow/>
            </m:dPr>
            <m:e>
              <m:sSub>
                <m:e>
                  <m:r>
                    <m:t>q</m:t>
                  </m:r>
                </m:e>
                <m:sub>
                  <m:r>
                    <m:t>1</m:t>
                  </m:r>
                </m:sub>
              </m:sSub>
              <m:r>
                <m:rPr>
                  <m:sty m:val="p"/>
                </m:rPr>
                <m:t>,</m:t>
              </m:r>
              <m:r>
                <m:t>0</m:t>
              </m:r>
            </m:e>
          </m:d>
          <m:r>
            <m:rPr>
              <m:sty m:val="p"/>
            </m:rPr>
            <m:t>+</m:t>
          </m:r>
          <m:r>
            <m:t>C</m:t>
          </m:r>
          <m:d>
            <m:dPr>
              <m:begChr m:val="("/>
              <m:sepChr m:val=""/>
              <m:endChr m:val=")"/>
              <m:grow/>
            </m:dPr>
            <m:e>
              <m:r>
                <m:t>0</m:t>
              </m:r>
              <m:r>
                <m:rPr>
                  <m:sty m:val="p"/>
                </m:rPr>
                <m:t>,</m:t>
              </m:r>
              <m:sSub>
                <m:e>
                  <m:r>
                    <m:t>q</m:t>
                  </m:r>
                </m:e>
                <m:sub>
                  <m:r>
                    <m:t>2</m:t>
                  </m:r>
                </m:sub>
              </m:sSub>
            </m:e>
          </m:d>
          <m:r>
            <m:rPr>
              <m:sty m:val="p"/>
            </m:rPr>
            <m:t>,</m:t>
          </m:r>
        </m:oMath>
      </m:oMathPara>
    </w:p>
    <w:p>
      <w:pPr>
        <w:numPr>
          <w:ilvl w:val="0"/>
          <w:numId w:val="1000"/>
        </w:numPr>
      </w:pPr>
      <w:r>
        <w:t xml:space="preserve">por factores compartidos:</w:t>
      </w:r>
      <w:r>
        <w:t xml:space="preserve"> </w:t>
      </w:r>
      <w:r>
        <w:rPr>
          <w:i/>
          <w:iCs/>
        </w:rPr>
        <w:t xml:space="preserve">factores públicos</w:t>
      </w:r>
      <w:r>
        <w:t xml:space="preserve">, que, una vez usados para un producto, sirven para otro sin coste adicional (una red, una marca, un conocimiento), o factores que se pueden repartir entre varios productos, como el capital (gráfico </w:t>
      </w:r>
      <w:hyperlink w:anchor="fig_alcance">
        <w:r>
          <w:rPr>
            <w:rStyle w:val="Hyperlink"/>
          </w:rPr>
          <w:t xml:space="preserve">3</w:t>
        </w:r>
      </w:hyperlink>
      <w:r>
        <w:t xml:space="preserve">)</w:t>
      </w:r>
      <w:r>
        <w:t xml:space="preserve"> </w:t>
      </w:r>
      <w:r>
        <w:t xml:space="preserve">(</w:t>
      </w:r>
      <w:hyperlink w:anchor="ref_PanzarWillig1981Economies">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1981</w:t>
        </w:r>
      </w:hyperlink>
      <w:r>
        <w:t xml:space="preserve">)</w:t>
      </w:r>
      <w:r>
        <w:t xml:space="preserve"> </w:t>
      </w:r>
      <w:hyperlink r:id="rId24">
        <w:r>
          <w:rPr>
            <w:rStyle w:val="Referenciaatema"/>
          </w:rPr>
          <w:t xml:space="preserve">[ver tema 3.A.12]</w:t>
        </w:r>
      </w:hyperlink>
      <w:r>
        <w:t xml:space="preserve">.</w:t>
      </w:r>
    </w:p>
    <w:bookmarkStart w:id="51" w:name="fig_costes_l"/>
    <w:p>
      <w:pPr>
        <w:pStyle w:val="ImageCaption"/>
      </w:pPr>
      <w:r>
        <w:t xml:space="preserve">Gráfico 1.–</w:t>
      </w:r>
      <w:r>
        <w:t xml:space="preserve"> </w:t>
      </w:r>
      <w:r>
        <w:t xml:space="preserve">Costes medios a largo plazo en forma de L: escala mínima eficiente</w:t>
      </w:r>
      <w:r>
        <w:t xml:space="preserve"> </w:t>
      </w:r>
      <m:oMath>
        <m:bar>
          <m:barPr>
            <m:pos m:val="top"/>
          </m:barPr>
          <m:e>
            <m:r>
              <m:t>q</m:t>
            </m:r>
          </m:e>
        </m:bar>
      </m:oMath>
      <w:r>
        <w:t xml:space="preserve"> </w:t>
      </w:r>
      <w:r>
        <w:t xml:space="preserve">y coste medio mínimo</w:t>
      </w:r>
      <w:r>
        <w:t xml:space="preserve"> </w:t>
      </w:r>
      <m:oMath>
        <m:bar>
          <m:barPr>
            <m:pos m:val="top"/>
          </m:barPr>
          <m:e>
            <m:r>
              <m:t>c</m:t>
            </m:r>
          </m:e>
        </m:bar>
      </m:oMath>
    </w:p>
    <w:p>
      <w:pPr>
        <w:pStyle w:val="CaptionedFigure"/>
      </w:pPr>
      <w:r>
        <w:drawing>
          <wp:inline>
            <wp:extent cx="3282950" cy="1939803"/>
            <wp:effectExtent b="0" l="0" r="0" t="0"/>
            <wp:docPr descr="Gráfico 1.– Costes medios a largo plazo en forma de L: escala mínima eficiente \overline{q} y coste medio mínimo \overline{c}" title="" id="49" name="Picture"/>
            <a:graphic>
              <a:graphicData uri="http://schemas.openxmlformats.org/drawingml/2006/picture">
                <pic:pic>
                  <pic:nvPicPr>
                    <pic:cNvPr descr="C:\Users\vgutierrez\Documents\src\victorgutierrezmarcos.github.io-revision\oposicion\temario\fuentes\3A15\graficos/costes-l.png" id="50" name="Picture"/>
                    <pic:cNvPicPr>
                      <a:picLocks noChangeArrowheads="1" noChangeAspect="1"/>
                    </pic:cNvPicPr>
                  </pic:nvPicPr>
                  <pic:blipFill>
                    <a:blip r:embed="rId48"/>
                    <a:stretch>
                      <a:fillRect/>
                    </a:stretch>
                  </pic:blipFill>
                  <pic:spPr bwMode="auto">
                    <a:xfrm>
                      <a:off x="0" y="0"/>
                      <a:ext cx="3282950" cy="1939803"/>
                    </a:xfrm>
                    <a:prstGeom prst="rect">
                      <a:avLst/>
                    </a:prstGeom>
                    <a:noFill/>
                    <a:ln w="9525">
                      <a:noFill/>
                      <a:headEnd/>
                      <a:tailEnd/>
                    </a:ln>
                  </pic:spPr>
                </pic:pic>
              </a:graphicData>
            </a:graphic>
          </wp:inline>
        </w:drawing>
      </w:r>
    </w:p>
    <w:bookmarkEnd w:id="51"/>
    <w:p>
      <w:pPr>
        <w:pStyle w:val="Piedeimagen"/>
      </w:pPr>
      <w:r>
        <w:t xml:space="preserve">Fuente: elaboración propia a partir de</w:t>
      </w:r>
      <w:r>
        <w:t xml:space="preserve"> </w:t>
      </w:r>
      <w:r>
        <w:rPr>
          <w:smallCaps/>
        </w:rPr>
        <w:t xml:space="preserve">Bain</w:t>
      </w:r>
      <w:r>
        <w:t xml:space="preserve"> </w:t>
      </w:r>
      <w:r>
        <w:t xml:space="preserve">(</w:t>
      </w:r>
      <w:hyperlink w:anchor="ref_Bain1956Barriers">
        <w:r>
          <w:rPr>
            <w:rStyle w:val="Hyperlink"/>
          </w:rPr>
          <w:t xml:space="preserve">1956</w:t>
        </w:r>
      </w:hyperlink>
      <w:r>
        <w:t xml:space="preserve">)</w:t>
      </w:r>
      <w:r>
        <w:t xml:space="preserve"> </w:t>
      </w:r>
      <w:r>
        <w:t xml:space="preserve">y</w:t>
      </w:r>
      <w:r>
        <w:t xml:space="preserve"> </w:t>
      </w:r>
      <w:r>
        <w:rPr>
          <w:smallCaps/>
        </w:rPr>
        <w:t xml:space="preserve">Stigler</w:t>
      </w:r>
      <w:r>
        <w:t xml:space="preserve"> </w:t>
      </w:r>
      <w:r>
        <w:t xml:space="preserve">(</w:t>
      </w:r>
      <w:hyperlink w:anchor="ref_Stigler1958Economies">
        <w:r>
          <w:rPr>
            <w:rStyle w:val="Hyperlink"/>
          </w:rPr>
          <w:t xml:space="preserve">1958</w:t>
        </w:r>
      </w:hyperlink>
      <w:r>
        <w:t xml:space="preserve">)</w:t>
      </w:r>
      <w:r>
        <w:t xml:space="preserve">.</w:t>
      </w:r>
    </w:p>
    <w:bookmarkStart w:id="55" w:name="fig_subaditividad"/>
    <w:p>
      <w:pPr>
        <w:pStyle w:val="ImageCaption"/>
      </w:pPr>
      <w:r>
        <w:t xml:space="preserve">Gráfico 2.–</w:t>
      </w:r>
      <w:r>
        <w:t xml:space="preserve"> </w:t>
      </w:r>
      <w:r>
        <w:t xml:space="preserve">Subaditividad de costes con un producto: entre</w:t>
      </w:r>
      <w:r>
        <w:t xml:space="preserve"> </w:t>
      </w:r>
      <m:oMath>
        <m:sSup>
          <m:e>
            <m:r>
              <m:t>q</m:t>
            </m:r>
          </m:e>
          <m:sup>
            <m:r>
              <m:t>0</m:t>
            </m:r>
          </m:sup>
        </m:sSup>
      </m:oMath>
      <w:r>
        <w:t xml:space="preserve"> </w:t>
      </w:r>
      <w:r>
        <w:t xml:space="preserve">y</w:t>
      </w:r>
      <w:r>
        <w:t xml:space="preserve"> </w:t>
      </w:r>
      <m:oMath>
        <m:sSup>
          <m:e>
            <m:r>
              <m:t>q</m:t>
            </m:r>
          </m:e>
          <m:sup>
            <m:r>
              <m:t>1</m:t>
            </m:r>
          </m:sup>
        </m:sSup>
      </m:oMath>
      <w:r>
        <w:t xml:space="preserve"> </w:t>
      </w:r>
      <w:r>
        <w:t xml:space="preserve">una sola empresa produce más barato aunque su coste medio crezca</w:t>
      </w:r>
    </w:p>
    <w:p>
      <w:pPr>
        <w:pStyle w:val="CaptionedFigure"/>
      </w:pPr>
      <w:r>
        <w:drawing>
          <wp:inline>
            <wp:extent cx="3260034" cy="2626988"/>
            <wp:effectExtent b="0" l="0" r="0" t="0"/>
            <wp:docPr descr="Gráfico 2.– Subaditividad de costes con un producto: entre q^0 y q^1 una sola empresa produce más barato aunque su coste medio crezca" title="" id="53" name="Picture"/>
            <a:graphic>
              <a:graphicData uri="http://schemas.openxmlformats.org/drawingml/2006/picture">
                <pic:pic>
                  <pic:nvPicPr>
                    <pic:cNvPr descr="C:\Users\vgutierrez\Documents\src\victorgutierrezmarcos.github.io-revision\oposicion\temario\fuentes\3A15\graficos/subaditividad.png" id="54" name="Picture"/>
                    <pic:cNvPicPr>
                      <a:picLocks noChangeArrowheads="1" noChangeAspect="1"/>
                    </pic:cNvPicPr>
                  </pic:nvPicPr>
                  <pic:blipFill>
                    <a:blip r:embed="rId52"/>
                    <a:stretch>
                      <a:fillRect/>
                    </a:stretch>
                  </pic:blipFill>
                  <pic:spPr bwMode="auto">
                    <a:xfrm>
                      <a:off x="0" y="0"/>
                      <a:ext cx="3260034" cy="2626988"/>
                    </a:xfrm>
                    <a:prstGeom prst="rect">
                      <a:avLst/>
                    </a:prstGeom>
                    <a:noFill/>
                    <a:ln w="9525">
                      <a:noFill/>
                      <a:headEnd/>
                      <a:tailEnd/>
                    </a:ln>
                  </pic:spPr>
                </pic:pic>
              </a:graphicData>
            </a:graphic>
          </wp:inline>
        </w:drawing>
      </w:r>
    </w:p>
    <w:bookmarkEnd w:id="55"/>
    <w:p>
      <w:pPr>
        <w:pStyle w:val="Piedeimagen"/>
      </w:pPr>
      <w:r>
        <w:t xml:space="preserve">Fuente: elaboración propia a partir de</w:t>
      </w:r>
      <w:r>
        <w:t xml:space="preserve"> </w:t>
      </w:r>
      <w:r>
        <w:rPr>
          <w:smallCaps/>
        </w:rPr>
        <w:t xml:space="preserve">Baumol</w:t>
      </w:r>
      <w:r>
        <w:t xml:space="preserve">,</w:t>
      </w:r>
      <w:r>
        <w:t xml:space="preserve"> </w:t>
      </w:r>
      <w:r>
        <w:rPr>
          <w:smallCaps/>
        </w:rPr>
        <w:t xml:space="preserve">Panzar</w:t>
      </w:r>
      <w:r>
        <w:t xml:space="preserve"> </w:t>
      </w:r>
      <w:r>
        <w:t xml:space="preserve">y</w:t>
      </w:r>
      <w:r>
        <w:t xml:space="preserve"> </w:t>
      </w:r>
      <w:r>
        <w:rPr>
          <w:smallCaps/>
        </w:rPr>
        <w:t xml:space="preserve">Willig</w:t>
      </w:r>
      <w:r>
        <w:t xml:space="preserve"> </w:t>
      </w:r>
      <w:r>
        <w:t xml:space="preserve">(</w:t>
      </w:r>
      <w:hyperlink w:anchor="ref_BaumolPanzarWillig1982Contestable">
        <w:r>
          <w:rPr>
            <w:rStyle w:val="Hyperlink"/>
          </w:rPr>
          <w:t xml:space="preserve">1982</w:t>
        </w:r>
      </w:hyperlink>
      <w:r>
        <w:t xml:space="preserve">)</w:t>
      </w:r>
      <w:r>
        <w:t xml:space="preserve">.</w:t>
      </w:r>
    </w:p>
    <w:bookmarkStart w:id="59" w:name="fig_alcance"/>
    <w:p>
      <w:pPr>
        <w:pStyle w:val="ImageCaption"/>
      </w:pPr>
      <w:r>
        <w:t xml:space="preserve">Gráfico 3.–</w:t>
      </w:r>
      <w:r>
        <w:t xml:space="preserve"> </w:t>
      </w:r>
      <w:r>
        <w:t xml:space="preserve">Economías de alcance: coste de producir los dos bienes juntos frente a por separado</w:t>
      </w:r>
    </w:p>
    <w:p>
      <w:pPr>
        <w:pStyle w:val="CaptionedFigure"/>
      </w:pPr>
      <w:r>
        <w:drawing>
          <wp:inline>
            <wp:extent cx="2984500" cy="1893907"/>
            <wp:effectExtent b="0" l="0" r="0" t="0"/>
            <wp:docPr descr="Gráfico 3.– Economías de alcance: coste de producir los dos bienes juntos frente a por separado" title="" id="57" name="Picture"/>
            <a:graphic>
              <a:graphicData uri="http://schemas.openxmlformats.org/drawingml/2006/picture">
                <pic:pic>
                  <pic:nvPicPr>
                    <pic:cNvPr descr="C:\Users\vgutierrez\Documents\src\victorgutierrezmarcos.github.io-revision\oposicion\temario\fuentes\3A15\graficos/alcance.png" id="58" name="Picture"/>
                    <pic:cNvPicPr>
                      <a:picLocks noChangeArrowheads="1" noChangeAspect="1"/>
                    </pic:cNvPicPr>
                  </pic:nvPicPr>
                  <pic:blipFill>
                    <a:blip r:embed="rId56"/>
                    <a:stretch>
                      <a:fillRect/>
                    </a:stretch>
                  </pic:blipFill>
                  <pic:spPr bwMode="auto">
                    <a:xfrm>
                      <a:off x="0" y="0"/>
                      <a:ext cx="2984500" cy="1893907"/>
                    </a:xfrm>
                    <a:prstGeom prst="rect">
                      <a:avLst/>
                    </a:prstGeom>
                    <a:noFill/>
                    <a:ln w="9525">
                      <a:noFill/>
                      <a:headEnd/>
                      <a:tailEnd/>
                    </a:ln>
                  </pic:spPr>
                </pic:pic>
              </a:graphicData>
            </a:graphic>
          </wp:inline>
        </w:drawing>
      </w:r>
    </w:p>
    <w:bookmarkEnd w:id="59"/>
    <w:p>
      <w:pPr>
        <w:pStyle w:val="Piedeimagen"/>
      </w:pPr>
      <w:r>
        <w:t xml:space="preserve">Fuente: elaboración propia a partir de</w:t>
      </w:r>
      <w:r>
        <w:t xml:space="preserve"> </w:t>
      </w:r>
      <w:r>
        <w:rPr>
          <w:smallCaps/>
        </w:rPr>
        <w:t xml:space="preserve">Baumol</w:t>
      </w:r>
      <w:r>
        <w:t xml:space="preserve">,</w:t>
      </w:r>
      <w:r>
        <w:t xml:space="preserve"> </w:t>
      </w:r>
      <w:r>
        <w:rPr>
          <w:smallCaps/>
        </w:rPr>
        <w:t xml:space="preserve">Panzar</w:t>
      </w:r>
      <w:r>
        <w:t xml:space="preserve"> </w:t>
      </w:r>
      <w:r>
        <w:t xml:space="preserve">y</w:t>
      </w:r>
      <w:r>
        <w:t xml:space="preserve"> </w:t>
      </w:r>
      <w:r>
        <w:rPr>
          <w:smallCaps/>
        </w:rPr>
        <w:t xml:space="preserve">Willig</w:t>
      </w:r>
      <w:r>
        <w:t xml:space="preserve"> </w:t>
      </w:r>
      <w:r>
        <w:t xml:space="preserve">(</w:t>
      </w:r>
      <w:hyperlink w:anchor="ref_BaumolPanzarWillig1982Contestable">
        <w:r>
          <w:rPr>
            <w:rStyle w:val="Hyperlink"/>
          </w:rPr>
          <w:t xml:space="preserve">1982</w:t>
        </w:r>
      </w:hyperlink>
      <w:r>
        <w:t xml:space="preserve">)</w:t>
      </w:r>
      <w:r>
        <w:t xml:space="preserve">.</w:t>
      </w:r>
    </w:p>
    <w:bookmarkEnd w:id="60"/>
    <w:bookmarkStart w:id="61" w:name="iii_implicaciones"/>
    <w:p>
      <w:pPr>
        <w:pStyle w:val="Heading5"/>
      </w:pPr>
      <w:r>
        <w:t xml:space="preserve">iii) Implicaciones</w:t>
      </w:r>
    </w:p>
    <w:p>
      <w:pPr>
        <w:numPr>
          <w:ilvl w:val="0"/>
          <w:numId w:val="1017"/>
        </w:numPr>
      </w:pPr>
      <w:r>
        <w:t xml:space="preserve">El tamaño eficiente es el que aprovecha las economías de escala y de alcance. La tecnología explica así la</w:t>
      </w:r>
      <w:r>
        <w:t xml:space="preserve"> </w:t>
      </w:r>
      <w:r>
        <w:rPr>
          <w:i/>
          <w:iCs/>
        </w:rPr>
        <w:t xml:space="preserve">integración horizontal</w:t>
      </w:r>
      <w:r>
        <w:t xml:space="preserve"> </w:t>
      </w:r>
      <w:r>
        <w:t xml:space="preserve">(escala), la</w:t>
      </w:r>
      <w:r>
        <w:t xml:space="preserve"> </w:t>
      </w:r>
      <w:r>
        <w:rPr>
          <w:i/>
          <w:iCs/>
        </w:rPr>
        <w:t xml:space="preserve">diversificación</w:t>
      </w:r>
      <w:r>
        <w:t xml:space="preserve"> </w:t>
      </w:r>
      <w:r>
        <w:t xml:space="preserve">(alcance) y la existencia de monopolios naturales (subaditividad).</w:t>
      </w:r>
    </w:p>
    <w:p>
      <w:pPr>
        <w:numPr>
          <w:ilvl w:val="0"/>
          <w:numId w:val="1017"/>
        </w:numPr>
      </w:pPr>
      <w:r>
        <w:t xml:space="preserve">En definitiva, la estructura de costes y la demanda determinan el</w:t>
      </w:r>
      <w:r>
        <w:t xml:space="preserve"> </w:t>
      </w:r>
      <w:r>
        <w:rPr>
          <w:i/>
          <w:iCs/>
        </w:rPr>
        <w:t xml:space="preserve">tamaño de la empresa</w:t>
      </w:r>
      <w:r>
        <w:t xml:space="preserve">, la</w:t>
      </w:r>
      <w:r>
        <w:t xml:space="preserve"> </w:t>
      </w:r>
      <w:r>
        <w:rPr>
          <w:i/>
          <w:iCs/>
        </w:rPr>
        <w:t xml:space="preserve">configuración de la industria</w:t>
      </w:r>
      <w:r>
        <w:t xml:space="preserve"> </w:t>
      </w:r>
      <w:r>
        <w:t xml:space="preserve">y el</w:t>
      </w:r>
      <w:r>
        <w:t xml:space="preserve"> </w:t>
      </w:r>
      <w:r>
        <w:rPr>
          <w:i/>
          <w:iCs/>
        </w:rPr>
        <w:t xml:space="preserve">grado de integración</w:t>
      </w:r>
      <w:r>
        <w:t xml:space="preserve">.</w:t>
      </w:r>
    </w:p>
    <w:bookmarkEnd w:id="61"/>
    <w:bookmarkEnd w:id="62"/>
    <w:bookmarkStart w:id="64" w:name="c_evidencia_emp__rica"/>
    <w:p>
      <w:pPr>
        <w:pStyle w:val="Heading4"/>
      </w:pPr>
      <w:r>
        <w:t xml:space="preserve">c) Evidencia empírica</w:t>
      </w:r>
    </w:p>
    <w:p>
      <w:pPr>
        <w:numPr>
          <w:ilvl w:val="0"/>
          <w:numId w:val="1018"/>
        </w:numPr>
      </w:pPr>
      <w:r>
        <w:rPr>
          <w:i/>
          <w:iCs/>
        </w:rPr>
        <w:t xml:space="preserve">Escala mínima eficiente</w:t>
      </w:r>
      <w:r>
        <w:t xml:space="preserve">: con la</w:t>
      </w:r>
      <w:r>
        <w:t xml:space="preserve"> </w:t>
      </w:r>
      <w:r>
        <w:rPr>
          <w:b/>
          <w:bCs/>
        </w:rPr>
        <w:t xml:space="preserve">técnica del superviviente</w:t>
      </w:r>
      <w:r>
        <w:t xml:space="preserve"> </w:t>
      </w:r>
      <w:r>
        <w:t xml:space="preserve">(los tamaños eficientes son los que ganan cuota con el tiempo),</w:t>
      </w:r>
      <w:r>
        <w:t xml:space="preserve"> </w:t>
      </w:r>
      <w:r>
        <w:rPr>
          <w:smallCaps/>
        </w:rPr>
        <w:t xml:space="preserve">Stigler</w:t>
      </w:r>
      <w:r>
        <w:t xml:space="preserve"> </w:t>
      </w:r>
      <w:r>
        <w:t xml:space="preserve">(</w:t>
      </w:r>
      <w:hyperlink w:anchor="ref_Stigler1958Economies">
        <w:r>
          <w:rPr>
            <w:rStyle w:val="Hyperlink"/>
          </w:rPr>
          <w:t xml:space="preserve">1958</w:t>
        </w:r>
      </w:hyperlink>
      <w:r>
        <w:t xml:space="preserve">)</w:t>
      </w:r>
      <w:r>
        <w:t xml:space="preserve"> </w:t>
      </w:r>
      <w:r>
        <w:t xml:space="preserve">encuentra en muchas industrias una horquilla amplia de tamaños eficientes, coherente con costes medios en forma de L.</w:t>
      </w:r>
    </w:p>
    <w:p>
      <w:pPr>
        <w:keepNext/>
        <w:numPr>
          <w:ilvl w:val="0"/>
          <w:numId w:val="1018"/>
        </w:numPr>
      </w:pPr>
      <w:r>
        <w:rPr>
          <w:i/>
          <w:iCs/>
        </w:rPr>
        <w:t xml:space="preserve">Distribución de tamaños</w:t>
      </w:r>
      <w:r>
        <w:t xml:space="preserve">: muy asimétrica, con muchas empresas pequeñas y pocas muy grandes.</w:t>
      </w:r>
    </w:p>
    <w:p>
      <w:pPr>
        <w:numPr>
          <w:ilvl w:val="1"/>
          <w:numId w:val="1019"/>
        </w:numPr>
      </w:pPr>
      <w:r>
        <w:t xml:space="preserve">En España había 3,31 millones de empresas activas a 1 de enero de 2025; el 54,4 % no tenía asalariados y solo el 2,3 % tenía 20 o más</w:t>
      </w:r>
      <w:r>
        <w:t xml:space="preserve"> </w:t>
      </w:r>
      <w:r>
        <w:t xml:space="preserve">(</w:t>
      </w:r>
      <w:hyperlink w:anchor="ref_INE2025DIRCE">
        <w:r>
          <w:rPr>
            <w:rStyle w:val="Hyperlink"/>
            <w:smallCaps/>
          </w:rPr>
          <w:t xml:space="preserve">Instituto Nacional de Estadística</w:t>
        </w:r>
        <w:r>
          <w:rPr>
            <w:rStyle w:val="Hyperlink"/>
          </w:rPr>
          <w:t xml:space="preserve">, 2025</w:t>
        </w:r>
      </w:hyperlink>
      <w:r>
        <w:t xml:space="preserve">)</w:t>
      </w:r>
      <w:r>
        <w:t xml:space="preserve">. Y el tamaño importa para la productividad: en 2024, el valor añadido por ocupado de las grandes empresas (71.900 euros) era 1,7 veces el de las microempresas (42.800 euros); en la UE-27, 2,1 veces en 2023</w:t>
      </w:r>
      <w:r>
        <w:t xml:space="preserve"> </w:t>
      </w:r>
      <w:r>
        <w:t xml:space="preserve">(</w:t>
      </w:r>
      <w:hyperlink w:anchor="ref_Eurostat2026SBS">
        <w:r>
          <w:rPr>
            <w:rStyle w:val="Hyperlink"/>
            <w:smallCaps/>
          </w:rPr>
          <w:t xml:space="preserve">Eurostat</w:t>
        </w:r>
        <w:r>
          <w:rPr>
            <w:rStyle w:val="Hyperlink"/>
          </w:rPr>
          <w:t xml:space="preserve">, 2026</w:t>
        </w:r>
      </w:hyperlink>
      <w:r>
        <w:t xml:space="preserve">)</w:t>
      </w:r>
      <w:r>
        <w:t xml:space="preserve">.</w:t>
      </w:r>
    </w:p>
    <w:p>
      <w:pPr>
        <w:numPr>
          <w:ilvl w:val="1"/>
          <w:numId w:val="1019"/>
        </w:numPr>
      </w:pPr>
      <w:r>
        <w:t xml:space="preserve">La</w:t>
      </w:r>
      <w:r>
        <w:t xml:space="preserve"> </w:t>
      </w:r>
      <w:r>
        <w:rPr>
          <w:b/>
          <w:bCs/>
        </w:rPr>
        <w:t xml:space="preserve">ley de</w:t>
      </w:r>
      <w:r>
        <w:rPr>
          <w:b/>
          <w:bCs/>
        </w:rPr>
        <w:t xml:space="preserve"> </w:t>
      </w:r>
      <w:r>
        <w:rPr>
          <w:b/>
          <w:bCs/>
          <w:smallCaps/>
        </w:rPr>
        <w:t xml:space="preserve">Gibrat</w:t>
      </w:r>
      <w:r>
        <w:t xml:space="preserve"> </w:t>
      </w:r>
      <w:r>
        <w:t xml:space="preserve">(el crecimiento de una empresa es independiente de su tamaño) explica esa asimetría como resultado de perturbaciones multiplicativas</w:t>
      </w:r>
      <w:r>
        <w:t xml:space="preserve"> </w:t>
      </w:r>
      <w:r>
        <w:t xml:space="preserve">(</w:t>
      </w:r>
      <w:hyperlink w:anchor="ref_Gibrat1931Inegalites">
        <w:r>
          <w:rPr>
            <w:rStyle w:val="Hyperlink"/>
            <w:smallCaps/>
          </w:rPr>
          <w:t xml:space="preserve">Gibrat</w:t>
        </w:r>
        <w:r>
          <w:rPr>
            <w:rStyle w:val="Hyperlink"/>
          </w:rPr>
          <w:t xml:space="preserve">, 1931</w:t>
        </w:r>
      </w:hyperlink>
      <w:r>
        <w:t xml:space="preserve">)</w:t>
      </w:r>
      <w:r>
        <w:t xml:space="preserve">; se cumple aproximadamente para las empresas grandes, mientras que las pequeñas y jóvenes crecen más deprisa</w:t>
      </w:r>
      <w:r>
        <w:t xml:space="preserve"> </w:t>
      </w:r>
      <w:r>
        <w:t xml:space="preserve">(</w:t>
      </w:r>
      <w:hyperlink w:anchor="ref_Sutton1997Gibrat">
        <w:r>
          <w:rPr>
            <w:rStyle w:val="Hyperlink"/>
            <w:smallCaps/>
          </w:rPr>
          <w:t xml:space="preserve">Sutton</w:t>
        </w:r>
        <w:r>
          <w:rPr>
            <w:rStyle w:val="Hyperlink"/>
          </w:rPr>
          <w:t xml:space="preserve">, 1997</w:t>
        </w:r>
      </w:hyperlink>
      <w:r>
        <w:t xml:space="preserve">)</w:t>
      </w:r>
      <w:r>
        <w:t xml:space="preserve"> </w:t>
      </w:r>
      <w:hyperlink r:id="rId63">
        <w:r>
          <w:rPr>
            <w:rStyle w:val="Referenciaatema"/>
          </w:rPr>
          <w:t xml:space="preserve">[ver tema 3.B.4]</w:t>
        </w:r>
      </w:hyperlink>
      <w:r>
        <w:t xml:space="preserve">. En Estados Unidos, el tamaño de las empresas sigue una distribución de</w:t>
      </w:r>
      <w:r>
        <w:t xml:space="preserve"> </w:t>
      </w:r>
      <w:r>
        <w:rPr>
          <w:smallCaps/>
        </w:rPr>
        <w:t xml:space="preserve">Zipf</w:t>
      </w:r>
      <w:r>
        <w:t xml:space="preserve"> </w:t>
      </w:r>
      <w:r>
        <w:t xml:space="preserve">(</w:t>
      </w:r>
      <w:hyperlink w:anchor="ref_Axtell2001Zipf">
        <w:r>
          <w:rPr>
            <w:rStyle w:val="Hyperlink"/>
            <w:smallCaps/>
          </w:rPr>
          <w:t xml:space="preserve">Axtell</w:t>
        </w:r>
        <w:r>
          <w:rPr>
            <w:rStyle w:val="Hyperlink"/>
          </w:rPr>
          <w:t xml:space="preserve">, 2001</w:t>
        </w:r>
      </w:hyperlink>
      <w:r>
        <w:t xml:space="preserve">)</w:t>
      </w:r>
      <w:r>
        <w:t xml:space="preserve">.</w:t>
      </w:r>
    </w:p>
    <w:p>
      <w:pPr>
        <w:numPr>
          <w:ilvl w:val="0"/>
          <w:numId w:val="1018"/>
        </w:numPr>
      </w:pPr>
      <w:r>
        <w:rPr>
          <w:i/>
          <w:iCs/>
        </w:rPr>
        <w:t xml:space="preserve">Tendencia reciente</w:t>
      </w:r>
      <w:r>
        <w:t xml:space="preserve">: la cuota de las mayores empresas de cada sector ha crecido.</w:t>
      </w:r>
      <w:r>
        <w:t xml:space="preserve"> </w:t>
      </w:r>
      <w:r>
        <w:rPr>
          <w:smallCaps/>
        </w:rPr>
        <w:t xml:space="preserve">Autor</w:t>
      </w:r>
      <w:r>
        <w:t xml:space="preserve"> </w:t>
      </w:r>
      <w:r>
        <w:t xml:space="preserve">et al. (</w:t>
      </w:r>
      <w:hyperlink w:anchor="ref_AutorEtAl2020Fall">
        <w:r>
          <w:rPr>
            <w:rStyle w:val="Hyperlink"/>
          </w:rPr>
          <w:t xml:space="preserve">2020</w:t>
        </w:r>
      </w:hyperlink>
      <w:r>
        <w:t xml:space="preserve">)</w:t>
      </w:r>
      <w:r>
        <w:t xml:space="preserve"> </w:t>
      </w:r>
      <w:r>
        <w:t xml:space="preserve">lo atribuyen a empresas «superestrella», más productivas, en mercados en los que el ganador se lleva la mayor parte (tecnologías digitales, efectos de red); otros, a más barreras a la entrada y menos competencia</w:t>
      </w:r>
      <w:r>
        <w:t xml:space="preserve"> </w:t>
      </w:r>
      <w:r>
        <w:t xml:space="preserve">(</w:t>
      </w:r>
      <w:hyperlink w:anchor="ref_Philippon2019Great">
        <w:r>
          <w:rPr>
            <w:rStyle w:val="Hyperlink"/>
            <w:smallCaps/>
          </w:rPr>
          <w:t xml:space="preserve">Philippon</w:t>
        </w:r>
        <w:r>
          <w:rPr>
            <w:rStyle w:val="Hyperlink"/>
          </w:rPr>
          <w:t xml:space="preserve">, 2019</w:t>
        </w:r>
      </w:hyperlink>
      <w:r>
        <w:t xml:space="preserve">)</w:t>
      </w:r>
      <w:r>
        <w:t xml:space="preserve">. Es la pregunta del bloque </w:t>
      </w:r>
      <w:hyperlink w:anchor="sec_toi">
        <w:r>
          <w:rPr>
            <w:rStyle w:val="Hyperlink"/>
          </w:rPr>
          <w:t xml:space="preserve">III</w:t>
        </w:r>
      </w:hyperlink>
      <w:r>
        <w:t xml:space="preserve">.</w:t>
      </w:r>
    </w:p>
    <w:bookmarkEnd w:id="64"/>
    <w:bookmarkStart w:id="65" w:name="d_valoraci__n"/>
    <w:p>
      <w:pPr>
        <w:pStyle w:val="Heading4"/>
      </w:pPr>
      <w:r>
        <w:t xml:space="preserve">d) Valoración</w:t>
      </w:r>
    </w:p>
    <w:p>
      <w:pPr>
        <w:numPr>
          <w:ilvl w:val="0"/>
          <w:numId w:val="1020"/>
        </w:numPr>
      </w:pPr>
      <w:r>
        <w:t xml:space="preserve">El enfoque explica el tamaño de la</w:t>
      </w:r>
      <w:r>
        <w:t xml:space="preserve"> </w:t>
      </w:r>
      <w:r>
        <w:rPr>
          <w:i/>
          <w:iCs/>
        </w:rPr>
        <w:t xml:space="preserve">planta</w:t>
      </w:r>
      <w:r>
        <w:t xml:space="preserve">, no el de la</w:t>
      </w:r>
      <w:r>
        <w:t xml:space="preserve"> </w:t>
      </w:r>
      <w:r>
        <w:rPr>
          <w:i/>
          <w:iCs/>
        </w:rPr>
        <w:t xml:space="preserve">empresa</w:t>
      </w:r>
      <w:r>
        <w:t xml:space="preserve">: una empresa puede tener muchas plantas, y muchas empresas grandes reúnen actividades sin economías técnicas entre ellas.</w:t>
      </w:r>
    </w:p>
    <w:p>
      <w:pPr>
        <w:numPr>
          <w:ilvl w:val="0"/>
          <w:numId w:val="1020"/>
        </w:numPr>
      </w:pPr>
      <w:r>
        <w:t xml:space="preserve">Además, no explica por qué las economías de escala y de alcance tienen que aprovecharse</w:t>
      </w:r>
      <w:r>
        <w:t xml:space="preserve"> </w:t>
      </w:r>
      <w:r>
        <w:rPr>
          <w:i/>
          <w:iCs/>
        </w:rPr>
        <w:t xml:space="preserve">dentro</w:t>
      </w:r>
      <w:r>
        <w:t xml:space="preserve"> </w:t>
      </w:r>
      <w:r>
        <w:t xml:space="preserve">de una empresa y no con</w:t>
      </w:r>
      <w:r>
        <w:t xml:space="preserve"> </w:t>
      </w:r>
      <w:r>
        <w:rPr>
          <w:i/>
          <w:iCs/>
        </w:rPr>
        <w:t xml:space="preserve">contratos entre empresas</w:t>
      </w:r>
      <w:r>
        <w:t xml:space="preserve"> </w:t>
      </w:r>
      <w:r>
        <w:t xml:space="preserve">jurídicamente independientes: 2 productores podrían compartir un factor alquilándolo, o un proveedor abastecer a varios clientes con contratos a largo plazo</w:t>
      </w:r>
      <w:r>
        <w:t xml:space="preserve"> </w:t>
      </w:r>
      <w:r>
        <w:t xml:space="preserve">(</w:t>
      </w:r>
      <w:hyperlink w:anchor="ref_Teece1980Economies">
        <w:r>
          <w:rPr>
            <w:rStyle w:val="Hyperlink"/>
            <w:smallCaps/>
          </w:rPr>
          <w:t xml:space="preserve">Teece</w:t>
        </w:r>
        <w:r>
          <w:rPr>
            <w:rStyle w:val="Hyperlink"/>
          </w:rPr>
          <w:t xml:space="preserve">, 1980</w:t>
        </w:r>
      </w:hyperlink>
      <w:r>
        <w:t xml:space="preserve">)</w:t>
      </w:r>
      <w:r>
        <w:t xml:space="preserve">. ¿Por qué se integran, entonces? La respuesta exige mirar los costes de usar el mercado (</w:t>
      </w:r>
      <w:hyperlink w:anchor="sec_costes_transaccion">
        <w:r>
          <w:rPr>
            <w:rStyle w:val="Hyperlink"/>
          </w:rPr>
          <w:t xml:space="preserve">II</w:t>
        </w:r>
      </w:hyperlink>
      <w:r>
        <w:t xml:space="preserve">). Antes, veamos por qué la empresa no crece sin límite.</w:t>
      </w:r>
    </w:p>
    <w:bookmarkEnd w:id="65"/>
    <w:bookmarkEnd w:id="66"/>
    <w:bookmarkStart w:id="94" w:name="sec_limites_internos"/>
    <w:p>
      <w:pPr>
        <w:pStyle w:val="Heading2"/>
      </w:pPr>
      <w:r>
        <w:t xml:space="preserve">I.2.</w:t>
      </w:r>
      <w:r>
        <w:t xml:space="preserve"> </w:t>
      </w:r>
      <w:r>
        <w:t xml:space="preserve">Objetivo y funcionamiento de la empresa: los límites internos</w:t>
      </w:r>
    </w:p>
    <w:p>
      <w:pPr>
        <w:numPr>
          <w:ilvl w:val="0"/>
          <w:numId w:val="1021"/>
        </w:numPr>
      </w:pPr>
      <w:r>
        <w:t xml:space="preserve">Una vez visto qué tamaño dicta la tecnología, pasamos a lo que lo frena. Si producir en grande es más barato, ¿qué impide que una empresa crezca sin límite? La respuesta está en quién dirige la empresa, con qué objetivos y con qué incentivos.</w:t>
      </w:r>
    </w:p>
    <w:bookmarkStart w:id="68" w:name="sec_direccion"/>
    <w:p>
      <w:pPr>
        <w:pStyle w:val="Heading3"/>
      </w:pPr>
      <w:r>
        <w:t xml:space="preserve">I.2.1.</w:t>
      </w:r>
      <w:r>
        <w:t xml:space="preserve"> </w:t>
      </w:r>
      <w:r>
        <w:t xml:space="preserve">El enfoque neoclásico: la dirección como factor fijo</w:t>
      </w:r>
    </w:p>
    <w:p>
      <w:pPr>
        <w:keepNext/>
        <w:numPr>
          <w:ilvl w:val="0"/>
          <w:numId w:val="1022"/>
        </w:numPr>
      </w:pPr>
      <w:r>
        <w:rPr>
          <w:i/>
          <w:iCs/>
        </w:rPr>
        <w:t xml:space="preserve">Los rendimientos decrecientes de la dirección</w:t>
      </w:r>
      <w:r>
        <w:t xml:space="preserve">: para</w:t>
      </w:r>
      <w:r>
        <w:t xml:space="preserve"> </w:t>
      </w:r>
      <w:r>
        <w:rPr>
          <w:smallCaps/>
        </w:rPr>
        <w:t xml:space="preserve">Kaldor</w:t>
      </w:r>
      <w:r>
        <w:t xml:space="preserve"> </w:t>
      </w:r>
      <w:r>
        <w:t xml:space="preserve">(</w:t>
      </w:r>
      <w:hyperlink w:anchor="ref_Kaldor1934Equilibrium">
        <w:r>
          <w:rPr>
            <w:rStyle w:val="Hyperlink"/>
          </w:rPr>
          <w:t xml:space="preserve">1934</w:t>
        </w:r>
      </w:hyperlink>
      <w:r>
        <w:t xml:space="preserve">)</w:t>
      </w:r>
      <w:r>
        <w:t xml:space="preserve"> </w:t>
      </w:r>
      <w:r>
        <w:t xml:space="preserve">y</w:t>
      </w:r>
      <w:r>
        <w:t xml:space="preserve"> </w:t>
      </w:r>
      <w:r>
        <w:t xml:space="preserve">E. A. G.</w:t>
      </w:r>
      <w:r>
        <w:t xml:space="preserve"> </w:t>
      </w:r>
      <w:r>
        <w:rPr>
          <w:smallCaps/>
        </w:rPr>
        <w:t xml:space="preserve">Robinson</w:t>
      </w:r>
      <w:r>
        <w:t xml:space="preserve"> </w:t>
      </w:r>
      <w:r>
        <w:t xml:space="preserve">(</w:t>
      </w:r>
      <w:hyperlink w:anchor="ref_Robinson1934Problem">
        <w:r>
          <w:rPr>
            <w:rStyle w:val="Hyperlink"/>
          </w:rPr>
          <w:t xml:space="preserve">1934</w:t>
        </w:r>
      </w:hyperlink>
      <w:r>
        <w:t xml:space="preserve">)</w:t>
      </w:r>
      <w:r>
        <w:t xml:space="preserve">, el factor fijo de la empresa a largo plazo es la</w:t>
      </w:r>
      <w:r>
        <w:t xml:space="preserve"> </w:t>
      </w:r>
      <w:r>
        <w:rPr>
          <w:b/>
          <w:bCs/>
        </w:rPr>
        <w:t xml:space="preserve">capacidad de coordinación</w:t>
      </w:r>
      <w:r>
        <w:t xml:space="preserve"> </w:t>
      </w:r>
      <w:r>
        <w:t xml:space="preserve">del empresario. Al crecer, cada decisión adicional se toma peor o más despacio, y el coste medio acaba subiendo.</w:t>
      </w:r>
      <w:r>
        <w:t xml:space="preserve"> </w:t>
      </w:r>
      <w:r>
        <w:rPr>
          <w:smallCaps/>
        </w:rPr>
        <w:t xml:space="preserve">Coase</w:t>
      </w:r>
      <w:r>
        <w:t xml:space="preserve"> </w:t>
      </w:r>
      <w:r>
        <w:t xml:space="preserve">(</w:t>
      </w:r>
      <w:hyperlink w:anchor="ref_Coase1937Nature">
        <w:r>
          <w:rPr>
            <w:rStyle w:val="Hyperlink"/>
          </w:rPr>
          <w:t xml:space="preserve">1937</w:t>
        </w:r>
      </w:hyperlink>
      <w:r>
        <w:t xml:space="preserve">)</w:t>
      </w:r>
      <w:r>
        <w:t xml:space="preserve"> </w:t>
      </w:r>
      <w:r>
        <w:t xml:space="preserve">lo llama</w:t>
      </w:r>
      <w:r>
        <w:t xml:space="preserve"> </w:t>
      </w:r>
      <w:r>
        <w:rPr>
          <w:i/>
          <w:iCs/>
        </w:rPr>
        <w:t xml:space="preserve">rendimientos decrecientes de la función empresarial</w:t>
      </w:r>
      <w:r>
        <w:t xml:space="preserve"> </w:t>
      </w:r>
      <w:r>
        <w:t xml:space="preserve">y lo convierte en el límite de la empresa (</w:t>
      </w:r>
      <w:hyperlink w:anchor="sec_coase">
        <w:r>
          <w:rPr>
            <w:rStyle w:val="Hyperlink"/>
          </w:rPr>
          <w:t xml:space="preserve">II.1</w:t>
        </w:r>
      </w:hyperlink>
      <w:r>
        <w:t xml:space="preserve">).</w:t>
      </w:r>
    </w:p>
    <w:p>
      <w:pPr>
        <w:numPr>
          <w:ilvl w:val="1"/>
          <w:numId w:val="1023"/>
        </w:numPr>
      </w:pPr>
      <w:r>
        <w:rPr>
          <w:smallCaps/>
        </w:rPr>
        <w:t xml:space="preserve">Penrose</w:t>
      </w:r>
      <w:r>
        <w:t xml:space="preserve"> </w:t>
      </w:r>
      <w:r>
        <w:t xml:space="preserve">(</w:t>
      </w:r>
      <w:hyperlink w:anchor="ref_Penrose1959Theory">
        <w:r>
          <w:rPr>
            <w:rStyle w:val="Hyperlink"/>
          </w:rPr>
          <w:t xml:space="preserve">1959</w:t>
        </w:r>
      </w:hyperlink>
      <w:r>
        <w:t xml:space="preserve">)</w:t>
      </w:r>
      <w:r>
        <w:t xml:space="preserve"> </w:t>
      </w:r>
      <w:r>
        <w:t xml:space="preserve">lo traslada del tamaño al</w:t>
      </w:r>
      <w:r>
        <w:t xml:space="preserve"> </w:t>
      </w:r>
      <w:r>
        <w:rPr>
          <w:i/>
          <w:iCs/>
        </w:rPr>
        <w:t xml:space="preserve">crecimiento</w:t>
      </w:r>
      <w:r>
        <w:t xml:space="preserve">: los directivos que ya están en la empresa tienen que formar e integrar a los nuevos, de modo que la capacidad de dirección limita la</w:t>
      </w:r>
      <w:r>
        <w:t xml:space="preserve"> </w:t>
      </w:r>
      <w:r>
        <w:rPr>
          <w:i/>
          <w:iCs/>
        </w:rPr>
        <w:t xml:space="preserve">velocidad</w:t>
      </w:r>
      <w:r>
        <w:t xml:space="preserve"> </w:t>
      </w:r>
      <w:r>
        <w:t xml:space="preserve">a la que una empresa puede crecer de forma rentable (el</w:t>
      </w:r>
      <w:r>
        <w:t xml:space="preserve"> </w:t>
      </w:r>
      <w:r>
        <w:rPr>
          <w:b/>
          <w:bCs/>
        </w:rPr>
        <w:t xml:space="preserve">efecto</w:t>
      </w:r>
      <w:r>
        <w:rPr>
          <w:b/>
          <w:bCs/>
        </w:rPr>
        <w:t xml:space="preserve"> </w:t>
      </w:r>
      <w:r>
        <w:rPr>
          <w:b/>
          <w:bCs/>
          <w:smallCaps/>
        </w:rPr>
        <w:t xml:space="preserve">Penrose</w:t>
      </w:r>
      <w:r>
        <w:t xml:space="preserve">), aunque no fije un tamaño máximo</w:t>
      </w:r>
      <w:r>
        <w:t xml:space="preserve"> </w:t>
      </w:r>
      <w:hyperlink r:id="rId63">
        <w:r>
          <w:rPr>
            <w:rStyle w:val="Referenciaatema"/>
          </w:rPr>
          <w:t xml:space="preserve">[ver tema 3.B.4]</w:t>
        </w:r>
      </w:hyperlink>
      <w:r>
        <w:t xml:space="preserve">.</w:t>
      </w:r>
    </w:p>
    <w:p>
      <w:pPr>
        <w:numPr>
          <w:ilvl w:val="0"/>
          <w:numId w:val="1022"/>
        </w:numPr>
      </w:pPr>
      <w:r>
        <w:rPr>
          <w:i/>
          <w:iCs/>
        </w:rPr>
        <w:t xml:space="preserve">La pérdida de control en la jerarquía</w:t>
      </w:r>
      <w:r>
        <w:t xml:space="preserve">:</w:t>
      </w:r>
      <w:r>
        <w:t xml:space="preserve"> </w:t>
      </w:r>
      <w:r>
        <w:rPr>
          <w:smallCaps/>
        </w:rPr>
        <w:t xml:space="preserve">Williamson</w:t>
      </w:r>
      <w:r>
        <w:t xml:space="preserve"> </w:t>
      </w:r>
      <w:r>
        <w:t xml:space="preserve">(</w:t>
      </w:r>
      <w:hyperlink w:anchor="ref_Williamson1967Hierarchical">
        <w:r>
          <w:rPr>
            <w:rStyle w:val="Hyperlink"/>
          </w:rPr>
          <w:t xml:space="preserve">1967</w:t>
        </w:r>
      </w:hyperlink>
      <w:r>
        <w:t xml:space="preserve">)</w:t>
      </w:r>
      <w:r>
        <w:t xml:space="preserve"> </w:t>
      </w:r>
      <w:r>
        <w:t xml:space="preserve">formaliza el límite. Si cada nivel de la jerarquía solo transmite al siguiente una fracción</w:t>
      </w:r>
      <w:r>
        <w:t xml:space="preserve"> </w:t>
      </w:r>
      <m:oMath>
        <m:r>
          <m:t>α</m:t>
        </m:r>
        <m:r>
          <m:rPr>
            <m:sty m:val="p"/>
          </m:rPr>
          <m:t>∈</m:t>
        </m:r>
        <m:d>
          <m:dPr>
            <m:begChr m:val="("/>
            <m:sepChr m:val=""/>
            <m:endChr m:val=")"/>
            <m:grow/>
          </m:dPr>
          <m:e>
            <m:r>
              <m:t>0</m:t>
            </m:r>
            <m:r>
              <m:rPr>
                <m:sty m:val="p"/>
              </m:rPr>
              <m:t>,</m:t>
            </m:r>
            <m:r>
              <m:t>1</m:t>
            </m:r>
          </m:e>
        </m:d>
      </m:oMath>
      <w:r>
        <w:t xml:space="preserve"> </w:t>
      </w:r>
      <w:r>
        <w:t xml:space="preserve">de las intenciones de su superior, en una empresa con</w:t>
      </w:r>
      <w:r>
        <w:t xml:space="preserve"> </w:t>
      </w:r>
      <m:oMath>
        <m:r>
          <m:t>N</m:t>
        </m:r>
      </m:oMath>
      <w:r>
        <w:t xml:space="preserve"> </w:t>
      </w:r>
      <w:r>
        <w:t xml:space="preserve">niveles a la base solo llega la fracción</w:t>
      </w:r>
      <w:r>
        <w:t xml:space="preserve"> </w:t>
      </w:r>
      <m:oMath>
        <m:sSup>
          <m:e>
            <m:r>
              <m:t>α</m:t>
            </m:r>
          </m:e>
          <m:sup>
            <m:r>
              <m:t>N</m:t>
            </m:r>
            <m:r>
              <m:rPr>
                <m:sty m:val="p"/>
              </m:rPr>
              <m:t>−</m:t>
            </m:r>
            <m:r>
              <m:t>1</m:t>
            </m:r>
          </m:sup>
        </m:sSup>
      </m:oMath>
      <w:r>
        <w:t xml:space="preserve">: la pérdida de control crece de forma geométrica con el número de niveles. Aunque los costes de administración crezcan solo en proporción al tamaño, la pérdida acumulada de control da un</w:t>
      </w:r>
      <w:r>
        <w:t xml:space="preserve"> </w:t>
      </w:r>
      <w:r>
        <w:rPr>
          <w:i/>
          <w:iCs/>
        </w:rPr>
        <w:t xml:space="preserve">tamaño óptimo finito</w:t>
      </w:r>
      <w:r>
        <w:t xml:space="preserve">.</w:t>
      </w:r>
    </w:p>
    <w:p>
      <w:pPr>
        <w:keepNext/>
        <w:numPr>
          <w:ilvl w:val="0"/>
          <w:numId w:val="1022"/>
        </w:numPr>
      </w:pPr>
      <w:r>
        <w:rPr>
          <w:i/>
          <w:iCs/>
        </w:rPr>
        <w:t xml:space="preserve">La separación entre la propiedad y el control</w:t>
      </w:r>
      <w:r>
        <w:t xml:space="preserve">: hasta aquí hemos supuesto que la empresa es un</w:t>
      </w:r>
      <w:r>
        <w:t xml:space="preserve"> </w:t>
      </w:r>
      <w:r>
        <w:rPr>
          <w:i/>
          <w:iCs/>
        </w:rPr>
        <w:t xml:space="preserve">ente homogéneo</w:t>
      </w:r>
      <w:r>
        <w:t xml:space="preserve">, en cuyo seno todos los intereses coinciden y se maximiza el beneficio. Pero en la gran sociedad anónima la propiedad está repartida entre muchos accionistas y el control lo ejercen los directivos</w:t>
      </w:r>
      <w:r>
        <w:t xml:space="preserve"> </w:t>
      </w:r>
      <w:r>
        <w:t xml:space="preserve">(</w:t>
      </w:r>
      <w:hyperlink w:anchor="ref_BerleMeans1932Modern">
        <w:r>
          <w:rPr>
            <w:rStyle w:val="Hyperlink"/>
            <w:smallCaps/>
          </w:rPr>
          <w:t xml:space="preserve">Berle</w:t>
        </w:r>
        <w:r>
          <w:rPr>
            <w:rStyle w:val="Hyperlink"/>
          </w:rPr>
          <w:t xml:space="preserve"> </w:t>
        </w:r>
        <w:r>
          <w:rPr>
            <w:rStyle w:val="Hyperlink"/>
          </w:rPr>
          <w:t xml:space="preserve">y</w:t>
        </w:r>
        <w:r>
          <w:rPr>
            <w:rStyle w:val="Hyperlink"/>
          </w:rPr>
          <w:t xml:space="preserve"> </w:t>
        </w:r>
        <w:r>
          <w:rPr>
            <w:rStyle w:val="Hyperlink"/>
            <w:smallCaps/>
          </w:rPr>
          <w:t xml:space="preserve">Means</w:t>
        </w:r>
        <w:r>
          <w:rPr>
            <w:rStyle w:val="Hyperlink"/>
          </w:rPr>
          <w:t xml:space="preserve">, 1932</w:t>
        </w:r>
      </w:hyperlink>
      <w:r>
        <w:t xml:space="preserve">)</w:t>
      </w:r>
      <w:r>
        <w:t xml:space="preserve">, y sus objetivos pueden no coincidir:</w:t>
      </w:r>
    </w:p>
    <w:p>
      <w:pPr>
        <w:numPr>
          <w:ilvl w:val="1"/>
          <w:numId w:val="1024"/>
        </w:numPr>
      </w:pPr>
      <w:r>
        <w:t xml:space="preserve">el</w:t>
      </w:r>
      <w:r>
        <w:t xml:space="preserve"> </w:t>
      </w:r>
      <w:r>
        <w:rPr>
          <w:i/>
          <w:iCs/>
        </w:rPr>
        <w:t xml:space="preserve">propietario</w:t>
      </w:r>
      <w:r>
        <w:t xml:space="preserve"> </w:t>
      </w:r>
      <w:r>
        <w:t xml:space="preserve">(el</w:t>
      </w:r>
      <w:r>
        <w:t xml:space="preserve"> </w:t>
      </w:r>
      <w:r>
        <w:rPr>
          <w:i/>
          <w:iCs/>
        </w:rPr>
        <w:t xml:space="preserve">principal</w:t>
      </w:r>
      <w:r>
        <w:t xml:space="preserve">) quiere maximizar su beneficio;</w:t>
      </w:r>
    </w:p>
    <w:p>
      <w:pPr>
        <w:numPr>
          <w:ilvl w:val="1"/>
          <w:numId w:val="1024"/>
        </w:numPr>
      </w:pPr>
      <w:r>
        <w:t xml:space="preserve">el</w:t>
      </w:r>
      <w:r>
        <w:t xml:space="preserve"> </w:t>
      </w:r>
      <w:r>
        <w:rPr>
          <w:i/>
          <w:iCs/>
        </w:rPr>
        <w:t xml:space="preserve">directivo</w:t>
      </w:r>
      <w:r>
        <w:t xml:space="preserve"> </w:t>
      </w:r>
      <w:r>
        <w:t xml:space="preserve">(el</w:t>
      </w:r>
      <w:r>
        <w:t xml:space="preserve"> </w:t>
      </w:r>
      <w:r>
        <w:rPr>
          <w:i/>
          <w:iCs/>
        </w:rPr>
        <w:t xml:space="preserve">agente</w:t>
      </w:r>
      <w:r>
        <w:t xml:space="preserve">) quiere maximizar su utilidad, que depende de su retribución, de la influencia que le da dirigir la empresa, del prestigio y del tamaño de esta.</w:t>
      </w:r>
      <w:r>
        <w:rPr>
          <w:rStyle w:val="FootnoteReference"/>
        </w:rPr>
        <w:footnoteReference w:id="67"/>
      </w:r>
    </w:p>
    <w:p>
      <w:pPr>
        <w:numPr>
          <w:ilvl w:val="0"/>
          <w:numId w:val="1000"/>
        </w:numPr>
      </w:pPr>
      <w:r>
        <w:t xml:space="preserve">Las teorías gerenciales y la teoría de la agencia estudian ese conflicto.</w:t>
      </w:r>
    </w:p>
    <w:bookmarkEnd w:id="68"/>
    <w:bookmarkStart w:id="83" w:name="sec_gerencialistas"/>
    <w:p>
      <w:pPr>
        <w:pStyle w:val="Heading3"/>
      </w:pPr>
      <w:r>
        <w:t xml:space="preserve">I.2.2.</w:t>
      </w:r>
      <w:r>
        <w:t xml:space="preserve"> </w:t>
      </w:r>
      <w:r>
        <w:t xml:space="preserve">El enfoque directivista o gerencialista</w:t>
      </w:r>
    </w:p>
    <w:bookmarkStart w:id="69" w:name="a_idea_1"/>
    <w:p>
      <w:pPr>
        <w:pStyle w:val="Heading4"/>
      </w:pPr>
      <w:r>
        <w:t xml:space="preserve">a) Idea</w:t>
      </w:r>
    </w:p>
    <w:p>
      <w:pPr>
        <w:numPr>
          <w:ilvl w:val="0"/>
          <w:numId w:val="1025"/>
        </w:numPr>
      </w:pPr>
      <w:r>
        <w:t xml:space="preserve">Los primeros modelos de una empresa con objetivos distintos del beneficio, en los años 50 y 60, sustituyen ese objetivo por el de los directivos (ventas, prestigio, emolumentos, seguridad, crecimiento), sujeto a que los accionistas reciban un</w:t>
      </w:r>
      <w:r>
        <w:t xml:space="preserve"> </w:t>
      </w:r>
      <w:r>
        <w:rPr>
          <w:b/>
          <w:bCs/>
        </w:rPr>
        <w:t xml:space="preserve">beneficio mínimo</w:t>
      </w:r>
      <w:r>
        <w:t xml:space="preserve">,</w:t>
      </w:r>
      <w:r>
        <w:t xml:space="preserve"> </w:t>
      </w:r>
      <m:oMath>
        <m:bar>
          <m:barPr>
            <m:pos m:val="bot"/>
          </m:barPr>
          <m:e>
            <m:r>
              <m:t>B</m:t>
            </m:r>
          </m:e>
        </m:bar>
      </m:oMath>
      <w:r>
        <w:t xml:space="preserve">, que les evite vender sus acciones o cambiar de equipo directivo.</w:t>
      </w:r>
    </w:p>
    <w:bookmarkEnd w:id="69"/>
    <w:bookmarkStart w:id="81" w:name="b_modelo_1"/>
    <w:p>
      <w:pPr>
        <w:pStyle w:val="Heading4"/>
      </w:pPr>
      <w:r>
        <w:t xml:space="preserve">b) Modelo</w:t>
      </w:r>
    </w:p>
    <w:bookmarkStart w:id="70" w:name="i_supuestos_1"/>
    <w:p>
      <w:pPr>
        <w:pStyle w:val="Heading5"/>
      </w:pPr>
      <w:r>
        <w:t xml:space="preserve">i) Supuestos</w:t>
      </w:r>
    </w:p>
    <w:p>
      <w:pPr>
        <w:numPr>
          <w:ilvl w:val="0"/>
          <w:numId w:val="1026"/>
        </w:numPr>
      </w:pPr>
      <w:r>
        <w:t xml:space="preserve">Separación entre propiedad y control: los directivos deciden y maximizan su propio objetivo.</w:t>
      </w:r>
    </w:p>
    <w:p>
      <w:pPr>
        <w:numPr>
          <w:ilvl w:val="0"/>
          <w:numId w:val="1026"/>
        </w:numPr>
      </w:pPr>
      <w:r>
        <w:t xml:space="preserve">Los accionistas solo exigen el beneficio mínimo</w:t>
      </w:r>
      <w:r>
        <w:t xml:space="preserve"> </w:t>
      </w:r>
      <m:oMath>
        <m:bar>
          <m:barPr>
            <m:pos m:val="bot"/>
          </m:barPr>
          <m:e>
            <m:r>
              <m:t>B</m:t>
            </m:r>
          </m:e>
        </m:bar>
      </m:oMath>
      <w:r>
        <w:t xml:space="preserve">; por lo demás, la información es perfecta y simétrica, como en la teoría neoclásica.</w:t>
      </w:r>
    </w:p>
    <w:bookmarkEnd w:id="70"/>
    <w:bookmarkStart w:id="79" w:name="ii_desarrollo_1"/>
    <w:p>
      <w:pPr>
        <w:pStyle w:val="Heading5"/>
      </w:pPr>
      <w:r>
        <w:t xml:space="preserve">ii) Desarrollo</w:t>
      </w:r>
    </w:p>
    <w:p>
      <w:pPr>
        <w:numPr>
          <w:ilvl w:val="0"/>
          <w:numId w:val="1027"/>
        </w:numPr>
      </w:pPr>
      <w:r>
        <w:rPr>
          <w:i/>
          <w:iCs/>
        </w:rPr>
        <w:t xml:space="preserve">Maximización de los ingresos por ventas</w:t>
      </w:r>
      <w:r>
        <w:t xml:space="preserve"> </w:t>
      </w:r>
      <w:r>
        <w:t xml:space="preserve">(</w:t>
      </w:r>
      <w:hyperlink w:anchor="ref_Baumol1958Theory">
        <w:r>
          <w:rPr>
            <w:rStyle w:val="Hyperlink"/>
            <w:smallCaps/>
          </w:rPr>
          <w:t xml:space="preserve">Baumol</w:t>
        </w:r>
        <w:r>
          <w:rPr>
            <w:rStyle w:val="Hyperlink"/>
          </w:rPr>
          <w:t xml:space="preserve">, 1958</w:t>
        </w:r>
      </w:hyperlink>
      <w:r>
        <w:t xml:space="preserve">,</w:t>
      </w:r>
      <w:r>
        <w:t xml:space="preserve"> </w:t>
      </w:r>
      <w:hyperlink w:anchor="ref_Baumol1959Business">
        <w:r>
          <w:rPr>
            <w:rStyle w:val="Hyperlink"/>
          </w:rPr>
          <w:t xml:space="preserve">1959</w:t>
        </w:r>
      </w:hyperlink>
      <w:r>
        <w:t xml:space="preserve">)</w:t>
      </w:r>
      <w:r>
        <w:t xml:space="preserve">: los directivos asocian su remuneración, su poder y su prestigio a la cifra de ventas más que al beneficio, y los accionistas, los prestamistas y los trabajadores ven en la evolución de las ventas un buen indicador de la gestión. La empresa maximiza su ingreso total sujeta al beneficio mínimo:</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q</m:t>
                    </m:r>
                  </m:lim>
                </m:limLow>
              </m:e>
              <m:e>
                <m:r>
                  <m:t>I</m:t>
                </m:r>
                <m:d>
                  <m:dPr>
                    <m:begChr m:val="("/>
                    <m:sepChr m:val=""/>
                    <m:endChr m:val=")"/>
                    <m:grow/>
                  </m:dPr>
                  <m:e>
                    <m:r>
                      <m:t>q</m:t>
                    </m:r>
                  </m:e>
                </m:d>
                <m:r>
                  <m:rPr>
                    <m:sty m:val="p"/>
                  </m:rPr>
                  <m:t>=</m:t>
                </m:r>
                <m:r>
                  <m:t>p</m:t>
                </m:r>
                <m:d>
                  <m:dPr>
                    <m:begChr m:val="("/>
                    <m:sepChr m:val=""/>
                    <m:endChr m:val=")"/>
                    <m:grow/>
                  </m:dPr>
                  <m:e>
                    <m:r>
                      <m:t>q</m:t>
                    </m:r>
                  </m:e>
                </m:d>
                <m:r>
                  <m:t> </m:t>
                </m:r>
                <m:r>
                  <m:t>q</m:t>
                </m:r>
              </m:e>
            </m:mr>
            <m:mr>
              <m:e>
                <m:r>
                  <m:rPr>
                    <m:nor/>
                    <m:sty m:val="p"/>
                  </m:rPr>
                  <m:t>s.a.</m:t>
                </m:r>
              </m:e>
              <m:e>
                <m:r>
                  <m:t>B</m:t>
                </m:r>
                <m:d>
                  <m:dPr>
                    <m:begChr m:val="("/>
                    <m:sepChr m:val=""/>
                    <m:endChr m:val=")"/>
                    <m:grow/>
                  </m:dPr>
                  <m:e>
                    <m:r>
                      <m:t>q</m:t>
                    </m:r>
                  </m:e>
                </m:d>
                <m:r>
                  <m:rPr>
                    <m:sty m:val="p"/>
                  </m:rPr>
                  <m:t>=</m:t>
                </m:r>
                <m:r>
                  <m:t>I</m:t>
                </m:r>
                <m:d>
                  <m:dPr>
                    <m:begChr m:val="("/>
                    <m:sepChr m:val=""/>
                    <m:endChr m:val=")"/>
                    <m:grow/>
                  </m:dPr>
                  <m:e>
                    <m:r>
                      <m:t>q</m:t>
                    </m:r>
                  </m:e>
                </m:d>
                <m:r>
                  <m:rPr>
                    <m:sty m:val="p"/>
                  </m:rPr>
                  <m:t>−</m:t>
                </m:r>
                <m:r>
                  <m:t>C</m:t>
                </m:r>
                <m:d>
                  <m:dPr>
                    <m:begChr m:val="("/>
                    <m:sepChr m:val=""/>
                    <m:endChr m:val=")"/>
                    <m:grow/>
                  </m:dPr>
                  <m:e>
                    <m:r>
                      <m:t>q</m:t>
                    </m:r>
                  </m:e>
                </m:d>
                <m:r>
                  <m:rPr>
                    <m:sty m:val="p"/>
                  </m:rPr>
                  <m:t>≥</m:t>
                </m:r>
                <m:bar>
                  <m:barPr>
                    <m:pos m:val="bot"/>
                  </m:barPr>
                  <m:e>
                    <m:r>
                      <m:t>B</m:t>
                    </m:r>
                  </m:e>
                </m:bar>
              </m:e>
            </m:mr>
          </m:m>
        </m:oMath>
      </m:oMathPara>
    </w:p>
    <w:p>
      <w:pPr>
        <w:numPr>
          <w:ilvl w:val="1"/>
          <w:numId w:val="1028"/>
        </w:numPr>
      </w:pPr>
      <w:r>
        <w:t xml:space="preserve">si, en el máximo del ingreso (</w:t>
      </w:r>
      <m:oMath>
        <m:r>
          <m:rPr>
            <m:sty m:val="p"/>
          </m:rPr>
          <m:t>I</m:t>
        </m:r>
        <m:r>
          <m:rPr>
            <m:sty m:val="p"/>
          </m:rPr>
          <m:t>M</m:t>
        </m:r>
        <m:r>
          <m:rPr>
            <m:sty m:val="p"/>
          </m:rPr>
          <m:t>g</m:t>
        </m:r>
        <m:r>
          <m:rPr>
            <m:sty m:val="p"/>
          </m:rPr>
          <m:t>=</m:t>
        </m:r>
        <m:r>
          <m:t>0</m:t>
        </m:r>
      </m:oMath>
      <w:r>
        <w:t xml:space="preserve">), el beneficio todavía supera</w:t>
      </w:r>
      <w:r>
        <w:t xml:space="preserve"> </w:t>
      </w:r>
      <m:oMath>
        <m:bar>
          <m:barPr>
            <m:pos m:val="bot"/>
          </m:barPr>
          <m:e>
            <m:r>
              <m:t>B</m:t>
            </m:r>
          </m:e>
        </m:bar>
      </m:oMath>
      <w:r>
        <w:t xml:space="preserve">, la restricción no es activa y la empresa produce donde</w:t>
      </w:r>
      <w:r>
        <w:t xml:space="preserve"> </w:t>
      </w:r>
      <m:oMath>
        <m:r>
          <m:rPr>
            <m:sty m:val="p"/>
          </m:rPr>
          <m:t>I</m:t>
        </m:r>
        <m:r>
          <m:rPr>
            <m:sty m:val="p"/>
          </m:rPr>
          <m:t>M</m:t>
        </m:r>
        <m:r>
          <m:rPr>
            <m:sty m:val="p"/>
          </m:rPr>
          <m:t>g</m:t>
        </m:r>
        <m:r>
          <m:rPr>
            <m:sty m:val="p"/>
          </m:rPr>
          <m:t>=</m:t>
        </m:r>
        <m:r>
          <m:t>0</m:t>
        </m:r>
      </m:oMath>
      <w:r>
        <w:t xml:space="preserve">;</w:t>
      </w:r>
    </w:p>
    <w:p>
      <w:pPr>
        <w:numPr>
          <w:ilvl w:val="1"/>
          <w:numId w:val="1028"/>
        </w:numPr>
      </w:pPr>
      <w:r>
        <w:t xml:space="preserve">si no, produce la cantidad</w:t>
      </w:r>
      <w:r>
        <w:t xml:space="preserve"> </w:t>
      </w:r>
      <m:oMath>
        <m:sSup>
          <m:e>
            <m:r>
              <m:t>q</m:t>
            </m:r>
          </m:e>
          <m:sup>
            <m:r>
              <m:t>B</m:t>
            </m:r>
          </m:sup>
        </m:sSup>
      </m:oMath>
      <w:r>
        <w:t xml:space="preserve"> </w:t>
      </w:r>
      <w:r>
        <w:t xml:space="preserve">en la que</w:t>
      </w:r>
      <w:r>
        <w:t xml:space="preserve"> </w:t>
      </w:r>
      <m:oMath>
        <m:r>
          <m:t>B</m:t>
        </m:r>
        <m:d>
          <m:dPr>
            <m:begChr m:val="("/>
            <m:sepChr m:val=""/>
            <m:endChr m:val=")"/>
            <m:grow/>
          </m:dPr>
          <m:e>
            <m:sSup>
              <m:e>
                <m:r>
                  <m:t>q</m:t>
                </m:r>
              </m:e>
              <m:sup>
                <m:r>
                  <m:t>B</m:t>
                </m:r>
              </m:sup>
            </m:sSup>
          </m:e>
        </m:d>
        <m:r>
          <m:rPr>
            <m:sty m:val="p"/>
          </m:rPr>
          <m:t>=</m:t>
        </m:r>
        <m:bar>
          <m:barPr>
            <m:pos m:val="bot"/>
          </m:barPr>
          <m:e>
            <m:r>
              <m:t>B</m:t>
            </m:r>
          </m:e>
        </m:bar>
      </m:oMath>
      <w:r>
        <w:t xml:space="preserve">, a la derecha de la del monopolista que maximiza el beneficio,</w:t>
      </w:r>
      <w:r>
        <w:t xml:space="preserve"> </w:t>
      </w:r>
      <m:oMath>
        <m:sSup>
          <m:e>
            <m:r>
              <m:t>q</m:t>
            </m:r>
          </m:e>
          <m:sup>
            <m:r>
              <m:t>M</m:t>
            </m:r>
          </m:sup>
        </m:sSup>
      </m:oMath>
      <w:r>
        <w:t xml:space="preserve">. Con</w:t>
      </w:r>
      <w:r>
        <w:t xml:space="preserve"> </w:t>
      </w:r>
      <m:oMath>
        <m:r>
          <m:t>λ</m:t>
        </m:r>
        <m:r>
          <m:rPr>
            <m:sty m:val="p"/>
          </m:rPr>
          <m:t>&gt;</m:t>
        </m:r>
        <m:r>
          <m:t>0</m:t>
        </m:r>
      </m:oMath>
      <w:r>
        <w:t xml:space="preserve"> </w:t>
      </w:r>
      <w:r>
        <w:t xml:space="preserve">el multiplicador de la restricción,</w:t>
      </w:r>
      <w:r>
        <w:t xml:space="preserve"> </w:t>
      </w:r>
      <m:oMath>
        <m:r>
          <m:rPr>
            <m:sty m:val="p"/>
          </m:rPr>
          <m:t>I</m:t>
        </m:r>
        <m:r>
          <m:rPr>
            <m:sty m:val="p"/>
          </m:rPr>
          <m:t>M</m:t>
        </m:r>
        <m:r>
          <m:rPr>
            <m:sty m:val="p"/>
          </m:rPr>
          <m:t>g</m:t>
        </m:r>
        <m:d>
          <m:dPr>
            <m:begChr m:val="("/>
            <m:sepChr m:val=""/>
            <m:endChr m:val=")"/>
            <m:grow/>
          </m:dPr>
          <m:e>
            <m:sSup>
              <m:e>
                <m:r>
                  <m:t>q</m:t>
                </m:r>
              </m:e>
              <m:sup>
                <m:r>
                  <m:t>B</m:t>
                </m:r>
              </m:sup>
            </m:sSup>
          </m:e>
        </m:d>
        <m:r>
          <m:rPr>
            <m:sty m:val="p"/>
          </m:rPr>
          <m:t>=</m:t>
        </m:r>
        <m:f>
          <m:fPr>
            <m:type m:val="bar"/>
          </m:fPr>
          <m:num>
            <m:r>
              <m:t>λ</m:t>
            </m:r>
          </m:num>
          <m:den>
            <m:r>
              <m:t>1</m:t>
            </m:r>
            <m:r>
              <m:rPr>
                <m:sty m:val="p"/>
              </m:rPr>
              <m:t>+</m:t>
            </m:r>
            <m:r>
              <m:t>λ</m:t>
            </m:r>
          </m:den>
        </m:f>
        <m:r>
          <m:t> </m:t>
        </m:r>
        <m:r>
          <m:rPr>
            <m:sty m:val="p"/>
          </m:rPr>
          <m:t>C</m:t>
        </m:r>
        <m:r>
          <m:rPr>
            <m:sty m:val="p"/>
          </m:rPr>
          <m:t>M</m:t>
        </m:r>
        <m:r>
          <m:rPr>
            <m:sty m:val="p"/>
          </m:rPr>
          <m:t>g</m:t>
        </m:r>
        <m:d>
          <m:dPr>
            <m:begChr m:val="("/>
            <m:sepChr m:val=""/>
            <m:endChr m:val=")"/>
            <m:grow/>
          </m:dPr>
          <m:e>
            <m:sSup>
              <m:e>
                <m:r>
                  <m:t>q</m:t>
                </m:r>
              </m:e>
              <m:sup>
                <m:r>
                  <m:t>B</m:t>
                </m:r>
              </m:sup>
            </m:sSup>
          </m:e>
        </m:d>
      </m:oMath>
      <w:r>
        <w:t xml:space="preserve">: el ingreso marginal queda entre 0 y el coste marginal (gráfico </w:t>
      </w:r>
      <w:hyperlink w:anchor="fig_baumol">
        <w:r>
          <w:rPr>
            <w:rStyle w:val="Hyperlink"/>
          </w:rPr>
          <w:t xml:space="preserve">4</w:t>
        </w:r>
      </w:hyperlink>
      <w:r>
        <w:t xml:space="preserve">; derivación en el anexo </w:t>
      </w:r>
      <w:hyperlink w:anchor="anexo_baumol">
        <w:r>
          <w:rPr>
            <w:rStyle w:val="Hyperlink"/>
          </w:rPr>
          <w:t xml:space="preserve">B.1</w:t>
        </w:r>
      </w:hyperlink>
      <w:r>
        <w:t xml:space="preserve">).</w:t>
      </w:r>
    </w:p>
    <w:p>
      <w:pPr>
        <w:numPr>
          <w:ilvl w:val="0"/>
          <w:numId w:val="1027"/>
        </w:numPr>
      </w:pPr>
      <w:r>
        <w:rPr>
          <w:i/>
          <w:iCs/>
        </w:rPr>
        <w:t xml:space="preserve">Maximización de la utilidad de los directivos</w:t>
      </w:r>
      <w:r>
        <w:t xml:space="preserve"> </w:t>
      </w:r>
      <w:r>
        <w:t xml:space="preserve">(</w:t>
      </w:r>
      <w:hyperlink w:anchor="ref_Williamson1964Economics">
        <w:r>
          <w:rPr>
            <w:rStyle w:val="Hyperlink"/>
            <w:smallCaps/>
          </w:rPr>
          <w:t xml:space="preserve">Williamson</w:t>
        </w:r>
        <w:r>
          <w:rPr>
            <w:rStyle w:val="Hyperlink"/>
          </w:rPr>
          <w:t xml:space="preserve">, 1964</w:t>
        </w:r>
      </w:hyperlink>
      <w:r>
        <w:t xml:space="preserve">)</w:t>
      </w:r>
      <w:r>
        <w:t xml:space="preserve">: el directivo valora el gasto en personal,</w:t>
      </w:r>
      <w:r>
        <w:t xml:space="preserve"> </w:t>
      </w:r>
      <m:oMath>
        <m:r>
          <m:t>S</m:t>
        </m:r>
      </m:oMath>
      <w:r>
        <w:t xml:space="preserve"> </w:t>
      </w:r>
      <w:r>
        <w:t xml:space="preserve">(influencia y prestigio), los emolumentos y gastos discrecionales,</w:t>
      </w:r>
      <w:r>
        <w:t xml:space="preserve"> </w:t>
      </w:r>
      <m:oMath>
        <m:r>
          <m:t>M</m:t>
        </m:r>
      </m:oMath>
      <w:r>
        <w:t xml:space="preserve"> </w:t>
      </w:r>
      <w:r>
        <w:t xml:space="preserve">(coches, oficinas, viajes), y la inversión discrecional,</w:t>
      </w:r>
      <w:r>
        <w:t xml:space="preserve"> </w:t>
      </w:r>
      <m:oMath>
        <m:sSub>
          <m:e>
            <m:r>
              <m:t>I</m:t>
            </m:r>
          </m:e>
          <m:sub>
            <m:r>
              <m:t>D</m:t>
            </m:r>
          </m:sub>
        </m:sSub>
      </m:oMath>
      <w:r>
        <w:t xml:space="preserve">, la que hace por encima de lo necesario:</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S</m:t>
                    </m:r>
                    <m:r>
                      <m:rPr>
                        <m:sty m:val="p"/>
                      </m:rPr>
                      <m:t>,</m:t>
                    </m:r>
                    <m:r>
                      <m:t> </m:t>
                    </m:r>
                    <m:r>
                      <m:t>M</m:t>
                    </m:r>
                  </m:lim>
                </m:limLow>
              </m:e>
              <m:e>
                <m:r>
                  <m:t>U</m:t>
                </m:r>
                <m:d>
                  <m:dPr>
                    <m:begChr m:val="("/>
                    <m:sepChr m:val=""/>
                    <m:endChr m:val=")"/>
                    <m:grow/>
                  </m:dPr>
                  <m:e>
                    <m:r>
                      <m:t>S</m:t>
                    </m:r>
                    <m:r>
                      <m:rPr>
                        <m:sty m:val="p"/>
                      </m:rPr>
                      <m:t>,</m:t>
                    </m:r>
                    <m:r>
                      <m:t>M</m:t>
                    </m:r>
                    <m:r>
                      <m:rPr>
                        <m:sty m:val="p"/>
                      </m:rPr>
                      <m:t>,</m:t>
                    </m:r>
                    <m:sSub>
                      <m:e>
                        <m:r>
                          <m:t>I</m:t>
                        </m:r>
                      </m:e>
                      <m:sub>
                        <m:r>
                          <m:t>D</m:t>
                        </m:r>
                      </m:sub>
                    </m:sSub>
                  </m:e>
                </m:d>
              </m:e>
            </m:mr>
            <m:mr>
              <m:e>
                <m:r>
                  <m:rPr>
                    <m:nor/>
                    <m:sty m:val="p"/>
                  </m:rPr>
                  <m:t>s.a.</m:t>
                </m:r>
              </m:e>
              <m:e>
                <m:r>
                  <m:t>B</m:t>
                </m:r>
                <m:d>
                  <m:dPr>
                    <m:begChr m:val="("/>
                    <m:sepChr m:val=""/>
                    <m:endChr m:val=")"/>
                    <m:grow/>
                  </m:dPr>
                  <m:e>
                    <m:r>
                      <m:t>S</m:t>
                    </m:r>
                  </m:e>
                </m:d>
                <m:r>
                  <m:rPr>
                    <m:sty m:val="p"/>
                  </m:rPr>
                  <m:t>−</m:t>
                </m:r>
                <m:r>
                  <m:t>M</m:t>
                </m:r>
                <m:r>
                  <m:rPr>
                    <m:sty m:val="p"/>
                  </m:rPr>
                  <m:t>≥</m:t>
                </m:r>
                <m:bar>
                  <m:barPr>
                    <m:pos m:val="bot"/>
                  </m:barPr>
                  <m:e>
                    <m:r>
                      <m:t>B</m:t>
                    </m:r>
                  </m:e>
                </m:bar>
              </m:e>
            </m:mr>
          </m:m>
        </m:oMath>
      </m:oMathPara>
    </w:p>
    <w:p>
      <w:pPr>
        <w:numPr>
          <w:ilvl w:val="0"/>
          <w:numId w:val="1000"/>
        </w:numPr>
      </w:pPr>
      <w:r>
        <w:t xml:space="preserve">con</w:t>
      </w:r>
      <w:r>
        <w:t xml:space="preserve"> </w:t>
      </w:r>
      <m:oMath>
        <m:sSub>
          <m:e>
            <m:r>
              <m:t>I</m:t>
            </m:r>
          </m:e>
          <m:sub>
            <m:r>
              <m:t>D</m:t>
            </m:r>
          </m:sub>
        </m:sSub>
        <m:r>
          <m:rPr>
            <m:sty m:val="p"/>
          </m:rPr>
          <m:t>=</m:t>
        </m:r>
        <m:r>
          <m:t>B</m:t>
        </m:r>
        <m:d>
          <m:dPr>
            <m:begChr m:val="("/>
            <m:sepChr m:val=""/>
            <m:endChr m:val=")"/>
            <m:grow/>
          </m:dPr>
          <m:e>
            <m:r>
              <m:t>S</m:t>
            </m:r>
          </m:e>
        </m:d>
        <m:r>
          <m:rPr>
            <m:sty m:val="p"/>
          </m:rPr>
          <m:t>−</m:t>
        </m:r>
        <m:r>
          <m:t>M</m:t>
        </m:r>
        <m:r>
          <m:rPr>
            <m:sty m:val="p"/>
          </m:rPr>
          <m:t>−</m:t>
        </m:r>
        <m:bar>
          <m:barPr>
            <m:pos m:val="bot"/>
          </m:barPr>
          <m:e>
            <m:r>
              <m:t>B</m:t>
            </m:r>
          </m:e>
        </m:bar>
      </m:oMath>
      <w:r>
        <w:t xml:space="preserve">, lo que queda del beneficio declarado tras pagar el mínimo a los accionistas. En el plano</w:t>
      </w:r>
      <w:r>
        <w:t xml:space="preserve"> </w:t>
      </w:r>
      <m:oMath>
        <m:d>
          <m:dPr>
            <m:begChr m:val="("/>
            <m:sepChr m:val=""/>
            <m:endChr m:val=")"/>
            <m:grow/>
          </m:dPr>
          <m:e>
            <m:r>
              <m:t>S</m:t>
            </m:r>
            <m:r>
              <m:rPr>
                <m:sty m:val="p"/>
              </m:rPr>
              <m:t>,</m:t>
            </m:r>
            <m:r>
              <m:t> </m:t>
            </m:r>
            <m:r>
              <m:t>B</m:t>
            </m:r>
            <m:r>
              <m:rPr>
                <m:sty m:val="p"/>
              </m:rPr>
              <m:t>−</m:t>
            </m:r>
            <m:bar>
              <m:barPr>
                <m:pos m:val="bot"/>
              </m:barPr>
              <m:e>
                <m:r>
                  <m:t>B</m:t>
                </m:r>
              </m:e>
            </m:bar>
          </m:e>
        </m:d>
      </m:oMath>
      <w:r>
        <w:t xml:space="preserve">, la curva de beneficio tiene forma de campana (el personal es productivo hasta cierto punto) y el equilibrio está en la tangencia con la curva de indiferencia más alta del directivo, a la derecha del máximo del beneficio: la empresa</w:t>
      </w:r>
      <w:r>
        <w:t xml:space="preserve"> </w:t>
      </w:r>
      <w:r>
        <w:rPr>
          <w:i/>
          <w:iCs/>
        </w:rPr>
        <w:t xml:space="preserve">gasta de más en personal</w:t>
      </w:r>
      <w:r>
        <w:t xml:space="preserve"> </w:t>
      </w:r>
      <w:r>
        <w:t xml:space="preserve">(gráfico </w:t>
      </w:r>
      <w:hyperlink w:anchor="fig_williamson_gerencial">
        <w:r>
          <w:rPr>
            <w:rStyle w:val="Hyperlink"/>
          </w:rPr>
          <w:t xml:space="preserve">5</w:t>
        </w:r>
      </w:hyperlink>
      <w:r>
        <w:t xml:space="preserve">).</w:t>
      </w:r>
    </w:p>
    <w:p>
      <w:pPr>
        <w:numPr>
          <w:ilvl w:val="0"/>
          <w:numId w:val="1027"/>
        </w:numPr>
      </w:pPr>
      <w:r>
        <w:rPr>
          <w:i/>
          <w:iCs/>
        </w:rPr>
        <w:t xml:space="preserve">Maximización del crecimiento</w:t>
      </w:r>
      <w:r>
        <w:t xml:space="preserve"> </w:t>
      </w:r>
      <w:r>
        <w:t xml:space="preserve">(</w:t>
      </w:r>
      <w:hyperlink w:anchor="ref_Marris1963Model">
        <w:r>
          <w:rPr>
            <w:rStyle w:val="Hyperlink"/>
            <w:smallCaps/>
          </w:rPr>
          <w:t xml:space="preserve">Marris</w:t>
        </w:r>
        <w:r>
          <w:rPr>
            <w:rStyle w:val="Hyperlink"/>
          </w:rPr>
          <w:t xml:space="preserve">, 1963</w:t>
        </w:r>
      </w:hyperlink>
      <w:r>
        <w:t xml:space="preserve">,</w:t>
      </w:r>
      <w:r>
        <w:t xml:space="preserve"> </w:t>
      </w:r>
      <w:hyperlink w:anchor="ref_Marris1964Economic">
        <w:r>
          <w:rPr>
            <w:rStyle w:val="Hyperlink"/>
          </w:rPr>
          <w:t xml:space="preserve">1964</w:t>
        </w:r>
      </w:hyperlink>
      <w:r>
        <w:t xml:space="preserve">)</w:t>
      </w:r>
      <w:r>
        <w:t xml:space="preserve">: el sueldo, el estatus y la seguridad del puesto de los directivos dependen del tamaño de la empresa y de sus departamentos, porque es difícil evaluar su gestión de otra forma. La empresa maximiza la tasa de crecimiento equilibrado, la misma para la demanda (con diversificación y publicidad) y para el capital (con beneficios retenidos), sujeta a una</w:t>
      </w:r>
      <w:r>
        <w:t xml:space="preserve"> </w:t>
      </w:r>
      <w:r>
        <w:rPr>
          <w:i/>
          <w:iCs/>
        </w:rPr>
        <w:t xml:space="preserve">restricción de seguridad</w:t>
      </w:r>
      <w:r>
        <w:t xml:space="preserve">: que su</w:t>
      </w:r>
      <w:r>
        <w:t xml:space="preserve"> </w:t>
      </w:r>
      <w:r>
        <w:rPr>
          <w:i/>
          <w:iCs/>
        </w:rPr>
        <w:t xml:space="preserve">ratio de valoración</w:t>
      </w:r>
      <w:r>
        <w:t xml:space="preserve"> </w:t>
      </w:r>
      <w:r>
        <w:t xml:space="preserve">(valor de mercado entre valor contable) no caiga tanto como para que otra empresa la compre y despida a los directivos. Crecer más deprisa exige retener más beneficios y diversificar hacia negocios menos rentables, lo que baja la cotización: el directivo elige el crecimiento máximo compatible con evitar la absorción, mayor que el que maximiza el valor para el accionista.</w:t>
      </w:r>
    </w:p>
    <w:bookmarkStart w:id="74" w:name="fig_baumol"/>
    <w:p>
      <w:pPr>
        <w:pStyle w:val="ImageCaption"/>
      </w:pPr>
      <w:r>
        <w:t xml:space="preserve">Gráfico 4.–</w:t>
      </w:r>
      <w:r>
        <w:t xml:space="preserve"> </w:t>
      </w:r>
      <w:r>
        <w:t xml:space="preserve">Maximización de las ventas con beneficio mínimo: la empresa produce más que el maximizador del beneficio</w:t>
      </w:r>
    </w:p>
    <w:p>
      <w:pPr>
        <w:pStyle w:val="CaptionedFigure"/>
      </w:pPr>
      <w:r>
        <w:drawing>
          <wp:inline>
            <wp:extent cx="3581400" cy="2254955"/>
            <wp:effectExtent b="0" l="0" r="0" t="0"/>
            <wp:docPr descr="Gráfico 4.– Maximización de las ventas con beneficio mínimo: la empresa produce más que el maximizador del beneficio" title="" id="72" name="Picture"/>
            <a:graphic>
              <a:graphicData uri="http://schemas.openxmlformats.org/drawingml/2006/picture">
                <pic:pic>
                  <pic:nvPicPr>
                    <pic:cNvPr descr="C:\Users\vgutierrez\Documents\src\victorgutierrezmarcos.github.io-revision\oposicion\temario\fuentes\3A15\graficos/baumol.png" id="73" name="Picture"/>
                    <pic:cNvPicPr>
                      <a:picLocks noChangeArrowheads="1" noChangeAspect="1"/>
                    </pic:cNvPicPr>
                  </pic:nvPicPr>
                  <pic:blipFill>
                    <a:blip r:embed="rId71"/>
                    <a:stretch>
                      <a:fillRect/>
                    </a:stretch>
                  </pic:blipFill>
                  <pic:spPr bwMode="auto">
                    <a:xfrm>
                      <a:off x="0" y="0"/>
                      <a:ext cx="3581400" cy="2254955"/>
                    </a:xfrm>
                    <a:prstGeom prst="rect">
                      <a:avLst/>
                    </a:prstGeom>
                    <a:noFill/>
                    <a:ln w="9525">
                      <a:noFill/>
                      <a:headEnd/>
                      <a:tailEnd/>
                    </a:ln>
                  </pic:spPr>
                </pic:pic>
              </a:graphicData>
            </a:graphic>
          </wp:inline>
        </w:drawing>
      </w:r>
    </w:p>
    <w:bookmarkEnd w:id="74"/>
    <w:p>
      <w:pPr>
        <w:pStyle w:val="Piedeimagen"/>
      </w:pPr>
      <w:r>
        <w:t xml:space="preserve">Fuente: elaboración propia a partir de</w:t>
      </w:r>
      <w:r>
        <w:t xml:space="preserve"> </w:t>
      </w:r>
      <w:r>
        <w:rPr>
          <w:smallCaps/>
        </w:rPr>
        <w:t xml:space="preserve">Baumol</w:t>
      </w:r>
      <w:r>
        <w:t xml:space="preserve"> </w:t>
      </w:r>
      <w:r>
        <w:t xml:space="preserve">(</w:t>
      </w:r>
      <w:hyperlink w:anchor="ref_Baumol1959Business">
        <w:r>
          <w:rPr>
            <w:rStyle w:val="Hyperlink"/>
          </w:rPr>
          <w:t xml:space="preserve">1959</w:t>
        </w:r>
      </w:hyperlink>
      <w:r>
        <w:t xml:space="preserve">)</w:t>
      </w:r>
      <w:r>
        <w:t xml:space="preserve">.</w:t>
      </w:r>
    </w:p>
    <w:bookmarkStart w:id="78" w:name="fig_williamson_gerencial"/>
    <w:p>
      <w:pPr>
        <w:pStyle w:val="ImageCaption"/>
      </w:pPr>
      <w:r>
        <w:t xml:space="preserve">Gráfico 5.–</w:t>
      </w:r>
      <w:r>
        <w:t xml:space="preserve"> </w:t>
      </w:r>
      <w:r>
        <w:t xml:space="preserve">Utilidad de los directivos: más gasto en personal que el maximizador del beneficio</w:t>
      </w:r>
    </w:p>
    <w:p>
      <w:pPr>
        <w:pStyle w:val="CaptionedFigure"/>
      </w:pPr>
      <w:r>
        <w:drawing>
          <wp:inline>
            <wp:extent cx="3581400" cy="2626174"/>
            <wp:effectExtent b="0" l="0" r="0" t="0"/>
            <wp:docPr descr="Gráfico 5.– Utilidad de los directivos: más gasto en personal que el maximizador del beneficio" title="" id="76" name="Picture"/>
            <a:graphic>
              <a:graphicData uri="http://schemas.openxmlformats.org/drawingml/2006/picture">
                <pic:pic>
                  <pic:nvPicPr>
                    <pic:cNvPr descr="C:\Users\vgutierrez\Documents\src\victorgutierrezmarcos.github.io-revision\oposicion\temario\fuentes\3A15\graficos/williamson-gerencial.png" id="77" name="Picture"/>
                    <pic:cNvPicPr>
                      <a:picLocks noChangeArrowheads="1" noChangeAspect="1"/>
                    </pic:cNvPicPr>
                  </pic:nvPicPr>
                  <pic:blipFill>
                    <a:blip r:embed="rId75"/>
                    <a:stretch>
                      <a:fillRect/>
                    </a:stretch>
                  </pic:blipFill>
                  <pic:spPr bwMode="auto">
                    <a:xfrm>
                      <a:off x="0" y="0"/>
                      <a:ext cx="3581400" cy="2626174"/>
                    </a:xfrm>
                    <a:prstGeom prst="rect">
                      <a:avLst/>
                    </a:prstGeom>
                    <a:noFill/>
                    <a:ln w="9525">
                      <a:noFill/>
                      <a:headEnd/>
                      <a:tailEnd/>
                    </a:ln>
                  </pic:spPr>
                </pic:pic>
              </a:graphicData>
            </a:graphic>
          </wp:inline>
        </w:drawing>
      </w:r>
    </w:p>
    <w:bookmarkEnd w:id="78"/>
    <w:p>
      <w:pPr>
        <w:pStyle w:val="Piedeimagen"/>
      </w:pPr>
      <w:r>
        <w:t xml:space="preserve">Fuente: elaboración propia a partir de</w:t>
      </w:r>
      <w:r>
        <w:t xml:space="preserve"> </w:t>
      </w:r>
      <w:r>
        <w:rPr>
          <w:smallCaps/>
        </w:rPr>
        <w:t xml:space="preserve">Williamson</w:t>
      </w:r>
      <w:r>
        <w:t xml:space="preserve"> </w:t>
      </w:r>
      <w:r>
        <w:t xml:space="preserve">(</w:t>
      </w:r>
      <w:hyperlink w:anchor="ref_Williamson1964Economics">
        <w:r>
          <w:rPr>
            <w:rStyle w:val="Hyperlink"/>
          </w:rPr>
          <w:t xml:space="preserve">1964</w:t>
        </w:r>
      </w:hyperlink>
      <w:r>
        <w:t xml:space="preserve">)</w:t>
      </w:r>
      <w:r>
        <w:t xml:space="preserve">.</w:t>
      </w:r>
    </w:p>
    <w:bookmarkEnd w:id="79"/>
    <w:bookmarkStart w:id="80" w:name="iii_implicaciones_1"/>
    <w:p>
      <w:pPr>
        <w:pStyle w:val="Heading5"/>
      </w:pPr>
      <w:r>
        <w:t xml:space="preserve">iii) Implicaciones</w:t>
      </w:r>
    </w:p>
    <w:p>
      <w:pPr>
        <w:numPr>
          <w:ilvl w:val="0"/>
          <w:numId w:val="1029"/>
        </w:numPr>
      </w:pPr>
      <w:r>
        <w:t xml:space="preserve">La empresa de</w:t>
      </w:r>
      <w:r>
        <w:t xml:space="preserve"> </w:t>
      </w:r>
      <w:r>
        <w:rPr>
          <w:smallCaps/>
        </w:rPr>
        <w:t xml:space="preserve">Baumol</w:t>
      </w:r>
      <w:r>
        <w:t xml:space="preserve"> </w:t>
      </w:r>
      <w:r>
        <w:t xml:space="preserve">produce más, cobra menos y gasta más en publicidad que el maximizador del beneficio. Y hace una predicción contrastable: si sube un coste fijo (o un impuesto de suma fija), el maximizador del beneficio no cambia su producción, pero la empresa de</w:t>
      </w:r>
      <w:r>
        <w:t xml:space="preserve"> </w:t>
      </w:r>
      <w:r>
        <w:rPr>
          <w:smallCaps/>
        </w:rPr>
        <w:t xml:space="preserve">Baumol</w:t>
      </w:r>
      <w:r>
        <w:t xml:space="preserve">, con la restricción activa, la</w:t>
      </w:r>
      <w:r>
        <w:t xml:space="preserve"> </w:t>
      </w:r>
      <w:r>
        <w:rPr>
          <w:i/>
          <w:iCs/>
        </w:rPr>
        <w:t xml:space="preserve">reduce</w:t>
      </w:r>
      <w:r>
        <w:t xml:space="preserve"> </w:t>
      </w:r>
      <w:r>
        <w:t xml:space="preserve">para seguir cubriendo</w:t>
      </w:r>
      <w:r>
        <w:t xml:space="preserve"> </w:t>
      </w:r>
      <m:oMath>
        <m:bar>
          <m:barPr>
            <m:pos m:val="bot"/>
          </m:barPr>
          <m:e>
            <m:r>
              <m:t>B</m:t>
            </m:r>
          </m:e>
        </m:bar>
      </m:oMath>
      <w:r>
        <w:t xml:space="preserve">.</w:t>
      </w:r>
    </w:p>
    <w:p>
      <w:pPr>
        <w:numPr>
          <w:ilvl w:val="0"/>
          <w:numId w:val="1029"/>
        </w:numPr>
      </w:pPr>
      <w:r>
        <w:t xml:space="preserve">La empresa de</w:t>
      </w:r>
      <w:r>
        <w:t xml:space="preserve"> </w:t>
      </w:r>
      <w:r>
        <w:rPr>
          <w:smallCaps/>
        </w:rPr>
        <w:t xml:space="preserve">Williamson</w:t>
      </w:r>
      <w:r>
        <w:t xml:space="preserve"> </w:t>
      </w:r>
      <w:r>
        <w:t xml:space="preserve">(1964) gasta de más en personal y en emolumentos: en las recesiones, cuando el beneficio se acerca al mínimo, los recortes de personal y de gastos discrecionales son mayores de lo que predice la maximización del beneficio.</w:t>
      </w:r>
    </w:p>
    <w:p>
      <w:pPr>
        <w:numPr>
          <w:ilvl w:val="0"/>
          <w:numId w:val="1029"/>
        </w:numPr>
      </w:pPr>
      <w:r>
        <w:t xml:space="preserve">Para acercar la decisión a la del accionista se puede ligar la retribución al beneficio o a la cotización (el directivo valora más el beneficio y sus curvas de indiferencia se hacen más planas en ese plano, lo que acerca la tangencia al máximo: en el gráfico </w:t>
      </w:r>
      <w:hyperlink w:anchor="fig_williamson_gerencial">
        <w:r>
          <w:rPr>
            <w:rStyle w:val="Hyperlink"/>
          </w:rPr>
          <w:t xml:space="preserve">5</w:t>
        </w:r>
      </w:hyperlink>
      <w:r>
        <w:t xml:space="preserve">, la curva</w:t>
      </w:r>
      <w:r>
        <w:t xml:space="preserve"> </w:t>
      </w:r>
      <m:oMath>
        <m:r>
          <m:t>U</m:t>
        </m:r>
        <m:r>
          <m:rPr>
            <m:sty m:val="p"/>
          </m:rPr>
          <m:t>′</m:t>
        </m:r>
      </m:oMath>
      <w:r>
        <w:t xml:space="preserve"> </w:t>
      </w:r>
      <w:r>
        <w:t xml:space="preserve">y el punto</w:t>
      </w:r>
      <w:r>
        <w:t xml:space="preserve"> </w:t>
      </w:r>
      <m:oMath>
        <m:sSup>
          <m:e>
            <m:r>
              <m:t>S</m:t>
            </m:r>
          </m:e>
          <m:sup>
            <m:r>
              <m:rPr>
                <m:sty m:val="p"/>
              </m:rPr>
              <m:t>*</m:t>
            </m:r>
            <m:r>
              <m:rPr>
                <m:sty m:val="p"/>
              </m:rPr>
              <m:t>*</m:t>
            </m:r>
          </m:sup>
        </m:sSup>
      </m:oMath>
      <w:r>
        <w:t xml:space="preserve">), exigir más transparencia y códigos éticos o comparar la gestión con la de empresas parecidas a través de los mercados financieros. La retribución con opciones sobre acciones tiene, a su vez, un riesgo: empujar a operaciones que suban la cotización a corto plazo aunque sean demasiado arriesgadas, por lo que suele diferirse en el tiempo para que el directivo se interese por la supervivencia de la empresa.</w:t>
      </w:r>
    </w:p>
    <w:bookmarkEnd w:id="80"/>
    <w:bookmarkEnd w:id="81"/>
    <w:bookmarkStart w:id="82" w:name="c_valoraci__n_de_los_objetivos_a_l_95934"/>
    <w:p>
      <w:pPr>
        <w:pStyle w:val="Heading4"/>
      </w:pPr>
      <w:r>
        <w:t xml:space="preserve">c) Valoración: de los objetivos a los incentivos</w:t>
      </w:r>
    </w:p>
    <w:p>
      <w:pPr>
        <w:numPr>
          <w:ilvl w:val="0"/>
          <w:numId w:val="1030"/>
        </w:numPr>
      </w:pPr>
      <w:r>
        <w:t xml:space="preserve">Las teorías gerenciales describen bien el conflicto, pero mantienen el supuesto neoclásico de</w:t>
      </w:r>
      <w:r>
        <w:t xml:space="preserve"> </w:t>
      </w:r>
      <w:r>
        <w:rPr>
          <w:i/>
          <w:iCs/>
        </w:rPr>
        <w:t xml:space="preserve">información perfecta y simétrica</w:t>
      </w:r>
      <w:r>
        <w:t xml:space="preserve">, y con él no explican por qué los propietarios no lo resuelven. Si pudieran observar lo que hacen los directivos, les impondrían el objetivo del beneficio: el conflicto de objetivos solo aparta a la empresa del máximo beneficio si hay</w:t>
      </w:r>
      <w:r>
        <w:t xml:space="preserve"> </w:t>
      </w:r>
      <w:r>
        <w:rPr>
          <w:i/>
          <w:iCs/>
        </w:rPr>
        <w:t xml:space="preserve">información asimétrica</w:t>
      </w:r>
      <w:r>
        <w:t xml:space="preserve">.</w:t>
      </w:r>
    </w:p>
    <w:p>
      <w:pPr>
        <w:numPr>
          <w:ilvl w:val="0"/>
          <w:numId w:val="1030"/>
        </w:numPr>
      </w:pPr>
      <w:r>
        <w:t xml:space="preserve">La bisagra es la</w:t>
      </w:r>
      <w:r>
        <w:t xml:space="preserve"> </w:t>
      </w:r>
      <w:r>
        <w:rPr>
          <w:b/>
          <w:bCs/>
        </w:rPr>
        <w:t xml:space="preserve">ineficiencia X</w:t>
      </w:r>
      <w:r>
        <w:t xml:space="preserve"> </w:t>
      </w:r>
      <w:r>
        <w:t xml:space="preserve">(</w:t>
      </w:r>
      <w:hyperlink w:anchor="ref_Leibenstein1966Allocative">
        <w:r>
          <w:rPr>
            <w:rStyle w:val="Hyperlink"/>
            <w:smallCaps/>
          </w:rPr>
          <w:t xml:space="preserve">Leibenstein</w:t>
        </w:r>
        <w:r>
          <w:rPr>
            <w:rStyle w:val="Hyperlink"/>
          </w:rPr>
          <w:t xml:space="preserve">, 1966</w:t>
        </w:r>
      </w:hyperlink>
      <w:r>
        <w:t xml:space="preserve">)</w:t>
      </w:r>
      <w:r>
        <w:t xml:space="preserve">: sin presión competitiva, las empresas producen por encima del coste mínimo,</w:t>
      </w:r>
      <w:r>
        <w:t xml:space="preserve"> </w:t>
      </w:r>
      <m:oMath>
        <m:sSup>
          <m:e>
            <m:r>
              <m:t>C</m:t>
            </m:r>
          </m:e>
          <m:sup>
            <m:r>
              <m:rPr>
                <m:sty m:val="p"/>
              </m:rPr>
              <m:t>o</m:t>
            </m:r>
            <m:r>
              <m:rPr>
                <m:sty m:val="p"/>
              </m:rPr>
              <m:t>b</m:t>
            </m:r>
            <m:r>
              <m:rPr>
                <m:sty m:val="p"/>
              </m:rPr>
              <m:t>s</m:t>
            </m:r>
          </m:sup>
        </m:sSup>
        <m:d>
          <m:dPr>
            <m:begChr m:val="("/>
            <m:sepChr m:val=""/>
            <m:endChr m:val=")"/>
            <m:grow/>
          </m:dPr>
          <m:e>
            <m:acc>
              <m:accPr>
                <m:chr m:val="⃗"/>
              </m:accPr>
              <m:e>
                <m:r>
                  <m:t>w</m:t>
                </m:r>
              </m:e>
            </m:acc>
            <m:r>
              <m:rPr>
                <m:sty m:val="p"/>
              </m:rPr>
              <m:t>,</m:t>
            </m:r>
            <m:r>
              <m:t>q</m:t>
            </m:r>
          </m:e>
        </m:d>
        <m:r>
          <m:rPr>
            <m:sty m:val="p"/>
          </m:rPr>
          <m:t>=</m:t>
        </m:r>
        <m:d>
          <m:dPr>
            <m:begChr m:val="("/>
            <m:sepChr m:val=""/>
            <m:endChr m:val=")"/>
            <m:grow/>
          </m:dPr>
          <m:e>
            <m:r>
              <m:t>1</m:t>
            </m:r>
            <m:r>
              <m:rPr>
                <m:sty m:val="p"/>
              </m:rPr>
              <m:t>+</m:t>
            </m:r>
            <m:r>
              <m:t>χ</m:t>
            </m:r>
          </m:e>
        </m:d>
        <m:r>
          <m:t> </m:t>
        </m:r>
        <m:r>
          <m:t>C</m:t>
        </m:r>
        <m:d>
          <m:dPr>
            <m:begChr m:val="("/>
            <m:sepChr m:val=""/>
            <m:endChr m:val=")"/>
            <m:grow/>
          </m:dPr>
          <m:e>
            <m:acc>
              <m:accPr>
                <m:chr m:val="⃗"/>
              </m:accPr>
              <m:e>
                <m:r>
                  <m:t>w</m:t>
                </m:r>
              </m:e>
            </m:acc>
            <m:r>
              <m:rPr>
                <m:sty m:val="p"/>
              </m:rPr>
              <m:t>,</m:t>
            </m:r>
            <m:r>
              <m:t>q</m:t>
            </m:r>
          </m:e>
        </m:d>
      </m:oMath>
      <w:r>
        <w:t xml:space="preserve">, con</w:t>
      </w:r>
      <w:r>
        <w:t xml:space="preserve"> </w:t>
      </w:r>
      <m:oMath>
        <m:r>
          <m:t>χ</m:t>
        </m:r>
        <m:r>
          <m:rPr>
            <m:sty m:val="p"/>
          </m:rPr>
          <m:t>≥</m:t>
        </m:r>
        <m:r>
          <m:t>0</m:t>
        </m:r>
      </m:oMath>
      <w:r>
        <w:t xml:space="preserve"> </w:t>
      </w:r>
      <w:r>
        <w:t xml:space="preserve">y decreciente en la competencia</w:t>
      </w:r>
      <w:r>
        <w:t xml:space="preserve"> </w:t>
      </w:r>
      <w:hyperlink r:id="rId24">
        <w:r>
          <w:rPr>
            <w:rStyle w:val="Referenciaatema"/>
          </w:rPr>
          <w:t xml:space="preserve">[ver tema 3.A.12]</w:t>
        </w:r>
      </w:hyperlink>
      <w:r>
        <w:t xml:space="preserve">; «el mejor de los beneficios del monopolio es una vida tranquila»</w:t>
      </w:r>
      <w:r>
        <w:t xml:space="preserve"> </w:t>
      </w:r>
      <w:r>
        <w:t xml:space="preserve">(</w:t>
      </w:r>
      <w:hyperlink w:anchor="ref_Hicks1935Annual">
        <w:r>
          <w:rPr>
            <w:rStyle w:val="Hyperlink"/>
            <w:smallCaps/>
          </w:rPr>
          <w:t xml:space="preserve">Hicks</w:t>
        </w:r>
        <w:r>
          <w:rPr>
            <w:rStyle w:val="Hyperlink"/>
          </w:rPr>
          <w:t xml:space="preserve">, 1935</w:t>
        </w:r>
      </w:hyperlink>
      <w:r>
        <w:t xml:space="preserve">)</w:t>
      </w:r>
      <w:r>
        <w:t xml:space="preserve">.</w:t>
      </w:r>
      <w:r>
        <w:t xml:space="preserve"> </w:t>
      </w:r>
      <w:r>
        <w:rPr>
          <w:smallCaps/>
        </w:rPr>
        <w:t xml:space="preserve">Stigler</w:t>
      </w:r>
      <w:r>
        <w:t xml:space="preserve"> </w:t>
      </w:r>
      <w:r>
        <w:t xml:space="preserve">(</w:t>
      </w:r>
      <w:hyperlink w:anchor="ref_Stigler1976Xistence">
        <w:r>
          <w:rPr>
            <w:rStyle w:val="Hyperlink"/>
          </w:rPr>
          <w:t xml:space="preserve">1976</w:t>
        </w:r>
      </w:hyperlink>
      <w:r>
        <w:t xml:space="preserve">)</w:t>
      </w:r>
      <w:r>
        <w:t xml:space="preserve"> </w:t>
      </w:r>
      <w:r>
        <w:t xml:space="preserve">replica que no es ineficiencia, sino minimización con otros costes: vigilar el esfuerzo solo compensa hasta que su coste marginal iguala su beneficio marginal. El debate desemboca en la teoría de la agencia y, después, en la de los contratos incompletos (</w:t>
      </w:r>
      <w:hyperlink w:anchor="sec_contratos_incompletos">
        <w:r>
          <w:rPr>
            <w:rStyle w:val="Hyperlink"/>
          </w:rPr>
          <w:t xml:space="preserve">II.3</w:t>
        </w:r>
      </w:hyperlink>
      <w:r>
        <w:t xml:space="preserve">).</w:t>
      </w:r>
    </w:p>
    <w:bookmarkEnd w:id="82"/>
    <w:bookmarkEnd w:id="83"/>
    <w:bookmarkStart w:id="93" w:name="sec_agencia"/>
    <w:p>
      <w:pPr>
        <w:pStyle w:val="Heading3"/>
      </w:pPr>
      <w:r>
        <w:t xml:space="preserve">I.2.3.</w:t>
      </w:r>
      <w:r>
        <w:t xml:space="preserve"> </w:t>
      </w:r>
      <w:r>
        <w:t xml:space="preserve">La teoría de la agencia</w:t>
      </w:r>
    </w:p>
    <w:bookmarkStart w:id="84" w:name="a_idea_2"/>
    <w:p>
      <w:pPr>
        <w:pStyle w:val="Heading4"/>
      </w:pPr>
      <w:r>
        <w:t xml:space="preserve">a) Idea</w:t>
      </w:r>
    </w:p>
    <w:p>
      <w:pPr>
        <w:numPr>
          <w:ilvl w:val="0"/>
          <w:numId w:val="1031"/>
        </w:numPr>
      </w:pPr>
      <w:r>
        <w:t xml:space="preserve">Hoy los problemas que crea la separación entre propiedad y dirección se analizan con la</w:t>
      </w:r>
      <w:r>
        <w:t xml:space="preserve"> </w:t>
      </w:r>
      <w:r>
        <w:rPr>
          <w:b/>
          <w:bCs/>
        </w:rPr>
        <w:t xml:space="preserve">teoría de la agencia</w:t>
      </w:r>
      <w:r>
        <w:t xml:space="preserve">, que añade lo que faltaba: la información asimétrica. La</w:t>
      </w:r>
      <w:r>
        <w:t xml:space="preserve"> </w:t>
      </w:r>
      <w:r>
        <w:rPr>
          <w:b/>
          <w:bCs/>
        </w:rPr>
        <w:t xml:space="preserve">relación de agencia</w:t>
      </w:r>
      <w:r>
        <w:t xml:space="preserve"> </w:t>
      </w:r>
      <w:r>
        <w:t xml:space="preserve">une a un</w:t>
      </w:r>
      <w:r>
        <w:t xml:space="preserve"> </w:t>
      </w:r>
      <w:r>
        <w:rPr>
          <w:i/>
          <w:iCs/>
        </w:rPr>
        <w:t xml:space="preserve">principal</w:t>
      </w:r>
      <w:r>
        <w:t xml:space="preserve"> </w:t>
      </w:r>
      <w:r>
        <w:t xml:space="preserve">(los accionistas) que delega una tarea en un</w:t>
      </w:r>
      <w:r>
        <w:t xml:space="preserve"> </w:t>
      </w:r>
      <w:r>
        <w:rPr>
          <w:i/>
          <w:iCs/>
        </w:rPr>
        <w:t xml:space="preserve">agente</w:t>
      </w:r>
      <w:r>
        <w:t xml:space="preserve"> </w:t>
      </w:r>
      <w:r>
        <w:t xml:space="preserve">(el directivo) cuyas acciones no observa del todo</w:t>
      </w:r>
      <w:r>
        <w:t xml:space="preserve"> </w:t>
      </w:r>
      <w:hyperlink r:id="rId35">
        <w:r>
          <w:rPr>
            <w:rStyle w:val="Referenciaatema"/>
          </w:rPr>
          <w:t xml:space="preserve">[ver tema 3.A.13]</w:t>
        </w:r>
      </w:hyperlink>
      <w:r>
        <w:t xml:space="preserve">.</w:t>
      </w:r>
    </w:p>
    <w:bookmarkEnd w:id="84"/>
    <w:bookmarkStart w:id="89" w:name="b_modelo_2"/>
    <w:p>
      <w:pPr>
        <w:pStyle w:val="Heading4"/>
      </w:pPr>
      <w:r>
        <w:t xml:space="preserve">b) Modelo</w:t>
      </w:r>
    </w:p>
    <w:bookmarkStart w:id="86" w:name="i_supuestos_2"/>
    <w:p>
      <w:pPr>
        <w:pStyle w:val="Heading5"/>
      </w:pPr>
      <w:r>
        <w:t xml:space="preserve">i) Supuestos</w:t>
      </w:r>
    </w:p>
    <w:p>
      <w:pPr>
        <w:keepNext/>
        <w:numPr>
          <w:ilvl w:val="0"/>
          <w:numId w:val="1032"/>
        </w:numPr>
      </w:pPr>
      <w:r>
        <w:t xml:space="preserve">Hay un problema de</w:t>
      </w:r>
      <w:r>
        <w:t xml:space="preserve"> </w:t>
      </w:r>
      <w:r>
        <w:rPr>
          <w:b/>
          <w:bCs/>
        </w:rPr>
        <w:t xml:space="preserve">riesgo moral</w:t>
      </w:r>
      <w:r>
        <w:t xml:space="preserve"> </w:t>
      </w:r>
      <w:r>
        <w:t xml:space="preserve">(acción oculta, después de firmar el contrato) si se dan 3 condiciones:</w:t>
      </w:r>
    </w:p>
    <w:p>
      <w:pPr>
        <w:numPr>
          <w:ilvl w:val="1"/>
          <w:numId w:val="1033"/>
        </w:numPr>
      </w:pPr>
      <w:r>
        <w:rPr>
          <w:i/>
          <w:iCs/>
        </w:rPr>
        <w:t xml:space="preserve">acción oculta</w:t>
      </w:r>
      <w:r>
        <w:t xml:space="preserve">: la acción del agente (su esfuerzo) no es observable ni verificable;</w:t>
      </w:r>
    </w:p>
    <w:p>
      <w:pPr>
        <w:numPr>
          <w:ilvl w:val="1"/>
          <w:numId w:val="1033"/>
        </w:numPr>
      </w:pPr>
      <w:r>
        <w:rPr>
          <w:i/>
          <w:iCs/>
        </w:rPr>
        <w:t xml:space="preserve">conflicto de intereses</w:t>
      </w:r>
      <w:r>
        <w:t xml:space="preserve">: el esfuerzo le cuesta al agente y beneficia al principal;</w:t>
      </w:r>
    </w:p>
    <w:p>
      <w:pPr>
        <w:numPr>
          <w:ilvl w:val="1"/>
          <w:numId w:val="1033"/>
        </w:numPr>
      </w:pPr>
      <w:r>
        <w:rPr>
          <w:i/>
          <w:iCs/>
        </w:rPr>
        <w:t xml:space="preserve">riesgo y aversión</w:t>
      </w:r>
      <w:r>
        <w:t xml:space="preserve">: el resultado depende también del azar, de modo que no revela la acción, y el agente es averso al riesgo.</w:t>
      </w:r>
    </w:p>
    <w:p>
      <w:pPr>
        <w:numPr>
          <w:ilvl w:val="0"/>
          <w:numId w:val="1000"/>
        </w:numPr>
      </w:pPr>
      <w:r>
        <w:t xml:space="preserve">La relación entre propietarios y directivos es de este tipo.</w:t>
      </w:r>
      <w:r>
        <w:rPr>
          <w:rStyle w:val="FootnoteReference"/>
        </w:rPr>
        <w:footnoteReference w:id="85"/>
      </w:r>
    </w:p>
    <w:bookmarkEnd w:id="86"/>
    <w:bookmarkStart w:id="87" w:name="ii_desarrollo_2"/>
    <w:p>
      <w:pPr>
        <w:pStyle w:val="Heading5"/>
      </w:pPr>
      <w:r>
        <w:t xml:space="preserve">ii) Desarrollo</w:t>
      </w:r>
    </w:p>
    <w:p>
      <w:pPr>
        <w:numPr>
          <w:ilvl w:val="0"/>
          <w:numId w:val="1034"/>
        </w:numPr>
      </w:pPr>
      <w:r>
        <w:t xml:space="preserve">El contrato óptimo resuelve un dilema:</w:t>
      </w:r>
      <w:r>
        <w:t xml:space="preserve"> </w:t>
      </w:r>
      <w:r>
        <w:rPr>
          <w:i/>
          <w:iCs/>
        </w:rPr>
        <w:t xml:space="preserve">dar incentivos</w:t>
      </w:r>
      <w:r>
        <w:t xml:space="preserve"> </w:t>
      </w:r>
      <w:r>
        <w:t xml:space="preserve">exige que el pago dependa del resultado, y eso carga riesgo sobre el agente, que pide una compensación;</w:t>
      </w:r>
      <w:r>
        <w:t xml:space="preserve"> </w:t>
      </w:r>
      <w:r>
        <w:rPr>
          <w:i/>
          <w:iCs/>
        </w:rPr>
        <w:t xml:space="preserve">repartir bien el riesgo</w:t>
      </w:r>
      <w:r>
        <w:t xml:space="preserve"> </w:t>
      </w:r>
      <w:r>
        <w:t xml:space="preserve">exige un pago fijo, que no da incentivos</w:t>
      </w:r>
      <w:r>
        <w:t xml:space="preserve"> </w:t>
      </w:r>
      <w:r>
        <w:t xml:space="preserve">(</w:t>
      </w:r>
      <w:hyperlink w:anchor="ref_Holmstrom1979Moral">
        <w:r>
          <w:rPr>
            <w:rStyle w:val="Hyperlink"/>
            <w:smallCaps/>
          </w:rPr>
          <w:t xml:space="preserve">Holmström</w:t>
        </w:r>
        <w:r>
          <w:rPr>
            <w:rStyle w:val="Hyperlink"/>
          </w:rPr>
          <w:t xml:space="preserve">, 1979</w:t>
        </w:r>
      </w:hyperlink>
      <w:r>
        <w:t xml:space="preserve">)</w:t>
      </w:r>
      <w:r>
        <w:t xml:space="preserve">. El principal elige el contrato que maximiza su beneficio esperado sujeto a la</w:t>
      </w:r>
      <w:r>
        <w:t xml:space="preserve"> </w:t>
      </w:r>
      <w:r>
        <w:rPr>
          <w:b/>
          <w:bCs/>
        </w:rPr>
        <w:t xml:space="preserve">restricción de participación</w:t>
      </w:r>
      <w:r>
        <w:t xml:space="preserve"> </w:t>
      </w:r>
      <w:r>
        <w:t xml:space="preserve">(PC), que el agente acepte el contrato, y a la</w:t>
      </w:r>
      <w:r>
        <w:t xml:space="preserve"> </w:t>
      </w:r>
      <w:r>
        <w:rPr>
          <w:b/>
          <w:bCs/>
        </w:rPr>
        <w:t xml:space="preserve">restricción de compatibilidad de incentivos</w:t>
      </w:r>
      <w:r>
        <w:t xml:space="preserve"> </w:t>
      </w:r>
      <w:r>
        <w:t xml:space="preserve">(IC), que al agente le convenga esforzarse. La diferencia con lo que costaría ese esfuerzo si fuera observable es el</w:t>
      </w:r>
      <w:r>
        <w:t xml:space="preserve"> </w:t>
      </w:r>
      <w:r>
        <w:rPr>
          <w:b/>
          <w:bCs/>
        </w:rPr>
        <w:t xml:space="preserve">coste de agencia</w:t>
      </w:r>
      <w:r>
        <w:t xml:space="preserve"> </w:t>
      </w:r>
      <w:hyperlink r:id="rId35">
        <w:r>
          <w:rPr>
            <w:rStyle w:val="Referenciaatema"/>
          </w:rPr>
          <w:t xml:space="preserve">[ver tema 3.A.13]</w:t>
        </w:r>
      </w:hyperlink>
      <w:r>
        <w:t xml:space="preserve">.</w:t>
      </w:r>
    </w:p>
    <w:p>
      <w:pPr>
        <w:keepNext/>
        <w:numPr>
          <w:ilvl w:val="0"/>
          <w:numId w:val="1034"/>
        </w:numPr>
      </w:pPr>
      <w:r>
        <w:rPr>
          <w:smallCaps/>
        </w:rPr>
        <w:t xml:space="preserve">Jensen</w:t>
      </w:r>
      <w:r>
        <w:t xml:space="preserve"> </w:t>
      </w:r>
      <w:r>
        <w:t xml:space="preserve">y</w:t>
      </w:r>
      <w:r>
        <w:t xml:space="preserve"> </w:t>
      </w:r>
      <w:r>
        <w:rPr>
          <w:smallCaps/>
        </w:rPr>
        <w:t xml:space="preserve">Meckling</w:t>
      </w:r>
      <w:r>
        <w:t xml:space="preserve"> </w:t>
      </w:r>
      <w:r>
        <w:t xml:space="preserve">(</w:t>
      </w:r>
      <w:hyperlink w:anchor="ref_JensenMeckling1976Theory">
        <w:r>
          <w:rPr>
            <w:rStyle w:val="Hyperlink"/>
          </w:rPr>
          <w:t xml:space="preserve">1976</w:t>
        </w:r>
      </w:hyperlink>
      <w:r>
        <w:t xml:space="preserve">)</w:t>
      </w:r>
      <w:r>
        <w:t xml:space="preserve"> </w:t>
      </w:r>
      <w:r>
        <w:t xml:space="preserve">ven la empresa como un</w:t>
      </w:r>
      <w:r>
        <w:t xml:space="preserve"> </w:t>
      </w:r>
      <w:r>
        <w:rPr>
          <w:b/>
          <w:bCs/>
        </w:rPr>
        <w:t xml:space="preserve">nexo de contratos</w:t>
      </w:r>
      <w:r>
        <w:t xml:space="preserve"> </w:t>
      </w:r>
      <w:r>
        <w:t xml:space="preserve">y llaman</w:t>
      </w:r>
      <w:r>
        <w:t xml:space="preserve"> </w:t>
      </w:r>
      <w:r>
        <w:rPr>
          <w:b/>
          <w:bCs/>
        </w:rPr>
        <w:t xml:space="preserve">costes de agencia</w:t>
      </w:r>
      <w:r>
        <w:t xml:space="preserve"> </w:t>
      </w:r>
      <w:r>
        <w:t xml:space="preserve">a la suma de 3 partidas:</w:t>
      </w:r>
    </w:p>
    <w:p>
      <w:pPr>
        <w:numPr>
          <w:ilvl w:val="1"/>
          <w:numId w:val="1035"/>
        </w:numPr>
      </w:pPr>
      <w:r>
        <w:t xml:space="preserve">los</w:t>
      </w:r>
      <w:r>
        <w:t xml:space="preserve"> </w:t>
      </w:r>
      <w:r>
        <w:rPr>
          <w:i/>
          <w:iCs/>
        </w:rPr>
        <w:t xml:space="preserve">costes de supervisión</w:t>
      </w:r>
      <w:r>
        <w:t xml:space="preserve"> </w:t>
      </w:r>
      <w:r>
        <w:t xml:space="preserve">que soporta el principal (auditorías, consejos, presupuestos);</w:t>
      </w:r>
    </w:p>
    <w:p>
      <w:pPr>
        <w:numPr>
          <w:ilvl w:val="1"/>
          <w:numId w:val="1035"/>
        </w:numPr>
      </w:pPr>
      <w:r>
        <w:t xml:space="preserve">los</w:t>
      </w:r>
      <w:r>
        <w:t xml:space="preserve"> </w:t>
      </w:r>
      <w:r>
        <w:rPr>
          <w:i/>
          <w:iCs/>
        </w:rPr>
        <w:t xml:space="preserve">costes de compromiso</w:t>
      </w:r>
      <w:r>
        <w:t xml:space="preserve"> </w:t>
      </w:r>
      <w:r>
        <w:t xml:space="preserve">(</w:t>
      </w:r>
      <w:r>
        <w:rPr>
          <w:i/>
          <w:iCs/>
        </w:rPr>
        <w:t xml:space="preserve">bonding</w:t>
      </w:r>
      <w:r>
        <w:t xml:space="preserve">) que asume el agente para garantizar que no actuará contra el principal;</w:t>
      </w:r>
    </w:p>
    <w:p>
      <w:pPr>
        <w:numPr>
          <w:ilvl w:val="1"/>
          <w:numId w:val="1035"/>
        </w:numPr>
      </w:pPr>
      <w:r>
        <w:t xml:space="preserve">la</w:t>
      </w:r>
      <w:r>
        <w:t xml:space="preserve"> </w:t>
      </w:r>
      <w:r>
        <w:rPr>
          <w:i/>
          <w:iCs/>
        </w:rPr>
        <w:t xml:space="preserve">pérdida residual</w:t>
      </w:r>
      <w:r>
        <w:t xml:space="preserve">: lo que se sigue perdiendo porque, pese a todo, las decisiones del agente no son las que tomaría el principal.</w:t>
      </w:r>
    </w:p>
    <w:bookmarkEnd w:id="87"/>
    <w:bookmarkStart w:id="88" w:name="iii_implicaciones_2"/>
    <w:p>
      <w:pPr>
        <w:pStyle w:val="Heading5"/>
      </w:pPr>
      <w:r>
        <w:t xml:space="preserve">iii) Implicaciones</w:t>
      </w:r>
    </w:p>
    <w:p>
      <w:pPr>
        <w:numPr>
          <w:ilvl w:val="0"/>
          <w:numId w:val="1036"/>
        </w:numPr>
      </w:pPr>
      <w:r>
        <w:t xml:space="preserve">Los costes de agencia crecen con la separación entre propiedad y control y con el número de niveles de la jerarquía: son otro</w:t>
      </w:r>
      <w:r>
        <w:t xml:space="preserve"> </w:t>
      </w:r>
      <w:r>
        <w:rPr>
          <w:i/>
          <w:iCs/>
        </w:rPr>
        <w:t xml:space="preserve">límite al tamaño</w:t>
      </w:r>
      <w:r>
        <w:t xml:space="preserve"> </w:t>
      </w:r>
      <w:r>
        <w:t xml:space="preserve">de la empresa.</w:t>
      </w:r>
    </w:p>
    <w:p>
      <w:pPr>
        <w:numPr>
          <w:ilvl w:val="0"/>
          <w:numId w:val="1036"/>
        </w:numPr>
      </w:pPr>
      <w:r>
        <w:t xml:space="preserve">Unos incentivos insuficientes llevan al directivo a no tomar las decisiones que aumentarían el beneficio, pero unos incentivos desmedidos o mal diseñados lo empujan a asumir riesgos excesivos.</w:t>
      </w:r>
      <w:r>
        <w:t xml:space="preserve"> </w:t>
      </w:r>
      <w:r>
        <w:rPr>
          <w:i/>
          <w:iCs/>
        </w:rPr>
        <w:t xml:space="preserve">Ejemplo</w:t>
      </w:r>
      <w:r>
        <w:t xml:space="preserve">: antes de la crisis de 2008, en muchas entidades de crédito españolas los directores de oficina se evaluaban por el volumen de crédito concedido, sin ponderar bien su riesgo. Los incentivos empujaban a prestar de más, también a clientes de dudosa solvencia, en contra del valor de la entidad a largo plazo.</w:t>
      </w:r>
    </w:p>
    <w:bookmarkEnd w:id="88"/>
    <w:bookmarkEnd w:id="89"/>
    <w:bookmarkStart w:id="92" w:name="c_valoraci__n_la_disciplina_del_mercado"/>
    <w:p>
      <w:pPr>
        <w:pStyle w:val="Heading4"/>
      </w:pPr>
      <w:r>
        <w:t xml:space="preserve">c) Valoración: la disciplina del mercado</w:t>
      </w:r>
    </w:p>
    <w:p>
      <w:pPr>
        <w:keepNext/>
        <w:numPr>
          <w:ilvl w:val="0"/>
          <w:numId w:val="1037"/>
        </w:numPr>
      </w:pPr>
      <w:r>
        <w:t xml:space="preserve">La teoría de la agencia, por ser estática, puede exagerar la discrecionalidad de los directivos. En un contexto dinámico, la competencia la limita:</w:t>
      </w:r>
    </w:p>
    <w:p>
      <w:pPr>
        <w:numPr>
          <w:ilvl w:val="1"/>
          <w:numId w:val="1038"/>
        </w:numPr>
      </w:pPr>
      <w:r>
        <w:t xml:space="preserve">la</w:t>
      </w:r>
      <w:r>
        <w:t xml:space="preserve"> </w:t>
      </w:r>
      <w:r>
        <w:rPr>
          <w:i/>
          <w:iCs/>
        </w:rPr>
        <w:t xml:space="preserve">comparación</w:t>
      </w:r>
      <w:r>
        <w:t xml:space="preserve"> </w:t>
      </w:r>
      <w:r>
        <w:t xml:space="preserve">con otras empresas o con otras divisiones de la misma, que filtra el azar común</w:t>
      </w:r>
      <w:r>
        <w:t xml:space="preserve"> </w:t>
      </w:r>
      <w:hyperlink r:id="rId35">
        <w:r>
          <w:rPr>
            <w:rStyle w:val="Referenciaatema"/>
          </w:rPr>
          <w:t xml:space="preserve">[ver tema 3.A.13]</w:t>
        </w:r>
      </w:hyperlink>
      <w:r>
        <w:t xml:space="preserve">;</w:t>
      </w:r>
    </w:p>
    <w:p>
      <w:pPr>
        <w:numPr>
          <w:ilvl w:val="1"/>
          <w:numId w:val="1038"/>
        </w:numPr>
      </w:pPr>
      <w:r>
        <w:t xml:space="preserve">el</w:t>
      </w:r>
      <w:r>
        <w:t xml:space="preserve"> </w:t>
      </w:r>
      <w:r>
        <w:rPr>
          <w:i/>
          <w:iCs/>
        </w:rPr>
        <w:t xml:space="preserve">mercado de control empresarial</w:t>
      </w:r>
      <w:r>
        <w:t xml:space="preserve">: si la empresa vale menos de lo que podría, otro puede comprarla y sustituir a la dirección</w:t>
      </w:r>
      <w:r>
        <w:t xml:space="preserve"> </w:t>
      </w:r>
      <w:r>
        <w:t xml:space="preserve">(</w:t>
      </w:r>
      <w:hyperlink w:anchor="ref_Manne1965Mergers">
        <w:r>
          <w:rPr>
            <w:rStyle w:val="Hyperlink"/>
            <w:smallCaps/>
          </w:rPr>
          <w:t xml:space="preserve">Manne</w:t>
        </w:r>
        <w:r>
          <w:rPr>
            <w:rStyle w:val="Hyperlink"/>
          </w:rPr>
          <w:t xml:space="preserve">, 1965</w:t>
        </w:r>
      </w:hyperlink>
      <w:r>
        <w:t xml:space="preserve">)</w:t>
      </w:r>
      <w:r>
        <w:t xml:space="preserve"> </w:t>
      </w:r>
      <w:hyperlink r:id="rId63">
        <w:r>
          <w:rPr>
            <w:rStyle w:val="Referenciaatema"/>
          </w:rPr>
          <w:t xml:space="preserve">[ver tema 3.B.4]</w:t>
        </w:r>
      </w:hyperlink>
      <w:r>
        <w:t xml:space="preserve">;</w:t>
      </w:r>
    </w:p>
    <w:p>
      <w:pPr>
        <w:numPr>
          <w:ilvl w:val="1"/>
          <w:numId w:val="1038"/>
        </w:numPr>
      </w:pPr>
      <w:r>
        <w:t xml:space="preserve">el</w:t>
      </w:r>
      <w:r>
        <w:t xml:space="preserve"> </w:t>
      </w:r>
      <w:r>
        <w:rPr>
          <w:i/>
          <w:iCs/>
        </w:rPr>
        <w:t xml:space="preserve">mercado de directivos</w:t>
      </w:r>
      <w:r>
        <w:t xml:space="preserve">: la reputación disciplina a quien quiere hacer carrera</w:t>
      </w:r>
      <w:r>
        <w:t xml:space="preserve"> </w:t>
      </w:r>
      <w:r>
        <w:t xml:space="preserve">(</w:t>
      </w:r>
      <w:hyperlink w:anchor="ref_Fama1980Agency">
        <w:r>
          <w:rPr>
            <w:rStyle w:val="Hyperlink"/>
            <w:smallCaps/>
          </w:rPr>
          <w:t xml:space="preserve">Fama</w:t>
        </w:r>
        <w:r>
          <w:rPr>
            <w:rStyle w:val="Hyperlink"/>
          </w:rPr>
          <w:t xml:space="preserve">, 1980</w:t>
        </w:r>
      </w:hyperlink>
      <w:r>
        <w:t xml:space="preserve">;</w:t>
      </w:r>
      <w:r>
        <w:t xml:space="preserve"> </w:t>
      </w:r>
      <w:hyperlink w:anchor="ref_Holmstrom1999Managerial">
        <w:r>
          <w:rPr>
            <w:rStyle w:val="Hyperlink"/>
            <w:smallCaps/>
          </w:rPr>
          <w:t xml:space="preserve">Holmström</w:t>
        </w:r>
        <w:r>
          <w:rPr>
            <w:rStyle w:val="Hyperlink"/>
          </w:rPr>
          <w:t xml:space="preserve">, 1999</w:t>
        </w:r>
      </w:hyperlink>
      <w:r>
        <w:t xml:space="preserve">)</w:t>
      </w:r>
      <w:r>
        <w:t xml:space="preserve">;</w:t>
      </w:r>
    </w:p>
    <w:p>
      <w:pPr>
        <w:numPr>
          <w:ilvl w:val="1"/>
          <w:numId w:val="1038"/>
        </w:numPr>
      </w:pPr>
      <w:r>
        <w:t xml:space="preserve">la</w:t>
      </w:r>
      <w:r>
        <w:t xml:space="preserve"> </w:t>
      </w:r>
      <w:r>
        <w:rPr>
          <w:i/>
          <w:iCs/>
        </w:rPr>
        <w:t xml:space="preserve">competencia en el mercado del producto</w:t>
      </w:r>
      <w:r>
        <w:t xml:space="preserve">, que reduce el margen para la ineficiencia X.</w:t>
      </w:r>
    </w:p>
    <w:p>
      <w:pPr>
        <w:keepNext/>
        <w:numPr>
          <w:ilvl w:val="0"/>
          <w:numId w:val="1037"/>
        </w:numPr>
      </w:pPr>
      <w:r>
        <w:t xml:space="preserve">Donde esa disciplina falta, los problemas de agencia son mayores:</w:t>
      </w:r>
    </w:p>
    <w:p>
      <w:pPr>
        <w:numPr>
          <w:ilvl w:val="1"/>
          <w:numId w:val="1039"/>
        </w:numPr>
      </w:pPr>
      <w:r>
        <w:t xml:space="preserve">en la</w:t>
      </w:r>
      <w:r>
        <w:t xml:space="preserve"> </w:t>
      </w:r>
      <w:r>
        <w:rPr>
          <w:i/>
          <w:iCs/>
        </w:rPr>
        <w:t xml:space="preserve">empresa pública</w:t>
      </w:r>
      <w:r>
        <w:t xml:space="preserve"> </w:t>
      </w:r>
      <w:r>
        <w:t xml:space="preserve">no hay mercado de control: el burócrata puede maximizar su presupuesto, con exceso de tamaño</w:t>
      </w:r>
      <w:r>
        <w:t xml:space="preserve"> </w:t>
      </w:r>
      <w:r>
        <w:t xml:space="preserve">(</w:t>
      </w:r>
      <w:hyperlink w:anchor="ref_Niskanen1971Bureaucracy">
        <w:r>
          <w:rPr>
            <w:rStyle w:val="Hyperlink"/>
            <w:smallCaps/>
          </w:rPr>
          <w:t xml:space="preserve">Niskanen</w:t>
        </w:r>
        <w:r>
          <w:rPr>
            <w:rStyle w:val="Hyperlink"/>
          </w:rPr>
          <w:t xml:space="preserve">, 1971</w:t>
        </w:r>
      </w:hyperlink>
      <w:r>
        <w:t xml:space="preserve">)</w:t>
      </w:r>
      <w:r>
        <w:t xml:space="preserve">. Es uno de los fallos del sector público</w:t>
      </w:r>
      <w:r>
        <w:t xml:space="preserve"> </w:t>
      </w:r>
      <w:hyperlink r:id="rId30">
        <w:r>
          <w:rPr>
            <w:rStyle w:val="Referenciaatema"/>
          </w:rPr>
          <w:t xml:space="preserve">[ver tema 3.A.23]</w:t>
        </w:r>
      </w:hyperlink>
      <w:r>
        <w:t xml:space="preserve"> </w:t>
      </w:r>
      <w:r>
        <w:t xml:space="preserve">que, desde los años 80, se usaron para justificar las privatizaciones (someter las empresas a la disciplina del mercado) y las liberalizaciones (bajar las barreras para que la competencia potencial impida las conductas estratégicas); para ampliar,</w:t>
      </w:r>
      <w:r>
        <w:t xml:space="preserve"> </w:t>
      </w:r>
      <w:hyperlink r:id="rId90">
        <w:r>
          <w:rPr>
            <w:rStyle w:val="Referenciaatema"/>
          </w:rPr>
          <w:t xml:space="preserve">[ver tema 4.B.2]</w:t>
        </w:r>
      </w:hyperlink>
      <w:r>
        <w:t xml:space="preserve"> </w:t>
      </w:r>
      <w:r>
        <w:t xml:space="preserve">y</w:t>
      </w:r>
      <w:r>
        <w:t xml:space="preserve"> </w:t>
      </w:r>
      <w:hyperlink r:id="rId91">
        <w:r>
          <w:rPr>
            <w:rStyle w:val="Referenciaatema"/>
          </w:rPr>
          <w:t xml:space="preserve">[ver tema 4.B.15]</w:t>
        </w:r>
      </w:hyperlink>
      <w:r>
        <w:t xml:space="preserve">;</w:t>
      </w:r>
    </w:p>
    <w:p>
      <w:pPr>
        <w:numPr>
          <w:ilvl w:val="1"/>
          <w:numId w:val="1039"/>
        </w:numPr>
      </w:pPr>
      <w:r>
        <w:t xml:space="preserve">en la</w:t>
      </w:r>
      <w:r>
        <w:t xml:space="preserve"> </w:t>
      </w:r>
      <w:r>
        <w:rPr>
          <w:i/>
          <w:iCs/>
        </w:rPr>
        <w:t xml:space="preserve">empresa privada</w:t>
      </w:r>
      <w:r>
        <w:t xml:space="preserve">, los escándalos financieros, como la quiebra de Enron en 2001</w:t>
      </w:r>
      <w:r>
        <w:t xml:space="preserve"> </w:t>
      </w:r>
      <w:r>
        <w:t xml:space="preserve">(</w:t>
      </w:r>
      <w:hyperlink w:anchor="ref_HealyPalepu2003Fall">
        <w:r>
          <w:rPr>
            <w:rStyle w:val="Hyperlink"/>
            <w:smallCaps/>
          </w:rPr>
          <w:t xml:space="preserve">Healy</w:t>
        </w:r>
        <w:r>
          <w:rPr>
            <w:rStyle w:val="Hyperlink"/>
          </w:rPr>
          <w:t xml:space="preserve"> </w:t>
        </w:r>
        <w:r>
          <w:rPr>
            <w:rStyle w:val="Hyperlink"/>
          </w:rPr>
          <w:t xml:space="preserve">y</w:t>
        </w:r>
        <w:r>
          <w:rPr>
            <w:rStyle w:val="Hyperlink"/>
          </w:rPr>
          <w:t xml:space="preserve"> </w:t>
        </w:r>
        <w:r>
          <w:rPr>
            <w:rStyle w:val="Hyperlink"/>
            <w:smallCaps/>
          </w:rPr>
          <w:t xml:space="preserve">Palepu</w:t>
        </w:r>
        <w:r>
          <w:rPr>
            <w:rStyle w:val="Hyperlink"/>
          </w:rPr>
          <w:t xml:space="preserve">, 2003</w:t>
        </w:r>
      </w:hyperlink>
      <w:r>
        <w:t xml:space="preserve">)</w:t>
      </w:r>
      <w:r>
        <w:t xml:space="preserve">, impulsaron el</w:t>
      </w:r>
      <w:r>
        <w:t xml:space="preserve"> </w:t>
      </w:r>
      <w:r>
        <w:rPr>
          <w:b/>
          <w:bCs/>
        </w:rPr>
        <w:t xml:space="preserve">gobierno corporativo</w:t>
      </w:r>
      <w:r>
        <w:t xml:space="preserve">: en España, códigos de buen gobierno de asunción voluntaria con el principio de «cumplir o explicar», del Informe Olivencia (1998) al Código de buen gobierno de las sociedades cotizadas de la CNMV, de 2015 y revisado en 2020</w:t>
      </w:r>
      <w:r>
        <w:t xml:space="preserve"> </w:t>
      </w:r>
      <w:r>
        <w:t xml:space="preserve">(</w:t>
      </w:r>
      <w:hyperlink w:anchor="ref_CNMV1998Olivencia">
        <w:r>
          <w:rPr>
            <w:rStyle w:val="Hyperlink"/>
            <w:smallCaps/>
          </w:rPr>
          <w:t xml:space="preserve">Comisión Especial para el estudio de un Código Ético de los Consejos de Administración de las Sociedades</w:t>
        </w:r>
        <w:r>
          <w:rPr>
            <w:rStyle w:val="Hyperlink"/>
          </w:rPr>
          <w:t xml:space="preserve">, 1998</w:t>
        </w:r>
      </w:hyperlink>
      <w:r>
        <w:t xml:space="preserve">;</w:t>
      </w:r>
      <w:r>
        <w:t xml:space="preserve"> </w:t>
      </w:r>
      <w:hyperlink w:anchor="ref_CNMV2020CBG">
        <w:r>
          <w:rPr>
            <w:rStyle w:val="Hyperlink"/>
            <w:smallCaps/>
          </w:rPr>
          <w:t xml:space="preserve">Comisión Nacional del Mercado de Valores</w:t>
        </w:r>
        <w:r>
          <w:rPr>
            <w:rStyle w:val="Hyperlink"/>
          </w:rPr>
          <w:t xml:space="preserve">, 2020</w:t>
        </w:r>
      </w:hyperlink>
      <w:r>
        <w:t xml:space="preserve">)</w:t>
      </w:r>
      <w:r>
        <w:t xml:space="preserve">, y la reforma penal de la administración desleal</w:t>
      </w:r>
      <w:r>
        <w:t xml:space="preserve"> </w:t>
      </w:r>
      <w:r>
        <w:t xml:space="preserve">(</w:t>
      </w:r>
      <w:hyperlink w:anchor="ref_BOE2015LO1">
        <w:r>
          <w:rPr>
            <w:rStyle w:val="Hyperlink"/>
            <w:smallCaps/>
          </w:rPr>
          <w:t xml:space="preserve">Jefatura del Estado</w:t>
        </w:r>
        <w:r>
          <w:rPr>
            <w:rStyle w:val="Hyperlink"/>
          </w:rPr>
          <w:t xml:space="preserve">, 2015</w:t>
        </w:r>
      </w:hyperlink>
      <w:r>
        <w:t xml:space="preserve">)</w:t>
      </w:r>
      <w:r>
        <w:t xml:space="preserve"> </w:t>
      </w:r>
      <w:r>
        <w:t xml:space="preserve">(anexo </w:t>
      </w:r>
      <w:hyperlink w:anchor="anexo_gobierno_corporativo">
        <w:r>
          <w:rPr>
            <w:rStyle w:val="Hyperlink"/>
          </w:rPr>
          <w:t xml:space="preserve">D</w:t>
        </w:r>
      </w:hyperlink>
      <w:r>
        <w:t xml:space="preserve">).</w:t>
      </w:r>
    </w:p>
    <w:p>
      <w:pPr>
        <w:numPr>
          <w:ilvl w:val="0"/>
          <w:numId w:val="1040"/>
        </w:numPr>
      </w:pPr>
      <w:r>
        <w:rPr>
          <w:i/>
          <w:iCs/>
        </w:rPr>
        <w:t xml:space="preserve">Recapitulación del bloque </w:t>
      </w:r>
      <w:hyperlink w:anchor="sec_tamano_limites">
        <w:r>
          <w:rPr>
            <w:rStyle w:val="Hyperlink"/>
            <w:i/>
            <w:iCs/>
          </w:rPr>
          <w:t xml:space="preserve">I</w:t>
        </w:r>
      </w:hyperlink>
      <w:r>
        <w:t xml:space="preserve">: la tecnología fija el tamaño eficiente de la planta, la escala mínima eficiente, y cuántas empresas caben en el mercado; los límites al tamaño de la empresa están dentro de ella: en la capacidad de dirección, en los objetivos de los directivos y en los incentivos con información asimétrica. Pero la tecnología no explica por qué esas economías se aprovechan dentro de una empresa y no con contratos entre empresas: es el puzle que abre la economía de los costes de transacción.</w:t>
      </w:r>
    </w:p>
    <w:bookmarkEnd w:id="92"/>
    <w:bookmarkEnd w:id="93"/>
    <w:bookmarkEnd w:id="94"/>
    <w:bookmarkEnd w:id="95"/>
    <w:bookmarkStart w:id="141" w:name="sec_costes_transaccion"/>
    <w:p>
      <w:pPr>
        <w:pStyle w:val="Heading1"/>
      </w:pPr>
      <w:r>
        <w:t xml:space="preserve">II.</w:t>
      </w:r>
      <w:r>
        <w:t xml:space="preserve"> </w:t>
      </w:r>
      <w:r>
        <w:t xml:space="preserve">La economía de los costes de transacción</w:t>
      </w:r>
      <w:r>
        <w:t xml:space="preserve"> </w:t>
      </w:r>
      <w:r>
        <w:rPr>
          <w:rStyle w:val="Minutos"/>
        </w:rPr>
        <w:t xml:space="preserve">9′30″</w:t>
      </w:r>
    </w:p>
    <w:p>
      <w:pPr>
        <w:pStyle w:val="Notaalopositor"/>
      </w:pPr>
      <w:r>
        <w:rPr>
          <w:b/>
          <w:bCs/>
        </w:rPr>
        <w:t xml:space="preserve">Nota al opositor. </w:t>
      </w:r>
      <w:r>
        <w:t xml:space="preserve">Es la «mención especial» del título y el núcleo de la exposición. En el cante: la pregunta de</w:t>
      </w:r>
      <w:r>
        <w:t xml:space="preserve"> </w:t>
      </w:r>
      <w:r>
        <w:rPr>
          <w:smallCaps/>
        </w:rPr>
        <w:t xml:space="preserve">Coase</w:t>
      </w:r>
      <w:r>
        <w:t xml:space="preserve">, los costes de usar el mercado y la frontera de la empresa en el margen, con su gráfico y su función clave (</w:t>
      </w:r>
      <w:hyperlink w:anchor="eq_coase">
        <w:r>
          <w:rPr>
            <w:rStyle w:val="Hyperlink"/>
          </w:rPr>
          <w:t xml:space="preserve">2</w:t>
        </w:r>
      </w:hyperlink>
      <w:r>
        <w:t xml:space="preserve">) (2′);</w:t>
      </w:r>
      <w:r>
        <w:t xml:space="preserve"> </w:t>
      </w:r>
      <w:r>
        <w:rPr>
          <w:smallCaps/>
        </w:rPr>
        <w:t xml:space="preserve">Williamson</w:t>
      </w:r>
      <w:r>
        <w:t xml:space="preserve">: los 2 supuestos de comportamiento, los 3 atributos de las transacciones, la cuasirrenta y el</w:t>
      </w:r>
      <w:r>
        <w:t xml:space="preserve"> </w:t>
      </w:r>
      <w:r>
        <w:rPr>
          <w:i/>
          <w:iCs/>
        </w:rPr>
        <w:t xml:space="preserve">hold-up</w:t>
      </w:r>
      <w:r>
        <w:t xml:space="preserve"> </w:t>
      </w:r>
      <w:r>
        <w:t xml:space="preserve">con el caso Fisher Body en una frase, las 3 estructuras de gobierno con su gráfico y su función clave (</w:t>
      </w:r>
      <w:hyperlink w:anchor="eq_gobierno">
        <w:r>
          <w:rPr>
            <w:rStyle w:val="Hyperlink"/>
          </w:rPr>
          <w:t xml:space="preserve">3</w:t>
        </w:r>
      </w:hyperlink>
      <w:r>
        <w:t xml:space="preserve">), que se queda en la pizarra, y los límites de la jerarquía (3′30″);</w:t>
      </w:r>
      <w:r>
        <w:t xml:space="preserve"> </w:t>
      </w:r>
      <w:r>
        <w:rPr>
          <w:smallCaps/>
        </w:rPr>
        <w:t xml:space="preserve">Grossman</w:t>
      </w:r>
      <w:r>
        <w:t xml:space="preserve">,</w:t>
      </w:r>
      <w:r>
        <w:t xml:space="preserve"> </w:t>
      </w:r>
      <w:r>
        <w:rPr>
          <w:smallCaps/>
        </w:rPr>
        <w:t xml:space="preserve">Hart</w:t>
      </w:r>
      <w:r>
        <w:t xml:space="preserve"> </w:t>
      </w:r>
      <w:r>
        <w:t xml:space="preserve">y</w:t>
      </w:r>
      <w:r>
        <w:t xml:space="preserve"> </w:t>
      </w:r>
      <w:r>
        <w:rPr>
          <w:smallCaps/>
        </w:rPr>
        <w:t xml:space="preserve">Moore</w:t>
      </w:r>
      <w:r>
        <w:t xml:space="preserve">: derechos residuales de control, infrainversión y por qué integrar también tiene costes (2′30″); los otros enfoques en una frase cada uno y las implicaciones de política económica (1′30″). Son de profundización la red de contratos de la nota, la condición de</w:t>
      </w:r>
      <w:r>
        <w:t xml:space="preserve"> </w:t>
      </w:r>
      <w:r>
        <w:rPr>
          <w:smallCaps/>
        </w:rPr>
        <w:t xml:space="preserve">Riordan</w:t>
      </w:r>
      <w:r>
        <w:t xml:space="preserve"> </w:t>
      </w:r>
      <w:r>
        <w:t xml:space="preserve">y</w:t>
      </w:r>
      <w:r>
        <w:t xml:space="preserve"> </w:t>
      </w:r>
      <w:r>
        <w:rPr>
          <w:smallCaps/>
        </w:rPr>
        <w:t xml:space="preserve">Williamson</w:t>
      </w:r>
      <w:r>
        <w:t xml:space="preserve">, la condición de primer orden del modelo de contratos incompletos y su derivación (anexo </w:t>
      </w:r>
      <w:hyperlink w:anchor="anexo_ghm">
        <w:r>
          <w:rPr>
            <w:rStyle w:val="Hyperlink"/>
          </w:rPr>
          <w:t xml:space="preserve">B.3</w:t>
        </w:r>
      </w:hyperlink>
      <w:r>
        <w:t xml:space="preserve">) y el debate sobre Fisher Body.</w:t>
      </w:r>
    </w:p>
    <w:p>
      <w:pPr>
        <w:numPr>
          <w:ilvl w:val="0"/>
          <w:numId w:val="1041"/>
        </w:numPr>
      </w:pPr>
      <w:r>
        <w:t xml:space="preserve">Una vez visto qué fija el tamaño eficiente y qué lo limita, pasamos a la mención especial del título, que levanta el segundo supuesto de la caja negra: ¿por qué hay empresa?</w:t>
      </w:r>
      <w:r>
        <w:t xml:space="preserve"> </w:t>
      </w:r>
      <w:r>
        <w:rPr>
          <w:i/>
          <w:iCs/>
        </w:rPr>
        <w:t xml:space="preserve">Conclusión anticipada</w:t>
      </w:r>
      <w:r>
        <w:t xml:space="preserve">: la empresa existe porque usar el mercado cuesta; integra las transacciones en las que el riesgo de comportamiento oportunista es mayor, las que exigen activos específicos, y su frontera está donde el coste de organizar una transacción más dentro iguala el de hacerla en el mercado. Integrar también tiene costes, y por eso la empresa tiene límites.</w:t>
      </w:r>
    </w:p>
    <w:bookmarkStart w:id="112" w:name="sec_coase"/>
    <w:p>
      <w:pPr>
        <w:pStyle w:val="Heading2"/>
      </w:pPr>
      <w:r>
        <w:t xml:space="preserve">II.1.</w:t>
      </w:r>
      <w:r>
        <w:t xml:space="preserve"> </w:t>
      </w:r>
      <w:r>
        <w:t xml:space="preserve">El enfoque transaccional: los costes de transacción de</w:t>
      </w:r>
      <w:r>
        <w:t xml:space="preserve"> </w:t>
      </w:r>
      <w:r>
        <w:rPr>
          <w:smallCaps/>
        </w:rPr>
        <w:t xml:space="preserve">Coase</w:t>
      </w:r>
      <w:r>
        <w:t xml:space="preserve"> </w:t>
      </w:r>
      <w:r>
        <w:t xml:space="preserve">(1937)</w:t>
      </w:r>
    </w:p>
    <w:p>
      <w:pPr>
        <w:pStyle w:val="Cajadeanotaciones"/>
      </w:pPr>
      <w:r>
        <w:rPr>
          <w:i/>
          <w:iCs/>
        </w:rPr>
        <w:t xml:space="preserve">«The main reason why it is profitable to establish a firm would seem to be that there is a cost of using the price mechanism.»</w:t>
      </w:r>
      <w:r>
        <w:t xml:space="preserve"> </w:t>
      </w:r>
      <w:r>
        <w:rPr>
          <w:smallCaps/>
        </w:rPr>
        <w:t xml:space="preserve">Coase</w:t>
      </w:r>
      <w:r>
        <w:t xml:space="preserve"> </w:t>
      </w:r>
      <w:r>
        <w:t xml:space="preserve">(</w:t>
      </w:r>
      <w:hyperlink w:anchor="ref_Coase1937Nature">
        <w:r>
          <w:rPr>
            <w:rStyle w:val="Hyperlink"/>
          </w:rPr>
          <w:t xml:space="preserve">1937, 390</w:t>
        </w:r>
      </w:hyperlink>
      <w:r>
        <w:t xml:space="preserve">)</w:t>
      </w:r>
    </w:p>
    <w:bookmarkStart w:id="96" w:name="a_idea_3"/>
    <w:p>
      <w:pPr>
        <w:pStyle w:val="Heading4"/>
      </w:pPr>
      <w:r>
        <w:t xml:space="preserve">a) Idea</w:t>
      </w:r>
    </w:p>
    <w:p>
      <w:pPr>
        <w:numPr>
          <w:ilvl w:val="0"/>
          <w:numId w:val="1042"/>
        </w:numPr>
      </w:pPr>
      <w:r>
        <w:t xml:space="preserve">Hay 2 formas de coordinar la producción: el</w:t>
      </w:r>
      <w:r>
        <w:t xml:space="preserve"> </w:t>
      </w:r>
      <w:r>
        <w:rPr>
          <w:i/>
          <w:iCs/>
        </w:rPr>
        <w:t xml:space="preserve">mercado</w:t>
      </w:r>
      <w:r>
        <w:t xml:space="preserve">, con precios, y la</w:t>
      </w:r>
      <w:r>
        <w:t xml:space="preserve"> </w:t>
      </w:r>
      <w:r>
        <w:rPr>
          <w:i/>
          <w:iCs/>
        </w:rPr>
        <w:t xml:space="preserve">empresa</w:t>
      </w:r>
      <w:r>
        <w:t xml:space="preserve">, con</w:t>
      </w:r>
      <w:r>
        <w:t xml:space="preserve"> </w:t>
      </w:r>
      <w:r>
        <w:rPr>
          <w:i/>
          <w:iCs/>
        </w:rPr>
        <w:t xml:space="preserve">autoridad</w:t>
      </w:r>
      <w:r>
        <w:t xml:space="preserve">: dentro de ella, un trabajador no cambia de tarea porque cambie un precio relativo, sino porque se lo ordenan. Las empresas son «islas de poder consciente» en un océano de cooperación inconsciente, como decía</w:t>
      </w:r>
      <w:r>
        <w:t xml:space="preserve"> </w:t>
      </w:r>
      <w:r>
        <w:rPr>
          <w:smallCaps/>
        </w:rPr>
        <w:t xml:space="preserve">Robertson</w:t>
      </w:r>
      <w:r>
        <w:t xml:space="preserve">, citado por</w:t>
      </w:r>
      <w:r>
        <w:t xml:space="preserve"> </w:t>
      </w:r>
      <w:r>
        <w:rPr>
          <w:smallCaps/>
        </w:rPr>
        <w:t xml:space="preserve">Coase</w:t>
      </w:r>
      <w:r>
        <w:t xml:space="preserve"> </w:t>
      </w:r>
      <w:r>
        <w:t xml:space="preserve">(</w:t>
      </w:r>
      <w:hyperlink w:anchor="ref_Coase1937Nature">
        <w:r>
          <w:rPr>
            <w:rStyle w:val="Hyperlink"/>
          </w:rPr>
          <w:t xml:space="preserve">1937</w:t>
        </w:r>
      </w:hyperlink>
      <w:r>
        <w:t xml:space="preserve">)</w:t>
      </w:r>
      <w:r>
        <w:t xml:space="preserve">.</w:t>
      </w:r>
    </w:p>
    <w:p>
      <w:pPr>
        <w:numPr>
          <w:ilvl w:val="0"/>
          <w:numId w:val="1042"/>
        </w:numPr>
      </w:pPr>
      <w:r>
        <w:t xml:space="preserve">La pregunta de</w:t>
      </w:r>
      <w:r>
        <w:t xml:space="preserve"> </w:t>
      </w:r>
      <w:r>
        <w:rPr>
          <w:smallCaps/>
        </w:rPr>
        <w:t xml:space="preserve">Coase</w:t>
      </w:r>
      <w:r>
        <w:t xml:space="preserve"> </w:t>
      </w:r>
      <w:r>
        <w:t xml:space="preserve">es la del enganche: si el mercado asigna bien los recursos, ¿por qué hay tanta actividad organizada por la autoridad? La producción podría organizarse con transacciones puntuales entre productores independientes, y la empresa no tendría por qué existir. Es el dilema de</w:t>
      </w:r>
      <w:r>
        <w:t xml:space="preserve"> </w:t>
      </w:r>
      <w:r>
        <w:rPr>
          <w:i/>
          <w:iCs/>
        </w:rPr>
        <w:t xml:space="preserve">hacer o comprar</w:t>
      </w:r>
      <w:r>
        <w:t xml:space="preserve"> </w:t>
      </w:r>
      <w:r>
        <w:t xml:space="preserve">(</w:t>
      </w:r>
      <w:r>
        <w:rPr>
          <w:i/>
          <w:iCs/>
        </w:rPr>
        <w:t xml:space="preserve">make or buy</w:t>
      </w:r>
      <w:r>
        <w:t xml:space="preserve">).</w:t>
      </w:r>
    </w:p>
    <w:bookmarkEnd w:id="96"/>
    <w:bookmarkStart w:id="109" w:name="b_modelo_3"/>
    <w:p>
      <w:pPr>
        <w:pStyle w:val="Heading4"/>
      </w:pPr>
      <w:r>
        <w:t xml:space="preserve">b) Modelo</w:t>
      </w:r>
    </w:p>
    <w:bookmarkStart w:id="101" w:name="i_supuestos_3"/>
    <w:p>
      <w:pPr>
        <w:pStyle w:val="Heading5"/>
      </w:pPr>
      <w:r>
        <w:t xml:space="preserve">i) Supuestos</w:t>
      </w:r>
    </w:p>
    <w:p>
      <w:pPr>
        <w:keepNext/>
        <w:numPr>
          <w:ilvl w:val="0"/>
          <w:numId w:val="1043"/>
        </w:numPr>
      </w:pPr>
      <w:r>
        <w:t xml:space="preserve">Usar el mecanismo de precios tiene</w:t>
      </w:r>
      <w:r>
        <w:t xml:space="preserve"> </w:t>
      </w:r>
      <w:r>
        <w:rPr>
          <w:b/>
          <w:bCs/>
        </w:rPr>
        <w:t xml:space="preserve">costes de transacción</w:t>
      </w:r>
      <w:r>
        <w:t xml:space="preserve">, que la teoría anterior, atenta solo a los costes de producción, había pasado por alto</w:t>
      </w:r>
      <w:r>
        <w:t xml:space="preserve"> </w:t>
      </w:r>
      <w:r>
        <w:t xml:space="preserve">(</w:t>
      </w:r>
      <w:hyperlink w:anchor="ref_Coase1937Nature">
        <w:r>
          <w:rPr>
            <w:rStyle w:val="Hyperlink"/>
            <w:smallCaps/>
          </w:rPr>
          <w:t xml:space="preserve">Coase</w:t>
        </w:r>
        <w:r>
          <w:rPr>
            <w:rStyle w:val="Hyperlink"/>
          </w:rPr>
          <w:t xml:space="preserve">, 1937</w:t>
        </w:r>
      </w:hyperlink>
      <w:r>
        <w:t xml:space="preserve">,</w:t>
      </w:r>
      <w:r>
        <w:t xml:space="preserve"> </w:t>
      </w:r>
      <w:hyperlink w:anchor="ref_Coase1991Institutional">
        <w:r>
          <w:rPr>
            <w:rStyle w:val="Hyperlink"/>
          </w:rPr>
          <w:t xml:space="preserve">1991</w:t>
        </w:r>
      </w:hyperlink>
      <w:r>
        <w:t xml:space="preserve">)</w:t>
      </w:r>
      <w:r>
        <w:t xml:space="preserve">:</w:t>
      </w:r>
    </w:p>
    <w:p>
      <w:pPr>
        <w:numPr>
          <w:ilvl w:val="1"/>
          <w:numId w:val="1044"/>
        </w:numPr>
      </w:pPr>
      <w:r>
        <w:t xml:space="preserve">costes</w:t>
      </w:r>
      <w:r>
        <w:t xml:space="preserve"> </w:t>
      </w:r>
      <w:r>
        <w:rPr>
          <w:i/>
          <w:iCs/>
        </w:rPr>
        <w:t xml:space="preserve">ex ante</w:t>
      </w:r>
      <w:r>
        <w:t xml:space="preserve">: descubrir cuáles son los precios relevantes y buscar proveedores fiables, y negociar y redactar un contrato para cada transacción;</w:t>
      </w:r>
    </w:p>
    <w:p>
      <w:pPr>
        <w:numPr>
          <w:ilvl w:val="1"/>
          <w:numId w:val="1044"/>
        </w:numPr>
      </w:pPr>
      <w:r>
        <w:t xml:space="preserve">costes</w:t>
      </w:r>
      <w:r>
        <w:t xml:space="preserve"> </w:t>
      </w:r>
      <w:r>
        <w:rPr>
          <w:i/>
          <w:iCs/>
        </w:rPr>
        <w:t xml:space="preserve">ex post</w:t>
      </w:r>
      <w:r>
        <w:t xml:space="preserve">: vigilar el cumplimiento, coordinar los distintos procesos, adaptar el contrato a lo que no se previó y resolver los conflictos.</w:t>
      </w:r>
    </w:p>
    <w:p>
      <w:pPr>
        <w:numPr>
          <w:ilvl w:val="0"/>
          <w:numId w:val="1000"/>
        </w:numPr>
      </w:pPr>
      <w:r>
        <w:t xml:space="preserve">Son mayores cuanto más larga e incierta es la relación, porque el contrato no puede preverlo todo.</w:t>
      </w:r>
      <w:r>
        <w:rPr>
          <w:rStyle w:val="FootnoteReference"/>
        </w:rPr>
        <w:footnoteReference w:id="97"/>
      </w:r>
    </w:p>
    <w:p>
      <w:pPr>
        <w:numPr>
          <w:ilvl w:val="0"/>
          <w:numId w:val="1043"/>
        </w:numPr>
      </w:pPr>
      <w:r>
        <w:t xml:space="preserve">Organizar dentro también cuesta: la dirección tiene</w:t>
      </w:r>
      <w:r>
        <w:t xml:space="preserve"> </w:t>
      </w:r>
      <w:r>
        <w:rPr>
          <w:i/>
          <w:iCs/>
        </w:rPr>
        <w:t xml:space="preserve">rendimientos decrecientes</w:t>
      </w:r>
      <w:r>
        <w:t xml:space="preserve"> </w:t>
      </w:r>
      <w:r>
        <w:t xml:space="preserve">(</w:t>
      </w:r>
      <w:hyperlink w:anchor="sec_direccion">
        <w:r>
          <w:rPr>
            <w:rStyle w:val="Hyperlink"/>
          </w:rPr>
          <w:t xml:space="preserve">I.2.1</w:t>
        </w:r>
      </w:hyperlink>
      <w:r>
        <w:t xml:space="preserve">), de modo que el coste de organizar una transacción más crece con el tamaño de la empresa.</w:t>
      </w:r>
    </w:p>
    <w:bookmarkEnd w:id="101"/>
    <w:bookmarkStart w:id="107" w:name="ii_desarrollo_3"/>
    <w:p>
      <w:pPr>
        <w:pStyle w:val="Heading5"/>
      </w:pPr>
      <w:r>
        <w:t xml:space="preserve">ii) Desarrollo</w:t>
      </w:r>
    </w:p>
    <w:p>
      <w:pPr>
        <w:numPr>
          <w:ilvl w:val="0"/>
          <w:numId w:val="1045"/>
        </w:numPr>
      </w:pPr>
      <w:r>
        <w:t xml:space="preserve">Cada transacción se organiza donde resulta más barata. La empresa crece incorporando transacciones mientras organizar una más dentro cueste menos que hacerla en el mercado o en otra empresa; su frontera es una condición en el</w:t>
      </w:r>
      <w:r>
        <w:t xml:space="preserve"> </w:t>
      </w:r>
      <w:r>
        <w:rPr>
          <w:i/>
          <w:iCs/>
        </w:rPr>
        <w:t xml:space="preserve">margen</w:t>
      </w:r>
      <w:r>
        <w:t xml:space="preserve">, no una comparación de totales</w:t>
      </w:r>
      <w:r>
        <w:t xml:space="preserve"> </w:t>
      </w:r>
      <w:r>
        <w:t xml:space="preserve">(</w:t>
      </w:r>
      <w:hyperlink w:anchor="ref_Coase1937Nature">
        <w:r>
          <w:rPr>
            <w:rStyle w:val="Hyperlink"/>
            <w:smallCaps/>
          </w:rPr>
          <w:t xml:space="preserve">Coase</w:t>
        </w:r>
        <w:r>
          <w:rPr>
            <w:rStyle w:val="Hyperlink"/>
          </w:rPr>
          <w:t xml:space="preserve">, 1937</w:t>
        </w:r>
      </w:hyperlink>
      <w:r>
        <w:t xml:space="preserve">)</w:t>
      </w:r>
      <w:r>
        <w:t xml:space="preserve">. Si</w:t>
      </w:r>
      <w:r>
        <w:t xml:space="preserve"> </w:t>
      </w:r>
      <m:oMath>
        <m:r>
          <m:t>m</m:t>
        </m:r>
      </m:oMath>
      <w:r>
        <w:t xml:space="preserve"> </w:t>
      </w:r>
      <w:r>
        <w:t xml:space="preserve">es el número de transacciones que organiza la empresa, su tamaño,</w:t>
      </w:r>
      <w:r>
        <w:t xml:space="preserve"> </w:t>
      </w:r>
      <m:oMath>
        <m:sSup>
          <m:e>
            <m:r>
              <m:t>m</m:t>
            </m:r>
          </m:e>
          <m:sup>
            <m:r>
              <m:rPr>
                <m:sty m:val="p"/>
              </m:rPr>
              <m:t>*</m:t>
            </m:r>
          </m:sup>
        </m:sSup>
      </m:oMath>
      <w:r>
        <w:t xml:space="preserve">, cumple</w:t>
      </w:r>
    </w:p>
    <w:bookmarkStart w:id="102" w:name="eq_coase"/>
    <w:bookmarkEnd w:id="102"/>
    <w:p>
      <w:pPr>
        <w:pStyle w:val="Funcionclave"/>
      </w:pPr>
      <m:oMathPara>
        <m:oMathParaPr>
          <m:jc m:val="center"/>
        </m:oMathParaPr>
        <m:oMath>
          <m:sSup>
            <m:e>
              <m:r>
                <m:rPr>
                  <m:sty m:val="p"/>
                </m:rPr>
                <m:t>C</m:t>
              </m:r>
              <m:r>
                <m:rPr>
                  <m:sty m:val="p"/>
                </m:rPr>
                <m:t>M</m:t>
              </m:r>
              <m:r>
                <m:rPr>
                  <m:sty m:val="p"/>
                </m:rPr>
                <m:t>g</m:t>
              </m:r>
            </m:e>
            <m:sup>
              <m:r>
                <m:rPr>
                  <m:sty m:val="p"/>
                </m:rPr>
                <m:t>o</m:t>
              </m:r>
              <m:r>
                <m:rPr>
                  <m:sty m:val="p"/>
                </m:rPr>
                <m:t>r</m:t>
              </m:r>
              <m:r>
                <m:rPr>
                  <m:sty m:val="p"/>
                </m:rPr>
                <m:t>g</m:t>
              </m:r>
            </m:sup>
          </m:sSup>
          <m:d>
            <m:dPr>
              <m:begChr m:val="("/>
              <m:sepChr m:val=""/>
              <m:endChr m:val=")"/>
              <m:grow/>
            </m:dPr>
            <m:e>
              <m:sSup>
                <m:e>
                  <m:r>
                    <m:t>m</m:t>
                  </m:r>
                </m:e>
                <m:sup>
                  <m:r>
                    <m:rPr>
                      <m:sty m:val="p"/>
                    </m:rPr>
                    <m:t>*</m:t>
                  </m:r>
                </m:sup>
              </m:sSup>
            </m:e>
          </m:d>
          <m:r>
            <m:rPr>
              <m:sty m:val="p"/>
            </m:rPr>
            <m:t>=</m:t>
          </m:r>
          <m:sSup>
            <m:e>
              <m:r>
                <m:rPr>
                  <m:sty m:val="p"/>
                </m:rPr>
                <m:t>C</m:t>
              </m:r>
              <m:r>
                <m:rPr>
                  <m:sty m:val="p"/>
                </m:rPr>
                <m:t>M</m:t>
              </m:r>
              <m:r>
                <m:rPr>
                  <m:sty m:val="p"/>
                </m:rPr>
                <m:t>g</m:t>
              </m:r>
            </m:e>
            <m:sup>
              <m:r>
                <m:rPr>
                  <m:sty m:val="p"/>
                </m:rPr>
                <m:t>t</m:t>
              </m:r>
              <m:r>
                <m:rPr>
                  <m:sty m:val="p"/>
                </m:rPr>
                <m:t>r</m:t>
              </m:r>
            </m:sup>
          </m:sSup>
          <m:d>
            <m:dPr>
              <m:begChr m:val="("/>
              <m:sepChr m:val=""/>
              <m:endChr m:val=")"/>
              <m:grow/>
            </m:dPr>
            <m:e>
              <m:sSup>
                <m:e>
                  <m:r>
                    <m:t>m</m:t>
                  </m:r>
                </m:e>
                <m:sup>
                  <m:r>
                    <m:rPr>
                      <m:sty m:val="p"/>
                    </m:rPr>
                    <m:t>*</m:t>
                  </m:r>
                </m:sup>
              </m:sSup>
            </m:e>
          </m:d>
        </m:oMath>
      </m:oMathPara>
    </w:p>
    <w:p>
      <w:pPr>
        <w:numPr>
          <w:ilvl w:val="0"/>
          <w:numId w:val="1000"/>
        </w:numPr>
      </w:pPr>
      <w:r>
        <w:t xml:space="preserve">con</w:t>
      </w:r>
      <w:r>
        <w:t xml:space="preserve"> </w:t>
      </w:r>
      <m:oMath>
        <m:sSup>
          <m:e>
            <m:r>
              <m:rPr>
                <m:sty m:val="p"/>
              </m:rPr>
              <m:t>C</m:t>
            </m:r>
            <m:r>
              <m:rPr>
                <m:sty m:val="p"/>
              </m:rPr>
              <m:t>M</m:t>
            </m:r>
            <m:r>
              <m:rPr>
                <m:sty m:val="p"/>
              </m:rPr>
              <m:t>g</m:t>
            </m:r>
          </m:e>
          <m:sup>
            <m:r>
              <m:rPr>
                <m:sty m:val="p"/>
              </m:rPr>
              <m:t>o</m:t>
            </m:r>
            <m:r>
              <m:rPr>
                <m:sty m:val="p"/>
              </m:rPr>
              <m:t>r</m:t>
            </m:r>
            <m:r>
              <m:rPr>
                <m:sty m:val="p"/>
              </m:rPr>
              <m:t>g</m:t>
            </m:r>
          </m:sup>
        </m:sSup>
      </m:oMath>
      <w:r>
        <w:t xml:space="preserve"> </w:t>
      </w:r>
      <w:r>
        <w:t xml:space="preserve">el coste marginal de organizar una transacción más dentro, creciente por los rendimientos decrecientes de la dirección, y</w:t>
      </w:r>
      <w:r>
        <w:t xml:space="preserve"> </w:t>
      </w:r>
      <m:oMath>
        <m:sSup>
          <m:e>
            <m:r>
              <m:rPr>
                <m:sty m:val="p"/>
              </m:rPr>
              <m:t>C</m:t>
            </m:r>
            <m:r>
              <m:rPr>
                <m:sty m:val="p"/>
              </m:rPr>
              <m:t>M</m:t>
            </m:r>
            <m:r>
              <m:rPr>
                <m:sty m:val="p"/>
              </m:rPr>
              <m:t>g</m:t>
            </m:r>
          </m:e>
          <m:sup>
            <m:r>
              <m:rPr>
                <m:sty m:val="p"/>
              </m:rPr>
              <m:t>t</m:t>
            </m:r>
            <m:r>
              <m:rPr>
                <m:sty m:val="p"/>
              </m:rPr>
              <m:t>r</m:t>
            </m:r>
          </m:sup>
        </m:sSup>
      </m:oMath>
      <w:r>
        <w:t xml:space="preserve"> </w:t>
      </w:r>
      <w:r>
        <w:t xml:space="preserve">el de hacerla en el mercado o en otra empresa (gráfico </w:t>
      </w:r>
      <w:hyperlink w:anchor="fig_coase_margen">
        <w:r>
          <w:rPr>
            <w:rStyle w:val="Hyperlink"/>
          </w:rPr>
          <w:t xml:space="preserve">6</w:t>
        </w:r>
      </w:hyperlink>
      <w:r>
        <w:t xml:space="preserve">).</w:t>
      </w:r>
    </w:p>
    <w:bookmarkStart w:id="106" w:name="fig_coase_margen"/>
    <w:p>
      <w:pPr>
        <w:pStyle w:val="ImageCaption"/>
      </w:pPr>
      <w:r>
        <w:t xml:space="preserve">Gráfico 6.–</w:t>
      </w:r>
      <w:r>
        <w:t xml:space="preserve"> </w:t>
      </w:r>
      <w:r>
        <w:t xml:space="preserve">El tamaño de la empresa según</w:t>
      </w:r>
      <w:r>
        <w:t xml:space="preserve"> </w:t>
      </w:r>
      <w:r>
        <w:rPr>
          <w:smallCaps/>
        </w:rPr>
        <w:t xml:space="preserve">Coase</w:t>
      </w:r>
      <w:r>
        <w:t xml:space="preserve">: el margen entre organizar y comprar</w:t>
      </w:r>
    </w:p>
    <w:p>
      <w:pPr>
        <w:pStyle w:val="CaptionedFigure"/>
      </w:pPr>
      <w:r>
        <w:drawing>
          <wp:inline>
            <wp:extent cx="3282950" cy="1874300"/>
            <wp:effectExtent b="0" l="0" r="0" t="0"/>
            <wp:docPr descr="Gráfico 6.– El tamaño de la empresa según Coase: el margen entre organizar y comprar" title="" id="104" name="Picture"/>
            <a:graphic>
              <a:graphicData uri="http://schemas.openxmlformats.org/drawingml/2006/picture">
                <pic:pic>
                  <pic:nvPicPr>
                    <pic:cNvPr descr="C:\Users\vgutierrez\Documents\src\victorgutierrezmarcos.github.io-revision\oposicion\temario\fuentes\3A15\graficos/coase-margen.png" id="105" name="Picture"/>
                    <pic:cNvPicPr>
                      <a:picLocks noChangeArrowheads="1" noChangeAspect="1"/>
                    </pic:cNvPicPr>
                  </pic:nvPicPr>
                  <pic:blipFill>
                    <a:blip r:embed="rId103"/>
                    <a:stretch>
                      <a:fillRect/>
                    </a:stretch>
                  </pic:blipFill>
                  <pic:spPr bwMode="auto">
                    <a:xfrm>
                      <a:off x="0" y="0"/>
                      <a:ext cx="3282950" cy="1874300"/>
                    </a:xfrm>
                    <a:prstGeom prst="rect">
                      <a:avLst/>
                    </a:prstGeom>
                    <a:noFill/>
                    <a:ln w="9525">
                      <a:noFill/>
                      <a:headEnd/>
                      <a:tailEnd/>
                    </a:ln>
                  </pic:spPr>
                </pic:pic>
              </a:graphicData>
            </a:graphic>
          </wp:inline>
        </w:drawing>
      </w:r>
    </w:p>
    <w:bookmarkEnd w:id="106"/>
    <w:p>
      <w:pPr>
        <w:pStyle w:val="Piedeimagen"/>
      </w:pPr>
      <w:r>
        <w:t xml:space="preserve">Fuente: elaboración propia a partir de</w:t>
      </w:r>
      <w:r>
        <w:t xml:space="preserve"> </w:t>
      </w:r>
      <w:r>
        <w:rPr>
          <w:smallCaps/>
        </w:rPr>
        <w:t xml:space="preserve">Coase</w:t>
      </w:r>
      <w:r>
        <w:t xml:space="preserve"> </w:t>
      </w:r>
      <w:r>
        <w:t xml:space="preserve">(</w:t>
      </w:r>
      <w:hyperlink w:anchor="ref_Coase1937Nature">
        <w:r>
          <w:rPr>
            <w:rStyle w:val="Hyperlink"/>
          </w:rPr>
          <w:t xml:space="preserve">1937</w:t>
        </w:r>
      </w:hyperlink>
      <w:r>
        <w:t xml:space="preserve">)</w:t>
      </w:r>
      <w:r>
        <w:t xml:space="preserve">.</w:t>
      </w:r>
    </w:p>
    <w:bookmarkEnd w:id="107"/>
    <w:bookmarkStart w:id="108" w:name="iii_implicaciones_3"/>
    <w:p>
      <w:pPr>
        <w:pStyle w:val="Heading5"/>
      </w:pPr>
      <w:r>
        <w:t xml:space="preserve">iii) Implicaciones</w:t>
      </w:r>
    </w:p>
    <w:p>
      <w:pPr>
        <w:numPr>
          <w:ilvl w:val="0"/>
          <w:numId w:val="1046"/>
        </w:numPr>
      </w:pPr>
      <w:r>
        <w:t xml:space="preserve">La empresa será mayor cuanto menores sean sus costes de organizar y más despacio crezcan, y cuanto mayores sean los de usar el mercado. Una innovación que abarate la coordinación a distancia, como el teléfono y el telégrafo en tiempos de</w:t>
      </w:r>
      <w:r>
        <w:t xml:space="preserve"> </w:t>
      </w:r>
      <w:r>
        <w:rPr>
          <w:smallCaps/>
        </w:rPr>
        <w:t xml:space="preserve">Coase</w:t>
      </w:r>
      <w:r>
        <w:t xml:space="preserve">, agranda las empresas</w:t>
      </w:r>
      <w:r>
        <w:t xml:space="preserve"> </w:t>
      </w:r>
      <w:r>
        <w:t xml:space="preserve">(</w:t>
      </w:r>
      <w:hyperlink w:anchor="ref_Coase1937Nature">
        <w:r>
          <w:rPr>
            <w:rStyle w:val="Hyperlink"/>
            <w:smallCaps/>
          </w:rPr>
          <w:t xml:space="preserve">Coase</w:t>
        </w:r>
        <w:r>
          <w:rPr>
            <w:rStyle w:val="Hyperlink"/>
          </w:rPr>
          <w:t xml:space="preserve">, 1937</w:t>
        </w:r>
      </w:hyperlink>
      <w:r>
        <w:t xml:space="preserve">)</w:t>
      </w:r>
      <w:r>
        <w:t xml:space="preserve">; una que abarate las transacciones de mercado (la estandarización, las plataformas digitales) favorece la subcontratación.</w:t>
      </w:r>
    </w:p>
    <w:p>
      <w:pPr>
        <w:numPr>
          <w:ilvl w:val="0"/>
          <w:numId w:val="1046"/>
        </w:numPr>
      </w:pPr>
      <w:r>
        <w:t xml:space="preserve">El tamaño de la empresa y el alcance del mercado se determinan juntos, en el margen: es la misma lógica marginalista de la teoría neoclásica aplicada a la organización.</w:t>
      </w:r>
    </w:p>
    <w:bookmarkEnd w:id="108"/>
    <w:bookmarkEnd w:id="109"/>
    <w:bookmarkStart w:id="110" w:name="c_extensiones"/>
    <w:p>
      <w:pPr>
        <w:pStyle w:val="Heading4"/>
      </w:pPr>
      <w:r>
        <w:t xml:space="preserve">c) Extensiones</w:t>
      </w:r>
    </w:p>
    <w:p>
      <w:pPr>
        <w:numPr>
          <w:ilvl w:val="0"/>
          <w:numId w:val="1047"/>
        </w:numPr>
      </w:pPr>
      <w:r>
        <w:t xml:space="preserve">El mismo concepto le sirve a</w:t>
      </w:r>
      <w:r>
        <w:t xml:space="preserve"> </w:t>
      </w:r>
      <w:r>
        <w:rPr>
          <w:smallCaps/>
        </w:rPr>
        <w:t xml:space="preserve">Coase</w:t>
      </w:r>
      <w:r>
        <w:t xml:space="preserve"> </w:t>
      </w:r>
      <w:r>
        <w:t xml:space="preserve">(</w:t>
      </w:r>
      <w:hyperlink w:anchor="ref_Coase1960Problem">
        <w:r>
          <w:rPr>
            <w:rStyle w:val="Hyperlink"/>
          </w:rPr>
          <w:t xml:space="preserve">1960</w:t>
        </w:r>
      </w:hyperlink>
      <w:r>
        <w:t xml:space="preserve">)</w:t>
      </w:r>
      <w:r>
        <w:t xml:space="preserve">, 23 años después, para otra pregunta: sin costes de transacción, la negociación resuelve las externalidades sea quien sea el titular de los derechos; con ellos, importa a quién se asignan</w:t>
      </w:r>
      <w:r>
        <w:t xml:space="preserve"> </w:t>
      </w:r>
      <w:hyperlink r:id="rId30">
        <w:r>
          <w:rPr>
            <w:rStyle w:val="Referenciaatema"/>
          </w:rPr>
          <w:t xml:space="preserve">[ver tema 3.A.23]</w:t>
        </w:r>
      </w:hyperlink>
      <w:r>
        <w:t xml:space="preserve">. Es la misma idea que decide quién debe ser dueño de los activos (</w:t>
      </w:r>
      <w:hyperlink w:anchor="sec_contratos_incompletos">
        <w:r>
          <w:rPr>
            <w:rStyle w:val="Hyperlink"/>
          </w:rPr>
          <w:t xml:space="preserve">II.3</w:t>
        </w:r>
      </w:hyperlink>
      <w:r>
        <w:t xml:space="preserve">).</w:t>
      </w:r>
    </w:p>
    <w:bookmarkEnd w:id="110"/>
    <w:bookmarkStart w:id="111" w:name="d_valoraci__n_1"/>
    <w:p>
      <w:pPr>
        <w:pStyle w:val="Heading4"/>
      </w:pPr>
      <w:r>
        <w:t xml:space="preserve">d) Valoración</w:t>
      </w:r>
    </w:p>
    <w:p>
      <w:pPr>
        <w:numPr>
          <w:ilvl w:val="0"/>
          <w:numId w:val="1048"/>
        </w:numPr>
      </w:pPr>
      <w:r>
        <w:rPr>
          <w:smallCaps/>
        </w:rPr>
        <w:t xml:space="preserve">Coase</w:t>
      </w:r>
      <w:r>
        <w:t xml:space="preserve"> </w:t>
      </w:r>
      <w:r>
        <w:t xml:space="preserve">cambia la pregunta (por qué hay empresas y dónde termina cada una), pero deja sin decir</w:t>
      </w:r>
      <w:r>
        <w:t xml:space="preserve"> </w:t>
      </w:r>
      <w:r>
        <w:rPr>
          <w:i/>
          <w:iCs/>
        </w:rPr>
        <w:t xml:space="preserve">qué</w:t>
      </w:r>
      <w:r>
        <w:t xml:space="preserve"> </w:t>
      </w:r>
      <w:r>
        <w:t xml:space="preserve">hace que una transacción sea cara en el mercado y barata dentro. Durante casi 40 años su artículo fue mucho más citado que usado en el análisis aplicado, hasta que</w:t>
      </w:r>
      <w:r>
        <w:t xml:space="preserve"> </w:t>
      </w:r>
      <w:r>
        <w:rPr>
          <w:smallCaps/>
        </w:rPr>
        <w:t xml:space="preserve">Williamson</w:t>
      </w:r>
      <w:r>
        <w:t xml:space="preserve"> </w:t>
      </w:r>
      <w:r>
        <w:t xml:space="preserve">identificó esos factores.</w:t>
      </w:r>
    </w:p>
    <w:bookmarkEnd w:id="111"/>
    <w:bookmarkEnd w:id="112"/>
    <w:bookmarkStart w:id="127" w:name="sec_williamson"/>
    <w:p>
      <w:pPr>
        <w:pStyle w:val="Heading2"/>
      </w:pPr>
      <w:r>
        <w:t xml:space="preserve">II.2.</w:t>
      </w:r>
      <w:r>
        <w:t xml:space="preserve"> </w:t>
      </w:r>
      <w:r>
        <w:rPr>
          <w:smallCaps/>
        </w:rPr>
        <w:t xml:space="preserve">Williamson</w:t>
      </w:r>
      <w:r>
        <w:t xml:space="preserve">: especificidad de los activos, oportunismo y estructuras de gobierno</w:t>
      </w:r>
    </w:p>
    <w:bookmarkStart w:id="114" w:name="a_idea_4"/>
    <w:p>
      <w:pPr>
        <w:pStyle w:val="Heading4"/>
      </w:pPr>
      <w:r>
        <w:t xml:space="preserve">a) Idea</w:t>
      </w:r>
    </w:p>
    <w:p>
      <w:pPr>
        <w:numPr>
          <w:ilvl w:val="0"/>
          <w:numId w:val="1049"/>
        </w:numPr>
      </w:pPr>
      <w:r>
        <w:rPr>
          <w:smallCaps/>
        </w:rPr>
        <w:t xml:space="preserve">Williamson</w:t>
      </w:r>
      <w:r>
        <w:t xml:space="preserve"> </w:t>
      </w:r>
      <w:r>
        <w:t xml:space="preserve">(</w:t>
      </w:r>
      <w:hyperlink w:anchor="ref_Williamson1975Markets">
        <w:r>
          <w:rPr>
            <w:rStyle w:val="Hyperlink"/>
          </w:rPr>
          <w:t xml:space="preserve">1975</w:t>
        </w:r>
      </w:hyperlink>
      <w:r>
        <w:t xml:space="preserve">,</w:t>
      </w:r>
      <w:r>
        <w:t xml:space="preserve"> </w:t>
      </w:r>
      <w:hyperlink w:anchor="ref_Williamson1985Economic">
        <w:r>
          <w:rPr>
            <w:rStyle w:val="Hyperlink"/>
          </w:rPr>
          <w:t xml:space="preserve">1985</w:t>
        </w:r>
      </w:hyperlink>
      <w:r>
        <w:t xml:space="preserve">)</w:t>
      </w:r>
      <w:r>
        <w:t xml:space="preserve"> </w:t>
      </w:r>
      <w:r>
        <w:t xml:space="preserve">convierte la intuición de</w:t>
      </w:r>
      <w:r>
        <w:t xml:space="preserve"> </w:t>
      </w:r>
      <w:r>
        <w:rPr>
          <w:smallCaps/>
        </w:rPr>
        <w:t xml:space="preserve">Coase</w:t>
      </w:r>
      <w:r>
        <w:t xml:space="preserve"> </w:t>
      </w:r>
      <w:r>
        <w:t xml:space="preserve">en una teoría contrastable: la</w:t>
      </w:r>
      <w:r>
        <w:t xml:space="preserve"> </w:t>
      </w:r>
      <w:r>
        <w:rPr>
          <w:b/>
          <w:bCs/>
        </w:rPr>
        <w:t xml:space="preserve">economía de los costes de transacción</w:t>
      </w:r>
      <w:r>
        <w:t xml:space="preserve">. La unidad de análisis es la</w:t>
      </w:r>
      <w:r>
        <w:t xml:space="preserve"> </w:t>
      </w:r>
      <w:r>
        <w:rPr>
          <w:i/>
          <w:iCs/>
        </w:rPr>
        <w:t xml:space="preserve">transacción</w:t>
      </w:r>
      <w:r>
        <w:t xml:space="preserve">, y la pregunta, qué</w:t>
      </w:r>
      <w:r>
        <w:t xml:space="preserve"> </w:t>
      </w:r>
      <w:r>
        <w:rPr>
          <w:b/>
          <w:bCs/>
        </w:rPr>
        <w:t xml:space="preserve">estructura de gobierno</w:t>
      </w:r>
      <w:r>
        <w:t xml:space="preserve"> </w:t>
      </w:r>
      <w:r>
        <w:t xml:space="preserve">(mercado, contrato a largo plazo o empresa) la organiza con menos costes.</w:t>
      </w:r>
      <w:r>
        <w:rPr>
          <w:rStyle w:val="FootnoteReference"/>
        </w:rPr>
        <w:footnoteReference w:id="113"/>
      </w:r>
    </w:p>
    <w:bookmarkEnd w:id="114"/>
    <w:bookmarkStart w:id="124" w:name="b_modelo_4"/>
    <w:p>
      <w:pPr>
        <w:pStyle w:val="Heading4"/>
      </w:pPr>
      <w:r>
        <w:t xml:space="preserve">b) Modelo</w:t>
      </w:r>
    </w:p>
    <w:bookmarkStart w:id="115" w:name="i_supuestos_de_comportamiento"/>
    <w:p>
      <w:pPr>
        <w:pStyle w:val="Heading5"/>
      </w:pPr>
      <w:r>
        <w:t xml:space="preserve">i) Supuestos de comportamiento</w:t>
      </w:r>
    </w:p>
    <w:p>
      <w:pPr>
        <w:numPr>
          <w:ilvl w:val="0"/>
          <w:numId w:val="1050"/>
        </w:numPr>
      </w:pPr>
      <w:r>
        <w:rPr>
          <w:b/>
          <w:bCs/>
        </w:rPr>
        <w:t xml:space="preserve">Racionalidad limitada</w:t>
      </w:r>
      <w:r>
        <w:t xml:space="preserve"> </w:t>
      </w:r>
      <w:r>
        <w:t xml:space="preserve">(</w:t>
      </w:r>
      <w:hyperlink w:anchor="ref_Simon1955Behavioral">
        <w:r>
          <w:rPr>
            <w:rStyle w:val="Hyperlink"/>
            <w:smallCaps/>
          </w:rPr>
          <w:t xml:space="preserve">Simon</w:t>
        </w:r>
        <w:r>
          <w:rPr>
            <w:rStyle w:val="Hyperlink"/>
          </w:rPr>
          <w:t xml:space="preserve">, 1955</w:t>
        </w:r>
      </w:hyperlink>
      <w:r>
        <w:t xml:space="preserve">)</w:t>
      </w:r>
      <w:r>
        <w:t xml:space="preserve">: los agentes quieren ser racionales, pero solo lo consiguen en parte; no pueden prever ni escribir todas las contingencias, y por eso</w:t>
      </w:r>
      <w:r>
        <w:t xml:space="preserve"> </w:t>
      </w:r>
      <w:r>
        <w:rPr>
          <w:i/>
          <w:iCs/>
        </w:rPr>
        <w:t xml:space="preserve">todos los contratos complejos son incompletos</w:t>
      </w:r>
      <w:r>
        <w:t xml:space="preserve">: muchas contingencias son imprevisibles y, aunque se pudieran prever, son tantas que no cabrían en un contrato.</w:t>
      </w:r>
    </w:p>
    <w:p>
      <w:pPr>
        <w:numPr>
          <w:ilvl w:val="0"/>
          <w:numId w:val="1050"/>
        </w:numPr>
      </w:pPr>
      <w:r>
        <w:rPr>
          <w:b/>
          <w:bCs/>
        </w:rPr>
        <w:t xml:space="preserve">Oportunismo</w:t>
      </w:r>
      <w:r>
        <w:t xml:space="preserve">: la búsqueda del propio interés con engaño: ocultar información, prometer lo que no se piensa cumplir, aprovechar los huecos del contrato.</w:t>
      </w:r>
    </w:p>
    <w:p>
      <w:pPr>
        <w:numPr>
          <w:ilvl w:val="0"/>
          <w:numId w:val="1050"/>
        </w:numPr>
      </w:pPr>
      <w:r>
        <w:t xml:space="preserve">Sin racionalidad limitada, bastaría un contrato completo; sin oportunismo, bastaría la palabra dada. Con los 2, el problema es proteger las transacciones de los comportamientos oportunistas</w:t>
      </w:r>
      <w:r>
        <w:t xml:space="preserve"> </w:t>
      </w:r>
      <w:r>
        <w:rPr>
          <w:i/>
          <w:iCs/>
        </w:rPr>
        <w:t xml:space="preserve">ex post</w:t>
      </w:r>
      <w:r>
        <w:t xml:space="preserve">, y vigilarlos puede tener un coste prohibitivo.</w:t>
      </w:r>
    </w:p>
    <w:bookmarkEnd w:id="115"/>
    <w:bookmarkStart w:id="122" w:name="ii_desarrollo_4"/>
    <w:p>
      <w:pPr>
        <w:pStyle w:val="Heading5"/>
      </w:pPr>
      <w:r>
        <w:t xml:space="preserve">ii) Desarrollo</w:t>
      </w:r>
    </w:p>
    <w:p>
      <w:pPr>
        <w:keepNext/>
        <w:numPr>
          <w:ilvl w:val="0"/>
          <w:numId w:val="1051"/>
        </w:numPr>
      </w:pPr>
      <w:r>
        <w:rPr>
          <w:i/>
          <w:iCs/>
        </w:rPr>
        <w:t xml:space="preserve">Atributos de las transacciones</w:t>
      </w:r>
      <w:r>
        <w:t xml:space="preserve">: se distinguen por 3</w:t>
      </w:r>
      <w:r>
        <w:t xml:space="preserve"> </w:t>
      </w:r>
      <w:r>
        <w:rPr>
          <w:b/>
          <w:bCs/>
        </w:rPr>
        <w:t xml:space="preserve">atributos</w:t>
      </w:r>
      <w:r>
        <w:t xml:space="preserve"> </w:t>
      </w:r>
      <w:r>
        <w:t xml:space="preserve">(</w:t>
      </w:r>
      <w:hyperlink w:anchor="ref_Williamson1979Transaction">
        <w:r>
          <w:rPr>
            <w:rStyle w:val="Hyperlink"/>
            <w:smallCaps/>
          </w:rPr>
          <w:t xml:space="preserve">Williamson</w:t>
        </w:r>
        <w:r>
          <w:rPr>
            <w:rStyle w:val="Hyperlink"/>
          </w:rPr>
          <w:t xml:space="preserve">, 1979</w:t>
        </w:r>
      </w:hyperlink>
      <w:r>
        <w:t xml:space="preserve">)</w:t>
      </w:r>
      <w:r>
        <w:t xml:space="preserve">:</w:t>
      </w:r>
    </w:p>
    <w:p>
      <w:pPr>
        <w:numPr>
          <w:ilvl w:val="1"/>
          <w:numId w:val="1052"/>
        </w:numPr>
      </w:pPr>
      <w:r>
        <w:t xml:space="preserve">la</w:t>
      </w:r>
      <w:r>
        <w:t xml:space="preserve"> </w:t>
      </w:r>
      <w:r>
        <w:rPr>
          <w:b/>
          <w:bCs/>
        </w:rPr>
        <w:t xml:space="preserve">especificidad de los activos</w:t>
      </w:r>
      <w:r>
        <w:t xml:space="preserve">,</w:t>
      </w:r>
      <w:r>
        <w:t xml:space="preserve"> </w:t>
      </w:r>
      <m:oMath>
        <m:r>
          <m:t>a</m:t>
        </m:r>
      </m:oMath>
      <w:r>
        <w:t xml:space="preserve">, el más importante: un activo es específico si pierde buena parte de su valor fuera de la relación para la que se invirtió (está, por tanto, muy ligado a los costes hundidos). Puede ser específico por su</w:t>
      </w:r>
      <w:r>
        <w:t xml:space="preserve"> </w:t>
      </w:r>
      <w:r>
        <w:rPr>
          <w:i/>
          <w:iCs/>
        </w:rPr>
        <w:t xml:space="preserve">localización</w:t>
      </w:r>
      <w:r>
        <w:t xml:space="preserve"> </w:t>
      </w:r>
      <w:r>
        <w:t xml:space="preserve">(una central junto a una mina),</w:t>
      </w:r>
      <w:r>
        <w:t xml:space="preserve"> </w:t>
      </w:r>
      <w:r>
        <w:rPr>
          <w:i/>
          <w:iCs/>
        </w:rPr>
        <w:t xml:space="preserve">físico</w:t>
      </w:r>
      <w:r>
        <w:t xml:space="preserve"> </w:t>
      </w:r>
      <w:r>
        <w:t xml:space="preserve">(un molde para un solo cliente),</w:t>
      </w:r>
      <w:r>
        <w:t xml:space="preserve"> </w:t>
      </w:r>
      <w:r>
        <w:rPr>
          <w:i/>
          <w:iCs/>
        </w:rPr>
        <w:t xml:space="preserve">humano</w:t>
      </w:r>
      <w:r>
        <w:t xml:space="preserve"> </w:t>
      </w:r>
      <w:r>
        <w:t xml:space="preserve">(lo que se aprende trabajando con un socio),</w:t>
      </w:r>
      <w:r>
        <w:t xml:space="preserve"> </w:t>
      </w:r>
      <w:r>
        <w:rPr>
          <w:i/>
          <w:iCs/>
        </w:rPr>
        <w:t xml:space="preserve">dedicado</w:t>
      </w:r>
      <w:r>
        <w:t xml:space="preserve"> </w:t>
      </w:r>
      <w:r>
        <w:t xml:space="preserve">(capacidad ampliada para un cliente) o de</w:t>
      </w:r>
      <w:r>
        <w:t xml:space="preserve"> </w:t>
      </w:r>
      <w:r>
        <w:rPr>
          <w:i/>
          <w:iCs/>
        </w:rPr>
        <w:t xml:space="preserve">marca</w:t>
      </w:r>
      <w:r>
        <w:t xml:space="preserve">;</w:t>
      </w:r>
    </w:p>
    <w:p>
      <w:pPr>
        <w:numPr>
          <w:ilvl w:val="1"/>
          <w:numId w:val="1052"/>
        </w:numPr>
      </w:pPr>
      <w:r>
        <w:t xml:space="preserve">la</w:t>
      </w:r>
      <w:r>
        <w:t xml:space="preserve"> </w:t>
      </w:r>
      <w:r>
        <w:rPr>
          <w:i/>
          <w:iCs/>
        </w:rPr>
        <w:t xml:space="preserve">incertidumbre</w:t>
      </w:r>
      <w:r>
        <w:t xml:space="preserve">: cuantas más contingencias, más huecos tiene el contrato y más hay que adaptarlo;</w:t>
      </w:r>
    </w:p>
    <w:p>
      <w:pPr>
        <w:numPr>
          <w:ilvl w:val="1"/>
          <w:numId w:val="1052"/>
        </w:numPr>
      </w:pPr>
      <w:r>
        <w:t xml:space="preserve">la</w:t>
      </w:r>
      <w:r>
        <w:t xml:space="preserve"> </w:t>
      </w:r>
      <w:r>
        <w:rPr>
          <w:i/>
          <w:iCs/>
        </w:rPr>
        <w:t xml:space="preserve">frecuencia</w:t>
      </w:r>
      <w:r>
        <w:t xml:space="preserve">: si la transacción se repite, compensa montar una estructura de gobierno especializada, cuyo coste fijo se reparte entre muchas transacciones. No es que la frecuencia encarezca la transacción: con activos específicos y transacciones frecuentes, compensa integrarlas.</w:t>
      </w:r>
    </w:p>
    <w:p>
      <w:pPr>
        <w:numPr>
          <w:ilvl w:val="0"/>
          <w:numId w:val="1051"/>
        </w:numPr>
      </w:pPr>
      <w:r>
        <w:rPr>
          <w:i/>
          <w:iCs/>
        </w:rPr>
        <w:t xml:space="preserve">Cuasirrenta y retención</w:t>
      </w:r>
      <w:r>
        <w:t xml:space="preserve">: la</w:t>
      </w:r>
      <w:r>
        <w:t xml:space="preserve"> </w:t>
      </w:r>
      <w:r>
        <w:rPr>
          <w:b/>
          <w:bCs/>
        </w:rPr>
        <w:t xml:space="preserve">cuasirrenta</w:t>
      </w:r>
      <w:r>
        <w:t xml:space="preserve"> </w:t>
      </w:r>
      <w:r>
        <w:t xml:space="preserve">de un activo específico es la diferencia entre su valor en la relación y su valor en el mejor uso alternativo</w:t>
      </w:r>
      <w:r>
        <w:t xml:space="preserve"> </w:t>
      </w:r>
      <w:r>
        <w:t xml:space="preserve">(</w:t>
      </w:r>
      <w:hyperlink w:anchor="ref_KleinCrawfordAlchian1978Vertical">
        <w:r>
          <w:rPr>
            <w:rStyle w:val="Hyperlink"/>
            <w:smallCaps/>
          </w:rPr>
          <w:t xml:space="preserve">Klein</w:t>
        </w:r>
        <w:r>
          <w:rPr>
            <w:rStyle w:val="Hyperlink"/>
          </w:rPr>
          <w:t xml:space="preserve">,</w:t>
        </w:r>
        <w:r>
          <w:rPr>
            <w:rStyle w:val="Hyperlink"/>
          </w:rPr>
          <w:t xml:space="preserve"> </w:t>
        </w:r>
        <w:r>
          <w:rPr>
            <w:rStyle w:val="Hyperlink"/>
            <w:smallCaps/>
          </w:rPr>
          <w:t xml:space="preserve">Crawford</w:t>
        </w:r>
        <w:r>
          <w:rPr>
            <w:rStyle w:val="Hyperlink"/>
          </w:rPr>
          <w:t xml:space="preserve"> </w:t>
        </w:r>
        <w:r>
          <w:rPr>
            <w:rStyle w:val="Hyperlink"/>
          </w:rPr>
          <w:t xml:space="preserve">y</w:t>
        </w:r>
        <w:r>
          <w:rPr>
            <w:rStyle w:val="Hyperlink"/>
          </w:rPr>
          <w:t xml:space="preserve"> </w:t>
        </w:r>
        <w:r>
          <w:rPr>
            <w:rStyle w:val="Hyperlink"/>
            <w:smallCaps/>
          </w:rPr>
          <w:t xml:space="preserve">Alchian</w:t>
        </w:r>
        <w:r>
          <w:rPr>
            <w:rStyle w:val="Hyperlink"/>
          </w:rPr>
          <w:t xml:space="preserve">, 1978</w:t>
        </w:r>
      </w:hyperlink>
      <w:r>
        <w:t xml:space="preserve">)</w:t>
      </w:r>
      <w:r>
        <w:t xml:space="preserve">. Una vez hecha la inversión, la otra parte puede amenazar con romper para renegociar el precio y apropiarse de la cuasirrenta: es el</w:t>
      </w:r>
      <w:r>
        <w:t xml:space="preserve"> </w:t>
      </w:r>
      <w:r>
        <w:rPr>
          <w:b/>
          <w:bCs/>
        </w:rPr>
        <w:t xml:space="preserve">problema de la expropiación de la cuasirrenta</w:t>
      </w:r>
      <w:r>
        <w:t xml:space="preserve"> </w:t>
      </w:r>
      <w:r>
        <w:t xml:space="preserve">(</w:t>
      </w:r>
      <w:r>
        <w:rPr>
          <w:i/>
          <w:iCs/>
        </w:rPr>
        <w:t xml:space="preserve">hold-up</w:t>
      </w:r>
      <w:r>
        <w:t xml:space="preserve">). El proveedor que ha invertido teme que el cliente no renueve o le imponga un reparto peor, y el cliente que depende de un proveedor especializado teme quedar como rehén. Lo que antes de invertir era un mercado con muchos oferentes se convierte después en un</w:t>
      </w:r>
      <w:r>
        <w:t xml:space="preserve"> </w:t>
      </w:r>
      <w:r>
        <w:rPr>
          <w:b/>
          <w:bCs/>
        </w:rPr>
        <w:t xml:space="preserve">monopolio bilateral</w:t>
      </w:r>
      <w:r>
        <w:t xml:space="preserve">, con el precio indeterminado entre los 2 y decidido por la negociación</w:t>
      </w:r>
      <w:r>
        <w:t xml:space="preserve"> </w:t>
      </w:r>
      <w:hyperlink r:id="rId26">
        <w:r>
          <w:rPr>
            <w:rStyle w:val="Referenciaatema"/>
          </w:rPr>
          <w:t xml:space="preserve">[ver tema 3.A.17]</w:t>
        </w:r>
      </w:hyperlink>
      <w:r>
        <w:t xml:space="preserve">: es la</w:t>
      </w:r>
      <w:r>
        <w:t xml:space="preserve"> </w:t>
      </w:r>
      <w:r>
        <w:rPr>
          <w:b/>
          <w:bCs/>
        </w:rPr>
        <w:t xml:space="preserve">transformación fundamental</w:t>
      </w:r>
      <w:r>
        <w:t xml:space="preserve"> </w:t>
      </w:r>
      <w:r>
        <w:t xml:space="preserve">de</w:t>
      </w:r>
      <w:r>
        <w:t xml:space="preserve"> </w:t>
      </w:r>
      <w:r>
        <w:rPr>
          <w:smallCaps/>
        </w:rPr>
        <w:t xml:space="preserve">Williamson</w:t>
      </w:r>
      <w:r>
        <w:t xml:space="preserve"> </w:t>
      </w:r>
      <w:r>
        <w:t xml:space="preserve">(</w:t>
      </w:r>
      <w:hyperlink w:anchor="ref_Williamson1985Economic">
        <w:r>
          <w:rPr>
            <w:rStyle w:val="Hyperlink"/>
          </w:rPr>
          <w:t xml:space="preserve">1985</w:t>
        </w:r>
      </w:hyperlink>
      <w:r>
        <w:t xml:space="preserve">)</w:t>
      </w:r>
      <w:r>
        <w:t xml:space="preserve">. Anticipándolo, la parte que tendría que invertir invierte menos o pide salvaguardas, y se pierde eficiencia.</w:t>
      </w:r>
      <w:r>
        <w:rPr>
          <w:rStyle w:val="FootnoteReference"/>
        </w:rPr>
        <w:footnoteReference w:id="116"/>
      </w:r>
    </w:p>
    <w:p>
      <w:pPr>
        <w:keepNext/>
        <w:numPr>
          <w:ilvl w:val="0"/>
          <w:numId w:val="1051"/>
        </w:numPr>
      </w:pPr>
      <w:r>
        <w:rPr>
          <w:i/>
          <w:iCs/>
        </w:rPr>
        <w:t xml:space="preserve">Estructuras de gobierno</w:t>
      </w:r>
      <w:r>
        <w:t xml:space="preserve">.</w:t>
      </w:r>
      <w:r>
        <w:t xml:space="preserve"> </w:t>
      </w:r>
      <w:r>
        <w:rPr>
          <w:smallCaps/>
        </w:rPr>
        <w:t xml:space="preserve">Williamson</w:t>
      </w:r>
      <w:r>
        <w:t xml:space="preserve"> </w:t>
      </w:r>
      <w:r>
        <w:t xml:space="preserve">(</w:t>
      </w:r>
      <w:hyperlink w:anchor="ref_Williamson1991Comparative">
        <w:r>
          <w:rPr>
            <w:rStyle w:val="Hyperlink"/>
          </w:rPr>
          <w:t xml:space="preserve">1991</w:t>
        </w:r>
      </w:hyperlink>
      <w:r>
        <w:t xml:space="preserve">)</w:t>
      </w:r>
      <w:r>
        <w:t xml:space="preserve"> </w:t>
      </w:r>
      <w:r>
        <w:t xml:space="preserve">compara 3:</w:t>
      </w:r>
    </w:p>
    <w:p>
      <w:pPr>
        <w:numPr>
          <w:ilvl w:val="1"/>
          <w:numId w:val="1053"/>
        </w:numPr>
      </w:pPr>
      <w:r>
        <w:t xml:space="preserve">el</w:t>
      </w:r>
      <w:r>
        <w:t xml:space="preserve"> </w:t>
      </w:r>
      <w:r>
        <w:rPr>
          <w:i/>
          <w:iCs/>
        </w:rPr>
        <w:t xml:space="preserve">mercado</w:t>
      </w:r>
      <w:r>
        <w:t xml:space="preserve">, que da incentivos fuertes y se adapta solo a los cambios de precios, pero protege mal las inversiones específicas;</w:t>
      </w:r>
    </w:p>
    <w:p>
      <w:pPr>
        <w:numPr>
          <w:ilvl w:val="1"/>
          <w:numId w:val="1053"/>
        </w:numPr>
      </w:pPr>
      <w:r>
        <w:t xml:space="preserve">la</w:t>
      </w:r>
      <w:r>
        <w:t xml:space="preserve"> </w:t>
      </w:r>
      <w:r>
        <w:rPr>
          <w:i/>
          <w:iCs/>
        </w:rPr>
        <w:t xml:space="preserve">jerarquía</w:t>
      </w:r>
      <w:r>
        <w:t xml:space="preserve"> </w:t>
      </w:r>
      <w:r>
        <w:t xml:space="preserve">(la empresa), que adapta por autoridad y protege la inversión, pero con incentivos débiles y costes burocráticos;</w:t>
      </w:r>
    </w:p>
    <w:p>
      <w:pPr>
        <w:numPr>
          <w:ilvl w:val="1"/>
          <w:numId w:val="1053"/>
        </w:numPr>
      </w:pPr>
      <w:r>
        <w:t xml:space="preserve">las</w:t>
      </w:r>
      <w:r>
        <w:t xml:space="preserve"> </w:t>
      </w:r>
      <w:r>
        <w:rPr>
          <w:i/>
          <w:iCs/>
        </w:rPr>
        <w:t xml:space="preserve">formas híbridas</w:t>
      </w:r>
      <w:r>
        <w:t xml:space="preserve"> </w:t>
      </w:r>
      <w:r>
        <w:t xml:space="preserve">(contratos a largo plazo, franquicias,</w:t>
      </w:r>
      <w:r>
        <w:t xml:space="preserve"> </w:t>
      </w:r>
      <w:r>
        <w:rPr>
          <w:i/>
          <w:iCs/>
        </w:rPr>
        <w:t xml:space="preserve">joint ventures</w:t>
      </w:r>
      <w:r>
        <w:t xml:space="preserve">, alianzas), entre ambas.</w:t>
      </w:r>
    </w:p>
    <w:p>
      <w:pPr>
        <w:numPr>
          <w:ilvl w:val="0"/>
          <w:numId w:val="1000"/>
        </w:numPr>
      </w:pPr>
      <w:r>
        <w:t xml:space="preserve">Sus costes de gobierno dependen de la especificidad, con</w:t>
      </w:r>
    </w:p>
    <w:p>
      <w:pPr>
        <w:pStyle w:val="BodyText"/>
        <w:keepNext/>
      </w:pPr>
      <m:oMathPara>
        <m:oMathParaPr>
          <m:jc m:val="center"/>
        </m:oMathParaPr>
        <m:oMath>
          <m:sSub>
            <m:e>
              <m:r>
                <m:t>C</m:t>
              </m:r>
            </m:e>
            <m:sub>
              <m:r>
                <m:rPr>
                  <m:nor/>
                  <m:sty m:val="p"/>
                </m:rPr>
                <m:t>mercado</m:t>
              </m:r>
            </m:sub>
          </m:sSub>
          <m:d>
            <m:dPr>
              <m:begChr m:val="("/>
              <m:sepChr m:val=""/>
              <m:endChr m:val=")"/>
              <m:grow/>
            </m:dPr>
            <m:e>
              <m:r>
                <m:t>0</m:t>
              </m:r>
            </m:e>
          </m:d>
          <m:r>
            <m:rPr>
              <m:sty m:val="p"/>
            </m:rPr>
            <m:t>&lt;</m:t>
          </m:r>
          <m:sSub>
            <m:e>
              <m:r>
                <m:t>C</m:t>
              </m:r>
            </m:e>
            <m:sub>
              <m:r>
                <m:rPr>
                  <m:nor/>
                  <m:sty m:val="p"/>
                </m:rPr>
                <m:t>híbrida</m:t>
              </m:r>
            </m:sub>
          </m:sSub>
          <m:d>
            <m:dPr>
              <m:begChr m:val="("/>
              <m:sepChr m:val=""/>
              <m:endChr m:val=")"/>
              <m:grow/>
            </m:dPr>
            <m:e>
              <m:r>
                <m:t>0</m:t>
              </m:r>
            </m:e>
          </m:d>
          <m:r>
            <m:rPr>
              <m:sty m:val="p"/>
            </m:rPr>
            <m:t>&lt;</m:t>
          </m:r>
          <m:sSub>
            <m:e>
              <m:r>
                <m:t>C</m:t>
              </m:r>
            </m:e>
            <m:sub>
              <m:r>
                <m:rPr>
                  <m:nor/>
                  <m:sty m:val="p"/>
                </m:rPr>
                <m:t>jerarquía</m:t>
              </m:r>
            </m:sub>
          </m:sSub>
          <m:d>
            <m:dPr>
              <m:begChr m:val="("/>
              <m:sepChr m:val=""/>
              <m:endChr m:val=")"/>
              <m:grow/>
            </m:dPr>
            <m:e>
              <m:r>
                <m:t>0</m:t>
              </m:r>
            </m:e>
          </m:d>
          <m:r>
            <m:t>  </m:t>
          </m:r>
          <m:r>
            <m:rPr>
              <m:nor/>
              <m:sty m:val="p"/>
            </m:rPr>
            <m:t>y</m:t>
          </m:r>
          <m:r>
            <m:t>  </m:t>
          </m:r>
          <m:sSub>
            <m:e>
              <m:r>
                <m:t>C</m:t>
              </m:r>
            </m:e>
            <m:sub>
              <m:r>
                <m:rPr>
                  <m:nor/>
                  <m:sty m:val="p"/>
                </m:rPr>
                <m:t>mercado</m:t>
              </m:r>
            </m:sub>
          </m:sSub>
          <m:r>
            <m:rPr>
              <m:sty m:val="p"/>
            </m:rPr>
            <m:t>′</m:t>
          </m:r>
          <m:d>
            <m:dPr>
              <m:begChr m:val="("/>
              <m:sepChr m:val=""/>
              <m:endChr m:val=")"/>
              <m:grow/>
            </m:dPr>
            <m:e>
              <m:r>
                <m:t>a</m:t>
              </m:r>
            </m:e>
          </m:d>
          <m:r>
            <m:rPr>
              <m:sty m:val="p"/>
            </m:rPr>
            <m:t>&gt;</m:t>
          </m:r>
          <m:sSub>
            <m:e>
              <m:r>
                <m:t>C</m:t>
              </m:r>
            </m:e>
            <m:sub>
              <m:r>
                <m:rPr>
                  <m:nor/>
                  <m:sty m:val="p"/>
                </m:rPr>
                <m:t>híbrida</m:t>
              </m:r>
            </m:sub>
          </m:sSub>
          <m:r>
            <m:rPr>
              <m:sty m:val="p"/>
            </m:rPr>
            <m:t>′</m:t>
          </m:r>
          <m:d>
            <m:dPr>
              <m:begChr m:val="("/>
              <m:sepChr m:val=""/>
              <m:endChr m:val=")"/>
              <m:grow/>
            </m:dPr>
            <m:e>
              <m:r>
                <m:t>a</m:t>
              </m:r>
            </m:e>
          </m:d>
          <m:r>
            <m:rPr>
              <m:sty m:val="p"/>
            </m:rPr>
            <m:t>&gt;</m:t>
          </m:r>
          <m:sSub>
            <m:e>
              <m:r>
                <m:t>C</m:t>
              </m:r>
            </m:e>
            <m:sub>
              <m:r>
                <m:rPr>
                  <m:nor/>
                  <m:sty m:val="p"/>
                </m:rPr>
                <m:t>jerarquía</m:t>
              </m:r>
            </m:sub>
          </m:sSub>
          <m:r>
            <m:rPr>
              <m:sty m:val="p"/>
            </m:rPr>
            <m:t>′</m:t>
          </m:r>
          <m:d>
            <m:dPr>
              <m:begChr m:val="("/>
              <m:sepChr m:val=""/>
              <m:endChr m:val=")"/>
              <m:grow/>
            </m:dPr>
            <m:e>
              <m:r>
                <m:t>a</m:t>
              </m:r>
            </m:e>
          </m:d>
          <m:r>
            <m:rPr>
              <m:sty m:val="p"/>
            </m:rPr>
            <m:t>&gt;</m:t>
          </m:r>
          <m:r>
            <m:t>0</m:t>
          </m:r>
          <m:r>
            <m:rPr>
              <m:sty m:val="p"/>
            </m:rPr>
            <m:t>,</m:t>
          </m:r>
        </m:oMath>
      </m:oMathPara>
    </w:p>
    <w:p>
      <w:pPr>
        <w:numPr>
          <w:ilvl w:val="0"/>
          <w:numId w:val="1000"/>
        </w:numPr>
      </w:pPr>
      <w:r>
        <w:t xml:space="preserve">y la estructura eficiente es la que minimiza el coste de gobierno:</w:t>
      </w:r>
    </w:p>
    <w:bookmarkStart w:id="117" w:name="eq_gobierno"/>
    <w:bookmarkEnd w:id="117"/>
    <w:p>
      <w:pPr>
        <w:pStyle w:val="Funcionclave"/>
      </w:pPr>
      <m:oMathPara>
        <m:oMathParaPr>
          <m:jc m:val="center"/>
        </m:oMathParaPr>
        <m:oMath>
          <m:sSup>
            <m:e>
              <m:r>
                <m:t>C</m:t>
              </m:r>
            </m:e>
            <m:sup>
              <m:r>
                <m:rPr>
                  <m:sty m:val="p"/>
                </m:rPr>
                <m:t>*</m:t>
              </m:r>
            </m:sup>
          </m:sSup>
          <m:d>
            <m:dPr>
              <m:begChr m:val="("/>
              <m:sepChr m:val=""/>
              <m:endChr m:val=")"/>
              <m:grow/>
            </m:dPr>
            <m:e>
              <m:r>
                <m:t>a</m:t>
              </m:r>
            </m:e>
          </m:d>
          <m:r>
            <m:rPr>
              <m:sty m:val="p"/>
            </m:rPr>
            <m:t>=</m:t>
          </m:r>
          <m:r>
            <m:rPr>
              <m:sty m:val="p"/>
            </m:rPr>
            <m:t>min</m:t>
          </m:r>
          <m:d>
            <m:dPr>
              <m:begChr m:val="{"/>
              <m:sepChr m:val=""/>
              <m:endChr m:val="}"/>
              <m:grow/>
            </m:dPr>
            <m:e>
              <m:sSub>
                <m:e>
                  <m:r>
                    <m:t>C</m:t>
                  </m:r>
                </m:e>
                <m:sub>
                  <m:r>
                    <m:rPr>
                      <m:nor/>
                      <m:sty m:val="p"/>
                    </m:rPr>
                    <m:t>mercado</m:t>
                  </m:r>
                </m:sub>
              </m:sSub>
              <m:d>
                <m:dPr>
                  <m:begChr m:val="("/>
                  <m:sepChr m:val=""/>
                  <m:endChr m:val=")"/>
                  <m:grow/>
                </m:dPr>
                <m:e>
                  <m:r>
                    <m:t>a</m:t>
                  </m:r>
                </m:e>
              </m:d>
              <m:r>
                <m:rPr>
                  <m:sty m:val="p"/>
                </m:rPr>
                <m:t>,</m:t>
              </m:r>
              <m:r>
                <m:t> </m:t>
              </m:r>
              <m:sSub>
                <m:e>
                  <m:r>
                    <m:t>C</m:t>
                  </m:r>
                </m:e>
                <m:sub>
                  <m:r>
                    <m:rPr>
                      <m:nor/>
                      <m:sty m:val="p"/>
                    </m:rPr>
                    <m:t>híbrida</m:t>
                  </m:r>
                </m:sub>
              </m:sSub>
              <m:d>
                <m:dPr>
                  <m:begChr m:val="("/>
                  <m:sepChr m:val=""/>
                  <m:endChr m:val=")"/>
                  <m:grow/>
                </m:dPr>
                <m:e>
                  <m:r>
                    <m:t>a</m:t>
                  </m:r>
                </m:e>
              </m:d>
              <m:r>
                <m:rPr>
                  <m:sty m:val="p"/>
                </m:rPr>
                <m:t>,</m:t>
              </m:r>
              <m:r>
                <m:t> </m:t>
              </m:r>
              <m:sSub>
                <m:e>
                  <m:r>
                    <m:t>C</m:t>
                  </m:r>
                </m:e>
                <m:sub>
                  <m:r>
                    <m:rPr>
                      <m:nor/>
                      <m:sty m:val="p"/>
                    </m:rPr>
                    <m:t>jerarquía</m:t>
                  </m:r>
                </m:sub>
              </m:sSub>
              <m:d>
                <m:dPr>
                  <m:begChr m:val="("/>
                  <m:sepChr m:val=""/>
                  <m:endChr m:val=")"/>
                  <m:grow/>
                </m:dPr>
                <m:e>
                  <m:r>
                    <m:t>a</m:t>
                  </m:r>
                </m:e>
              </m:d>
            </m:e>
          </m:d>
        </m:oMath>
      </m:oMathPara>
    </w:p>
    <w:p>
      <w:pPr>
        <w:numPr>
          <w:ilvl w:val="0"/>
          <w:numId w:val="1000"/>
        </w:numPr>
      </w:pPr>
      <w:r>
        <w:t xml:space="preserve">mercado si</w:t>
      </w:r>
      <w:r>
        <w:t xml:space="preserve"> </w:t>
      </w:r>
      <m:oMath>
        <m:r>
          <m:t>a</m:t>
        </m:r>
        <m:r>
          <m:rPr>
            <m:sty m:val="p"/>
          </m:rPr>
          <m:t>&lt;</m:t>
        </m:r>
        <m:sSub>
          <m:e>
            <m:r>
              <m:t>a</m:t>
            </m:r>
          </m:e>
          <m:sub>
            <m:r>
              <m:t>1</m:t>
            </m:r>
          </m:sub>
        </m:sSub>
      </m:oMath>
      <w:r>
        <w:t xml:space="preserve">, forma híbrida si</w:t>
      </w:r>
      <w:r>
        <w:t xml:space="preserve"> </w:t>
      </w:r>
      <m:oMath>
        <m:sSub>
          <m:e>
            <m:r>
              <m:t>a</m:t>
            </m:r>
          </m:e>
          <m:sub>
            <m:r>
              <m:t>1</m:t>
            </m:r>
          </m:sub>
        </m:sSub>
        <m:r>
          <m:rPr>
            <m:sty m:val="p"/>
          </m:rPr>
          <m:t>&lt;</m:t>
        </m:r>
        <m:r>
          <m:t>a</m:t>
        </m:r>
        <m:r>
          <m:rPr>
            <m:sty m:val="p"/>
          </m:rPr>
          <m:t>&lt;</m:t>
        </m:r>
        <m:sSub>
          <m:e>
            <m:r>
              <m:t>a</m:t>
            </m:r>
          </m:e>
          <m:sub>
            <m:r>
              <m:t>2</m:t>
            </m:r>
          </m:sub>
        </m:sSub>
      </m:oMath>
      <w:r>
        <w:t xml:space="preserve"> </w:t>
      </w:r>
      <w:r>
        <w:t xml:space="preserve">y jerarquía si</w:t>
      </w:r>
      <w:r>
        <w:t xml:space="preserve"> </w:t>
      </w:r>
      <m:oMath>
        <m:r>
          <m:t>a</m:t>
        </m:r>
        <m:r>
          <m:rPr>
            <m:sty m:val="p"/>
          </m:rPr>
          <m:t>&gt;</m:t>
        </m:r>
        <m:sSub>
          <m:e>
            <m:r>
              <m:t>a</m:t>
            </m:r>
          </m:e>
          <m:sub>
            <m:r>
              <m:t>2</m:t>
            </m:r>
          </m:sub>
        </m:sSub>
      </m:oMath>
      <w:r>
        <w:t xml:space="preserve"> </w:t>
      </w:r>
      <w:r>
        <w:t xml:space="preserve">(gráfico </w:t>
      </w:r>
      <w:hyperlink w:anchor="fig_gobierno_williamson">
        <w:r>
          <w:rPr>
            <w:rStyle w:val="Hyperlink"/>
          </w:rPr>
          <w:t xml:space="preserve">7</w:t>
        </w:r>
      </w:hyperlink>
      <w:r>
        <w:t xml:space="preserve">).</w:t>
      </w:r>
    </w:p>
    <w:p>
      <w:pPr>
        <w:numPr>
          <w:ilvl w:val="0"/>
          <w:numId w:val="1051"/>
        </w:numPr>
      </w:pPr>
      <w:r>
        <w:rPr>
          <w:i/>
          <w:iCs/>
        </w:rPr>
        <w:t xml:space="preserve">Producción y gobierno juntos</w:t>
      </w:r>
      <w:r>
        <w:t xml:space="preserve">: el mercado tiene además una ventaja en los costes de</w:t>
      </w:r>
      <w:r>
        <w:t xml:space="preserve"> </w:t>
      </w:r>
      <w:r>
        <w:rPr>
          <w:i/>
          <w:iCs/>
        </w:rPr>
        <w:t xml:space="preserve">producción</w:t>
      </w:r>
      <w:r>
        <w:t xml:space="preserve">, porque un proveedor que vende a muchos clientes agrega demandas y aprovecha las economías de escala. Por eso la integración solo compensa con una especificidad mayor de la que justificarían los costes de gobierno solos: las empresas compran más de lo que haría pensar el</w:t>
      </w:r>
      <w:r>
        <w:t xml:space="preserve"> </w:t>
      </w:r>
      <w:r>
        <w:rPr>
          <w:i/>
          <w:iCs/>
        </w:rPr>
        <w:t xml:space="preserve">hold-up</w:t>
      </w:r>
      <w:r>
        <w:t xml:space="preserve"> </w:t>
      </w:r>
      <w:r>
        <w:t xml:space="preserve">(</w:t>
      </w:r>
      <w:hyperlink w:anchor="ref_RiordanWilliamson1985Asset">
        <w:r>
          <w:rPr>
            <w:rStyle w:val="Hyperlink"/>
            <w:smallCaps/>
          </w:rPr>
          <w:t xml:space="preserve">Riordan</w:t>
        </w:r>
        <w:r>
          <w:rPr>
            <w:rStyle w:val="Hyperlink"/>
          </w:rPr>
          <w:t xml:space="preserve"> </w:t>
        </w:r>
        <w:r>
          <w:rPr>
            <w:rStyle w:val="Hyperlink"/>
          </w:rPr>
          <w:t xml:space="preserve">y</w:t>
        </w:r>
        <w:r>
          <w:rPr>
            <w:rStyle w:val="Hyperlink"/>
          </w:rPr>
          <w:t xml:space="preserve"> </w:t>
        </w:r>
        <w:r>
          <w:rPr>
            <w:rStyle w:val="Hyperlink"/>
            <w:smallCaps/>
          </w:rPr>
          <w:t xml:space="preserve">Williamson</w:t>
        </w:r>
        <w:r>
          <w:rPr>
            <w:rStyle w:val="Hyperlink"/>
          </w:rPr>
          <w:t xml:space="preserve">, 1985</w:t>
        </w:r>
      </w:hyperlink>
      <w:r>
        <w:t xml:space="preserve">)</w:t>
      </w:r>
      <w:r>
        <w:t xml:space="preserve"> </w:t>
      </w:r>
      <w:r>
        <w:t xml:space="preserve">(anexo </w:t>
      </w:r>
      <w:hyperlink w:anchor="anexo_riordan_williamson">
        <w:r>
          <w:rPr>
            <w:rStyle w:val="Hyperlink"/>
          </w:rPr>
          <w:t xml:space="preserve">B.2</w:t>
        </w:r>
      </w:hyperlink>
      <w:r>
        <w:t xml:space="preserve">).</w:t>
      </w:r>
    </w:p>
    <w:bookmarkStart w:id="121" w:name="fig_gobierno_williamson"/>
    <w:p>
      <w:pPr>
        <w:pStyle w:val="ImageCaption"/>
      </w:pPr>
      <w:r>
        <w:t xml:space="preserve">Gráfico 7.–</w:t>
      </w:r>
      <w:r>
        <w:t xml:space="preserve"> </w:t>
      </w:r>
      <w:r>
        <w:t xml:space="preserve">Costes de gobierno y especificidad de los activos: mercado, forma híbrida y jerarquía</w:t>
      </w:r>
    </w:p>
    <w:p>
      <w:pPr>
        <w:pStyle w:val="CaptionedFigure"/>
      </w:pPr>
      <w:r>
        <w:drawing>
          <wp:inline>
            <wp:extent cx="3581400" cy="2117487"/>
            <wp:effectExtent b="0" l="0" r="0" t="0"/>
            <wp:docPr descr="Gráfico 7.– Costes de gobierno y especificidad de los activos: mercado, forma híbrida y jerarquía" title="" id="119" name="Picture"/>
            <a:graphic>
              <a:graphicData uri="http://schemas.openxmlformats.org/drawingml/2006/picture">
                <pic:pic>
                  <pic:nvPicPr>
                    <pic:cNvPr descr="C:\Users\vgutierrez\Documents\src\victorgutierrezmarcos.github.io-revision\oposicion\temario\fuentes\3A15\graficos/gobierno-williamson.png" id="120" name="Picture"/>
                    <pic:cNvPicPr>
                      <a:picLocks noChangeArrowheads="1" noChangeAspect="1"/>
                    </pic:cNvPicPr>
                  </pic:nvPicPr>
                  <pic:blipFill>
                    <a:blip r:embed="rId118"/>
                    <a:stretch>
                      <a:fillRect/>
                    </a:stretch>
                  </pic:blipFill>
                  <pic:spPr bwMode="auto">
                    <a:xfrm>
                      <a:off x="0" y="0"/>
                      <a:ext cx="3581400" cy="2117487"/>
                    </a:xfrm>
                    <a:prstGeom prst="rect">
                      <a:avLst/>
                    </a:prstGeom>
                    <a:noFill/>
                    <a:ln w="9525">
                      <a:noFill/>
                      <a:headEnd/>
                      <a:tailEnd/>
                    </a:ln>
                  </pic:spPr>
                </pic:pic>
              </a:graphicData>
            </a:graphic>
          </wp:inline>
        </w:drawing>
      </w:r>
    </w:p>
    <w:bookmarkEnd w:id="121"/>
    <w:p>
      <w:pPr>
        <w:pStyle w:val="Piedeimagen"/>
      </w:pPr>
      <w:r>
        <w:t xml:space="preserve">Fuente: elaboración propia a partir de</w:t>
      </w:r>
      <w:r>
        <w:t xml:space="preserve"> </w:t>
      </w:r>
      <w:r>
        <w:rPr>
          <w:smallCaps/>
        </w:rPr>
        <w:t xml:space="preserve">Williamson</w:t>
      </w:r>
      <w:r>
        <w:t xml:space="preserve"> </w:t>
      </w:r>
      <w:r>
        <w:t xml:space="preserve">(</w:t>
      </w:r>
      <w:hyperlink w:anchor="ref_Williamson1991Comparative">
        <w:r>
          <w:rPr>
            <w:rStyle w:val="Hyperlink"/>
          </w:rPr>
          <w:t xml:space="preserve">1991</w:t>
        </w:r>
      </w:hyperlink>
      <w:r>
        <w:t xml:space="preserve">)</w:t>
      </w:r>
      <w:r>
        <w:t xml:space="preserve">.</w:t>
      </w:r>
    </w:p>
    <w:bookmarkEnd w:id="122"/>
    <w:bookmarkStart w:id="123" w:name="iii_implicaciones_4"/>
    <w:p>
      <w:pPr>
        <w:pStyle w:val="Heading5"/>
      </w:pPr>
      <w:r>
        <w:t xml:space="preserve">iii) Implicaciones</w:t>
      </w:r>
    </w:p>
    <w:p>
      <w:pPr>
        <w:numPr>
          <w:ilvl w:val="0"/>
          <w:numId w:val="1054"/>
        </w:numPr>
      </w:pPr>
      <w:r>
        <w:t xml:space="preserve">Las transacciones con activos poco específicos van al mercado, sea cual sea su frecuencia; con especificidad intermedia, a contratos a largo plazo y formas híbridas; con mucha especificidad, sobre todo si son frecuentes e inciertas, a la empresa</w:t>
      </w:r>
      <w:r>
        <w:t xml:space="preserve"> </w:t>
      </w:r>
      <w:r>
        <w:t xml:space="preserve">(</w:t>
      </w:r>
      <w:hyperlink w:anchor="ref_Williamson1979Transaction">
        <w:r>
          <w:rPr>
            <w:rStyle w:val="Hyperlink"/>
            <w:smallCaps/>
          </w:rPr>
          <w:t xml:space="preserve">Williamson</w:t>
        </w:r>
        <w:r>
          <w:rPr>
            <w:rStyle w:val="Hyperlink"/>
          </w:rPr>
          <w:t xml:space="preserve">, 1979</w:t>
        </w:r>
      </w:hyperlink>
      <w:r>
        <w:t xml:space="preserve">)</w:t>
      </w:r>
      <w:r>
        <w:t xml:space="preserve">. Lo que caracteriza a la empresa es la jerarquía, una organización para ahorrar costes de transacción, y esos costes fijan su tamaño, su alcance y los de la industria.</w:t>
      </w:r>
    </w:p>
    <w:p>
      <w:pPr>
        <w:numPr>
          <w:ilvl w:val="0"/>
          <w:numId w:val="1054"/>
        </w:numPr>
      </w:pPr>
      <w:r>
        <w:t xml:space="preserve">La integración vertical deja de ser un indicio de monopolización: puede ser la forma más barata de proteger una inversión.</w:t>
      </w:r>
    </w:p>
    <w:p>
      <w:pPr>
        <w:keepNext/>
        <w:numPr>
          <w:ilvl w:val="0"/>
          <w:numId w:val="1054"/>
        </w:numPr>
      </w:pPr>
      <w:r>
        <w:t xml:space="preserve">Y la jerarquía tiene sus</w:t>
      </w:r>
      <w:r>
        <w:t xml:space="preserve"> </w:t>
      </w:r>
      <w:r>
        <w:rPr>
          <w:i/>
          <w:iCs/>
        </w:rPr>
        <w:t xml:space="preserve">límites</w:t>
      </w:r>
      <w:r>
        <w:t xml:space="preserve">: su coste de gobierno,</w:t>
      </w:r>
      <w:r>
        <w:t xml:space="preserve"> </w:t>
      </w:r>
      <m:oMath>
        <m:sSub>
          <m:e>
            <m:r>
              <m:t>C</m:t>
            </m:r>
          </m:e>
          <m:sub>
            <m:r>
              <m:rPr>
                <m:nor/>
                <m:sty m:val="p"/>
              </m:rPr>
              <m:t>jerarquía</m:t>
            </m:r>
          </m:sub>
        </m:sSub>
        <m:d>
          <m:dPr>
            <m:begChr m:val="("/>
            <m:sepChr m:val=""/>
            <m:endChr m:val=")"/>
            <m:grow/>
          </m:dPr>
          <m:e>
            <m:r>
              <m:t>a</m:t>
            </m:r>
          </m:e>
        </m:d>
      </m:oMath>
      <w:r>
        <w:t xml:space="preserve">, es el más alto cuando la especificidad es baja. Una empresa grande podría, en principio, hacer lo mismo que varias pequeñas y algo más: mantener cada unidad como si fuera independiente e intervenir solo cuando así se gane; si pudiera, una sola empresa organizaría toda la economía.</w:t>
      </w:r>
      <w:r>
        <w:t xml:space="preserve"> </w:t>
      </w:r>
      <w:r>
        <w:rPr>
          <w:smallCaps/>
        </w:rPr>
        <w:t xml:space="preserve">Williamson</w:t>
      </w:r>
      <w:r>
        <w:t xml:space="preserve"> </w:t>
      </w:r>
      <w:r>
        <w:t xml:space="preserve">(</w:t>
      </w:r>
      <w:hyperlink w:anchor="ref_Williamson1985Economic">
        <w:r>
          <w:rPr>
            <w:rStyle w:val="Hyperlink"/>
          </w:rPr>
          <w:t xml:space="preserve">1985, cap. 6</w:t>
        </w:r>
      </w:hyperlink>
      <w:r>
        <w:t xml:space="preserve">)</w:t>
      </w:r>
      <w:r>
        <w:t xml:space="preserve"> </w:t>
      </w:r>
      <w:r>
        <w:t xml:space="preserve">explica por qué no puede (la</w:t>
      </w:r>
      <w:r>
        <w:t xml:space="preserve"> </w:t>
      </w:r>
      <w:r>
        <w:rPr>
          <w:b/>
          <w:bCs/>
        </w:rPr>
        <w:t xml:space="preserve">imposibilidad de la intervención selectiva</w:t>
      </w:r>
      <w:r>
        <w:t xml:space="preserve">):</w:t>
      </w:r>
    </w:p>
    <w:p>
      <w:pPr>
        <w:numPr>
          <w:ilvl w:val="1"/>
          <w:numId w:val="1055"/>
        </w:numPr>
      </w:pPr>
      <w:r>
        <w:t xml:space="preserve">al integrar, el antiguo propietario pasa a ser empleado y pierde el derecho al beneficio residual: sus incentivos se debilitan (incentivos de</w:t>
      </w:r>
      <w:r>
        <w:t xml:space="preserve"> </w:t>
      </w:r>
      <w:r>
        <w:rPr>
          <w:i/>
          <w:iCs/>
        </w:rPr>
        <w:t xml:space="preserve">baja potencia</w:t>
      </w:r>
      <w:r>
        <w:t xml:space="preserve">);</w:t>
      </w:r>
    </w:p>
    <w:p>
      <w:pPr>
        <w:numPr>
          <w:ilvl w:val="1"/>
          <w:numId w:val="1055"/>
        </w:numPr>
      </w:pPr>
      <w:r>
        <w:t xml:space="preserve">la dirección no puede comprometerse a intervenir solo cuando conviene, y los precios internos se pueden manipular;</w:t>
      </w:r>
    </w:p>
    <w:p>
      <w:pPr>
        <w:numPr>
          <w:ilvl w:val="1"/>
          <w:numId w:val="1055"/>
        </w:numPr>
      </w:pPr>
      <w:r>
        <w:t xml:space="preserve">crecen los</w:t>
      </w:r>
      <w:r>
        <w:t xml:space="preserve"> </w:t>
      </w:r>
      <w:r>
        <w:rPr>
          <w:i/>
          <w:iCs/>
        </w:rPr>
        <w:t xml:space="preserve">costes burocráticos</w:t>
      </w:r>
      <w:r>
        <w:t xml:space="preserve">: reglas, controles y actividades de influencia de quienes buscan que las decisiones les favorezcan.</w:t>
      </w:r>
    </w:p>
    <w:p>
      <w:pPr>
        <w:pStyle w:val="Cajadeanotaciones"/>
      </w:pPr>
      <w:r>
        <w:rPr>
          <w:b/>
          <w:bCs/>
        </w:rPr>
        <w:t xml:space="preserve">El caso Fisher Body–General Motors</w:t>
      </w:r>
      <w:r>
        <w:t xml:space="preserve">. En 1919, General Motors compró el 60 % de Fisher Body, su proveedor de carrocerías, y firmó con ella un contrato de suministro en exclusiva por 10 años, a coste más un margen. Cuando la demanda de carrocerías cerradas de acero se disparó, según</w:t>
      </w:r>
      <w:r>
        <w:t xml:space="preserve"> </w:t>
      </w:r>
      <w:r>
        <w:rPr>
          <w:smallCaps/>
        </w:rPr>
        <w:t xml:space="preserve">Klein</w:t>
      </w:r>
      <w:r>
        <w:t xml:space="preserve">,</w:t>
      </w:r>
      <w:r>
        <w:t xml:space="preserve"> </w:t>
      </w:r>
      <w:r>
        <w:rPr>
          <w:smallCaps/>
        </w:rPr>
        <w:t xml:space="preserve">Crawford</w:t>
      </w:r>
      <w:r>
        <w:t xml:space="preserve"> </w:t>
      </w:r>
      <w:r>
        <w:t xml:space="preserve">y</w:t>
      </w:r>
      <w:r>
        <w:t xml:space="preserve"> </w:t>
      </w:r>
      <w:r>
        <w:rPr>
          <w:smallCaps/>
        </w:rPr>
        <w:t xml:space="preserve">Alchian</w:t>
      </w:r>
      <w:r>
        <w:t xml:space="preserve"> </w:t>
      </w:r>
      <w:r>
        <w:t xml:space="preserve">(</w:t>
      </w:r>
      <w:hyperlink w:anchor="ref_KleinCrawfordAlchian1978Vertical">
        <w:r>
          <w:rPr>
            <w:rStyle w:val="Hyperlink"/>
          </w:rPr>
          <w:t xml:space="preserve">1978</w:t>
        </w:r>
      </w:hyperlink>
      <w:r>
        <w:t xml:space="preserve">)</w:t>
      </w:r>
      <w:r>
        <w:t xml:space="preserve"> </w:t>
      </w:r>
      <w:r>
        <w:t xml:space="preserve">Fisher Body se aprovechó del contrato: precios altos por el margen sobre el coste y negativa a instalar sus plantas junto a las de General Motors. En 1926, General Motors compró el 40 % restante: la integración vertical habría resuelto el</w:t>
      </w:r>
      <w:r>
        <w:t xml:space="preserve"> </w:t>
      </w:r>
      <w:r>
        <w:rPr>
          <w:i/>
          <w:iCs/>
        </w:rPr>
        <w:t xml:space="preserve">hold-up</w:t>
      </w:r>
      <w:r>
        <w:t xml:space="preserve">. Es el ejemplo de los manuales, y también un caso discutido: con documentos de la época,</w:t>
      </w:r>
      <w:r>
        <w:t xml:space="preserve"> </w:t>
      </w:r>
      <w:r>
        <w:rPr>
          <w:smallCaps/>
        </w:rPr>
        <w:t xml:space="preserve">Coase</w:t>
      </w:r>
      <w:r>
        <w:t xml:space="preserve"> </w:t>
      </w:r>
      <w:r>
        <w:t xml:space="preserve">(</w:t>
      </w:r>
      <w:hyperlink w:anchor="ref_Coase2000Acquisition">
        <w:r>
          <w:rPr>
            <w:rStyle w:val="Hyperlink"/>
          </w:rPr>
          <w:t xml:space="preserve">2000</w:t>
        </w:r>
      </w:hyperlink>
      <w:r>
        <w:t xml:space="preserve">)</w:t>
      </w:r>
      <w:r>
        <w:t xml:space="preserve"> </w:t>
      </w:r>
      <w:r>
        <w:t xml:space="preserve">y</w:t>
      </w:r>
      <w:r>
        <w:t xml:space="preserve"> </w:t>
      </w:r>
      <w:r>
        <w:rPr>
          <w:smallCaps/>
        </w:rPr>
        <w:t xml:space="preserve">Casadesus-Masanell</w:t>
      </w:r>
      <w:r>
        <w:t xml:space="preserve"> </w:t>
      </w:r>
      <w:r>
        <w:t xml:space="preserve">y</w:t>
      </w:r>
      <w:r>
        <w:t xml:space="preserve"> </w:t>
      </w:r>
      <w:r>
        <w:rPr>
          <w:smallCaps/>
        </w:rPr>
        <w:t xml:space="preserve">Spulber</w:t>
      </w:r>
      <w:r>
        <w:t xml:space="preserve"> </w:t>
      </w:r>
      <w:r>
        <w:t xml:space="preserve">(</w:t>
      </w:r>
      <w:hyperlink w:anchor="ref_CasadesusMasanellSpulber2000Fable">
        <w:r>
          <w:rPr>
            <w:rStyle w:val="Hyperlink"/>
          </w:rPr>
          <w:t xml:space="preserve">2000</w:t>
        </w:r>
      </w:hyperlink>
      <w:r>
        <w:t xml:space="preserve">)</w:t>
      </w:r>
      <w:r>
        <w:t xml:space="preserve"> </w:t>
      </w:r>
      <w:r>
        <w:t xml:space="preserve">sostienen que no hubo expropiación, y</w:t>
      </w:r>
      <w:r>
        <w:t xml:space="preserve"> </w:t>
      </w:r>
      <w:r>
        <w:rPr>
          <w:smallCaps/>
        </w:rPr>
        <w:t xml:space="preserve">Freeland</w:t>
      </w:r>
      <w:r>
        <w:t xml:space="preserve"> </w:t>
      </w:r>
      <w:r>
        <w:t xml:space="preserve">(</w:t>
      </w:r>
      <w:hyperlink w:anchor="ref_Freeland2000Creating">
        <w:r>
          <w:rPr>
            <w:rStyle w:val="Hyperlink"/>
          </w:rPr>
          <w:t xml:space="preserve">2000</w:t>
        </w:r>
      </w:hyperlink>
      <w:r>
        <w:t xml:space="preserve">)</w:t>
      </w:r>
      <w:r>
        <w:t xml:space="preserve"> </w:t>
      </w:r>
      <w:r>
        <w:t xml:space="preserve">atribuye la compra al deseo de retener a los hermanos Fisher en la dirección;</w:t>
      </w:r>
      <w:r>
        <w:t xml:space="preserve"> </w:t>
      </w:r>
      <w:r>
        <w:rPr>
          <w:smallCaps/>
        </w:rPr>
        <w:t xml:space="preserve">Klein</w:t>
      </w:r>
      <w:r>
        <w:t xml:space="preserve"> </w:t>
      </w:r>
      <w:r>
        <w:t xml:space="preserve">(</w:t>
      </w:r>
      <w:hyperlink w:anchor="ref_Klein2000Fisher">
        <w:r>
          <w:rPr>
            <w:rStyle w:val="Hyperlink"/>
          </w:rPr>
          <w:t xml:space="preserve">2000</w:t>
        </w:r>
      </w:hyperlink>
      <w:r>
        <w:t xml:space="preserve">)</w:t>
      </w:r>
      <w:r>
        <w:t xml:space="preserve"> </w:t>
      </w:r>
      <w:r>
        <w:t xml:space="preserve">mantiene su interpretación.</w:t>
      </w:r>
    </w:p>
    <w:bookmarkEnd w:id="123"/>
    <w:bookmarkEnd w:id="124"/>
    <w:bookmarkStart w:id="125" w:name="c_evidencia_emp__rica_1"/>
    <w:p>
      <w:pPr>
        <w:pStyle w:val="Heading4"/>
      </w:pPr>
      <w:r>
        <w:t xml:space="preserve">c) Evidencia empírica</w:t>
      </w:r>
    </w:p>
    <w:p>
      <w:pPr>
        <w:numPr>
          <w:ilvl w:val="0"/>
          <w:numId w:val="1056"/>
        </w:numPr>
      </w:pPr>
      <w:r>
        <w:t xml:space="preserve">En la industria del automóvil, los componentes que exigen más conocimiento específico de ingeniería se fabrican más a menudo dentro</w:t>
      </w:r>
      <w:r>
        <w:t xml:space="preserve"> </w:t>
      </w:r>
      <w:r>
        <w:t xml:space="preserve">(</w:t>
      </w:r>
      <w:hyperlink w:anchor="ref_MonteverdeTeece1982Supplier">
        <w:r>
          <w:rPr>
            <w:rStyle w:val="Hyperlink"/>
            <w:smallCaps/>
          </w:rPr>
          <w:t xml:space="preserve">Monteverde</w:t>
        </w:r>
        <w:r>
          <w:rPr>
            <w:rStyle w:val="Hyperlink"/>
          </w:rPr>
          <w:t xml:space="preserve"> </w:t>
        </w:r>
        <w:r>
          <w:rPr>
            <w:rStyle w:val="Hyperlink"/>
          </w:rPr>
          <w:t xml:space="preserve">y</w:t>
        </w:r>
        <w:r>
          <w:rPr>
            <w:rStyle w:val="Hyperlink"/>
          </w:rPr>
          <w:t xml:space="preserve"> </w:t>
        </w:r>
        <w:r>
          <w:rPr>
            <w:rStyle w:val="Hyperlink"/>
            <w:smallCaps/>
          </w:rPr>
          <w:t xml:space="preserve">Teece</w:t>
        </w:r>
        <w:r>
          <w:rPr>
            <w:rStyle w:val="Hyperlink"/>
          </w:rPr>
          <w:t xml:space="preserve">, 1982</w:t>
        </w:r>
      </w:hyperlink>
      <w:r>
        <w:t xml:space="preserve">)</w:t>
      </w:r>
      <w:r>
        <w:t xml:space="preserve">; en el carbón, los contratos entre centrales y minas son más largos cuanto más específica es la relación, y más aún en las centrales a pie de mina</w:t>
      </w:r>
      <w:r>
        <w:t xml:space="preserve"> </w:t>
      </w:r>
      <w:r>
        <w:t xml:space="preserve">(</w:t>
      </w:r>
      <w:hyperlink w:anchor="ref_Joskow1987Contract">
        <w:r>
          <w:rPr>
            <w:rStyle w:val="Hyperlink"/>
            <w:smallCaps/>
          </w:rPr>
          <w:t xml:space="preserve">Joskow</w:t>
        </w:r>
        <w:r>
          <w:rPr>
            <w:rStyle w:val="Hyperlink"/>
          </w:rPr>
          <w:t xml:space="preserve">, 1987</w:t>
        </w:r>
      </w:hyperlink>
      <w:r>
        <w:t xml:space="preserve">)</w:t>
      </w:r>
      <w:r>
        <w:t xml:space="preserve">. En conjunto, los estudios apoyan las predicciones de la teoría</w:t>
      </w:r>
      <w:r>
        <w:t xml:space="preserve"> </w:t>
      </w:r>
      <w:r>
        <w:t xml:space="preserve">(</w:t>
      </w:r>
      <w:hyperlink w:anchor="ref_LafontaineSlade2007Vertical">
        <w:r>
          <w:rPr>
            <w:rStyle w:val="Hyperlink"/>
            <w:smallCaps/>
          </w:rPr>
          <w:t xml:space="preserve">Lafontaine</w:t>
        </w:r>
        <w:r>
          <w:rPr>
            <w:rStyle w:val="Hyperlink"/>
          </w:rPr>
          <w:t xml:space="preserve"> </w:t>
        </w:r>
        <w:r>
          <w:rPr>
            <w:rStyle w:val="Hyperlink"/>
          </w:rPr>
          <w:t xml:space="preserve">y</w:t>
        </w:r>
        <w:r>
          <w:rPr>
            <w:rStyle w:val="Hyperlink"/>
          </w:rPr>
          <w:t xml:space="preserve"> </w:t>
        </w:r>
        <w:r>
          <w:rPr>
            <w:rStyle w:val="Hyperlink"/>
            <w:smallCaps/>
          </w:rPr>
          <w:t xml:space="preserve">Slade</w:t>
        </w:r>
        <w:r>
          <w:rPr>
            <w:rStyle w:val="Hyperlink"/>
          </w:rPr>
          <w:t xml:space="preserve">, 2007</w:t>
        </w:r>
      </w:hyperlink>
      <w:r>
        <w:t xml:space="preserve">)</w:t>
      </w:r>
      <w:r>
        <w:t xml:space="preserve">.</w:t>
      </w:r>
    </w:p>
    <w:bookmarkEnd w:id="125"/>
    <w:bookmarkStart w:id="126" w:name="d_valoraci__n_2"/>
    <w:p>
      <w:pPr>
        <w:pStyle w:val="Heading4"/>
      </w:pPr>
      <w:r>
        <w:t xml:space="preserve">d) Valoración</w:t>
      </w:r>
    </w:p>
    <w:p>
      <w:pPr>
        <w:numPr>
          <w:ilvl w:val="0"/>
          <w:numId w:val="1057"/>
        </w:numPr>
      </w:pPr>
      <w:r>
        <w:t xml:space="preserve">Explica fenómenos que la tecnología no explica: las fusiones y adquisiciones verticales, las alianzas estratégicas y las</w:t>
      </w:r>
      <w:r>
        <w:t xml:space="preserve"> </w:t>
      </w:r>
      <w:r>
        <w:rPr>
          <w:i/>
          <w:iCs/>
        </w:rPr>
        <w:t xml:space="preserve">joint ventures</w:t>
      </w:r>
      <w:r>
        <w:t xml:space="preserve"> </w:t>
      </w:r>
      <w:r>
        <w:t xml:space="preserve">en los casos intermedios, las franquicias y la externalización de actividades poco específicas aunque sean frecuentes (limpieza, contabilidad); sirve también para elegir la estructura organizativa interna más eficaz.</w:t>
      </w:r>
    </w:p>
    <w:p>
      <w:pPr>
        <w:numPr>
          <w:ilvl w:val="0"/>
          <w:numId w:val="1057"/>
        </w:numPr>
      </w:pPr>
      <w:r>
        <w:t xml:space="preserve">Pero sus conceptos son difíciles de medir, compara estructuras de forma casi verbal y no dice por qué integrar resuelve el oportunismo: si el proveedor pasa a ser una división, ¿por qué deja de comportarse de forma oportunista? Es la pregunta de la teoría de los derechos de propiedad.</w:t>
      </w:r>
    </w:p>
    <w:bookmarkEnd w:id="126"/>
    <w:bookmarkEnd w:id="127"/>
    <w:bookmarkStart w:id="139" w:name="sec_contratos_incompletos"/>
    <w:p>
      <w:pPr>
        <w:pStyle w:val="Heading2"/>
      </w:pPr>
      <w:r>
        <w:t xml:space="preserve">II.3.</w:t>
      </w:r>
      <w:r>
        <w:t xml:space="preserve"> </w:t>
      </w:r>
      <w:r>
        <w:t xml:space="preserve">El enfoque de los derechos de propiedad: contratos incompletos (</w:t>
      </w:r>
      <w:r>
        <w:rPr>
          <w:smallCaps/>
        </w:rPr>
        <w:t xml:space="preserve">Grossman</w:t>
      </w:r>
      <w:r>
        <w:t xml:space="preserve">,</w:t>
      </w:r>
      <w:r>
        <w:t xml:space="preserve"> </w:t>
      </w:r>
      <w:r>
        <w:rPr>
          <w:smallCaps/>
        </w:rPr>
        <w:t xml:space="preserve">Hart</w:t>
      </w:r>
      <w:r>
        <w:t xml:space="preserve"> </w:t>
      </w:r>
      <w:r>
        <w:t xml:space="preserve">y</w:t>
      </w:r>
      <w:r>
        <w:t xml:space="preserve"> </w:t>
      </w:r>
      <w:r>
        <w:rPr>
          <w:smallCaps/>
        </w:rPr>
        <w:t xml:space="preserve">Moore</w:t>
      </w:r>
      <w:r>
        <w:t xml:space="preserve">)</w:t>
      </w:r>
    </w:p>
    <w:p>
      <w:pPr>
        <w:pStyle w:val="Cajadeanotaciones"/>
      </w:pPr>
      <w:r>
        <w:t xml:space="preserve">Lecturas: el Nobel de</w:t>
      </w:r>
      <w:r>
        <w:t xml:space="preserve"> </w:t>
      </w:r>
      <w:r>
        <w:rPr>
          <w:smallCaps/>
        </w:rPr>
        <w:t xml:space="preserve">Hart</w:t>
      </w:r>
      <w:r>
        <w:t xml:space="preserve"> </w:t>
      </w:r>
      <w:r>
        <w:t xml:space="preserve">y</w:t>
      </w:r>
      <w:r>
        <w:t xml:space="preserve"> </w:t>
      </w:r>
      <w:r>
        <w:rPr>
          <w:smallCaps/>
        </w:rPr>
        <w:t xml:space="preserve">Holmström</w:t>
      </w:r>
      <w:r>
        <w:t xml:space="preserve"> </w:t>
      </w:r>
      <w:r>
        <w:t xml:space="preserve">en Nada es Gratis (</w:t>
      </w:r>
      <w:hyperlink r:id="rId128">
        <w:r>
          <w:rPr>
            <w:rStyle w:val="Hyperlink"/>
          </w:rPr>
          <w:t xml:space="preserve">https://nadaesgratis.es/admin/un-nobel-para-la-teoria-de-contratos-hart-y-holmstrom</w:t>
        </w:r>
      </w:hyperlink>
      <w:r>
        <w:t xml:space="preserve">) y una explicación jurídica de los contratos incompletos (</w:t>
      </w:r>
      <w:hyperlink r:id="rId129">
        <w:r>
          <w:rPr>
            <w:rStyle w:val="Hyperlink"/>
          </w:rPr>
          <w:t xml:space="preserve">https://derechomercantilespana.blogspot.com/2017/06/contratos-incompletos-oliver-hart-2.html</w:t>
        </w:r>
      </w:hyperlink>
      <w:r>
        <w:t xml:space="preserve">).</w:t>
      </w:r>
    </w:p>
    <w:bookmarkStart w:id="130" w:name="a_idea_5"/>
    <w:p>
      <w:pPr>
        <w:pStyle w:val="Heading4"/>
      </w:pPr>
      <w:r>
        <w:t xml:space="preserve">a) Idea</w:t>
      </w:r>
    </w:p>
    <w:p>
      <w:pPr>
        <w:numPr>
          <w:ilvl w:val="0"/>
          <w:numId w:val="1058"/>
        </w:numPr>
      </w:pPr>
      <w:r>
        <w:rPr>
          <w:smallCaps/>
        </w:rPr>
        <w:t xml:space="preserve">Grossman</w:t>
      </w:r>
      <w:r>
        <w:t xml:space="preserve"> </w:t>
      </w:r>
      <w:r>
        <w:t xml:space="preserve">y</w:t>
      </w:r>
      <w:r>
        <w:t xml:space="preserve"> </w:t>
      </w:r>
      <w:r>
        <w:rPr>
          <w:smallCaps/>
        </w:rPr>
        <w:t xml:space="preserve">Hart</w:t>
      </w:r>
      <w:r>
        <w:t xml:space="preserve"> </w:t>
      </w:r>
      <w:r>
        <w:t xml:space="preserve">(</w:t>
      </w:r>
      <w:hyperlink w:anchor="ref_GrossmanHart1986Costs">
        <w:r>
          <w:rPr>
            <w:rStyle w:val="Hyperlink"/>
          </w:rPr>
          <w:t xml:space="preserve">1986</w:t>
        </w:r>
      </w:hyperlink>
      <w:r>
        <w:t xml:space="preserve">)</w:t>
      </w:r>
      <w:r>
        <w:t xml:space="preserve"> </w:t>
      </w:r>
      <w:r>
        <w:t xml:space="preserve">y</w:t>
      </w:r>
      <w:r>
        <w:t xml:space="preserve"> </w:t>
      </w:r>
      <w:r>
        <w:rPr>
          <w:smallCaps/>
        </w:rPr>
        <w:t xml:space="preserve">Hart</w:t>
      </w:r>
      <w:r>
        <w:t xml:space="preserve"> </w:t>
      </w:r>
      <w:r>
        <w:t xml:space="preserve">y</w:t>
      </w:r>
      <w:r>
        <w:t xml:space="preserve"> </w:t>
      </w:r>
      <w:r>
        <w:rPr>
          <w:smallCaps/>
        </w:rPr>
        <w:t xml:space="preserve">Moore</w:t>
      </w:r>
      <w:r>
        <w:t xml:space="preserve"> </w:t>
      </w:r>
      <w:r>
        <w:t xml:space="preserve">(</w:t>
      </w:r>
      <w:hyperlink w:anchor="ref_HartMoore1990Property">
        <w:r>
          <w:rPr>
            <w:rStyle w:val="Hyperlink"/>
          </w:rPr>
          <w:t xml:space="preserve">1990</w:t>
        </w:r>
      </w:hyperlink>
      <w:r>
        <w:t xml:space="preserve">)</w:t>
      </w:r>
      <w:r>
        <w:t xml:space="preserve"> </w:t>
      </w:r>
      <w:r>
        <w:t xml:space="preserve">responden a la pregunta que deja</w:t>
      </w:r>
      <w:r>
        <w:t xml:space="preserve"> </w:t>
      </w:r>
      <w:r>
        <w:rPr>
          <w:smallCaps/>
        </w:rPr>
        <w:t xml:space="preserve">Williamson</w:t>
      </w:r>
      <w:r>
        <w:t xml:space="preserve">: ¿qué cambia al integrar? Cambia</w:t>
      </w:r>
      <w:r>
        <w:t xml:space="preserve"> </w:t>
      </w:r>
      <w:r>
        <w:rPr>
          <w:i/>
          <w:iCs/>
        </w:rPr>
        <w:t xml:space="preserve">quién es el dueño de los activos</w:t>
      </w:r>
      <w:r>
        <w:t xml:space="preserve">. Una empresa es un conjunto de activos físicos de</w:t>
      </w:r>
      <w:r>
        <w:t xml:space="preserve"> </w:t>
      </w:r>
      <w:r>
        <w:rPr>
          <w:i/>
          <w:iCs/>
        </w:rPr>
        <w:t xml:space="preserve">propiedad común</w:t>
      </w:r>
      <w:r>
        <w:t xml:space="preserve">: si 2 activos tienen el mismo dueño, forman una empresa integrada; si tienen dueños distintos, son 2 empresas que se relacionan en el mercado.</w:t>
      </w:r>
    </w:p>
    <w:p>
      <w:pPr>
        <w:numPr>
          <w:ilvl w:val="0"/>
          <w:numId w:val="1058"/>
        </w:numPr>
      </w:pPr>
      <w:r>
        <w:t xml:space="preserve">Como en la economía de los costes de transacción, la empresa existe porque los contratos son incompletos; lo nuevo es que la propiedad es una fuente de poder precisamente por eso: decide quién manda en lo que el contrato no prevé.</w:t>
      </w:r>
    </w:p>
    <w:bookmarkEnd w:id="130"/>
    <w:bookmarkStart w:id="134" w:name="b_modelo_5"/>
    <w:p>
      <w:pPr>
        <w:pStyle w:val="Heading4"/>
      </w:pPr>
      <w:r>
        <w:t xml:space="preserve">b) Modelo</w:t>
      </w:r>
    </w:p>
    <w:bookmarkStart w:id="131" w:name="i_supuestos_4"/>
    <w:p>
      <w:pPr>
        <w:pStyle w:val="Heading5"/>
      </w:pPr>
      <w:r>
        <w:t xml:space="preserve">i) Supuestos</w:t>
      </w:r>
    </w:p>
    <w:p>
      <w:pPr>
        <w:numPr>
          <w:ilvl w:val="0"/>
          <w:numId w:val="1059"/>
        </w:numPr>
      </w:pPr>
      <w:r>
        <w:t xml:space="preserve">Los contratos son incompletos no solo por la racionalidad limitada, sino porque muchas variables, aunque las partes las vean, no son</w:t>
      </w:r>
      <w:r>
        <w:t xml:space="preserve"> </w:t>
      </w:r>
      <w:r>
        <w:rPr>
          <w:i/>
          <w:iCs/>
        </w:rPr>
        <w:t xml:space="preserve">verificables</w:t>
      </w:r>
      <w:r>
        <w:t xml:space="preserve"> </w:t>
      </w:r>
      <w:r>
        <w:t xml:space="preserve">por un juez.</w:t>
      </w:r>
    </w:p>
    <w:p>
      <w:pPr>
        <w:numPr>
          <w:ilvl w:val="0"/>
          <w:numId w:val="1059"/>
        </w:numPr>
      </w:pPr>
      <w:r>
        <w:t xml:space="preserve">Hay 2 tipos de derechos sobre un activo: los</w:t>
      </w:r>
      <w:r>
        <w:t xml:space="preserve"> </w:t>
      </w:r>
      <w:r>
        <w:rPr>
          <w:b/>
          <w:bCs/>
        </w:rPr>
        <w:t xml:space="preserve">derechos específicos</w:t>
      </w:r>
      <w:r>
        <w:t xml:space="preserve">, los que el contrato detalla y se pueden ceder (qué se entrega, a qué precio), y los</w:t>
      </w:r>
      <w:r>
        <w:t xml:space="preserve"> </w:t>
      </w:r>
      <w:r>
        <w:rPr>
          <w:b/>
          <w:bCs/>
        </w:rPr>
        <w:t xml:space="preserve">derechos residuales de control</w:t>
      </w:r>
      <w:r>
        <w:t xml:space="preserve">, el derecho a decidir sobre el uso del activo en todo lo que el contrato, la ley o la costumbre no prevén</w:t>
      </w:r>
      <w:r>
        <w:t xml:space="preserve"> </w:t>
      </w:r>
      <w:r>
        <w:t xml:space="preserve">(</w:t>
      </w:r>
      <w:hyperlink w:anchor="ref_Hart1995Firms">
        <w:r>
          <w:rPr>
            <w:rStyle w:val="Hyperlink"/>
            <w:smallCaps/>
          </w:rPr>
          <w:t xml:space="preserve">Hart</w:t>
        </w:r>
        <w:r>
          <w:rPr>
            <w:rStyle w:val="Hyperlink"/>
          </w:rPr>
          <w:t xml:space="preserve">, 1995</w:t>
        </w:r>
      </w:hyperlink>
      <w:r>
        <w:t xml:space="preserve">)</w:t>
      </w:r>
      <w:r>
        <w:t xml:space="preserve">. La</w:t>
      </w:r>
      <w:r>
        <w:t xml:space="preserve"> </w:t>
      </w:r>
      <w:r>
        <w:rPr>
          <w:i/>
          <w:iCs/>
        </w:rPr>
        <w:t xml:space="preserve">propiedad</w:t>
      </w:r>
      <w:r>
        <w:t xml:space="preserve"> </w:t>
      </w:r>
      <w:r>
        <w:t xml:space="preserve">es la titularidad de los derechos residuales. Recaen sobre activos físicos, no sobre las personas: el trabajo no se puede poseer.</w:t>
      </w:r>
    </w:p>
    <w:p>
      <w:pPr>
        <w:numPr>
          <w:ilvl w:val="0"/>
          <w:numId w:val="1059"/>
        </w:numPr>
      </w:pPr>
      <w:r>
        <w:t xml:space="preserve">2 partes, un comprador y un vendedor. Antes de comerciar, el comprador hace una inversión específica</w:t>
      </w:r>
      <w:r>
        <w:t xml:space="preserve"> </w:t>
      </w:r>
      <m:oMath>
        <m:r>
          <m:t>e</m:t>
        </m:r>
      </m:oMath>
      <w:r>
        <w:t xml:space="preserve">, con coste</w:t>
      </w:r>
      <w:r>
        <w:t xml:space="preserve"> </w:t>
      </w:r>
      <m:oMath>
        <m:r>
          <m:t>e</m:t>
        </m:r>
      </m:oMath>
      <w:r>
        <w:t xml:space="preserve">, que no se puede contratar. Si comercian, generan un valor</w:t>
      </w:r>
      <w:r>
        <w:t xml:space="preserve"> </w:t>
      </w:r>
      <m:oMath>
        <m:r>
          <m:t>y</m:t>
        </m:r>
        <m:d>
          <m:dPr>
            <m:begChr m:val="("/>
            <m:sepChr m:val=""/>
            <m:endChr m:val=")"/>
            <m:grow/>
          </m:dPr>
          <m:e>
            <m:r>
              <m:t>e</m:t>
            </m:r>
          </m:e>
        </m:d>
      </m:oMath>
      <w:r>
        <w:t xml:space="preserve">, con</w:t>
      </w:r>
      <w:r>
        <w:t xml:space="preserve"> </w:t>
      </w:r>
      <m:oMath>
        <m:r>
          <m:t>y</m:t>
        </m:r>
        <m:r>
          <m:rPr>
            <m:sty m:val="p"/>
          </m:rPr>
          <m:t>′</m:t>
        </m:r>
        <m:r>
          <m:rPr>
            <m:sty m:val="p"/>
          </m:rPr>
          <m:t>&gt;</m:t>
        </m:r>
        <m:r>
          <m:t>0</m:t>
        </m:r>
      </m:oMath>
      <w:r>
        <w:t xml:space="preserve"> </w:t>
      </w:r>
      <w:r>
        <w:t xml:space="preserve">e</w:t>
      </w:r>
      <w:r>
        <w:t xml:space="preserve"> </w:t>
      </w:r>
      <m:oMath>
        <m:r>
          <m:t>y</m:t>
        </m:r>
        <m:r>
          <m:rPr>
            <m:sty m:val="p"/>
          </m:rPr>
          <m:t>″</m:t>
        </m:r>
        <m:r>
          <m:rPr>
            <m:sty m:val="p"/>
          </m:rPr>
          <m:t>&lt;</m:t>
        </m:r>
        <m:r>
          <m:t>0</m:t>
        </m:r>
      </m:oMath>
      <w:r>
        <w:t xml:space="preserve">; si no, el comprador obtiene su opción exterior</w:t>
      </w:r>
      <w:r>
        <w:t xml:space="preserve"> </w:t>
      </w:r>
      <m:oMath>
        <m:sSub>
          <m:e>
            <m:r>
              <m:t>y</m:t>
            </m:r>
          </m:e>
          <m:sub>
            <m:r>
              <m:t>0</m:t>
            </m:r>
          </m:sub>
        </m:sSub>
        <m:d>
          <m:dPr>
            <m:begChr m:val="("/>
            <m:sepChr m:val=""/>
            <m:endChr m:val=")"/>
            <m:grow/>
          </m:dPr>
          <m:e>
            <m:r>
              <m:t>e</m:t>
            </m:r>
          </m:e>
        </m:d>
      </m:oMath>
      <w:r>
        <w:t xml:space="preserve">, con</w:t>
      </w:r>
      <w:r>
        <w:t xml:space="preserve"> </w:t>
      </w:r>
      <m:oMath>
        <m:r>
          <m:t>0</m:t>
        </m:r>
        <m:r>
          <m:rPr>
            <m:sty m:val="p"/>
          </m:rPr>
          <m:t>≤</m:t>
        </m:r>
        <m:sSub>
          <m:e>
            <m:r>
              <m:t>y</m:t>
            </m:r>
          </m:e>
          <m:sub>
            <m:r>
              <m:t>0</m:t>
            </m:r>
          </m:sub>
        </m:sSub>
        <m:r>
          <m:rPr>
            <m:sty m:val="p"/>
          </m:rPr>
          <m:t>′</m:t>
        </m:r>
        <m:d>
          <m:dPr>
            <m:begChr m:val="("/>
            <m:sepChr m:val=""/>
            <m:endChr m:val=")"/>
            <m:grow/>
          </m:dPr>
          <m:e>
            <m:r>
              <m:t>e</m:t>
            </m:r>
          </m:e>
        </m:d>
        <m:r>
          <m:rPr>
            <m:sty m:val="p"/>
          </m:rPr>
          <m:t>&lt;</m:t>
        </m:r>
        <m:r>
          <m:t>y</m:t>
        </m:r>
        <m:r>
          <m:rPr>
            <m:sty m:val="p"/>
          </m:rPr>
          <m:t>′</m:t>
        </m:r>
        <m:d>
          <m:dPr>
            <m:begChr m:val="("/>
            <m:sepChr m:val=""/>
            <m:endChr m:val=")"/>
            <m:grow/>
          </m:dPr>
          <m:e>
            <m:r>
              <m:t>e</m:t>
            </m:r>
          </m:e>
        </m:d>
      </m:oMath>
      <w:r>
        <w:t xml:space="preserve"> </w:t>
      </w:r>
      <w:r>
        <w:t xml:space="preserve">(la inversión vale menos fuera de la relación: es específica), y el vendedor obtiene 0. Después de invertir, negocian y se reparten a partes iguales la ganancia de comerciar: la solución de negociación de</w:t>
      </w:r>
      <w:r>
        <w:t xml:space="preserve"> </w:t>
      </w:r>
      <w:r>
        <w:rPr>
          <w:smallCaps/>
        </w:rPr>
        <w:t xml:space="preserve">Nash</w:t>
      </w:r>
      <w:r>
        <w:t xml:space="preserve"> </w:t>
      </w:r>
      <w:r>
        <w:t xml:space="preserve">simétrica, con poder de negociación</w:t>
      </w:r>
      <w:r>
        <w:t xml:space="preserve"> </w:t>
      </w:r>
      <m:oMath>
        <m:r>
          <m:t>γ</m:t>
        </m:r>
        <m:r>
          <m:rPr>
            <m:sty m:val="p"/>
          </m:rPr>
          <m:t>=</m:t>
        </m:r>
        <m:f>
          <m:fPr>
            <m:type m:val="lin"/>
          </m:fPr>
          <m:num>
            <m:r>
              <m:t>1</m:t>
            </m:r>
          </m:num>
          <m:den>
            <m:r>
              <m:t>2</m:t>
            </m:r>
          </m:den>
        </m:f>
      </m:oMath>
      <w:r>
        <w:t xml:space="preserve"> </w:t>
      </w:r>
      <w:r>
        <w:t xml:space="preserve">(</w:t>
      </w:r>
      <w:hyperlink w:anchor="ref_Nash1950Bargaining">
        <w:r>
          <w:rPr>
            <w:rStyle w:val="Hyperlink"/>
            <w:smallCaps/>
          </w:rPr>
          <w:t xml:space="preserve">Nash</w:t>
        </w:r>
        <w:r>
          <w:rPr>
            <w:rStyle w:val="Hyperlink"/>
          </w:rPr>
          <w:t xml:space="preserve">, 1950</w:t>
        </w:r>
      </w:hyperlink>
      <w:r>
        <w:t xml:space="preserve">)</w:t>
      </w:r>
      <w:r>
        <w:t xml:space="preserve"> </w:t>
      </w:r>
      <w:hyperlink r:id="rId36">
        <w:r>
          <w:rPr>
            <w:rStyle w:val="Referenciaatema"/>
          </w:rPr>
          <w:t xml:space="preserve">[ver tema 3.A.14]</w:t>
        </w:r>
      </w:hyperlink>
      <w:r>
        <w:t xml:space="preserve">.</w:t>
      </w:r>
    </w:p>
    <w:bookmarkEnd w:id="131"/>
    <w:bookmarkStart w:id="132" w:name="ii_desarrollo_5"/>
    <w:p>
      <w:pPr>
        <w:pStyle w:val="Heading5"/>
      </w:pPr>
      <w:r>
        <w:t xml:space="preserve">ii) Desarrollo</w:t>
      </w:r>
    </w:p>
    <w:p>
      <w:pPr>
        <w:numPr>
          <w:ilvl w:val="0"/>
          <w:numId w:val="1060"/>
        </w:numPr>
      </w:pPr>
      <w:r>
        <w:t xml:space="preserve">El comprador anticipa que recibirá su opción exterior más la mitad de la ganancia,</w:t>
      </w:r>
      <w:r>
        <w:t xml:space="preserve"> </w:t>
      </w:r>
      <m:oMath>
        <m:sSub>
          <m:e>
            <m:r>
              <m:t>y</m:t>
            </m:r>
          </m:e>
          <m:sub>
            <m:r>
              <m:t>0</m:t>
            </m:r>
          </m:sub>
        </m:sSub>
        <m:d>
          <m:dPr>
            <m:begChr m:val="("/>
            <m:sepChr m:val=""/>
            <m:endChr m:val=")"/>
            <m:grow/>
          </m:dPr>
          <m:e>
            <m:r>
              <m:t>e</m:t>
            </m:r>
          </m:e>
        </m:d>
        <m:r>
          <m:rPr>
            <m:sty m:val="p"/>
          </m:rPr>
          <m:t>+</m:t>
        </m:r>
        <m:f>
          <m:fPr>
            <m:type m:val="lin"/>
          </m:fPr>
          <m:num>
            <m:r>
              <m:t>1</m:t>
            </m:r>
          </m:num>
          <m:den>
            <m:r>
              <m:t>2</m:t>
            </m:r>
          </m:den>
        </m:f>
        <m:r>
          <m:t> </m:t>
        </m:r>
        <m:d>
          <m:dPr>
            <m:begChr m:val="["/>
            <m:sepChr m:val=""/>
            <m:endChr m:val="]"/>
            <m:grow/>
          </m:dPr>
          <m:e>
            <m:r>
              <m:t>y</m:t>
            </m:r>
            <m:d>
              <m:dPr>
                <m:begChr m:val="("/>
                <m:sepChr m:val=""/>
                <m:endChr m:val=")"/>
                <m:grow/>
              </m:dPr>
              <m:e>
                <m:r>
                  <m:t>e</m:t>
                </m:r>
              </m:e>
            </m:d>
            <m:r>
              <m:rPr>
                <m:sty m:val="p"/>
              </m:rPr>
              <m:t>−</m:t>
            </m:r>
            <m:sSub>
              <m:e>
                <m:r>
                  <m:t>y</m:t>
                </m:r>
              </m:e>
              <m:sub>
                <m:r>
                  <m:t>0</m:t>
                </m:r>
              </m:sub>
            </m:sSub>
            <m:d>
              <m:dPr>
                <m:begChr m:val="("/>
                <m:sepChr m:val=""/>
                <m:endChr m:val=")"/>
                <m:grow/>
              </m:dPr>
              <m:e>
                <m:r>
                  <m:t>e</m:t>
                </m:r>
              </m:e>
            </m:d>
          </m:e>
        </m:d>
        <m:r>
          <m:rPr>
            <m:sty m:val="p"/>
          </m:rPr>
          <m:t>−</m:t>
        </m:r>
        <m:r>
          <m:t>e</m:t>
        </m:r>
      </m:oMath>
      <w:r>
        <w:t xml:space="preserve">, e invierte hasta</w:t>
      </w:r>
    </w:p>
    <w:p>
      <w:pPr>
        <w:pStyle w:val="BodyText"/>
        <w:keepNext/>
      </w:pPr>
      <m:oMathPara>
        <m:oMathParaPr>
          <m:jc m:val="center"/>
        </m:oMathParaPr>
        <m:oMath>
          <m:f>
            <m:fPr>
              <m:type m:val="lin"/>
            </m:fPr>
            <m:num>
              <m:r>
                <m:t>1</m:t>
              </m:r>
            </m:num>
            <m:den>
              <m:r>
                <m:t>2</m:t>
              </m:r>
            </m:den>
          </m:f>
          <m:r>
            <m:t> </m:t>
          </m:r>
          <m:r>
            <m:t>y</m:t>
          </m:r>
          <m:r>
            <m:rPr>
              <m:sty m:val="p"/>
            </m:rPr>
            <m:t>′</m:t>
          </m:r>
          <m:d>
            <m:dPr>
              <m:begChr m:val="("/>
              <m:sepChr m:val=""/>
              <m:endChr m:val=")"/>
              <m:grow/>
            </m:dPr>
            <m:e>
              <m:sSup>
                <m:e>
                  <m:r>
                    <m:t>e</m:t>
                  </m:r>
                </m:e>
                <m:sup>
                  <m:r>
                    <m:rPr>
                      <m:sty m:val="p"/>
                    </m:rPr>
                    <m:t>*</m:t>
                  </m:r>
                </m:sup>
              </m:sSup>
            </m:e>
          </m:d>
          <m:r>
            <m:rPr>
              <m:sty m:val="p"/>
            </m:rPr>
            <m:t>+</m:t>
          </m:r>
          <m:f>
            <m:fPr>
              <m:type m:val="lin"/>
            </m:fPr>
            <m:num>
              <m:r>
                <m:t>1</m:t>
              </m:r>
            </m:num>
            <m:den>
              <m:r>
                <m:t>2</m:t>
              </m:r>
            </m:den>
          </m:f>
          <m:r>
            <m:t> </m:t>
          </m:r>
          <m:sSub>
            <m:e>
              <m:r>
                <m:t>y</m:t>
              </m:r>
            </m:e>
            <m:sub>
              <m:r>
                <m:t>0</m:t>
              </m:r>
            </m:sub>
          </m:sSub>
          <m:r>
            <m:rPr>
              <m:sty m:val="p"/>
            </m:rPr>
            <m:t>′</m:t>
          </m:r>
          <m:d>
            <m:dPr>
              <m:begChr m:val="("/>
              <m:sepChr m:val=""/>
              <m:endChr m:val=")"/>
              <m:grow/>
            </m:dPr>
            <m:e>
              <m:sSup>
                <m:e>
                  <m:r>
                    <m:t>e</m:t>
                  </m:r>
                </m:e>
                <m:sup>
                  <m:r>
                    <m:rPr>
                      <m:sty m:val="p"/>
                    </m:rPr>
                    <m:t>*</m:t>
                  </m:r>
                </m:sup>
              </m:sSup>
            </m:e>
          </m:d>
          <m:r>
            <m:rPr>
              <m:sty m:val="p"/>
            </m:rPr>
            <m:t>=</m:t>
          </m:r>
          <m:r>
            <m:t>1</m:t>
          </m:r>
          <m:r>
            <m:rPr>
              <m:sty m:val="p"/>
            </m:rPr>
            <m:t>,</m:t>
          </m:r>
        </m:oMath>
      </m:oMathPara>
    </w:p>
    <w:p>
      <w:pPr>
        <w:numPr>
          <w:ilvl w:val="0"/>
          <w:numId w:val="1000"/>
        </w:numPr>
      </w:pPr>
      <w:r>
        <w:t xml:space="preserve">mientras que la inversión eficiente cumple</w:t>
      </w:r>
      <w:r>
        <w:t xml:space="preserve"> </w:t>
      </w:r>
      <m:oMath>
        <m:r>
          <m:t>y</m:t>
        </m:r>
        <m:r>
          <m:rPr>
            <m:sty m:val="p"/>
          </m:rPr>
          <m:t>′</m:t>
        </m:r>
        <m:d>
          <m:dPr>
            <m:begChr m:val="("/>
            <m:sepChr m:val=""/>
            <m:endChr m:val=")"/>
            <m:grow/>
          </m:dPr>
          <m:e>
            <m:sSup>
              <m:e>
                <m:r>
                  <m:t>e</m:t>
                </m:r>
              </m:e>
              <m:sup>
                <m:r>
                  <m:t>o</m:t>
                </m:r>
              </m:sup>
            </m:sSup>
          </m:e>
        </m:d>
        <m:r>
          <m:rPr>
            <m:sty m:val="p"/>
          </m:rPr>
          <m:t>=</m:t>
        </m:r>
        <m:r>
          <m:t>1</m:t>
        </m:r>
      </m:oMath>
      <w:r>
        <w:t xml:space="preserve">. Como</w:t>
      </w:r>
      <w:r>
        <w:t xml:space="preserve"> </w:t>
      </w:r>
      <m:oMath>
        <m:sSub>
          <m:e>
            <m:r>
              <m:t>y</m:t>
            </m:r>
          </m:e>
          <m:sub>
            <m:r>
              <m:t>0</m:t>
            </m:r>
          </m:sub>
        </m:sSub>
        <m:r>
          <m:rPr>
            <m:sty m:val="p"/>
          </m:rPr>
          <m:t>′</m:t>
        </m:r>
        <m:r>
          <m:rPr>
            <m:sty m:val="p"/>
          </m:rPr>
          <m:t>&lt;</m:t>
        </m:r>
        <m:r>
          <m:t>y</m:t>
        </m:r>
        <m:r>
          <m:rPr>
            <m:sty m:val="p"/>
          </m:rPr>
          <m:t>′</m:t>
        </m:r>
      </m:oMath>
      <w:r>
        <w:t xml:space="preserve">, en</w:t>
      </w:r>
      <w:r>
        <w:t xml:space="preserve"> </w:t>
      </w:r>
      <m:oMath>
        <m:sSup>
          <m:e>
            <m:r>
              <m:t>e</m:t>
            </m:r>
          </m:e>
          <m:sup>
            <m:r>
              <m:rPr>
                <m:sty m:val="p"/>
              </m:rPr>
              <m:t>*</m:t>
            </m:r>
          </m:sup>
        </m:sSup>
      </m:oMath>
      <w:r>
        <w:t xml:space="preserve"> </w:t>
      </w:r>
      <w:r>
        <w:t xml:space="preserve">el valor marginal de la inversión supera su coste:</w:t>
      </w:r>
      <w:r>
        <w:t xml:space="preserve"> </w:t>
      </w:r>
      <m:oMath>
        <m:sSup>
          <m:e>
            <m:r>
              <m:t>e</m:t>
            </m:r>
          </m:e>
          <m:sup>
            <m:r>
              <m:rPr>
                <m:sty m:val="p"/>
              </m:rPr>
              <m:t>*</m:t>
            </m:r>
          </m:sup>
        </m:sSup>
        <m:r>
          <m:rPr>
            <m:sty m:val="p"/>
          </m:rPr>
          <m:t>&lt;</m:t>
        </m:r>
        <m:sSup>
          <m:e>
            <m:r>
              <m:t>e</m:t>
            </m:r>
          </m:e>
          <m:sup>
            <m:r>
              <m:t>o</m:t>
            </m:r>
          </m:sup>
        </m:sSup>
      </m:oMath>
      <w:r>
        <w:t xml:space="preserve">, hay</w:t>
      </w:r>
      <w:r>
        <w:t xml:space="preserve"> </w:t>
      </w:r>
      <w:r>
        <w:rPr>
          <w:b/>
          <w:bCs/>
        </w:rPr>
        <w:t xml:space="preserve">infrainversión</w:t>
      </w:r>
      <w:r>
        <w:t xml:space="preserve">. Es el</w:t>
      </w:r>
      <w:r>
        <w:t xml:space="preserve"> </w:t>
      </w:r>
      <w:r>
        <w:rPr>
          <w:i/>
          <w:iCs/>
        </w:rPr>
        <w:t xml:space="preserve">hold-up</w:t>
      </w:r>
      <w:r>
        <w:t xml:space="preserve"> </w:t>
      </w:r>
      <w:r>
        <w:t xml:space="preserve">formalizado: el comprador paga todo el coste y se queda solo con una parte del rendimiento (anexo </w:t>
      </w:r>
      <w:hyperlink w:anchor="anexo_ghm">
        <w:r>
          <w:rPr>
            <w:rStyle w:val="Hyperlink"/>
          </w:rPr>
          <w:t xml:space="preserve">B.3</w:t>
        </w:r>
      </w:hyperlink>
      <w:r>
        <w:t xml:space="preserve">).</w:t>
      </w:r>
    </w:p>
    <w:p>
      <w:pPr>
        <w:numPr>
          <w:ilvl w:val="0"/>
          <w:numId w:val="1060"/>
        </w:numPr>
      </w:pPr>
      <w:r>
        <w:t xml:space="preserve">La propiedad mueve la opción exterior. Si el comprador es dueño también del activo del vendedor (integración), su opción exterior es mayor y más sensible a su inversión,</w:t>
      </w:r>
      <w:r>
        <w:t xml:space="preserve"> </w:t>
      </w:r>
      <m:oMath>
        <m:sSub>
          <m:e>
            <m:r>
              <m:t>y</m:t>
            </m:r>
          </m:e>
          <m:sub>
            <m:r>
              <m:t>0</m:t>
            </m:r>
          </m:sub>
        </m:sSub>
        <m:r>
          <m:rPr>
            <m:sty m:val="p"/>
          </m:rPr>
          <m:t>′</m:t>
        </m:r>
      </m:oMath>
      <w:r>
        <w:t xml:space="preserve"> </w:t>
      </w:r>
      <w:r>
        <w:t xml:space="preserve">sube y</w:t>
      </w:r>
      <w:r>
        <w:t xml:space="preserve"> </w:t>
      </w:r>
      <m:oMath>
        <m:sSup>
          <m:e>
            <m:r>
              <m:t>e</m:t>
            </m:r>
          </m:e>
          <m:sup>
            <m:r>
              <m:rPr>
                <m:sty m:val="p"/>
              </m:rPr>
              <m:t>*</m:t>
            </m:r>
          </m:sup>
        </m:sSup>
      </m:oMath>
      <w:r>
        <w:t xml:space="preserve"> </w:t>
      </w:r>
      <w:r>
        <w:t xml:space="preserve">se acerca a</w:t>
      </w:r>
      <w:r>
        <w:t xml:space="preserve"> </w:t>
      </w:r>
      <m:oMath>
        <m:sSup>
          <m:e>
            <m:r>
              <m:t>e</m:t>
            </m:r>
          </m:e>
          <m:sup>
            <m:r>
              <m:t>o</m:t>
            </m:r>
          </m:sup>
        </m:sSup>
      </m:oMath>
      <w:r>
        <w:t xml:space="preserve">. Pero si el vendedor también tuviera que invertir, perdería incentivos: integrar</w:t>
      </w:r>
      <w:r>
        <w:t xml:space="preserve"> </w:t>
      </w:r>
      <w:r>
        <w:rPr>
          <w:i/>
          <w:iCs/>
        </w:rPr>
        <w:t xml:space="preserve">da</w:t>
      </w:r>
      <w:r>
        <w:t xml:space="preserve"> </w:t>
      </w:r>
      <w:r>
        <w:t xml:space="preserve">incentivos al que compra y los</w:t>
      </w:r>
      <w:r>
        <w:t xml:space="preserve"> </w:t>
      </w:r>
      <w:r>
        <w:rPr>
          <w:i/>
          <w:iCs/>
        </w:rPr>
        <w:t xml:space="preserve">quita</w:t>
      </w:r>
      <w:r>
        <w:t xml:space="preserve"> </w:t>
      </w:r>
      <w:r>
        <w:t xml:space="preserve">al que es comprado.</w:t>
      </w:r>
    </w:p>
    <w:bookmarkEnd w:id="132"/>
    <w:bookmarkStart w:id="133" w:name="iii_implicaciones_5"/>
    <w:p>
      <w:pPr>
        <w:pStyle w:val="Heading5"/>
      </w:pPr>
      <w:r>
        <w:t xml:space="preserve">iii) Implicaciones</w:t>
      </w:r>
    </w:p>
    <w:p>
      <w:pPr>
        <w:numPr>
          <w:ilvl w:val="0"/>
          <w:numId w:val="1061"/>
        </w:numPr>
      </w:pPr>
      <w:r>
        <w:rPr>
          <w:i/>
          <w:iCs/>
        </w:rPr>
        <w:t xml:space="preserve">La integración tiene costes además de beneficios</w:t>
      </w:r>
      <w:r>
        <w:t xml:space="preserve">: la propiedad de los activos debe ir a la parte cuya inversión específica es más importante para el valor de la relación</w:t>
      </w:r>
      <w:r>
        <w:t xml:space="preserve"> </w:t>
      </w:r>
      <w:r>
        <w:t xml:space="preserve">(</w:t>
      </w:r>
      <w:hyperlink w:anchor="ref_GrossmanHart1986Costs">
        <w:r>
          <w:rPr>
            <w:rStyle w:val="Hyperlink"/>
            <w:smallCaps/>
          </w:rPr>
          <w:t xml:space="preserve">Grossman</w:t>
        </w:r>
        <w:r>
          <w:rPr>
            <w:rStyle w:val="Hyperlink"/>
          </w:rPr>
          <w:t xml:space="preserve"> </w:t>
        </w:r>
        <w:r>
          <w:rPr>
            <w:rStyle w:val="Hyperlink"/>
          </w:rPr>
          <w:t xml:space="preserve">y</w:t>
        </w:r>
        <w:r>
          <w:rPr>
            <w:rStyle w:val="Hyperlink"/>
          </w:rPr>
          <w:t xml:space="preserve"> </w:t>
        </w:r>
        <w:r>
          <w:rPr>
            <w:rStyle w:val="Hyperlink"/>
            <w:smallCaps/>
          </w:rPr>
          <w:t xml:space="preserve">Hart</w:t>
        </w:r>
        <w:r>
          <w:rPr>
            <w:rStyle w:val="Hyperlink"/>
          </w:rPr>
          <w:t xml:space="preserve">, 1986</w:t>
        </w:r>
      </w:hyperlink>
      <w:r>
        <w:t xml:space="preserve">)</w:t>
      </w:r>
      <w:r>
        <w:t xml:space="preserve">; los activos muy complementarios deben tener el mismo dueño, y los independientes, dueños distintos; la parte imprescindible debe ser propietaria</w:t>
      </w:r>
      <w:r>
        <w:t xml:space="preserve"> </w:t>
      </w:r>
      <w:r>
        <w:t xml:space="preserve">(</w:t>
      </w:r>
      <w:hyperlink w:anchor="ref_HartMoore1990Property">
        <w:r>
          <w:rPr>
            <w:rStyle w:val="Hyperlink"/>
            <w:smallCaps/>
          </w:rPr>
          <w:t xml:space="preserve">Hart</w:t>
        </w:r>
        <w:r>
          <w:rPr>
            <w:rStyle w:val="Hyperlink"/>
          </w:rPr>
          <w:t xml:space="preserve"> </w:t>
        </w:r>
        <w:r>
          <w:rPr>
            <w:rStyle w:val="Hyperlink"/>
          </w:rPr>
          <w:t xml:space="preserve">y</w:t>
        </w:r>
        <w:r>
          <w:rPr>
            <w:rStyle w:val="Hyperlink"/>
          </w:rPr>
          <w:t xml:space="preserve"> </w:t>
        </w:r>
        <w:r>
          <w:rPr>
            <w:rStyle w:val="Hyperlink"/>
            <w:smallCaps/>
          </w:rPr>
          <w:t xml:space="preserve">Moore</w:t>
        </w:r>
        <w:r>
          <w:rPr>
            <w:rStyle w:val="Hyperlink"/>
          </w:rPr>
          <w:t xml:space="preserve">, 1990</w:t>
        </w:r>
      </w:hyperlink>
      <w:r>
        <w:t xml:space="preserve">)</w:t>
      </w:r>
      <w:r>
        <w:t xml:space="preserve">.</w:t>
      </w:r>
    </w:p>
    <w:p>
      <w:pPr>
        <w:numPr>
          <w:ilvl w:val="0"/>
          <w:numId w:val="1061"/>
        </w:numPr>
      </w:pPr>
      <w:r>
        <w:rPr>
          <w:i/>
          <w:iCs/>
        </w:rPr>
        <w:t xml:space="preserve">La frontera de la empresa</w:t>
      </w:r>
      <w:r>
        <w:t xml:space="preserve">: es el conjunto de activos bajo propiedad común que da los mejores incentivos de inversión. La empresa</w:t>
      </w:r>
      <w:r>
        <w:t xml:space="preserve"> </w:t>
      </w:r>
      <w:r>
        <w:rPr>
          <w:i/>
          <w:iCs/>
        </w:rPr>
        <w:t xml:space="preserve">no</w:t>
      </w:r>
      <w:r>
        <w:t xml:space="preserve"> </w:t>
      </w:r>
      <w:r>
        <w:t xml:space="preserve">crece hasta hacerse con todos los derechos residuales: la integración hacia atrás (el comprador adquiere al vendedor), hacia delante (el vendedor adquiere al comprador) o la no integración pueden ser cada una la mejor, según quién invierte. Ese coste de integrar es un</w:t>
      </w:r>
      <w:r>
        <w:t xml:space="preserve"> </w:t>
      </w:r>
      <w:r>
        <w:rPr>
          <w:i/>
          <w:iCs/>
        </w:rPr>
        <w:t xml:space="preserve">límite</w:t>
      </w:r>
      <w:r>
        <w:t xml:space="preserve"> </w:t>
      </w:r>
      <w:r>
        <w:t xml:space="preserve">al tamaño de la empresa que el enfoque tecnológico no ve.</w:t>
      </w:r>
    </w:p>
    <w:bookmarkEnd w:id="133"/>
    <w:bookmarkEnd w:id="134"/>
    <w:bookmarkStart w:id="136" w:name="c_extensiones_1"/>
    <w:p>
      <w:pPr>
        <w:pStyle w:val="Heading4"/>
      </w:pPr>
      <w:r>
        <w:t xml:space="preserve">c) Extensiones</w:t>
      </w:r>
    </w:p>
    <w:p>
      <w:pPr>
        <w:numPr>
          <w:ilvl w:val="0"/>
          <w:numId w:val="1062"/>
        </w:numPr>
      </w:pPr>
      <w:r>
        <w:rPr>
          <w:i/>
          <w:iCs/>
        </w:rPr>
        <w:t xml:space="preserve">Propiedad pública o privada</w:t>
      </w:r>
      <w:r>
        <w:t xml:space="preserve">: un gestor privado de prisiones tiene incentivos a reducir costes que también reducen la calidad no contratable (la formación de los vigilantes), y el Estado debería mantener la propiedad cuando ese deterioro es grave</w:t>
      </w:r>
      <w:r>
        <w:t xml:space="preserve"> </w:t>
      </w:r>
      <w:r>
        <w:t xml:space="preserve">(</w:t>
      </w:r>
      <w:hyperlink w:anchor="ref_HartShleiferVishny1997Proper">
        <w:r>
          <w:rPr>
            <w:rStyle w:val="Hyperlink"/>
            <w:smallCaps/>
          </w:rPr>
          <w:t xml:space="preserve">Hart</w:t>
        </w:r>
        <w:r>
          <w:rPr>
            <w:rStyle w:val="Hyperlink"/>
          </w:rPr>
          <w:t xml:space="preserve">,</w:t>
        </w:r>
        <w:r>
          <w:rPr>
            <w:rStyle w:val="Hyperlink"/>
          </w:rPr>
          <w:t xml:space="preserve"> </w:t>
        </w:r>
        <w:r>
          <w:rPr>
            <w:rStyle w:val="Hyperlink"/>
            <w:smallCaps/>
          </w:rPr>
          <w:t xml:space="preserve">Shleifer</w:t>
        </w:r>
        <w:r>
          <w:rPr>
            <w:rStyle w:val="Hyperlink"/>
          </w:rPr>
          <w:t xml:space="preserve"> </w:t>
        </w:r>
        <w:r>
          <w:rPr>
            <w:rStyle w:val="Hyperlink"/>
          </w:rPr>
          <w:t xml:space="preserve">y</w:t>
        </w:r>
        <w:r>
          <w:rPr>
            <w:rStyle w:val="Hyperlink"/>
          </w:rPr>
          <w:t xml:space="preserve"> </w:t>
        </w:r>
        <w:r>
          <w:rPr>
            <w:rStyle w:val="Hyperlink"/>
            <w:smallCaps/>
          </w:rPr>
          <w:t xml:space="preserve">Vishny</w:t>
        </w:r>
        <w:r>
          <w:rPr>
            <w:rStyle w:val="Hyperlink"/>
          </w:rPr>
          <w:t xml:space="preserve">, 1997</w:t>
        </w:r>
      </w:hyperlink>
      <w:r>
        <w:t xml:space="preserve">)</w:t>
      </w:r>
      <w:r>
        <w:t xml:space="preserve">; para ampliar,</w:t>
      </w:r>
      <w:r>
        <w:t xml:space="preserve"> </w:t>
      </w:r>
      <w:hyperlink r:id="rId91">
        <w:r>
          <w:rPr>
            <w:rStyle w:val="Referenciaatema"/>
          </w:rPr>
          <w:t xml:space="preserve">[ver tema 4.B.15]</w:t>
        </w:r>
      </w:hyperlink>
      <w:r>
        <w:t xml:space="preserve">.</w:t>
      </w:r>
    </w:p>
    <w:p>
      <w:pPr>
        <w:numPr>
          <w:ilvl w:val="0"/>
          <w:numId w:val="1062"/>
        </w:numPr>
      </w:pPr>
      <w:r>
        <w:rPr>
          <w:i/>
          <w:iCs/>
        </w:rPr>
        <w:t xml:space="preserve">Finanzas</w:t>
      </w:r>
      <w:r>
        <w:t xml:space="preserve">: la deuda y las acciones se pueden ver como un reparto de los derechos de control entre acreedores y accionistas</w:t>
      </w:r>
      <w:r>
        <w:t xml:space="preserve"> </w:t>
      </w:r>
      <w:hyperlink r:id="rId135">
        <w:r>
          <w:rPr>
            <w:rStyle w:val="Referenciaatema"/>
          </w:rPr>
          <w:t xml:space="preserve">[ver tema 3.B.3]</w:t>
        </w:r>
      </w:hyperlink>
      <w:r>
        <w:t xml:space="preserve">.</w:t>
      </w:r>
    </w:p>
    <w:bookmarkEnd w:id="136"/>
    <w:bookmarkStart w:id="137" w:name="d_evidencia_emp__rica"/>
    <w:p>
      <w:pPr>
        <w:pStyle w:val="Heading4"/>
      </w:pPr>
      <w:r>
        <w:t xml:space="preserve">d) Evidencia empírica</w:t>
      </w:r>
    </w:p>
    <w:p>
      <w:pPr>
        <w:numPr>
          <w:ilvl w:val="0"/>
          <w:numId w:val="1063"/>
        </w:numPr>
      </w:pPr>
      <w:r>
        <w:t xml:space="preserve">En el transporte por carretera de Estados Unidos, la llegada de ordenadores a bordo, que hacen verificables más acciones del conductor, cambió quién era dueño de los camiones, como predice la teoría</w:t>
      </w:r>
      <w:r>
        <w:t xml:space="preserve"> </w:t>
      </w:r>
      <w:r>
        <w:t xml:space="preserve">(</w:t>
      </w:r>
      <w:hyperlink w:anchor="ref_BakerHubbard2003Make">
        <w:r>
          <w:rPr>
            <w:rStyle w:val="Hyperlink"/>
            <w:smallCaps/>
          </w:rPr>
          <w:t xml:space="preserve">Baker</w:t>
        </w:r>
        <w:r>
          <w:rPr>
            <w:rStyle w:val="Hyperlink"/>
          </w:rPr>
          <w:t xml:space="preserve"> </w:t>
        </w:r>
        <w:r>
          <w:rPr>
            <w:rStyle w:val="Hyperlink"/>
          </w:rPr>
          <w:t xml:space="preserve">y</w:t>
        </w:r>
        <w:r>
          <w:rPr>
            <w:rStyle w:val="Hyperlink"/>
          </w:rPr>
          <w:t xml:space="preserve"> </w:t>
        </w:r>
        <w:r>
          <w:rPr>
            <w:rStyle w:val="Hyperlink"/>
            <w:smallCaps/>
          </w:rPr>
          <w:t xml:space="preserve">Hubbard</w:t>
        </w:r>
        <w:r>
          <w:rPr>
            <w:rStyle w:val="Hyperlink"/>
          </w:rPr>
          <w:t xml:space="preserve">, 2003</w:t>
        </w:r>
      </w:hyperlink>
      <w:r>
        <w:t xml:space="preserve">)</w:t>
      </w:r>
      <w:r>
        <w:t xml:space="preserve">.</w:t>
      </w:r>
    </w:p>
    <w:bookmarkEnd w:id="137"/>
    <w:bookmarkStart w:id="138" w:name="e_valoraci__n"/>
    <w:p>
      <w:pPr>
        <w:pStyle w:val="Heading4"/>
      </w:pPr>
      <w:r>
        <w:t xml:space="preserve">e) Valoración</w:t>
      </w:r>
    </w:p>
    <w:p>
      <w:pPr>
        <w:numPr>
          <w:ilvl w:val="0"/>
          <w:numId w:val="1064"/>
        </w:numPr>
      </w:pPr>
      <w:r>
        <w:t xml:space="preserve">Explica por qué la propiedad importa y por qué integrar no es gratis, y valió a</w:t>
      </w:r>
      <w:r>
        <w:t xml:space="preserve"> </w:t>
      </w:r>
      <w:r>
        <w:rPr>
          <w:smallCaps/>
        </w:rPr>
        <w:t xml:space="preserve">Hart</w:t>
      </w:r>
      <w:r>
        <w:t xml:space="preserve"> </w:t>
      </w:r>
      <w:r>
        <w:t xml:space="preserve">el Nobel de 2016, compartido con</w:t>
      </w:r>
      <w:r>
        <w:t xml:space="preserve"> </w:t>
      </w:r>
      <w:r>
        <w:rPr>
          <w:smallCaps/>
        </w:rPr>
        <w:t xml:space="preserve">Holmström</w:t>
      </w:r>
      <w:r>
        <w:t xml:space="preserve"> </w:t>
      </w:r>
      <w:r>
        <w:t xml:space="preserve">por la teoría de los contratos. Sus críticas: supone que la negociación</w:t>
      </w:r>
      <w:r>
        <w:t xml:space="preserve"> </w:t>
      </w:r>
      <w:r>
        <w:rPr>
          <w:i/>
          <w:iCs/>
        </w:rPr>
        <w:t xml:space="preserve">ex post</w:t>
      </w:r>
      <w:r>
        <w:t xml:space="preserve"> </w:t>
      </w:r>
      <w:r>
        <w:t xml:space="preserve">es eficiente, aunque no se pueda contratar</w:t>
      </w:r>
      <w:r>
        <w:t xml:space="preserve"> </w:t>
      </w:r>
      <w:r>
        <w:rPr>
          <w:i/>
          <w:iCs/>
        </w:rPr>
        <w:t xml:space="preserve">ex ante</w:t>
      </w:r>
      <w:r>
        <w:t xml:space="preserve"> </w:t>
      </w:r>
      <w:r>
        <w:t xml:space="preserve">(</w:t>
      </w:r>
      <w:hyperlink w:anchor="ref_Hart2017Incomplete">
        <w:r>
          <w:rPr>
            <w:rStyle w:val="Hyperlink"/>
            <w:smallCaps/>
          </w:rPr>
          <w:t xml:space="preserve">Hart</w:t>
        </w:r>
        <w:r>
          <w:rPr>
            <w:rStyle w:val="Hyperlink"/>
          </w:rPr>
          <w:t xml:space="preserve">, 2017</w:t>
        </w:r>
      </w:hyperlink>
      <w:r>
        <w:t xml:space="preserve">)</w:t>
      </w:r>
      <w:r>
        <w:t xml:space="preserve">, y se centra en la inversión en activos físicos, cuando en muchas empresas el activo clave es el capital humano, que no se puede poseer.</w:t>
      </w:r>
    </w:p>
    <w:bookmarkEnd w:id="138"/>
    <w:bookmarkEnd w:id="139"/>
    <w:bookmarkStart w:id="140" w:name="sec_otros_enfoques"/>
    <w:p>
      <w:pPr>
        <w:pStyle w:val="Heading2"/>
      </w:pPr>
      <w:r>
        <w:t xml:space="preserve">II.4.</w:t>
      </w:r>
      <w:r>
        <w:t xml:space="preserve"> </w:t>
      </w:r>
      <w:r>
        <w:t xml:space="preserve">Otras teorías de la empresa e implicaciones de política económica</w:t>
      </w:r>
    </w:p>
    <w:p>
      <w:pPr>
        <w:keepNext/>
        <w:numPr>
          <w:ilvl w:val="0"/>
          <w:numId w:val="1065"/>
        </w:numPr>
      </w:pPr>
      <w:r>
        <w:t xml:space="preserve">Una vez vistos los 3 enfoques centrales, otras teorías ponen el acento en otros rasgos de la empresa; todas son complementarias de las anteriores:</w:t>
      </w:r>
    </w:p>
    <w:p>
      <w:pPr>
        <w:numPr>
          <w:ilvl w:val="1"/>
          <w:numId w:val="1066"/>
        </w:numPr>
      </w:pPr>
      <w:r>
        <w:rPr>
          <w:i/>
          <w:iCs/>
        </w:rPr>
        <w:t xml:space="preserve">La producción en equipo</w:t>
      </w:r>
      <w:r>
        <w:t xml:space="preserve"> </w:t>
      </w:r>
      <w:r>
        <w:t xml:space="preserve">(</w:t>
      </w:r>
      <w:hyperlink w:anchor="ref_AlchianDemsetz1972Production">
        <w:r>
          <w:rPr>
            <w:rStyle w:val="Hyperlink"/>
            <w:smallCaps/>
          </w:rPr>
          <w:t xml:space="preserve">Alchian</w:t>
        </w:r>
        <w:r>
          <w:rPr>
            <w:rStyle w:val="Hyperlink"/>
          </w:rPr>
          <w:t xml:space="preserve"> </w:t>
        </w:r>
        <w:r>
          <w:rPr>
            <w:rStyle w:val="Hyperlink"/>
          </w:rPr>
          <w:t xml:space="preserve">y</w:t>
        </w:r>
        <w:r>
          <w:rPr>
            <w:rStyle w:val="Hyperlink"/>
          </w:rPr>
          <w:t xml:space="preserve"> </w:t>
        </w:r>
        <w:r>
          <w:rPr>
            <w:rStyle w:val="Hyperlink"/>
            <w:smallCaps/>
          </w:rPr>
          <w:t xml:space="preserve">Demsetz</w:t>
        </w:r>
        <w:r>
          <w:rPr>
            <w:rStyle w:val="Hyperlink"/>
          </w:rPr>
          <w:t xml:space="preserve">, 1972</w:t>
        </w:r>
      </w:hyperlink>
      <w:r>
        <w:t xml:space="preserve">)</w:t>
      </w:r>
      <w:r>
        <w:t xml:space="preserve">: cuando varios trabajan juntos, el resultado conjunto es mayor que la suma de las partes, pero solo se observa ese resultado y cada uno tiene incentivos a escaquearse. La solución es un supervisor que mida la productividad, vigile y sancione (despida, resuelva contratos), y para que tenga incentivos a vigilar se le da el</w:t>
      </w:r>
      <w:r>
        <w:t xml:space="preserve"> </w:t>
      </w:r>
      <w:r>
        <w:rPr>
          <w:i/>
          <w:iCs/>
        </w:rPr>
        <w:t xml:space="preserve">derecho al beneficio residual</w:t>
      </w:r>
      <w:r>
        <w:t xml:space="preserve">: el empresario es el</w:t>
      </w:r>
      <w:r>
        <w:t xml:space="preserve"> </w:t>
      </w:r>
      <w:r>
        <w:rPr>
          <w:b/>
          <w:bCs/>
        </w:rPr>
        <w:t xml:space="preserve">perceptor del residuo</w:t>
      </w:r>
      <w:r>
        <w:t xml:space="preserve">. Para</w:t>
      </w:r>
      <w:r>
        <w:t xml:space="preserve"> </w:t>
      </w:r>
      <w:r>
        <w:rPr>
          <w:smallCaps/>
        </w:rPr>
        <w:t xml:space="preserve">Alchian</w:t>
      </w:r>
      <w:r>
        <w:t xml:space="preserve"> </w:t>
      </w:r>
      <w:r>
        <w:t xml:space="preserve">y</w:t>
      </w:r>
      <w:r>
        <w:t xml:space="preserve"> </w:t>
      </w:r>
      <w:r>
        <w:rPr>
          <w:smallCaps/>
        </w:rPr>
        <w:t xml:space="preserve">Demsetz</w:t>
      </w:r>
      <w:r>
        <w:t xml:space="preserve">, la empresa no tiene un poder de mando distinto del de cualquier contrato: es un contratista central.</w:t>
      </w:r>
    </w:p>
    <w:p>
      <w:pPr>
        <w:numPr>
          <w:ilvl w:val="1"/>
          <w:numId w:val="1066"/>
        </w:numPr>
      </w:pPr>
      <w:r>
        <w:rPr>
          <w:i/>
          <w:iCs/>
        </w:rPr>
        <w:t xml:space="preserve">La empresa como nexo de contratos</w:t>
      </w:r>
      <w:r>
        <w:t xml:space="preserve"> </w:t>
      </w:r>
      <w:r>
        <w:t xml:space="preserve">(</w:t>
      </w:r>
      <w:hyperlink w:anchor="ref_JensenMeckling1976Theory">
        <w:r>
          <w:rPr>
            <w:rStyle w:val="Hyperlink"/>
            <w:smallCaps/>
          </w:rPr>
          <w:t xml:space="preserve">Jensen</w:t>
        </w:r>
        <w:r>
          <w:rPr>
            <w:rStyle w:val="Hyperlink"/>
          </w:rPr>
          <w:t xml:space="preserve"> </w:t>
        </w:r>
        <w:r>
          <w:rPr>
            <w:rStyle w:val="Hyperlink"/>
          </w:rPr>
          <w:t xml:space="preserve">y</w:t>
        </w:r>
        <w:r>
          <w:rPr>
            <w:rStyle w:val="Hyperlink"/>
          </w:rPr>
          <w:t xml:space="preserve"> </w:t>
        </w:r>
        <w:r>
          <w:rPr>
            <w:rStyle w:val="Hyperlink"/>
            <w:smallCaps/>
          </w:rPr>
          <w:t xml:space="preserve">Meckling</w:t>
        </w:r>
        <w:r>
          <w:rPr>
            <w:rStyle w:val="Hyperlink"/>
          </w:rPr>
          <w:t xml:space="preserve">, 1976</w:t>
        </w:r>
      </w:hyperlink>
      <w:r>
        <w:t xml:space="preserve">)</w:t>
      </w:r>
      <w:r>
        <w:t xml:space="preserve">: es la red de contratos entre propietarios, directivos, trabajadores, acreedores y proveedores, y su forma minimiza los costes de agencia (</w:t>
      </w:r>
      <w:hyperlink w:anchor="sec_agencia">
        <w:r>
          <w:rPr>
            <w:rStyle w:val="Hyperlink"/>
          </w:rPr>
          <w:t xml:space="preserve">I.2.3</w:t>
        </w:r>
      </w:hyperlink>
      <w:r>
        <w:t xml:space="preserve">).</w:t>
      </w:r>
    </w:p>
    <w:p>
      <w:pPr>
        <w:numPr>
          <w:ilvl w:val="1"/>
          <w:numId w:val="1066"/>
        </w:numPr>
      </w:pPr>
      <w:r>
        <w:rPr>
          <w:i/>
          <w:iCs/>
        </w:rPr>
        <w:t xml:space="preserve">La empresa como sistema de incentivos</w:t>
      </w:r>
      <w:r>
        <w:t xml:space="preserve"> </w:t>
      </w:r>
      <w:r>
        <w:t xml:space="preserve">(</w:t>
      </w:r>
      <w:hyperlink w:anchor="ref_HolmstromMilgrom1994Firm">
        <w:r>
          <w:rPr>
            <w:rStyle w:val="Hyperlink"/>
            <w:smallCaps/>
          </w:rPr>
          <w:t xml:space="preserve">Holmström</w:t>
        </w:r>
        <w:r>
          <w:rPr>
            <w:rStyle w:val="Hyperlink"/>
          </w:rPr>
          <w:t xml:space="preserve"> </w:t>
        </w:r>
        <w:r>
          <w:rPr>
            <w:rStyle w:val="Hyperlink"/>
          </w:rPr>
          <w:t xml:space="preserve">y</w:t>
        </w:r>
        <w:r>
          <w:rPr>
            <w:rStyle w:val="Hyperlink"/>
          </w:rPr>
          <w:t xml:space="preserve"> </w:t>
        </w:r>
        <w:r>
          <w:rPr>
            <w:rStyle w:val="Hyperlink"/>
            <w:smallCaps/>
          </w:rPr>
          <w:t xml:space="preserve">Milgrom</w:t>
        </w:r>
        <w:r>
          <w:rPr>
            <w:rStyle w:val="Hyperlink"/>
          </w:rPr>
          <w:t xml:space="preserve">, 1994</w:t>
        </w:r>
      </w:hyperlink>
      <w:r>
        <w:t xml:space="preserve">)</w:t>
      </w:r>
      <w:r>
        <w:t xml:space="preserve">: la propiedad de los activos, la retribución y el diseño de los puestos se eligen juntos porque son complementarios; un empleado con incentivos débiles y sin activos propios es coherente, y un contratista con incentivos fuertes y sus propias herramientas, también.</w:t>
      </w:r>
    </w:p>
    <w:p>
      <w:pPr>
        <w:numPr>
          <w:ilvl w:val="1"/>
          <w:numId w:val="1066"/>
        </w:numPr>
      </w:pPr>
      <w:r>
        <w:rPr>
          <w:i/>
          <w:iCs/>
        </w:rPr>
        <w:t xml:space="preserve">Autoridad formal y real</w:t>
      </w:r>
      <w:r>
        <w:t xml:space="preserve"> </w:t>
      </w:r>
      <w:r>
        <w:t xml:space="preserve">(</w:t>
      </w:r>
      <w:hyperlink w:anchor="ref_AghionTirole1997Formal">
        <w:r>
          <w:rPr>
            <w:rStyle w:val="Hyperlink"/>
            <w:smallCaps/>
          </w:rPr>
          <w:t xml:space="preserve">Aghion</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1997</w:t>
        </w:r>
      </w:hyperlink>
      <w:r>
        <w:t xml:space="preserve">)</w:t>
      </w:r>
      <w:r>
        <w:t xml:space="preserve">: la</w:t>
      </w:r>
      <w:r>
        <w:t xml:space="preserve"> </w:t>
      </w:r>
      <w:r>
        <w:rPr>
          <w:i/>
          <w:iCs/>
        </w:rPr>
        <w:t xml:space="preserve">autoridad formal</w:t>
      </w:r>
      <w:r>
        <w:t xml:space="preserve"> </w:t>
      </w:r>
      <w:r>
        <w:t xml:space="preserve">es el derecho a decidir; la</w:t>
      </w:r>
      <w:r>
        <w:t xml:space="preserve"> </w:t>
      </w:r>
      <w:r>
        <w:rPr>
          <w:i/>
          <w:iCs/>
        </w:rPr>
        <w:t xml:space="preserve">real</w:t>
      </w:r>
      <w:r>
        <w:t xml:space="preserve">, el control efectivo de las decisiones, que tiene quien está mejor informado. Delegar estimula la iniciativa del subordinado, que se informa porque sabe que decidirá él, a costa de perder control: la empresa elige cuánto centralizar o delegar según ese dilema.</w:t>
      </w:r>
    </w:p>
    <w:p>
      <w:pPr>
        <w:numPr>
          <w:ilvl w:val="1"/>
          <w:numId w:val="1066"/>
        </w:numPr>
      </w:pPr>
      <w:r>
        <w:rPr>
          <w:i/>
          <w:iCs/>
        </w:rPr>
        <w:t xml:space="preserve">Recursos y capacidades</w:t>
      </w:r>
      <w:r>
        <w:t xml:space="preserve"> </w:t>
      </w:r>
      <w:r>
        <w:t xml:space="preserve">(</w:t>
      </w:r>
      <w:hyperlink w:anchor="ref_Penrose1959Theory">
        <w:r>
          <w:rPr>
            <w:rStyle w:val="Hyperlink"/>
            <w:smallCaps/>
          </w:rPr>
          <w:t xml:space="preserve">Penrose</w:t>
        </w:r>
        <w:r>
          <w:rPr>
            <w:rStyle w:val="Hyperlink"/>
          </w:rPr>
          <w:t xml:space="preserve">, 1959</w:t>
        </w:r>
      </w:hyperlink>
      <w:r>
        <w:t xml:space="preserve">;</w:t>
      </w:r>
      <w:r>
        <w:t xml:space="preserve"> </w:t>
      </w:r>
      <w:hyperlink w:anchor="ref_Wernerfelt1984Resource">
        <w:r>
          <w:rPr>
            <w:rStyle w:val="Hyperlink"/>
            <w:smallCaps/>
          </w:rPr>
          <w:t xml:space="preserve">Wernerfelt</w:t>
        </w:r>
        <w:r>
          <w:rPr>
            <w:rStyle w:val="Hyperlink"/>
          </w:rPr>
          <w:t xml:space="preserve">, 1984</w:t>
        </w:r>
      </w:hyperlink>
      <w:r>
        <w:t xml:space="preserve">)</w:t>
      </w:r>
      <w:r>
        <w:t xml:space="preserve">: la empresa es un conjunto de recursos, materiales e inmateriales, y de capacidades organizativas para combinarlos. Sus recursos difíciles de imitar explican su ventaja competitiva, y los recursos ociosos, hacia qué productos y mercados nuevos crece.</w:t>
      </w:r>
    </w:p>
    <w:p>
      <w:pPr>
        <w:numPr>
          <w:ilvl w:val="0"/>
          <w:numId w:val="1065"/>
        </w:numPr>
      </w:pPr>
      <w:r>
        <w:rPr>
          <w:i/>
          <w:iCs/>
        </w:rPr>
        <w:t xml:space="preserve">Implicaciones de política económica</w:t>
      </w:r>
      <w:r>
        <w:t xml:space="preserve">, comunes a todos los enfoques: las autoridades de competencia no deben condenar de antemano la integración vertical u horizontal, las franquicias, los contratos de exclusiva ni las concentraciones. Lo que parece una restricción de la competencia puede ser la forma más barata de aprovechar economías de escala y de alcance (</w:t>
      </w:r>
      <w:hyperlink w:anchor="sec_tamano_eficiente">
        <w:r>
          <w:rPr>
            <w:rStyle w:val="Hyperlink"/>
          </w:rPr>
          <w:t xml:space="preserve">I.1</w:t>
        </w:r>
      </w:hyperlink>
      <w:r>
        <w:t xml:space="preserve">) o de reducir los costes de unos contratos incompletos (</w:t>
      </w:r>
      <w:hyperlink w:anchor="sec_williamson">
        <w:r>
          <w:rPr>
            <w:rStyle w:val="Hyperlink"/>
          </w:rPr>
          <w:t xml:space="preserve">II.2</w:t>
        </w:r>
      </w:hyperlink>
      <w:r>
        <w:t xml:space="preserve">,</w:t>
      </w:r>
      <w:r>
        <w:t xml:space="preserve"> </w:t>
      </w:r>
      <w:hyperlink w:anchor="sec_contratos_incompletos">
        <w:r>
          <w:rPr>
            <w:rStyle w:val="Hyperlink"/>
          </w:rPr>
          <w:t xml:space="preserve">II.3</w:t>
        </w:r>
      </w:hyperlink>
      <w:r>
        <w:t xml:space="preserve">). La valoración tiene que ser caso a caso, comparando las ganancias de eficiencia con el riesgo de cerrar el mercado a los competidores (</w:t>
      </w:r>
      <w:hyperlink w:anchor="sec_nueva_toi">
        <w:r>
          <w:rPr>
            <w:rStyle w:val="Hyperlink"/>
          </w:rPr>
          <w:t xml:space="preserve">III.4</w:t>
        </w:r>
      </w:hyperlink>
      <w:r>
        <w:t xml:space="preserve">)</w:t>
      </w:r>
      <w:r>
        <w:t xml:space="preserve"> </w:t>
      </w:r>
      <w:hyperlink r:id="rId32">
        <w:r>
          <w:rPr>
            <w:rStyle w:val="Referenciaatema"/>
          </w:rPr>
          <w:t xml:space="preserve">[ver tema 3.B.39]</w:t>
        </w:r>
      </w:hyperlink>
      <w:r>
        <w:t xml:space="preserve"> </w:t>
      </w:r>
      <w:hyperlink r:id="rId33">
        <w:r>
          <w:rPr>
            <w:rStyle w:val="Referenciaatema"/>
          </w:rPr>
          <w:t xml:space="preserve">[ver tema 4.A.15]</w:t>
        </w:r>
      </w:hyperlink>
      <w:r>
        <w:t xml:space="preserve">.</w:t>
      </w:r>
    </w:p>
    <w:p>
      <w:pPr>
        <w:numPr>
          <w:ilvl w:val="0"/>
          <w:numId w:val="1067"/>
        </w:numPr>
      </w:pPr>
      <w:r>
        <w:rPr>
          <w:i/>
          <w:iCs/>
        </w:rPr>
        <w:t xml:space="preserve">Recapitulación del bloque </w:t>
      </w:r>
      <w:hyperlink w:anchor="sec_costes_transaccion">
        <w:r>
          <w:rPr>
            <w:rStyle w:val="Hyperlink"/>
            <w:i/>
            <w:iCs/>
          </w:rPr>
          <w:t xml:space="preserve">II</w:t>
        </w:r>
      </w:hyperlink>
      <w:r>
        <w:t xml:space="preserve">: la empresa existe porque usar el mercado cuesta, y su frontera está en el margen en que organizar una transacción más dentro cuesta lo mismo que comprarla</w:t>
      </w:r>
      <w:r>
        <w:t xml:space="preserve"> </w:t>
      </w:r>
      <w:r>
        <w:t xml:space="preserve">(</w:t>
      </w:r>
      <w:hyperlink w:anchor="ref_Coase1937Nature">
        <w:r>
          <w:rPr>
            <w:rStyle w:val="Hyperlink"/>
            <w:smallCaps/>
          </w:rPr>
          <w:t xml:space="preserve">Coase</w:t>
        </w:r>
        <w:r>
          <w:rPr>
            <w:rStyle w:val="Hyperlink"/>
          </w:rPr>
          <w:t xml:space="preserve">, 1937</w:t>
        </w:r>
      </w:hyperlink>
      <w:r>
        <w:t xml:space="preserve">)</w:t>
      </w:r>
      <w:r>
        <w:t xml:space="preserve">; integra las transacciones con activos específicos, en las que el oportunismo es más peligroso</w:t>
      </w:r>
      <w:r>
        <w:t xml:space="preserve"> </w:t>
      </w:r>
      <w:r>
        <w:t xml:space="preserve">(</w:t>
      </w:r>
      <w:hyperlink w:anchor="ref_Williamson1985Economic">
        <w:r>
          <w:rPr>
            <w:rStyle w:val="Hyperlink"/>
            <w:smallCaps/>
          </w:rPr>
          <w:t xml:space="preserve">Williamson</w:t>
        </w:r>
        <w:r>
          <w:rPr>
            <w:rStyle w:val="Hyperlink"/>
          </w:rPr>
          <w:t xml:space="preserve">, 1985</w:t>
        </w:r>
      </w:hyperlink>
      <w:r>
        <w:t xml:space="preserve">)</w:t>
      </w:r>
      <w:r>
        <w:t xml:space="preserve">, y la propiedad de los activos, que da mejores incentivos a unos a costa de otros, le pone límites</w:t>
      </w:r>
      <w:r>
        <w:t xml:space="preserve"> </w:t>
      </w:r>
      <w:r>
        <w:t xml:space="preserve">(</w:t>
      </w:r>
      <w:hyperlink w:anchor="ref_GrossmanHart1986Costs">
        <w:r>
          <w:rPr>
            <w:rStyle w:val="Hyperlink"/>
            <w:smallCaps/>
          </w:rPr>
          <w:t xml:space="preserve">Grossman</w:t>
        </w:r>
        <w:r>
          <w:rPr>
            <w:rStyle w:val="Hyperlink"/>
          </w:rPr>
          <w:t xml:space="preserve"> </w:t>
        </w:r>
        <w:r>
          <w:rPr>
            <w:rStyle w:val="Hyperlink"/>
          </w:rPr>
          <w:t xml:space="preserve">y</w:t>
        </w:r>
        <w:r>
          <w:rPr>
            <w:rStyle w:val="Hyperlink"/>
          </w:rPr>
          <w:t xml:space="preserve"> </w:t>
        </w:r>
        <w:r>
          <w:rPr>
            <w:rStyle w:val="Hyperlink"/>
            <w:smallCaps/>
          </w:rPr>
          <w:t xml:space="preserve">Hart</w:t>
        </w:r>
        <w:r>
          <w:rPr>
            <w:rStyle w:val="Hyperlink"/>
          </w:rPr>
          <w:t xml:space="preserve">, 1986</w:t>
        </w:r>
      </w:hyperlink>
      <w:r>
        <w:t xml:space="preserve">)</w:t>
      </w:r>
      <w:r>
        <w:t xml:space="preserve">. Hasta aquí, la empresa por dentro. Pero las fronteras de la empresa también deciden cuántas empresas hay y cómo compiten: pasamos a la Teoría de la Organización Industrial.</w:t>
      </w:r>
    </w:p>
    <w:bookmarkEnd w:id="140"/>
    <w:bookmarkEnd w:id="141"/>
    <w:bookmarkStart w:id="200" w:name="sec_toi"/>
    <w:p>
      <w:pPr>
        <w:pStyle w:val="Heading1"/>
      </w:pPr>
      <w:r>
        <w:t xml:space="preserve">III.</w:t>
      </w:r>
      <w:r>
        <w:t xml:space="preserve"> </w:t>
      </w:r>
      <w:r>
        <w:t xml:space="preserve">La Teoría de la Organización Industrial:</w:t>
      </w:r>
      <w:r>
        <w:br/>
      </w:r>
      <w:r>
        <w:t xml:space="preserve">barreras a la entrada y mercados impugnables</w:t>
      </w:r>
      <w:r>
        <w:t xml:space="preserve"> </w:t>
      </w:r>
      <w:r>
        <w:rPr>
          <w:rStyle w:val="Minutos"/>
        </w:rPr>
        <w:t xml:space="preserve">10′</w:t>
      </w:r>
    </w:p>
    <w:p>
      <w:pPr>
        <w:pStyle w:val="Notaalopositor"/>
      </w:pPr>
      <w:r>
        <w:rPr>
          <w:b/>
          <w:bCs/>
        </w:rPr>
        <w:t xml:space="preserve">Nota al opositor. </w:t>
      </w:r>
      <w:r>
        <w:t xml:space="preserve">En el cante:</w:t>
      </w:r>
      <w:r>
        <w:t xml:space="preserve"> </w:t>
      </w:r>
      <w:r>
        <w:rPr>
          <w:smallCaps/>
        </w:rPr>
        <w:t xml:space="preserve">Chamberlin</w:t>
      </w:r>
      <w:r>
        <w:t xml:space="preserve"> </w:t>
      </w:r>
      <w:r>
        <w:t xml:space="preserve">y el nacimiento de la TOI en una frase; el paradigma ECR con su esquema, el HHI y sus críticas, y la respuesta de</w:t>
      </w:r>
      <w:r>
        <w:t xml:space="preserve"> </w:t>
      </w:r>
      <w:r>
        <w:rPr>
          <w:smallCaps/>
        </w:rPr>
        <w:t xml:space="preserve">Chicago</w:t>
      </w:r>
      <w:r>
        <w:t xml:space="preserve"> </w:t>
      </w:r>
      <w:r>
        <w:t xml:space="preserve">(2′30″); las definiciones de barrera de</w:t>
      </w:r>
      <w:r>
        <w:t xml:space="preserve"> </w:t>
      </w:r>
      <w:r>
        <w:rPr>
          <w:smallCaps/>
        </w:rPr>
        <w:t xml:space="preserve">Bain</w:t>
      </w:r>
      <w:r>
        <w:t xml:space="preserve"> </w:t>
      </w:r>
      <w:r>
        <w:t xml:space="preserve">y</w:t>
      </w:r>
      <w:r>
        <w:t xml:space="preserve"> </w:t>
      </w:r>
      <w:r>
        <w:rPr>
          <w:smallCaps/>
        </w:rPr>
        <w:t xml:space="preserve">Stigler</w:t>
      </w:r>
      <w:r>
        <w:t xml:space="preserve">, los tipos, el precio límite con su gráfico y su función clave (</w:t>
      </w:r>
      <w:hyperlink w:anchor="eq_precio_limite">
        <w:r>
          <w:rPr>
            <w:rStyle w:val="Hyperlink"/>
          </w:rPr>
          <w:t xml:space="preserve">4</w:t>
        </w:r>
      </w:hyperlink>
      <w:r>
        <w:t xml:space="preserve">), su crítica de credibilidad y el árbol de disuasión en 3 etapas, con la señal, la depredación y la proliferación de marcas en una frase cada una (3′30″); los mercados impugnables: los 3 supuestos, la configuración sostenible con su función clave (</w:t>
      </w:r>
      <w:hyperlink w:anchor="eq_sostenible">
        <w:r>
          <w:rPr>
            <w:rStyle w:val="Hyperlink"/>
          </w:rPr>
          <w:t xml:space="preserve">5</w:t>
        </w:r>
      </w:hyperlink>
      <w:r>
        <w:t xml:space="preserve">), las implicaciones y la fragilidad ante los costes hundidos (2′30″); la Nueva TOI, la NOIE y las aportaciones de</w:t>
      </w:r>
      <w:r>
        <w:t xml:space="preserve"> </w:t>
      </w:r>
      <w:r>
        <w:rPr>
          <w:smallCaps/>
        </w:rPr>
        <w:t xml:space="preserve">Tirole</w:t>
      </w:r>
      <w:r>
        <w:t xml:space="preserve"> </w:t>
      </w:r>
      <w:r>
        <w:t xml:space="preserve">(1′30″). Son de profundización la relación de</w:t>
      </w:r>
      <w:r>
        <w:t xml:space="preserve"> </w:t>
      </w:r>
      <w:r>
        <w:rPr>
          <w:smallCaps/>
        </w:rPr>
        <w:t xml:space="preserve">Cowling</w:t>
      </w:r>
      <w:r>
        <w:t xml:space="preserve"> </w:t>
      </w:r>
      <w:r>
        <w:t xml:space="preserve">y</w:t>
      </w:r>
      <w:r>
        <w:t xml:space="preserve"> </w:t>
      </w:r>
      <w:r>
        <w:rPr>
          <w:smallCaps/>
        </w:rPr>
        <w:t xml:space="preserve">Waterson</w:t>
      </w:r>
      <w:r>
        <w:t xml:space="preserve">, los umbrales de las directrices de concentraciones, el caso lineal del precio límite, el modelo de</w:t>
      </w:r>
      <w:r>
        <w:t xml:space="preserve"> </w:t>
      </w:r>
      <w:r>
        <w:rPr>
          <w:smallCaps/>
        </w:rPr>
        <w:t xml:space="preserve">Dixit</w:t>
      </w:r>
      <w:r>
        <w:t xml:space="preserve">, la tabla de supuestos, la NOIE en detalle y los anexos.</w:t>
      </w:r>
    </w:p>
    <w:p>
      <w:pPr>
        <w:numPr>
          <w:ilvl w:val="0"/>
          <w:numId w:val="1068"/>
        </w:numPr>
      </w:pPr>
      <w:r>
        <w:t xml:space="preserve">Abiertas la empresa y sus fronteras, salimos al mercado y levantamos el tercer supuesto de la caja negra: que la estructura del mercado es un dato.</w:t>
      </w:r>
      <w:r>
        <w:t xml:space="preserve"> </w:t>
      </w:r>
      <w:r>
        <w:rPr>
          <w:i/>
          <w:iCs/>
        </w:rPr>
        <w:t xml:space="preserve">Conclusión anticipada</w:t>
      </w:r>
      <w:r>
        <w:t xml:space="preserve">: el poder de mercado no depende tanto del número de empresas como de lo fácil que sea entrar; las instaladas pueden levantar barreras solo si sus amenazas son creíbles, y sin costes hundidos basta la amenaza de entrada para disciplinar incluso a un monopolio.</w:t>
      </w:r>
    </w:p>
    <w:bookmarkStart w:id="152" w:name="sec_harvard_chicago"/>
    <w:p>
      <w:pPr>
        <w:pStyle w:val="Heading2"/>
      </w:pPr>
      <w:r>
        <w:t xml:space="preserve">III.1.</w:t>
      </w:r>
      <w:r>
        <w:t xml:space="preserve"> </w:t>
      </w:r>
      <w:r>
        <w:t xml:space="preserve">Del enfoque neoclásico a Harvard y Chicago</w:t>
      </w:r>
    </w:p>
    <w:p>
      <w:pPr>
        <w:numPr>
          <w:ilvl w:val="0"/>
          <w:numId w:val="1069"/>
        </w:numPr>
      </w:pPr>
      <w:r>
        <w:rPr>
          <w:i/>
          <w:iCs/>
        </w:rPr>
        <w:t xml:space="preserve">El enfoque neoclásico</w:t>
      </w:r>
      <w:r>
        <w:t xml:space="preserve">: hasta los años 30, la empresa es una caja negra precio-aceptante en un mercado de competencia perfecta</w:t>
      </w:r>
      <w:r>
        <w:t xml:space="preserve"> </w:t>
      </w:r>
      <w:hyperlink r:id="rId25">
        <w:r>
          <w:rPr>
            <w:rStyle w:val="Referenciaatema"/>
          </w:rPr>
          <w:t xml:space="preserve">[ver tema 3.A.16]</w:t>
        </w:r>
      </w:hyperlink>
      <w:r>
        <w:t xml:space="preserve">, y la teoría presta poca atención a su conducta y a cómo se forma la estructura del mercado: ofrece una teoría de la producción y de los costes, pero no una teoría de la empresa ni de la industria.</w:t>
      </w:r>
    </w:p>
    <w:p>
      <w:pPr>
        <w:numPr>
          <w:ilvl w:val="0"/>
          <w:numId w:val="1069"/>
        </w:numPr>
      </w:pPr>
      <w:r>
        <w:rPr>
          <w:i/>
          <w:iCs/>
        </w:rPr>
        <w:t xml:space="preserve">La crítica de</w:t>
      </w:r>
      <w:r>
        <w:rPr>
          <w:i/>
          <w:iCs/>
        </w:rPr>
        <w:t xml:space="preserve"> </w:t>
      </w:r>
      <w:r>
        <w:rPr>
          <w:i/>
          <w:iCs/>
          <w:smallCaps/>
        </w:rPr>
        <w:t xml:space="preserve">Chamberlin</w:t>
      </w:r>
      <w:r>
        <w:t xml:space="preserve">:</w:t>
      </w:r>
      <w:r>
        <w:t xml:space="preserve"> </w:t>
      </w:r>
      <w:r>
        <w:rPr>
          <w:smallCaps/>
        </w:rPr>
        <w:t xml:space="preserve">Chamberlin</w:t>
      </w:r>
      <w:r>
        <w:t xml:space="preserve"> </w:t>
      </w:r>
      <w:r>
        <w:t xml:space="preserve">(</w:t>
      </w:r>
      <w:hyperlink w:anchor="ref_Chamberlin1933Theory">
        <w:r>
          <w:rPr>
            <w:rStyle w:val="Hyperlink"/>
          </w:rPr>
          <w:t xml:space="preserve">1933</w:t>
        </w:r>
      </w:hyperlink>
      <w:r>
        <w:t xml:space="preserve">)</w:t>
      </w:r>
      <w:r>
        <w:t xml:space="preserve"> </w:t>
      </w:r>
      <w:r>
        <w:t xml:space="preserve">y</w:t>
      </w:r>
      <w:r>
        <w:t xml:space="preserve"> </w:t>
      </w:r>
      <w:r>
        <w:t xml:space="preserve">J.</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w:t>
      </w:r>
      <w:r>
        <w:t xml:space="preserve">estudian los mercados entre la competencia perfecta y el monopolio</w:t>
      </w:r>
      <w:r>
        <w:t xml:space="preserve"> </w:t>
      </w:r>
      <w:hyperlink r:id="rId27">
        <w:r>
          <w:rPr>
            <w:rStyle w:val="Referenciaatema"/>
          </w:rPr>
          <w:t xml:space="preserve">[ver tema 3.A.18]</w:t>
        </w:r>
      </w:hyperlink>
      <w:r>
        <w:t xml:space="preserve">. Hay consenso en ver ahí el punto en que la TOI se separa de la teoría de los precios: a partir de entonces se estudian las industrias una a una, con datos.</w:t>
      </w:r>
    </w:p>
    <w:bookmarkStart w:id="147" w:name="sec_ecr"/>
    <w:p>
      <w:pPr>
        <w:pStyle w:val="Heading3"/>
      </w:pPr>
      <w:r>
        <w:t xml:space="preserve">III.1.1.</w:t>
      </w:r>
      <w:r>
        <w:t xml:space="preserve"> </w:t>
      </w:r>
      <w:r>
        <w:t xml:space="preserve">El paradigma estructura-conducta-resultado: la escuela de</w:t>
      </w:r>
      <w:r>
        <w:t xml:space="preserve"> </w:t>
      </w:r>
      <w:r>
        <w:rPr>
          <w:smallCaps/>
        </w:rPr>
        <w:t xml:space="preserve">Harvard</w:t>
      </w:r>
    </w:p>
    <w:p>
      <w:pPr>
        <w:keepNext/>
        <w:numPr>
          <w:ilvl w:val="0"/>
          <w:numId w:val="1070"/>
        </w:numPr>
      </w:pPr>
      <w:r>
        <w:rPr>
          <w:i/>
          <w:iCs/>
        </w:rPr>
        <w:t xml:space="preserve">Idea</w:t>
      </w:r>
      <w:r>
        <w:t xml:space="preserve">:</w:t>
      </w:r>
      <w:r>
        <w:t xml:space="preserve"> </w:t>
      </w:r>
      <w:r>
        <w:rPr>
          <w:smallCaps/>
        </w:rPr>
        <w:t xml:space="preserve">Mason</w:t>
      </w:r>
      <w:r>
        <w:t xml:space="preserve"> </w:t>
      </w:r>
      <w:r>
        <w:t xml:space="preserve">(</w:t>
      </w:r>
      <w:hyperlink w:anchor="ref_Mason1939Price">
        <w:r>
          <w:rPr>
            <w:rStyle w:val="Hyperlink"/>
          </w:rPr>
          <w:t xml:space="preserve">1939</w:t>
        </w:r>
      </w:hyperlink>
      <w:r>
        <w:t xml:space="preserve">)</w:t>
      </w:r>
      <w:r>
        <w:t xml:space="preserve"> </w:t>
      </w:r>
      <w:r>
        <w:t xml:space="preserve">y su discípulo</w:t>
      </w:r>
      <w:r>
        <w:t xml:space="preserve"> </w:t>
      </w:r>
      <w:r>
        <w:rPr>
          <w:smallCaps/>
        </w:rPr>
        <w:t xml:space="preserve">Bain</w:t>
      </w:r>
      <w:r>
        <w:t xml:space="preserve"> </w:t>
      </w:r>
      <w:r>
        <w:t xml:space="preserve">(</w:t>
      </w:r>
      <w:hyperlink w:anchor="ref_Bain1951Relation">
        <w:r>
          <w:rPr>
            <w:rStyle w:val="Hyperlink"/>
          </w:rPr>
          <w:t xml:space="preserve">1951</w:t>
        </w:r>
      </w:hyperlink>
      <w:r>
        <w:t xml:space="preserve">,</w:t>
      </w:r>
      <w:r>
        <w:t xml:space="preserve"> </w:t>
      </w:r>
      <w:hyperlink w:anchor="ref_Bain1956Barriers">
        <w:r>
          <w:rPr>
            <w:rStyle w:val="Hyperlink"/>
          </w:rPr>
          <w:t xml:space="preserve">1956</w:t>
        </w:r>
      </w:hyperlink>
      <w:r>
        <w:t xml:space="preserve">,</w:t>
      </w:r>
      <w:r>
        <w:t xml:space="preserve"> </w:t>
      </w:r>
      <w:hyperlink w:anchor="ref_Bain1959Industrial">
        <w:r>
          <w:rPr>
            <w:rStyle w:val="Hyperlink"/>
          </w:rPr>
          <w:t xml:space="preserve">1959</w:t>
        </w:r>
      </w:hyperlink>
      <w:r>
        <w:t xml:space="preserve">)</w:t>
      </w:r>
      <w:r>
        <w:t xml:space="preserve"> </w:t>
      </w:r>
      <w:r>
        <w:t xml:space="preserve">proponen el</w:t>
      </w:r>
      <w:r>
        <w:t xml:space="preserve"> </w:t>
      </w:r>
      <w:r>
        <w:rPr>
          <w:b/>
          <w:bCs/>
        </w:rPr>
        <w:t xml:space="preserve">paradigma estructura-conducta-resultado</w:t>
      </w:r>
      <w:r>
        <w:t xml:space="preserve"> </w:t>
      </w:r>
      <w:r>
        <w:t xml:space="preserve">(ECR): una causalidad que va de las condiciones básicas de oferta y demanda a la</w:t>
      </w:r>
      <w:r>
        <w:t xml:space="preserve"> </w:t>
      </w:r>
      <w:r>
        <w:rPr>
          <w:i/>
          <w:iCs/>
        </w:rPr>
        <w:t xml:space="preserve">estructura</w:t>
      </w:r>
      <w:r>
        <w:t xml:space="preserve"> </w:t>
      </w:r>
      <w:r>
        <w:t xml:space="preserve">del mercado, de esta a la</w:t>
      </w:r>
      <w:r>
        <w:t xml:space="preserve"> </w:t>
      </w:r>
      <w:r>
        <w:rPr>
          <w:i/>
          <w:iCs/>
        </w:rPr>
        <w:t xml:space="preserve">conducta</w:t>
      </w:r>
      <w:r>
        <w:t xml:space="preserve"> </w:t>
      </w:r>
      <w:r>
        <w:t xml:space="preserve">de las empresas y de esta al</w:t>
      </w:r>
      <w:r>
        <w:t xml:space="preserve"> </w:t>
      </w:r>
      <w:r>
        <w:rPr>
          <w:i/>
          <w:iCs/>
        </w:rPr>
        <w:t xml:space="preserve">resultado</w:t>
      </w:r>
      <w:r>
        <w:t xml:space="preserve"> </w:t>
      </w:r>
      <w:r>
        <w:t xml:space="preserve">(gráfico </w:t>
      </w:r>
      <w:hyperlink w:anchor="fig_ecr">
        <w:r>
          <w:rPr>
            <w:rStyle w:val="Hyperlink"/>
          </w:rPr>
          <w:t xml:space="preserve">8</w:t>
        </w:r>
      </w:hyperlink>
      <w:r>
        <w:t xml:space="preserve">):</w:t>
      </w:r>
    </w:p>
    <w:p>
      <w:pPr>
        <w:numPr>
          <w:ilvl w:val="1"/>
          <w:numId w:val="1071"/>
        </w:numPr>
      </w:pPr>
      <w:r>
        <w:rPr>
          <w:i/>
          <w:iCs/>
        </w:rPr>
        <w:t xml:space="preserve">estructura</w:t>
      </w:r>
      <w:r>
        <w:t xml:space="preserve">: número y tamaño de vendedores y compradores (la concentración), condiciones de entrada, diferenciación del producto, integración vertical;</w:t>
      </w:r>
    </w:p>
    <w:p>
      <w:pPr>
        <w:numPr>
          <w:ilvl w:val="1"/>
          <w:numId w:val="1071"/>
        </w:numPr>
      </w:pPr>
      <w:r>
        <w:rPr>
          <w:i/>
          <w:iCs/>
        </w:rPr>
        <w:t xml:space="preserve">conducta</w:t>
      </w:r>
      <w:r>
        <w:t xml:space="preserve">: fijación de precios, colusión, publicidad, investigación, creación de barreras;</w:t>
      </w:r>
    </w:p>
    <w:p>
      <w:pPr>
        <w:numPr>
          <w:ilvl w:val="1"/>
          <w:numId w:val="1071"/>
        </w:numPr>
      </w:pPr>
      <w:r>
        <w:rPr>
          <w:i/>
          <w:iCs/>
        </w:rPr>
        <w:t xml:space="preserve">resultado</w:t>
      </w:r>
      <w:r>
        <w:t xml:space="preserve">: margen sobre el coste, beneficios, eficiencia asignativa y productiva, progreso técnico.</w:t>
      </w:r>
    </w:p>
    <w:p>
      <w:pPr>
        <w:numPr>
          <w:ilvl w:val="0"/>
          <w:numId w:val="1070"/>
        </w:numPr>
      </w:pPr>
      <w:r>
        <w:rPr>
          <w:i/>
          <w:iCs/>
        </w:rPr>
        <w:t xml:space="preserve">Medida</w:t>
      </w:r>
      <w:r>
        <w:t xml:space="preserve">: la concentración se mide con la</w:t>
      </w:r>
      <w:r>
        <w:t xml:space="preserve"> </w:t>
      </w:r>
      <w:r>
        <w:rPr>
          <w:b/>
          <w:bCs/>
        </w:rPr>
        <w:t xml:space="preserve">ratio de concentración</w:t>
      </w:r>
      <w:r>
        <w:t xml:space="preserve"> </w:t>
      </w:r>
      <w:r>
        <w:t xml:space="preserve">de las</w:t>
      </w:r>
      <w:r>
        <w:t xml:space="preserve"> </w:t>
      </w:r>
      <m:oMath>
        <m:r>
          <m:t>m</m:t>
        </m:r>
      </m:oMath>
      <w:r>
        <w:t xml:space="preserve"> </w:t>
      </w:r>
      <w:r>
        <w:t xml:space="preserve">mayores empresas y el</w:t>
      </w:r>
      <w:r>
        <w:t xml:space="preserve"> </w:t>
      </w:r>
      <w:r>
        <w:rPr>
          <w:b/>
          <w:bCs/>
        </w:rPr>
        <w:t xml:space="preserve">índice de</w:t>
      </w:r>
      <w:r>
        <w:rPr>
          <w:b/>
          <w:bCs/>
        </w:rPr>
        <w:t xml:space="preserve"> </w:t>
      </w:r>
      <w:r>
        <w:rPr>
          <w:b/>
          <w:bCs/>
          <w:smallCaps/>
        </w:rPr>
        <w:t xml:space="preserve">Herfindahl</w:t>
      </w:r>
      <w:r>
        <w:rPr>
          <w:b/>
          <w:bCs/>
        </w:rPr>
        <w:t xml:space="preserve">-</w:t>
      </w:r>
      <w:r>
        <w:rPr>
          <w:b/>
          <w:bCs/>
          <w:smallCaps/>
        </w:rPr>
        <w:t xml:space="preserve">Hirschman</w:t>
      </w:r>
      <w:r>
        <w:t xml:space="preserve">,</w:t>
      </w:r>
    </w:p>
    <w:p>
      <w:pPr>
        <w:pStyle w:val="BodyText"/>
        <w:keepNext/>
      </w:pPr>
      <m:oMathPara>
        <m:oMathParaPr>
          <m:jc m:val="center"/>
        </m:oMathParaPr>
        <m:oMath>
          <m:sSub>
            <m:e>
              <m:r>
                <m:rPr>
                  <m:sty m:val="p"/>
                </m:rPr>
                <m:t>C</m:t>
              </m:r>
              <m:r>
                <m:rPr>
                  <m:sty m:val="p"/>
                </m:rPr>
                <m:t>R</m:t>
              </m:r>
            </m:e>
            <m:sub>
              <m:r>
                <m:t>m</m:t>
              </m:r>
            </m:sub>
          </m:sSub>
          <m:r>
            <m:rPr>
              <m:sty m:val="p"/>
            </m:rPr>
            <m:t>=</m:t>
          </m:r>
          <m:nary>
            <m:naryPr>
              <m:chr m:val="∑"/>
              <m:limLoc m:val="undOvr"/>
              <m:subHide m:val="off"/>
              <m:supHide m:val="off"/>
            </m:naryPr>
            <m:sub>
              <m:r>
                <m:t>i</m:t>
              </m:r>
              <m:r>
                <m:rPr>
                  <m:sty m:val="p"/>
                </m:rPr>
                <m:t>=</m:t>
              </m:r>
              <m:r>
                <m:t>1</m:t>
              </m:r>
            </m:sub>
            <m:sup>
              <m:r>
                <m:t>m</m:t>
              </m:r>
            </m:sup>
            <m:e>
              <m:sSub>
                <m:e>
                  <m:r>
                    <m:t>s</m:t>
                  </m:r>
                </m:e>
                <m:sub>
                  <m:r>
                    <m:t>i</m:t>
                  </m:r>
                </m:sub>
              </m:sSub>
            </m:e>
          </m:nary>
          <m:r>
            <m:rPr>
              <m:sty m:val="p"/>
            </m:rPr>
            <m:t>,</m:t>
          </m:r>
          <m:r>
            <m:t>  </m:t>
          </m:r>
          <m:r>
            <m:rPr>
              <m:sty m:val="p"/>
            </m:rPr>
            <m:t>H</m:t>
          </m:r>
          <m:r>
            <m:rPr>
              <m:sty m:val="p"/>
            </m:rPr>
            <m:t>H</m:t>
          </m:r>
          <m:r>
            <m:rPr>
              <m:sty m:val="p"/>
            </m:rPr>
            <m:t>I</m:t>
          </m:r>
          <m:r>
            <m:rPr>
              <m:sty m:val="p"/>
            </m:rPr>
            <m:t>=</m:t>
          </m:r>
          <m:nary>
            <m:naryPr>
              <m:chr m:val="∑"/>
              <m:limLoc m:val="undOvr"/>
              <m:subHide m:val="off"/>
              <m:supHide m:val="off"/>
            </m:naryPr>
            <m:sub>
              <m:r>
                <m:t>i</m:t>
              </m:r>
              <m:r>
                <m:rPr>
                  <m:sty m:val="p"/>
                </m:rPr>
                <m:t>=</m:t>
              </m:r>
              <m:r>
                <m:t>1</m:t>
              </m:r>
            </m:sub>
            <m:sup>
              <m:r>
                <m:t>J</m:t>
              </m:r>
            </m:sup>
            <m:e>
              <m:sSup>
                <m:e>
                  <m:d>
                    <m:dPr>
                      <m:begChr m:val="("/>
                      <m:sepChr m:val=""/>
                      <m:endChr m:val=")"/>
                      <m:grow/>
                    </m:dPr>
                    <m:e>
                      <m:r>
                        <m:t>100</m:t>
                      </m:r>
                      <m:r>
                        <m:t> </m:t>
                      </m:r>
                      <m:sSub>
                        <m:e>
                          <m:r>
                            <m:t>s</m:t>
                          </m:r>
                        </m:e>
                        <m:sub>
                          <m:r>
                            <m:t>i</m:t>
                          </m:r>
                        </m:sub>
                      </m:sSub>
                    </m:e>
                  </m:d>
                </m:e>
                <m:sup>
                  <m:r>
                    <m:t>2</m:t>
                  </m:r>
                </m:sup>
              </m:sSup>
            </m:e>
          </m:nary>
          <m:r>
            <m:rPr>
              <m:sty m:val="p"/>
            </m:rPr>
            <m:t>∈</m:t>
          </m:r>
          <m:r>
            <m:rPr>
              <m:sty m:val="p"/>
            </m:rPr>
            <m:t>(</m:t>
          </m:r>
          <m:r>
            <m:t>0</m:t>
          </m:r>
          <m:r>
            <m:rPr>
              <m:sty m:val="p"/>
            </m:rPr>
            <m:t>;</m:t>
          </m:r>
          <m:r>
            <m:t> </m:t>
          </m:r>
          <m:r>
            <m:t>10.000</m:t>
          </m:r>
          <m:r>
            <m:rPr>
              <m:sty m:val="p"/>
            </m:rPr>
            <m:t>]</m:t>
          </m:r>
          <m:r>
            <m:rPr>
              <m:sty m:val="p"/>
            </m:rPr>
            <m:t>,</m:t>
          </m:r>
        </m:oMath>
      </m:oMathPara>
    </w:p>
    <w:p>
      <w:pPr>
        <w:numPr>
          <w:ilvl w:val="0"/>
          <w:numId w:val="1000"/>
        </w:numPr>
      </w:pPr>
      <w:r>
        <w:t xml:space="preserve">con</w:t>
      </w:r>
      <w:r>
        <w:t xml:space="preserve"> </w:t>
      </w:r>
      <m:oMath>
        <m:sSub>
          <m:e>
            <m:r>
              <m:t>s</m:t>
            </m:r>
          </m:e>
          <m:sub>
            <m:r>
              <m:t>i</m:t>
            </m:r>
          </m:sub>
        </m:sSub>
        <m:r>
          <m:rPr>
            <m:sty m:val="p"/>
          </m:rPr>
          <m:t>∈</m:t>
        </m:r>
        <m:d>
          <m:dPr>
            <m:begChr m:val="["/>
            <m:sepChr m:val=""/>
            <m:endChr m:val="]"/>
            <m:grow/>
          </m:dPr>
          <m:e>
            <m:r>
              <m:t>0</m:t>
            </m:r>
            <m:r>
              <m:rPr>
                <m:sty m:val="p"/>
              </m:rPr>
              <m:t>,</m:t>
            </m:r>
            <m:r>
              <m:t>1</m:t>
            </m:r>
          </m:e>
        </m:d>
      </m:oMath>
      <w:r>
        <w:t xml:space="preserve"> </w:t>
      </w:r>
      <w:r>
        <w:t xml:space="preserve">la cuota de mercado de la empresa</w:t>
      </w:r>
      <w:r>
        <w:t xml:space="preserve"> </w:t>
      </w:r>
      <m:oMath>
        <m:r>
          <m:t>i</m:t>
        </m:r>
      </m:oMath>
      <w:r>
        <w:t xml:space="preserve">, ordenadas de mayor a menor; el HHI vale 10.000 en el monopolio.</w:t>
      </w:r>
      <w:r>
        <w:rPr>
          <w:rStyle w:val="FootnoteReference"/>
        </w:rPr>
        <w:footnoteReference w:id="142"/>
      </w:r>
      <w:r>
        <w:t xml:space="preserve"> </w:t>
      </w:r>
      <w:r>
        <w:t xml:space="preserve">En el oligopolio de</w:t>
      </w:r>
      <w:r>
        <w:t xml:space="preserve"> </w:t>
      </w:r>
      <w:r>
        <w:rPr>
          <w:smallCaps/>
        </w:rPr>
        <w:t xml:space="preserve">Cournot</w:t>
      </w:r>
      <w:r>
        <w:t xml:space="preserve">, el índice de</w:t>
      </w:r>
      <w:r>
        <w:t xml:space="preserve"> </w:t>
      </w:r>
      <w:r>
        <w:rPr>
          <w:smallCaps/>
        </w:rPr>
        <w:t xml:space="preserve">Lerner</w:t>
      </w:r>
      <w:r>
        <w:t xml:space="preserve"> </w:t>
      </w:r>
      <w:r>
        <w:t xml:space="preserve">medio ponderado por las cuotas es proporcional al HHI,</w:t>
      </w:r>
      <w:r>
        <w:t xml:space="preserve"> </w:t>
      </w:r>
      <m:oMath>
        <m:nary>
          <m:naryPr>
            <m:chr m:val="∑"/>
            <m:limLoc m:val="undOvr"/>
            <m:subHide m:val="off"/>
            <m:supHide m:val="on"/>
          </m:naryPr>
          <m:sub>
            <m:r>
              <m:t>i</m:t>
            </m:r>
          </m:sub>
          <m:sup>
            <m:r>
              <m:t>​</m:t>
            </m:r>
          </m:sup>
          <m:e>
            <m:sSub>
              <m:e>
                <m:r>
                  <m:t>s</m:t>
                </m:r>
              </m:e>
              <m:sub>
                <m:r>
                  <m:t>i</m:t>
                </m:r>
              </m:sub>
            </m:sSub>
          </m:e>
        </m:nary>
        <m:r>
          <m:t> </m:t>
        </m:r>
        <m:sSub>
          <m:e>
            <m:r>
              <m:rPr>
                <m:sty m:val="p"/>
                <m:scr m:val="script"/>
              </m:rPr>
              <m:t>L</m:t>
            </m:r>
          </m:e>
          <m:sub>
            <m:r>
              <m:t>i</m:t>
            </m:r>
          </m:sub>
        </m:sSub>
        <m:r>
          <m:rPr>
            <m:sty m:val="p"/>
          </m:rPr>
          <m:t>=</m:t>
        </m:r>
        <m:r>
          <m:rPr>
            <m:sty m:val="p"/>
          </m:rPr>
          <m:t>H</m:t>
        </m:r>
        <m:r>
          <m:rPr>
            <m:sty m:val="p"/>
          </m:rPr>
          <m:t>H</m:t>
        </m:r>
        <m:r>
          <m:rPr>
            <m:sty m:val="p"/>
          </m:rPr>
          <m:t>I</m:t>
        </m:r>
        <m:r>
          <m:rPr>
            <m:sty m:val="p"/>
          </m:rPr>
          <m:t>/</m:t>
        </m:r>
        <m:d>
          <m:dPr>
            <m:begChr m:val="("/>
            <m:sepChr m:val=""/>
            <m:endChr m:val=")"/>
            <m:grow/>
          </m:dPr>
          <m:e>
            <m:r>
              <m:t>10.000</m:t>
            </m:r>
            <m:r>
              <m:t> </m:t>
            </m:r>
            <m:d>
              <m:dPr>
                <m:begChr m:val="|"/>
                <m:sepChr m:val=""/>
                <m:endChr m:val="|"/>
                <m:grow/>
              </m:dPr>
              <m:e>
                <m:sSub>
                  <m:e>
                    <m:r>
                      <m:t>ε</m:t>
                    </m:r>
                  </m:e>
                  <m:sub>
                    <m:r>
                      <m:t>q</m:t>
                    </m:r>
                    <m:r>
                      <m:rPr>
                        <m:sty m:val="p"/>
                      </m:rPr>
                      <m:t>,</m:t>
                    </m:r>
                    <m:r>
                      <m:t>p</m:t>
                    </m:r>
                  </m:sub>
                </m:sSub>
              </m:e>
            </m:d>
          </m:e>
        </m:d>
      </m:oMath>
      <w:r>
        <w:t xml:space="preserve"> </w:t>
      </w:r>
      <w:r>
        <w:t xml:space="preserve">(</w:t>
      </w:r>
      <w:hyperlink w:anchor="ref_CowlingWaterson1976Price">
        <w:r>
          <w:rPr>
            <w:rStyle w:val="Hyperlink"/>
            <w:smallCaps/>
          </w:rPr>
          <w:t xml:space="preserve">Cowling</w:t>
        </w:r>
        <w:r>
          <w:rPr>
            <w:rStyle w:val="Hyperlink"/>
          </w:rPr>
          <w:t xml:space="preserve"> </w:t>
        </w:r>
        <w:r>
          <w:rPr>
            <w:rStyle w:val="Hyperlink"/>
          </w:rPr>
          <w:t xml:space="preserve">y</w:t>
        </w:r>
        <w:r>
          <w:rPr>
            <w:rStyle w:val="Hyperlink"/>
          </w:rPr>
          <w:t xml:space="preserve"> </w:t>
        </w:r>
        <w:r>
          <w:rPr>
            <w:rStyle w:val="Hyperlink"/>
            <w:smallCaps/>
          </w:rPr>
          <w:t xml:space="preserve">Waterson</w:t>
        </w:r>
        <w:r>
          <w:rPr>
            <w:rStyle w:val="Hyperlink"/>
          </w:rPr>
          <w:t xml:space="preserve">, 1976</w:t>
        </w:r>
      </w:hyperlink>
      <w:r>
        <w:t xml:space="preserve">)</w:t>
      </w:r>
      <w:r>
        <w:t xml:space="preserve"> </w:t>
      </w:r>
      <w:hyperlink r:id="rId28">
        <w:r>
          <w:rPr>
            <w:rStyle w:val="Referenciaatema"/>
          </w:rPr>
          <w:t xml:space="preserve">[ver tema 3.A.19]</w:t>
        </w:r>
      </w:hyperlink>
      <w:r>
        <w:t xml:space="preserve"> </w:t>
      </w:r>
      <w:r>
        <w:t xml:space="preserve">(anexo </w:t>
      </w:r>
      <w:hyperlink w:anchor="anexo_cowling_waterson">
        <w:r>
          <w:rPr>
            <w:rStyle w:val="Hyperlink"/>
          </w:rPr>
          <w:t xml:space="preserve">B.4</w:t>
        </w:r>
      </w:hyperlink>
      <w:r>
        <w:t xml:space="preserve">): es la base teórica del paradigma.</w:t>
      </w:r>
    </w:p>
    <w:p>
      <w:pPr>
        <w:numPr>
          <w:ilvl w:val="0"/>
          <w:numId w:val="1070"/>
        </w:numPr>
      </w:pPr>
      <w:r>
        <w:rPr>
          <w:i/>
          <w:iCs/>
        </w:rPr>
        <w:t xml:space="preserve">Contexto histórico</w:t>
      </w:r>
      <w:r>
        <w:t xml:space="preserve">: nace en Estados Unidos, donde la política antimonopolio venía de la</w:t>
      </w:r>
      <w:r>
        <w:t xml:space="preserve"> </w:t>
      </w:r>
      <w:r>
        <w:rPr>
          <w:i/>
          <w:iCs/>
        </w:rPr>
        <w:t xml:space="preserve">Sherman Act</w:t>
      </w:r>
      <w:r>
        <w:t xml:space="preserve"> </w:t>
      </w:r>
      <w:r>
        <w:t xml:space="preserve">de 1890 y de la</w:t>
      </w:r>
      <w:r>
        <w:t xml:space="preserve"> </w:t>
      </w:r>
      <w:r>
        <w:rPr>
          <w:i/>
          <w:iCs/>
        </w:rPr>
        <w:t xml:space="preserve">Clayton Act</w:t>
      </w:r>
      <w:r>
        <w:t xml:space="preserve"> </w:t>
      </w:r>
      <w:r>
        <w:t xml:space="preserve">de 1914</w:t>
      </w:r>
      <w:r>
        <w:t xml:space="preserve"> </w:t>
      </w:r>
      <w:r>
        <w:t xml:space="preserve">(</w:t>
      </w:r>
      <w:hyperlink w:anchor="ref_FTC2026AntitrustLaws">
        <w:r>
          <w:rPr>
            <w:rStyle w:val="Hyperlink"/>
            <w:smallCaps/>
          </w:rPr>
          <w:t xml:space="preserve">Federal Trade Commission</w:t>
        </w:r>
        <w:r>
          <w:rPr>
            <w:rStyle w:val="Hyperlink"/>
          </w:rPr>
          <w:t xml:space="preserve">, 2026</w:t>
        </w:r>
      </w:hyperlink>
      <w:r>
        <w:t xml:space="preserve">)</w:t>
      </w:r>
      <w:r>
        <w:t xml:space="preserve">, y le da un fundamento empírico:</w:t>
      </w:r>
      <w:r>
        <w:t xml:space="preserve"> </w:t>
      </w:r>
      <w:r>
        <w:rPr>
          <w:smallCaps/>
        </w:rPr>
        <w:t xml:space="preserve">Bain</w:t>
      </w:r>
      <w:r>
        <w:t xml:space="preserve"> </w:t>
      </w:r>
      <w:r>
        <w:t xml:space="preserve">(</w:t>
      </w:r>
      <w:hyperlink w:anchor="ref_Bain1951Relation">
        <w:r>
          <w:rPr>
            <w:rStyle w:val="Hyperlink"/>
          </w:rPr>
          <w:t xml:space="preserve">1951</w:t>
        </w:r>
      </w:hyperlink>
      <w:r>
        <w:t xml:space="preserve">)</w:t>
      </w:r>
      <w:r>
        <w:t xml:space="preserve"> </w:t>
      </w:r>
      <w:r>
        <w:t xml:space="preserve">encuentra beneficios mayores en las industrias más concentradas.</w:t>
      </w:r>
    </w:p>
    <w:p>
      <w:pPr>
        <w:numPr>
          <w:ilvl w:val="0"/>
          <w:numId w:val="1070"/>
        </w:numPr>
      </w:pPr>
      <w:r>
        <w:rPr>
          <w:i/>
          <w:iCs/>
        </w:rPr>
        <w:t xml:space="preserve">Implicaciones de política económica</w:t>
      </w:r>
      <w:r>
        <w:t xml:space="preserve">: sospechar de las estructuras concentradas, porque llevarán a conductas anticompetitivas, con precios por encima del coste marginal y beneficios extraordinarios: una pérdida de eficiencia</w:t>
      </w:r>
      <w:r>
        <w:t xml:space="preserve"> </w:t>
      </w:r>
      <w:r>
        <w:rPr>
          <w:i/>
          <w:iCs/>
        </w:rPr>
        <w:t xml:space="preserve">asignativa</w:t>
      </w:r>
      <w:r>
        <w:t xml:space="preserve"> </w:t>
      </w:r>
      <w:r>
        <w:t xml:space="preserve">(el triángulo de</w:t>
      </w:r>
      <w:r>
        <w:t xml:space="preserve"> </w:t>
      </w:r>
      <w:r>
        <w:rPr>
          <w:smallCaps/>
        </w:rPr>
        <w:t xml:space="preserve">Harberger</w:t>
      </w:r>
      <w:r>
        <w:t xml:space="preserve">,</w:t>
      </w:r>
      <w:r>
        <w:t xml:space="preserve"> </w:t>
      </w:r>
      <w:hyperlink r:id="rId26">
        <w:r>
          <w:rPr>
            <w:rStyle w:val="Referenciaatema"/>
          </w:rPr>
          <w:t xml:space="preserve">[ver tema 3.A.17]</w:t>
        </w:r>
      </w:hyperlink>
      <w:r>
        <w:t xml:space="preserve">) a la que puede sumarse la ineficiencia X</w:t>
      </w:r>
      <w:r>
        <w:t xml:space="preserve"> </w:t>
      </w:r>
      <w:hyperlink r:id="rId24">
        <w:r>
          <w:rPr>
            <w:rStyle w:val="Referenciaatema"/>
          </w:rPr>
          <w:t xml:space="preserve">[ver tema 3.A.12]</w:t>
        </w:r>
      </w:hyperlink>
      <w:r>
        <w:t xml:space="preserve">. La política actúa sobre la estructura: control de concentraciones y, en el extremo, división de empresas (Standard Oil en 1911, AT&amp;T en 1984).</w:t>
      </w:r>
    </w:p>
    <w:p>
      <w:pPr>
        <w:numPr>
          <w:ilvl w:val="0"/>
          <w:numId w:val="1070"/>
        </w:numPr>
      </w:pPr>
      <w:r>
        <w:rPr>
          <w:i/>
          <w:iCs/>
        </w:rPr>
        <w:t xml:space="preserve">Valoración</w:t>
      </w:r>
      <w:r>
        <w:t xml:space="preserve">: la causalidad no es unidireccional (la conducta cambia la estructura con fusiones, barreras o innovación, y los resultados cambian la conducta); el enfoque es estático; su evidencia es una correlación entre industrias, sin una teoría de la conducta, y la concentración puede ser fruto de la eficiencia.</w:t>
      </w:r>
    </w:p>
    <w:bookmarkStart w:id="146" w:name="fig_ecr"/>
    <w:p>
      <w:pPr>
        <w:pStyle w:val="ImageCaption"/>
      </w:pPr>
      <w:r>
        <w:t xml:space="preserve">Gráfico 8.–</w:t>
      </w:r>
      <w:r>
        <w:t xml:space="preserve"> </w:t>
      </w:r>
      <w:r>
        <w:t xml:space="preserve">El paradigma estructura-conducta-resultado y las relaciones de vuelta</w:t>
      </w:r>
    </w:p>
    <w:p>
      <w:pPr>
        <w:pStyle w:val="CaptionedFigure"/>
      </w:pPr>
      <w:r>
        <w:drawing>
          <wp:inline>
            <wp:extent cx="4178300" cy="2181758"/>
            <wp:effectExtent b="0" l="0" r="0" t="0"/>
            <wp:docPr descr="Gráfico 8.– El paradigma estructura-conducta-resultado y las relaciones de vuelta" title="" id="144" name="Picture"/>
            <a:graphic>
              <a:graphicData uri="http://schemas.openxmlformats.org/drawingml/2006/picture">
                <pic:pic>
                  <pic:nvPicPr>
                    <pic:cNvPr descr="C:\Users\vgutierrez\Documents\src\victorgutierrezmarcos.github.io-revision\oposicion\temario\fuentes\3A15\graficos/ecr.png" id="145" name="Picture"/>
                    <pic:cNvPicPr>
                      <a:picLocks noChangeArrowheads="1" noChangeAspect="1"/>
                    </pic:cNvPicPr>
                  </pic:nvPicPr>
                  <pic:blipFill>
                    <a:blip r:embed="rId143"/>
                    <a:stretch>
                      <a:fillRect/>
                    </a:stretch>
                  </pic:blipFill>
                  <pic:spPr bwMode="auto">
                    <a:xfrm>
                      <a:off x="0" y="0"/>
                      <a:ext cx="4178300" cy="2181758"/>
                    </a:xfrm>
                    <a:prstGeom prst="rect">
                      <a:avLst/>
                    </a:prstGeom>
                    <a:noFill/>
                    <a:ln w="9525">
                      <a:noFill/>
                      <a:headEnd/>
                      <a:tailEnd/>
                    </a:ln>
                  </pic:spPr>
                </pic:pic>
              </a:graphicData>
            </a:graphic>
          </wp:inline>
        </w:drawing>
      </w:r>
    </w:p>
    <w:bookmarkEnd w:id="146"/>
    <w:p>
      <w:pPr>
        <w:pStyle w:val="Piedeimagen"/>
      </w:pPr>
      <w:r>
        <w:t xml:space="preserve">Fuente: elaboración propia a partir de</w:t>
      </w:r>
      <w:r>
        <w:t xml:space="preserve"> </w:t>
      </w:r>
      <w:r>
        <w:rPr>
          <w:smallCaps/>
        </w:rPr>
        <w:t xml:space="preserve">Lipczynski</w:t>
      </w:r>
      <w:r>
        <w:t xml:space="preserve">,</w:t>
      </w:r>
      <w:r>
        <w:t xml:space="preserve"> </w:t>
      </w:r>
      <w:r>
        <w:rPr>
          <w:smallCaps/>
        </w:rPr>
        <w:t xml:space="preserve">Wilson</w:t>
      </w:r>
      <w:r>
        <w:t xml:space="preserve"> </w:t>
      </w:r>
      <w:r>
        <w:t xml:space="preserve">y</w:t>
      </w:r>
      <w:r>
        <w:t xml:space="preserve"> </w:t>
      </w:r>
      <w:r>
        <w:rPr>
          <w:smallCaps/>
        </w:rPr>
        <w:t xml:space="preserve">Goddard</w:t>
      </w:r>
      <w:r>
        <w:t xml:space="preserve"> </w:t>
      </w:r>
      <w:r>
        <w:t xml:space="preserve">(</w:t>
      </w:r>
      <w:hyperlink w:anchor="ref_LipczynskiWilsonGoddard2017Ind_37140">
        <w:r>
          <w:rPr>
            <w:rStyle w:val="Hyperlink"/>
          </w:rPr>
          <w:t xml:space="preserve">2017, cap. 1</w:t>
        </w:r>
      </w:hyperlink>
      <w:r>
        <w:t xml:space="preserve">)</w:t>
      </w:r>
      <w:r>
        <w:t xml:space="preserve">.</w:t>
      </w:r>
    </w:p>
    <w:bookmarkEnd w:id="147"/>
    <w:bookmarkStart w:id="151" w:name="sec_chicago"/>
    <w:p>
      <w:pPr>
        <w:pStyle w:val="Heading3"/>
      </w:pPr>
      <w:r>
        <w:t xml:space="preserve">III.1.2.</w:t>
      </w:r>
      <w:r>
        <w:t xml:space="preserve"> </w:t>
      </w:r>
      <w:r>
        <w:t xml:space="preserve">La escuela de</w:t>
      </w:r>
      <w:r>
        <w:t xml:space="preserve"> </w:t>
      </w:r>
      <w:r>
        <w:rPr>
          <w:smallCaps/>
        </w:rPr>
        <w:t xml:space="preserve">Chicago</w:t>
      </w:r>
    </w:p>
    <w:p>
      <w:pPr>
        <w:keepNext/>
        <w:numPr>
          <w:ilvl w:val="0"/>
          <w:numId w:val="1072"/>
        </w:numPr>
      </w:pPr>
      <w:r>
        <w:rPr>
          <w:i/>
          <w:iCs/>
        </w:rPr>
        <w:t xml:space="preserve">Idea</w:t>
      </w:r>
      <w:r>
        <w:t xml:space="preserve">: desde los años 50 y 60,</w:t>
      </w:r>
      <w:r>
        <w:t xml:space="preserve"> </w:t>
      </w:r>
      <w:r>
        <w:rPr>
          <w:smallCaps/>
        </w:rPr>
        <w:t xml:space="preserve">Stigler</w:t>
      </w:r>
      <w:r>
        <w:t xml:space="preserve"> </w:t>
      </w:r>
      <w:r>
        <w:t xml:space="preserve">(</w:t>
      </w:r>
      <w:hyperlink w:anchor="ref_Stigler1964Theory">
        <w:r>
          <w:rPr>
            <w:rStyle w:val="Hyperlink"/>
          </w:rPr>
          <w:t xml:space="preserve">1964</w:t>
        </w:r>
      </w:hyperlink>
      <w:r>
        <w:t xml:space="preserve">,</w:t>
      </w:r>
      <w:r>
        <w:t xml:space="preserve"> </w:t>
      </w:r>
      <w:hyperlink w:anchor="ref_Stigler1968Organization">
        <w:r>
          <w:rPr>
            <w:rStyle w:val="Hyperlink"/>
          </w:rPr>
          <w:t xml:space="preserve">1968</w:t>
        </w:r>
      </w:hyperlink>
      <w:r>
        <w:t xml:space="preserve">)</w:t>
      </w:r>
      <w:r>
        <w:t xml:space="preserve">,</w:t>
      </w:r>
      <w:r>
        <w:t xml:space="preserve"> </w:t>
      </w:r>
      <w:r>
        <w:rPr>
          <w:smallCaps/>
        </w:rPr>
        <w:t xml:space="preserve">McGee</w:t>
      </w:r>
      <w:r>
        <w:t xml:space="preserve"> </w:t>
      </w:r>
      <w:r>
        <w:t xml:space="preserve">(</w:t>
      </w:r>
      <w:hyperlink w:anchor="ref_McGee1958Predatory">
        <w:r>
          <w:rPr>
            <w:rStyle w:val="Hyperlink"/>
          </w:rPr>
          <w:t xml:space="preserve">1958</w:t>
        </w:r>
      </w:hyperlink>
      <w:r>
        <w:t xml:space="preserve">)</w:t>
      </w:r>
      <w:r>
        <w:t xml:space="preserve"> </w:t>
      </w:r>
      <w:r>
        <w:t xml:space="preserve">y</w:t>
      </w:r>
      <w:r>
        <w:t xml:space="preserve"> </w:t>
      </w:r>
      <w:r>
        <w:rPr>
          <w:smallCaps/>
        </w:rPr>
        <w:t xml:space="preserve">Demsetz</w:t>
      </w:r>
      <w:r>
        <w:t xml:space="preserve"> </w:t>
      </w:r>
      <w:r>
        <w:t xml:space="preserve">(</w:t>
      </w:r>
      <w:hyperlink w:anchor="ref_Demsetz1968Why">
        <w:r>
          <w:rPr>
            <w:rStyle w:val="Hyperlink"/>
          </w:rPr>
          <w:t xml:space="preserve">1968</w:t>
        </w:r>
      </w:hyperlink>
      <w:r>
        <w:t xml:space="preserve">,</w:t>
      </w:r>
      <w:r>
        <w:t xml:space="preserve"> </w:t>
      </w:r>
      <w:hyperlink w:anchor="ref_Demsetz1973Industry">
        <w:r>
          <w:rPr>
            <w:rStyle w:val="Hyperlink"/>
          </w:rPr>
          <w:t xml:space="preserve">1973</w:t>
        </w:r>
      </w:hyperlink>
      <w:r>
        <w:t xml:space="preserve">)</w:t>
      </w:r>
      <w:r>
        <w:t xml:space="preserve"> </w:t>
      </w:r>
      <w:r>
        <w:t xml:space="preserve">vuelven al modelo competitivo como guía:</w:t>
      </w:r>
    </w:p>
    <w:p>
      <w:pPr>
        <w:numPr>
          <w:ilvl w:val="1"/>
          <w:numId w:val="1073"/>
        </w:numPr>
      </w:pPr>
      <w:r>
        <w:t xml:space="preserve">la concentración puede ser fruto de la</w:t>
      </w:r>
      <w:r>
        <w:t xml:space="preserve"> </w:t>
      </w:r>
      <w:r>
        <w:rPr>
          <w:i/>
          <w:iCs/>
        </w:rPr>
        <w:t xml:space="preserve">eficiencia</w:t>
      </w:r>
      <w:r>
        <w:t xml:space="preserve">: si las empresas grandes ganan más porque son más eficientes, la correlación de</w:t>
      </w:r>
      <w:r>
        <w:t xml:space="preserve"> </w:t>
      </w:r>
      <w:r>
        <w:rPr>
          <w:smallCaps/>
        </w:rPr>
        <w:t xml:space="preserve">Bain</w:t>
      </w:r>
      <w:r>
        <w:t xml:space="preserve"> </w:t>
      </w:r>
      <w:r>
        <w:t xml:space="preserve">no prueba colusión; en las industrias concentradas, las empresas pequeñas no ganan más que en las demás</w:t>
      </w:r>
      <w:r>
        <w:t xml:space="preserve"> </w:t>
      </w:r>
      <w:r>
        <w:t xml:space="preserve">(</w:t>
      </w:r>
      <w:hyperlink w:anchor="ref_Demsetz1973Industry">
        <w:r>
          <w:rPr>
            <w:rStyle w:val="Hyperlink"/>
            <w:smallCaps/>
          </w:rPr>
          <w:t xml:space="preserve">Demsetz</w:t>
        </w:r>
        <w:r>
          <w:rPr>
            <w:rStyle w:val="Hyperlink"/>
          </w:rPr>
          <w:t xml:space="preserve">, 1973</w:t>
        </w:r>
      </w:hyperlink>
      <w:r>
        <w:t xml:space="preserve">)</w:t>
      </w:r>
      <w:r>
        <w:t xml:space="preserve">;</w:t>
      </w:r>
    </w:p>
    <w:p>
      <w:pPr>
        <w:numPr>
          <w:ilvl w:val="1"/>
          <w:numId w:val="1073"/>
        </w:numPr>
      </w:pPr>
      <w:r>
        <w:t xml:space="preserve">los cárteles son inestables, porque cada miembro gana rompiéndolos y es caro vigilarlos</w:t>
      </w:r>
      <w:r>
        <w:t xml:space="preserve"> </w:t>
      </w:r>
      <w:r>
        <w:t xml:space="preserve">(</w:t>
      </w:r>
      <w:hyperlink w:anchor="ref_Stigler1964Theory">
        <w:r>
          <w:rPr>
            <w:rStyle w:val="Hyperlink"/>
            <w:smallCaps/>
          </w:rPr>
          <w:t xml:space="preserve">Stigler</w:t>
        </w:r>
        <w:r>
          <w:rPr>
            <w:rStyle w:val="Hyperlink"/>
          </w:rPr>
          <w:t xml:space="preserve">, 1964</w:t>
        </w:r>
      </w:hyperlink>
      <w:r>
        <w:t xml:space="preserve">)</w:t>
      </w:r>
      <w:r>
        <w:t xml:space="preserve"> </w:t>
      </w:r>
      <w:hyperlink r:id="rId28">
        <w:r>
          <w:rPr>
            <w:rStyle w:val="Referenciaatema"/>
          </w:rPr>
          <w:t xml:space="preserve">[ver tema 3.A.19]</w:t>
        </w:r>
      </w:hyperlink>
      <w:r>
        <w:t xml:space="preserve">;</w:t>
      </w:r>
    </w:p>
    <w:p>
      <w:pPr>
        <w:numPr>
          <w:ilvl w:val="1"/>
          <w:numId w:val="1073"/>
        </w:numPr>
      </w:pPr>
      <w:r>
        <w:t xml:space="preserve">la depredación es irracional: comprar al rival es más barato que arruinarse para echarlo</w:t>
      </w:r>
      <w:r>
        <w:t xml:space="preserve"> </w:t>
      </w:r>
      <w:r>
        <w:t xml:space="preserve">(</w:t>
      </w:r>
      <w:hyperlink w:anchor="ref_McGee1958Predatory">
        <w:r>
          <w:rPr>
            <w:rStyle w:val="Hyperlink"/>
            <w:smallCaps/>
          </w:rPr>
          <w:t xml:space="preserve">McGee</w:t>
        </w:r>
        <w:r>
          <w:rPr>
            <w:rStyle w:val="Hyperlink"/>
          </w:rPr>
          <w:t xml:space="preserve">, 1958</w:t>
        </w:r>
      </w:hyperlink>
      <w:r>
        <w:t xml:space="preserve">)</w:t>
      </w:r>
      <w:r>
        <w:t xml:space="preserve">;</w:t>
      </w:r>
    </w:p>
    <w:p>
      <w:pPr>
        <w:numPr>
          <w:ilvl w:val="1"/>
          <w:numId w:val="1073"/>
        </w:numPr>
      </w:pPr>
      <w:r>
        <w:t xml:space="preserve">el poder de mercado es temporal: los beneficios atraen la entrada, y las barreras duraderas son casi siempre</w:t>
      </w:r>
      <w:r>
        <w:t xml:space="preserve"> </w:t>
      </w:r>
      <w:r>
        <w:rPr>
          <w:i/>
          <w:iCs/>
        </w:rPr>
        <w:t xml:space="preserve">legales</w:t>
      </w:r>
      <w:r>
        <w:t xml:space="preserve">;</w:t>
      </w:r>
      <w:r>
        <w:rPr>
          <w:rStyle w:val="FootnoteReference"/>
        </w:rPr>
        <w:footnoteReference w:id="148"/>
      </w:r>
    </w:p>
    <w:p>
      <w:pPr>
        <w:numPr>
          <w:ilvl w:val="1"/>
          <w:numId w:val="1073"/>
        </w:numPr>
      </w:pPr>
      <w:r>
        <w:t xml:space="preserve">el monopolio natural se puede disciplinar subastando el derecho a servir el mercado:</w:t>
      </w:r>
      <w:r>
        <w:t xml:space="preserve"> </w:t>
      </w:r>
      <w:r>
        <w:rPr>
          <w:i/>
          <w:iCs/>
        </w:rPr>
        <w:t xml:space="preserve">competencia por el mercado</w:t>
      </w:r>
      <w:r>
        <w:t xml:space="preserve"> </w:t>
      </w:r>
      <w:r>
        <w:t xml:space="preserve">(</w:t>
      </w:r>
      <w:hyperlink w:anchor="ref_Demsetz1968Why">
        <w:r>
          <w:rPr>
            <w:rStyle w:val="Hyperlink"/>
            <w:smallCaps/>
          </w:rPr>
          <w:t xml:space="preserve">Demsetz</w:t>
        </w:r>
        <w:r>
          <w:rPr>
            <w:rStyle w:val="Hyperlink"/>
          </w:rPr>
          <w:t xml:space="preserve">, 1968</w:t>
        </w:r>
      </w:hyperlink>
      <w:r>
        <w:t xml:space="preserve">)</w:t>
      </w:r>
      <w:r>
        <w:t xml:space="preserve"> </w:t>
      </w:r>
      <w:hyperlink r:id="rId26">
        <w:r>
          <w:rPr>
            <w:rStyle w:val="Referenciaatema"/>
          </w:rPr>
          <w:t xml:space="preserve">[ver tema 3.A.17]</w:t>
        </w:r>
      </w:hyperlink>
      <w:r>
        <w:t xml:space="preserve"> </w:t>
      </w:r>
      <w:hyperlink r:id="rId31">
        <w:r>
          <w:rPr>
            <w:rStyle w:val="Referenciaatema"/>
          </w:rPr>
          <w:t xml:space="preserve">[ver tema 3.A.20]</w:t>
        </w:r>
      </w:hyperlink>
      <w:r>
        <w:t xml:space="preserve">.</w:t>
      </w:r>
    </w:p>
    <w:p>
      <w:pPr>
        <w:numPr>
          <w:ilvl w:val="0"/>
          <w:numId w:val="1072"/>
        </w:numPr>
      </w:pPr>
      <w:r>
        <w:rPr>
          <w:i/>
          <w:iCs/>
        </w:rPr>
        <w:t xml:space="preserve">Implicaciones de política económica</w:t>
      </w:r>
      <w:r>
        <w:t xml:space="preserve">: el criterio es el bienestar del consumidor; tolerancia con las concentraciones y las restricciones verticales, y desregulación. Su influencia en la política de competencia de Estados Unidos desde los años 70 fue grande.</w:t>
      </w:r>
    </w:p>
    <w:p>
      <w:pPr>
        <w:numPr>
          <w:ilvl w:val="0"/>
          <w:numId w:val="1072"/>
        </w:numPr>
      </w:pPr>
      <w:r>
        <w:rPr>
          <w:i/>
          <w:iCs/>
        </w:rPr>
        <w:t xml:space="preserve">Valoración</w:t>
      </w:r>
      <w:r>
        <w:t xml:space="preserve">: confía en que la entrada sea rápida y barata y descarta las conductas estratégicas por irracionales; la teoría de juegos mostrará que pueden ser racionales si hay compromisos creíbles o información asimétrica. El debate se resuelve en las</w:t>
      </w:r>
      <w:r>
        <w:t xml:space="preserve"> </w:t>
      </w:r>
      <w:r>
        <w:rPr>
          <w:i/>
          <w:iCs/>
        </w:rPr>
        <w:t xml:space="preserve">barreras a la entrada</w:t>
      </w:r>
      <w:r>
        <w:t xml:space="preserve">: si existen,</w:t>
      </w:r>
      <w:r>
        <w:t xml:space="preserve"> </w:t>
      </w:r>
      <w:r>
        <w:rPr>
          <w:smallCaps/>
        </w:rPr>
        <w:t xml:space="preserve">Harvard</w:t>
      </w:r>
      <w:r>
        <w:t xml:space="preserve"> </w:t>
      </w:r>
      <w:r>
        <w:t xml:space="preserve">puede tener razón; si no, la amenaza de entrada basta.</w:t>
      </w:r>
      <w:r>
        <w:rPr>
          <w:rStyle w:val="FootnoteReference"/>
        </w:rPr>
        <w:footnoteReference w:id="149"/>
      </w:r>
    </w:p>
    <w:bookmarkEnd w:id="151"/>
    <w:bookmarkEnd w:id="152"/>
    <w:bookmarkStart w:id="181" w:name="sec_barreras"/>
    <w:p>
      <w:pPr>
        <w:pStyle w:val="Heading2"/>
      </w:pPr>
      <w:r>
        <w:t xml:space="preserve">III.2.</w:t>
      </w:r>
      <w:r>
        <w:t xml:space="preserve"> </w:t>
      </w:r>
      <w:r>
        <w:t xml:space="preserve">Las barreras a la entrada</w:t>
      </w:r>
    </w:p>
    <w:p>
      <w:pPr>
        <w:numPr>
          <w:ilvl w:val="0"/>
          <w:numId w:val="1074"/>
        </w:numPr>
      </w:pPr>
      <w:r>
        <w:t xml:space="preserve">Una vez visto que el debate entre</w:t>
      </w:r>
      <w:r>
        <w:t xml:space="preserve"> </w:t>
      </w:r>
      <w:r>
        <w:rPr>
          <w:smallCaps/>
        </w:rPr>
        <w:t xml:space="preserve">Harvard</w:t>
      </w:r>
      <w:r>
        <w:t xml:space="preserve"> </w:t>
      </w:r>
      <w:r>
        <w:t xml:space="preserve">y</w:t>
      </w:r>
      <w:r>
        <w:t xml:space="preserve"> </w:t>
      </w:r>
      <w:r>
        <w:rPr>
          <w:smallCaps/>
        </w:rPr>
        <w:t xml:space="preserve">Chicago</w:t>
      </w:r>
      <w:r>
        <w:t xml:space="preserve"> </w:t>
      </w:r>
      <w:r>
        <w:t xml:space="preserve">se resuelve en las condiciones de entrada, pasamos a ellas. Las barreras a la entrada son el supuesto 5 de la lista común de las estructuras de mercado, la libre entrada y salida a largo plazo, que el monopolio levanta</w:t>
      </w:r>
      <w:r>
        <w:t xml:space="preserve"> </w:t>
      </w:r>
      <w:hyperlink r:id="rId26">
        <w:r>
          <w:rPr>
            <w:rStyle w:val="Referenciaatema"/>
          </w:rPr>
          <w:t xml:space="preserve">[ver tema 3.A.17]</w:t>
        </w:r>
      </w:hyperlink>
      <w:r>
        <w:t xml:space="preserve"> </w:t>
      </w:r>
      <w:r>
        <w:t xml:space="preserve">(tabla </w:t>
      </w:r>
      <w:hyperlink w:anchor="tab_supuestos_impugnables">
        <w:r>
          <w:rPr>
            <w:rStyle w:val="Hyperlink"/>
          </w:rPr>
          <w:t xml:space="preserve">1</w:t>
        </w:r>
      </w:hyperlink>
      <w:r>
        <w:t xml:space="preserve">).</w:t>
      </w:r>
    </w:p>
    <w:bookmarkStart w:id="154" w:name="sec_barreras_tipos"/>
    <w:p>
      <w:pPr>
        <w:pStyle w:val="Heading3"/>
      </w:pPr>
      <w:r>
        <w:t xml:space="preserve">III.2.1.</w:t>
      </w:r>
      <w:r>
        <w:t xml:space="preserve"> </w:t>
      </w:r>
      <w:r>
        <w:t xml:space="preserve">Definición y tipos</w:t>
      </w:r>
    </w:p>
    <w:p>
      <w:pPr>
        <w:keepNext/>
        <w:numPr>
          <w:ilvl w:val="0"/>
          <w:numId w:val="1075"/>
        </w:numPr>
      </w:pPr>
      <w:r>
        <w:rPr>
          <w:i/>
          <w:iCs/>
        </w:rPr>
        <w:t xml:space="preserve">Definición</w:t>
      </w:r>
      <w:r>
        <w:t xml:space="preserve">: hay 2 clásicas, y la diferencia importa para la política:</w:t>
      </w:r>
    </w:p>
    <w:p>
      <w:pPr>
        <w:numPr>
          <w:ilvl w:val="1"/>
          <w:numId w:val="1076"/>
        </w:numPr>
      </w:pPr>
      <w:r>
        <w:rPr>
          <w:smallCaps/>
        </w:rPr>
        <w:t xml:space="preserve">Bain</w:t>
      </w:r>
      <w:r>
        <w:t xml:space="preserve"> </w:t>
      </w:r>
      <w:r>
        <w:t xml:space="preserve">(</w:t>
      </w:r>
      <w:hyperlink w:anchor="ref_Bain1956Barriers">
        <w:r>
          <w:rPr>
            <w:rStyle w:val="Hyperlink"/>
          </w:rPr>
          <w:t xml:space="preserve">1956</w:t>
        </w:r>
      </w:hyperlink>
      <w:r>
        <w:t xml:space="preserve">)</w:t>
      </w:r>
      <w:r>
        <w:t xml:space="preserve">: todo lo que permite a las empresas instaladas fijar</w:t>
      </w:r>
      <w:r>
        <w:t xml:space="preserve"> </w:t>
      </w:r>
      <w:r>
        <w:rPr>
          <w:i/>
          <w:iCs/>
        </w:rPr>
        <w:t xml:space="preserve">a largo plazo</w:t>
      </w:r>
      <w:r>
        <w:t xml:space="preserve"> </w:t>
      </w:r>
      <w:r>
        <w:t xml:space="preserve">precios por encima del coste medio mínimo sin atraer la entrada. Señala 3 fuentes: las</w:t>
      </w:r>
      <w:r>
        <w:t xml:space="preserve"> </w:t>
      </w:r>
      <w:r>
        <w:rPr>
          <w:i/>
          <w:iCs/>
        </w:rPr>
        <w:t xml:space="preserve">economías de escala</w:t>
      </w:r>
      <w:r>
        <w:t xml:space="preserve">, las</w:t>
      </w:r>
      <w:r>
        <w:t xml:space="preserve"> </w:t>
      </w:r>
      <w:r>
        <w:rPr>
          <w:i/>
          <w:iCs/>
        </w:rPr>
        <w:t xml:space="preserve">ventajas absolutas en costes</w:t>
      </w:r>
      <w:r>
        <w:t xml:space="preserve"> </w:t>
      </w:r>
      <w:r>
        <w:t xml:space="preserve">(mejor tecnología, factores escasos, patentes, necesidades de capital) y la</w:t>
      </w:r>
      <w:r>
        <w:t xml:space="preserve"> </w:t>
      </w:r>
      <w:r>
        <w:rPr>
          <w:i/>
          <w:iCs/>
        </w:rPr>
        <w:t xml:space="preserve">diferenciación del producto</w:t>
      </w:r>
      <w:r>
        <w:t xml:space="preserve"> </w:t>
      </w:r>
      <w:r>
        <w:t xml:space="preserve">(fidelidad a las marcas);</w:t>
      </w:r>
    </w:p>
    <w:p>
      <w:pPr>
        <w:numPr>
          <w:ilvl w:val="1"/>
          <w:numId w:val="1076"/>
        </w:numPr>
      </w:pPr>
      <w:r>
        <w:rPr>
          <w:smallCaps/>
        </w:rPr>
        <w:t xml:space="preserve">Stigler</w:t>
      </w:r>
      <w:r>
        <w:t xml:space="preserve"> </w:t>
      </w:r>
      <w:r>
        <w:t xml:space="preserve">(</w:t>
      </w:r>
      <w:hyperlink w:anchor="ref_Stigler1968Organization">
        <w:r>
          <w:rPr>
            <w:rStyle w:val="Hyperlink"/>
          </w:rPr>
          <w:t xml:space="preserve">1968</w:t>
        </w:r>
      </w:hyperlink>
      <w:r>
        <w:t xml:space="preserve">)</w:t>
      </w:r>
      <w:r>
        <w:t xml:space="preserve">: un coste que tiene que soportar quien entra y no soportaron las instaladas. Con esta definición, las economías de escala no son una barrera si el entrante accede a la misma tecnología.</w:t>
      </w:r>
    </w:p>
    <w:p>
      <w:pPr>
        <w:numPr>
          <w:ilvl w:val="0"/>
          <w:numId w:val="1000"/>
        </w:numPr>
      </w:pPr>
      <w:r>
        <w:rPr>
          <w:smallCaps/>
        </w:rPr>
        <w:t xml:space="preserve">Weizsäcker</w:t>
      </w:r>
      <w:r>
        <w:t xml:space="preserve"> </w:t>
      </w:r>
      <w:r>
        <w:t xml:space="preserve">(</w:t>
      </w:r>
      <w:hyperlink w:anchor="ref_Weizsacker1980Welfare">
        <w:r>
          <w:rPr>
            <w:rStyle w:val="Hyperlink"/>
          </w:rPr>
          <w:t xml:space="preserve">1980</w:t>
        </w:r>
      </w:hyperlink>
      <w:r>
        <w:t xml:space="preserve">)</w:t>
      </w:r>
      <w:r>
        <w:t xml:space="preserve"> </w:t>
      </w:r>
      <w:r>
        <w:t xml:space="preserve">añade el criterio de bienestar: solo es barrera la que reduce el bienestar; impedir la entrada puede ser eficiente si, con economías de escala, cada entrante duplica costes fijos.</w:t>
      </w:r>
      <w:r>
        <w:rPr>
          <w:rStyle w:val="FootnoteReference"/>
        </w:rPr>
        <w:footnoteReference w:id="153"/>
      </w:r>
    </w:p>
    <w:p>
      <w:pPr>
        <w:keepNext/>
        <w:numPr>
          <w:ilvl w:val="0"/>
          <w:numId w:val="1075"/>
        </w:numPr>
      </w:pPr>
      <w:r>
        <w:rPr>
          <w:i/>
          <w:iCs/>
        </w:rPr>
        <w:t xml:space="preserve">Tipos</w:t>
      </w:r>
      <w:r>
        <w:t xml:space="preserve">:</w:t>
      </w:r>
    </w:p>
    <w:p>
      <w:pPr>
        <w:numPr>
          <w:ilvl w:val="1"/>
          <w:numId w:val="1077"/>
        </w:numPr>
      </w:pPr>
      <w:r>
        <w:rPr>
          <w:b/>
          <w:bCs/>
        </w:rPr>
        <w:t xml:space="preserve">barreras estructurales</w:t>
      </w:r>
      <w:r>
        <w:t xml:space="preserve">, que vienen de la tecnología, la demanda o las instituciones: economías de escala grandes frente a la demanda;</w:t>
      </w:r>
      <w:r>
        <w:t xml:space="preserve"> </w:t>
      </w:r>
      <w:r>
        <w:rPr>
          <w:b/>
          <w:bCs/>
        </w:rPr>
        <w:t xml:space="preserve">costes hundidos</w:t>
      </w:r>
      <w:r>
        <w:t xml:space="preserve">, los que no se recuperan al salir (inversión en activos específicos, publicidad, investigación); ventajas absolutas en costes; fidelidad a la marca y costes de cambio; efectos de red, y barreras</w:t>
      </w:r>
      <w:r>
        <w:t xml:space="preserve"> </w:t>
      </w:r>
      <w:r>
        <w:rPr>
          <w:i/>
          <w:iCs/>
        </w:rPr>
        <w:t xml:space="preserve">legales</w:t>
      </w:r>
      <w:r>
        <w:t xml:space="preserve"> </w:t>
      </w:r>
      <w:r>
        <w:t xml:space="preserve">(licencias, concesiones, patentes);</w:t>
      </w:r>
    </w:p>
    <w:p>
      <w:pPr>
        <w:numPr>
          <w:ilvl w:val="1"/>
          <w:numId w:val="1077"/>
        </w:numPr>
      </w:pPr>
      <w:r>
        <w:rPr>
          <w:b/>
          <w:bCs/>
        </w:rPr>
        <w:t xml:space="preserve">barreras estratégicas</w:t>
      </w:r>
      <w:r>
        <w:t xml:space="preserve">, las que crean las propias instaladas con su conducta: el precio límite, la capacidad, la proliferación de marcas, la depredación o el aumento de los costes de los rivales. Para que disuadan, tienen que ser</w:t>
      </w:r>
      <w:r>
        <w:t xml:space="preserve"> </w:t>
      </w:r>
      <w:r>
        <w:rPr>
          <w:i/>
          <w:iCs/>
        </w:rPr>
        <w:t xml:space="preserve">creíbles</w:t>
      </w:r>
      <w:r>
        <w:t xml:space="preserve">, y eso es lo que la teoría de juegos permite juzgar</w:t>
      </w:r>
      <w:r>
        <w:t xml:space="preserve"> </w:t>
      </w:r>
      <w:hyperlink r:id="rId36">
        <w:r>
          <w:rPr>
            <w:rStyle w:val="Referenciaatema"/>
          </w:rPr>
          <w:t xml:space="preserve">[ver tema 3.A.14]</w:t>
        </w:r>
      </w:hyperlink>
      <w:r>
        <w:t xml:space="preserve">.</w:t>
      </w:r>
    </w:p>
    <w:p>
      <w:pPr>
        <w:numPr>
          <w:ilvl w:val="0"/>
          <w:numId w:val="1075"/>
        </w:numPr>
      </w:pPr>
      <w:r>
        <w:rPr>
          <w:i/>
          <w:iCs/>
        </w:rPr>
        <w:t xml:space="preserve">Condiciones de entrada</w:t>
      </w:r>
      <w:r>
        <w:t xml:space="preserve">:</w:t>
      </w:r>
      <w:r>
        <w:t xml:space="preserve"> </w:t>
      </w:r>
      <w:r>
        <w:rPr>
          <w:smallCaps/>
        </w:rPr>
        <w:t xml:space="preserve">Bain</w:t>
      </w:r>
      <w:r>
        <w:t xml:space="preserve"> </w:t>
      </w:r>
      <w:r>
        <w:t xml:space="preserve">(</w:t>
      </w:r>
      <w:hyperlink w:anchor="ref_Bain1956Barriers">
        <w:r>
          <w:rPr>
            <w:rStyle w:val="Hyperlink"/>
          </w:rPr>
          <w:t xml:space="preserve">1956</w:t>
        </w:r>
      </w:hyperlink>
      <w:r>
        <w:t xml:space="preserve">)</w:t>
      </w:r>
      <w:r>
        <w:t xml:space="preserve"> </w:t>
      </w:r>
      <w:r>
        <w:t xml:space="preserve">distingue 3 situaciones</w:t>
      </w:r>
      <w:r>
        <w:t xml:space="preserve"> </w:t>
      </w:r>
      <w:r>
        <w:t xml:space="preserve">(</w:t>
      </w:r>
      <w:hyperlink w:anchor="ref_Tirole1988Theory">
        <w:r>
          <w:rPr>
            <w:rStyle w:val="Hyperlink"/>
            <w:smallCaps/>
          </w:rPr>
          <w:t xml:space="preserve">Tirole</w:t>
        </w:r>
        <w:r>
          <w:rPr>
            <w:rStyle w:val="Hyperlink"/>
          </w:rPr>
          <w:t xml:space="preserve">, 1988, cap. 8</w:t>
        </w:r>
      </w:hyperlink>
      <w:r>
        <w:t xml:space="preserve">)</w:t>
      </w:r>
      <w:r>
        <w:t xml:space="preserve">: entrada</w:t>
      </w:r>
      <w:r>
        <w:t xml:space="preserve"> </w:t>
      </w:r>
      <w:r>
        <w:rPr>
          <w:b/>
          <w:bCs/>
        </w:rPr>
        <w:t xml:space="preserve">bloqueada</w:t>
      </w:r>
      <w:r>
        <w:t xml:space="preserve"> </w:t>
      </w:r>
      <w:r>
        <w:t xml:space="preserve">(la instalada fija el precio de monopolio y aun así nadie entra),</w:t>
      </w:r>
      <w:r>
        <w:t xml:space="preserve"> </w:t>
      </w:r>
      <w:r>
        <w:rPr>
          <w:b/>
          <w:bCs/>
        </w:rPr>
        <w:t xml:space="preserve">disuadida</w:t>
      </w:r>
      <w:r>
        <w:t xml:space="preserve"> </w:t>
      </w:r>
      <w:r>
        <w:t xml:space="preserve">(la instalada tiene que cambiar su conducta para evitarla) y</w:t>
      </w:r>
      <w:r>
        <w:t xml:space="preserve"> </w:t>
      </w:r>
      <w:r>
        <w:rPr>
          <w:b/>
          <w:bCs/>
        </w:rPr>
        <w:t xml:space="preserve">acomodada</w:t>
      </w:r>
      <w:r>
        <w:t xml:space="preserve"> </w:t>
      </w:r>
      <w:r>
        <w:t xml:space="preserve">(le sale más a cuenta dejar entrar).</w:t>
      </w:r>
    </w:p>
    <w:bookmarkEnd w:id="154"/>
    <w:bookmarkStart w:id="167" w:name="sec_precio_limite"/>
    <w:p>
      <w:pPr>
        <w:pStyle w:val="Heading3"/>
      </w:pPr>
      <w:r>
        <w:t xml:space="preserve">III.2.2.</w:t>
      </w:r>
      <w:r>
        <w:t xml:space="preserve"> </w:t>
      </w:r>
      <w:r>
        <w:t xml:space="preserve">El precio límite</w:t>
      </w:r>
    </w:p>
    <w:bookmarkStart w:id="155" w:name="a_idea_6"/>
    <w:p>
      <w:pPr>
        <w:pStyle w:val="Heading4"/>
      </w:pPr>
      <w:r>
        <w:t xml:space="preserve">a) Idea</w:t>
      </w:r>
    </w:p>
    <w:p>
      <w:pPr>
        <w:numPr>
          <w:ilvl w:val="0"/>
          <w:numId w:val="1078"/>
        </w:numPr>
      </w:pPr>
      <w:r>
        <w:rPr>
          <w:smallCaps/>
        </w:rPr>
        <w:t xml:space="preserve">Bain</w:t>
      </w:r>
      <w:r>
        <w:t xml:space="preserve"> </w:t>
      </w:r>
      <w:r>
        <w:t xml:space="preserve">(</w:t>
      </w:r>
      <w:hyperlink w:anchor="ref_Bain1949Note">
        <w:r>
          <w:rPr>
            <w:rStyle w:val="Hyperlink"/>
          </w:rPr>
          <w:t xml:space="preserve">1949</w:t>
        </w:r>
      </w:hyperlink>
      <w:r>
        <w:t xml:space="preserve">)</w:t>
      </w:r>
      <w:r>
        <w:t xml:space="preserve">,</w:t>
      </w:r>
      <w:r>
        <w:t xml:space="preserve"> </w:t>
      </w:r>
      <w:r>
        <w:rPr>
          <w:smallCaps/>
        </w:rPr>
        <w:t xml:space="preserve">Sylos-Labini</w:t>
      </w:r>
      <w:r>
        <w:t xml:space="preserve"> </w:t>
      </w:r>
      <w:r>
        <w:t xml:space="preserve">(</w:t>
      </w:r>
      <w:hyperlink w:anchor="ref_SylosLabini1957Oligopolio">
        <w:r>
          <w:rPr>
            <w:rStyle w:val="Hyperlink"/>
          </w:rPr>
          <w:t xml:space="preserve">1957</w:t>
        </w:r>
      </w:hyperlink>
      <w:r>
        <w:t xml:space="preserve">)</w:t>
      </w:r>
      <w:r>
        <w:t xml:space="preserve"> </w:t>
      </w:r>
      <w:r>
        <w:t xml:space="preserve">y</w:t>
      </w:r>
      <w:r>
        <w:t xml:space="preserve"> </w:t>
      </w:r>
      <w:r>
        <w:rPr>
          <w:smallCaps/>
        </w:rPr>
        <w:t xml:space="preserve">Modigliani</w:t>
      </w:r>
      <w:r>
        <w:t xml:space="preserve"> </w:t>
      </w:r>
      <w:r>
        <w:t xml:space="preserve">(</w:t>
      </w:r>
      <w:hyperlink w:anchor="ref_Modigliani1958New">
        <w:r>
          <w:rPr>
            <w:rStyle w:val="Hyperlink"/>
          </w:rPr>
          <w:t xml:space="preserve">1958</w:t>
        </w:r>
      </w:hyperlink>
      <w:r>
        <w:t xml:space="preserve">)</w:t>
      </w:r>
      <w:r>
        <w:t xml:space="preserve">: la instalada puede fijar hoy un precio más bajo que el de monopolio, sacrificando beneficio presente, para que entrar no compense.</w:t>
      </w:r>
    </w:p>
    <w:bookmarkEnd w:id="155"/>
    <w:bookmarkStart w:id="165" w:name="b_modelo_6"/>
    <w:p>
      <w:pPr>
        <w:pStyle w:val="Heading4"/>
      </w:pPr>
      <w:r>
        <w:t xml:space="preserve">b) Modelo</w:t>
      </w:r>
    </w:p>
    <w:bookmarkStart w:id="156" w:name="i_supuestos_5"/>
    <w:p>
      <w:pPr>
        <w:pStyle w:val="Heading5"/>
      </w:pPr>
      <w:r>
        <w:t xml:space="preserve">i) Supuestos</w:t>
      </w:r>
    </w:p>
    <w:p>
      <w:pPr>
        <w:numPr>
          <w:ilvl w:val="0"/>
          <w:numId w:val="1079"/>
        </w:numPr>
      </w:pPr>
      <w:r>
        <w:t xml:space="preserve">Una empresa instalada y un entrante potencial con la misma tecnología: coste medio a largo plazo en forma de L, con escala mínima eficiente</w:t>
      </w:r>
      <w:r>
        <w:t xml:space="preserve"> </w:t>
      </w:r>
      <m:oMath>
        <m:bar>
          <m:barPr>
            <m:pos m:val="top"/>
          </m:barPr>
          <m:e>
            <m:r>
              <m:t>q</m:t>
            </m:r>
          </m:e>
        </m:bar>
      </m:oMath>
      <w:r>
        <w:t xml:space="preserve"> </w:t>
      </w:r>
      <w:r>
        <w:t xml:space="preserve">y coste medio mínimo</w:t>
      </w:r>
      <w:r>
        <w:t xml:space="preserve"> </w:t>
      </w:r>
      <m:oMath>
        <m:bar>
          <m:barPr>
            <m:pos m:val="top"/>
          </m:barPr>
          <m:e>
            <m:r>
              <m:t>c</m:t>
            </m:r>
          </m:e>
        </m:bar>
      </m:oMath>
      <w:r>
        <w:t xml:space="preserve"> </w:t>
      </w:r>
      <w:r>
        <w:t xml:space="preserve">(gráfico </w:t>
      </w:r>
      <w:hyperlink w:anchor="fig_costes_l">
        <w:r>
          <w:rPr>
            <w:rStyle w:val="Hyperlink"/>
          </w:rPr>
          <w:t xml:space="preserve">1</w:t>
        </w:r>
      </w:hyperlink>
      <w:r>
        <w:t xml:space="preserve">); demanda de mercado</w:t>
      </w:r>
      <w:r>
        <w:t xml:space="preserve"> </w:t>
      </w:r>
      <m:oMath>
        <m:r>
          <m:t>x</m:t>
        </m:r>
        <m:d>
          <m:dPr>
            <m:begChr m:val="("/>
            <m:sepChr m:val=""/>
            <m:endChr m:val=")"/>
            <m:grow/>
          </m:dPr>
          <m:e>
            <m:r>
              <m:t>p</m:t>
            </m:r>
          </m:e>
        </m:d>
      </m:oMath>
      <w:r>
        <w:t xml:space="preserve">, con inversa</w:t>
      </w:r>
      <w:r>
        <w:t xml:space="preserve"> </w:t>
      </w:r>
      <m:oMath>
        <m:r>
          <m:t>p</m:t>
        </m:r>
        <m:d>
          <m:dPr>
            <m:begChr m:val="("/>
            <m:sepChr m:val=""/>
            <m:endChr m:val=")"/>
            <m:grow/>
          </m:dPr>
          <m:e>
            <m:r>
              <m:t>Q</m:t>
            </m:r>
          </m:e>
        </m:d>
      </m:oMath>
      <w:r>
        <w:t xml:space="preserve">.</w:t>
      </w:r>
    </w:p>
    <w:p>
      <w:pPr>
        <w:numPr>
          <w:ilvl w:val="0"/>
          <w:numId w:val="1079"/>
        </w:numPr>
      </w:pPr>
      <w:r>
        <w:rPr>
          <w:i/>
          <w:iCs/>
        </w:rPr>
        <w:t xml:space="preserve">Postulado de</w:t>
      </w:r>
      <w:r>
        <w:rPr>
          <w:i/>
          <w:iCs/>
        </w:rPr>
        <w:t xml:space="preserve"> </w:t>
      </w:r>
      <w:r>
        <w:rPr>
          <w:i/>
          <w:iCs/>
          <w:smallCaps/>
        </w:rPr>
        <w:t xml:space="preserve">Sylos-Labini</w:t>
      </w:r>
      <w:r>
        <w:t xml:space="preserve">: el entrante cree que, si entra, la instalada mantendrá su producción</w:t>
      </w:r>
      <w:r>
        <w:t xml:space="preserve"> </w:t>
      </w:r>
      <m:oMath>
        <m:sSub>
          <m:e>
            <m:r>
              <m:t>q</m:t>
            </m:r>
          </m:e>
          <m:sub>
            <m:r>
              <m:rPr>
                <m:sty m:val="p"/>
              </m:rPr>
              <m:t>I</m:t>
            </m:r>
          </m:sub>
        </m:sSub>
      </m:oMath>
      <w:r>
        <w:t xml:space="preserve">; y, para no tener una desventaja de costes, tiene que entrar al menos con</w:t>
      </w:r>
      <w:r>
        <w:t xml:space="preserve"> </w:t>
      </w:r>
      <m:oMath>
        <m:bar>
          <m:barPr>
            <m:pos m:val="top"/>
          </m:barPr>
          <m:e>
            <m:r>
              <m:t>q</m:t>
            </m:r>
          </m:e>
        </m:bar>
      </m:oMath>
      <w:r>
        <w:t xml:space="preserve">.</w:t>
      </w:r>
    </w:p>
    <w:bookmarkEnd w:id="156"/>
    <w:bookmarkStart w:id="163" w:name="ii_desarrollo_6"/>
    <w:p>
      <w:pPr>
        <w:pStyle w:val="Heading5"/>
      </w:pPr>
      <w:r>
        <w:t xml:space="preserve">ii) Desarrollo</w:t>
      </w:r>
    </w:p>
    <w:p>
      <w:pPr>
        <w:numPr>
          <w:ilvl w:val="0"/>
          <w:numId w:val="1080"/>
        </w:numPr>
      </w:pPr>
      <w:r>
        <w:t xml:space="preserve">Si entra, la producción total pasa a ser</w:t>
      </w:r>
      <w:r>
        <w:t xml:space="preserve"> </w:t>
      </w:r>
      <m:oMath>
        <m:sSub>
          <m:e>
            <m:r>
              <m:t>q</m:t>
            </m:r>
          </m:e>
          <m:sub>
            <m:r>
              <m:rPr>
                <m:sty m:val="p"/>
              </m:rPr>
              <m:t>I</m:t>
            </m:r>
          </m:sub>
        </m:sSub>
        <m:r>
          <m:rPr>
            <m:sty m:val="p"/>
          </m:rPr>
          <m:t>+</m:t>
        </m:r>
        <m:bar>
          <m:barPr>
            <m:pos m:val="top"/>
          </m:barPr>
          <m:e>
            <m:r>
              <m:t>q</m:t>
            </m:r>
          </m:e>
        </m:bar>
      </m:oMath>
      <w:r>
        <w:t xml:space="preserve"> </w:t>
      </w:r>
      <w:r>
        <w:t xml:space="preserve">y el precio,</w:t>
      </w:r>
      <w:r>
        <w:t xml:space="preserve"> </w:t>
      </w:r>
      <m:oMath>
        <m:r>
          <m:t>p</m:t>
        </m:r>
        <m:d>
          <m:dPr>
            <m:begChr m:val="("/>
            <m:sepChr m:val=""/>
            <m:endChr m:val=")"/>
            <m:grow/>
          </m:dPr>
          <m:e>
            <m:sSub>
              <m:e>
                <m:r>
                  <m:t>q</m:t>
                </m:r>
              </m:e>
              <m:sub>
                <m:r>
                  <m:rPr>
                    <m:sty m:val="p"/>
                  </m:rPr>
                  <m:t>I</m:t>
                </m:r>
              </m:sub>
            </m:sSub>
            <m:r>
              <m:rPr>
                <m:sty m:val="p"/>
              </m:rPr>
              <m:t>+</m:t>
            </m:r>
            <m:bar>
              <m:barPr>
                <m:pos m:val="top"/>
              </m:barPr>
              <m:e>
                <m:r>
                  <m:t>q</m:t>
                </m:r>
              </m:e>
            </m:bar>
          </m:e>
        </m:d>
      </m:oMath>
      <w:r>
        <w:t xml:space="preserve">. La entrada no compensa si ese precio no cubre</w:t>
      </w:r>
      <w:r>
        <w:t xml:space="preserve"> </w:t>
      </w:r>
      <m:oMath>
        <m:bar>
          <m:barPr>
            <m:pos m:val="top"/>
          </m:barPr>
          <m:e>
            <m:r>
              <m:t>c</m:t>
            </m:r>
          </m:e>
        </m:bar>
      </m:oMath>
      <w:r>
        <w:t xml:space="preserve">, es decir, si</w:t>
      </w:r>
      <w:r>
        <w:t xml:space="preserve"> </w:t>
      </w:r>
      <m:oMath>
        <m:sSub>
          <m:e>
            <m:r>
              <m:t>q</m:t>
            </m:r>
          </m:e>
          <m:sub>
            <m:r>
              <m:rPr>
                <m:sty m:val="p"/>
              </m:rPr>
              <m:t>I</m:t>
            </m:r>
          </m:sub>
        </m:sSub>
        <m:r>
          <m:rPr>
            <m:sty m:val="p"/>
          </m:rPr>
          <m:t>+</m:t>
        </m:r>
        <m:bar>
          <m:barPr>
            <m:pos m:val="top"/>
          </m:barPr>
          <m:e>
            <m:r>
              <m:t>q</m:t>
            </m:r>
          </m:e>
        </m:bar>
        <m:r>
          <m:rPr>
            <m:sty m:val="p"/>
          </m:rPr>
          <m:t>≥</m:t>
        </m:r>
        <m:r>
          <m:t>x</m:t>
        </m:r>
        <m:d>
          <m:dPr>
            <m:begChr m:val="("/>
            <m:sepChr m:val=""/>
            <m:endChr m:val=")"/>
            <m:grow/>
          </m:dPr>
          <m:e>
            <m:bar>
              <m:barPr>
                <m:pos m:val="top"/>
              </m:barPr>
              <m:e>
                <m:r>
                  <m:t>c</m:t>
                </m:r>
              </m:e>
            </m:bar>
          </m:e>
        </m:d>
      </m:oMath>
      <w:r>
        <w:t xml:space="preserve">: la demanda residual del entrante queda por debajo de su coste medio. El</w:t>
      </w:r>
      <w:r>
        <w:t xml:space="preserve"> </w:t>
      </w:r>
      <w:r>
        <w:rPr>
          <w:b/>
          <w:bCs/>
        </w:rPr>
        <w:t xml:space="preserve">precio límite</w:t>
      </w:r>
      <w:r>
        <w:t xml:space="preserve"> </w:t>
      </w:r>
      <w:r>
        <w:t xml:space="preserve">es el más alto que impide la entrada (gráfico </w:t>
      </w:r>
      <w:hyperlink w:anchor="fig_precio_limite">
        <w:r>
          <w:rPr>
            <w:rStyle w:val="Hyperlink"/>
          </w:rPr>
          <w:t xml:space="preserve">9</w:t>
        </w:r>
      </w:hyperlink>
      <w:r>
        <w:t xml:space="preserve">):</w:t>
      </w:r>
      <w:r>
        <w:rPr>
          <w:rStyle w:val="FootnoteReference"/>
        </w:rPr>
        <w:footnoteReference w:id="157"/>
      </w:r>
    </w:p>
    <w:bookmarkStart w:id="158" w:name="eq_precio_limite"/>
    <w:bookmarkEnd w:id="158"/>
    <w:p>
      <w:pPr>
        <w:pStyle w:val="Funcionclave"/>
      </w:pPr>
      <m:oMathPara>
        <m:oMathParaPr>
          <m:jc m:val="center"/>
        </m:oMathParaPr>
        <m:oMath>
          <m:sSup>
            <m:e>
              <m:r>
                <m:t>q</m:t>
              </m:r>
            </m:e>
            <m:sup>
              <m:r>
                <m:t>L</m:t>
              </m:r>
            </m:sup>
          </m:sSup>
          <m:r>
            <m:rPr>
              <m:sty m:val="p"/>
            </m:rPr>
            <m:t>=</m:t>
          </m:r>
          <m:r>
            <m:t>x</m:t>
          </m:r>
          <m:d>
            <m:dPr>
              <m:begChr m:val="("/>
              <m:sepChr m:val=""/>
              <m:endChr m:val=")"/>
              <m:grow/>
            </m:dPr>
            <m:e>
              <m:bar>
                <m:barPr>
                  <m:pos m:val="top"/>
                </m:barPr>
                <m:e>
                  <m:r>
                    <m:t>c</m:t>
                  </m:r>
                </m:e>
              </m:bar>
            </m:e>
          </m:d>
          <m:r>
            <m:rPr>
              <m:sty m:val="p"/>
            </m:rPr>
            <m:t>−</m:t>
          </m:r>
          <m:bar>
            <m:barPr>
              <m:pos m:val="top"/>
            </m:barPr>
            <m:e>
              <m:r>
                <m:t>q</m:t>
              </m:r>
            </m:e>
          </m:bar>
          <m:r>
            <m:rPr>
              <m:sty m:val="p"/>
            </m:rPr>
            <m:t>,</m:t>
          </m:r>
          <m:r>
            <m:t>  </m:t>
          </m:r>
          <m:sSup>
            <m:e>
              <m:r>
                <m:t>p</m:t>
              </m:r>
            </m:e>
            <m:sup>
              <m:r>
                <m:t>L</m:t>
              </m:r>
            </m:sup>
          </m:sSup>
          <m:r>
            <m:rPr>
              <m:sty m:val="p"/>
            </m:rPr>
            <m:t>=</m:t>
          </m:r>
          <m:r>
            <m:t>p</m:t>
          </m:r>
          <m:d>
            <m:dPr>
              <m:begChr m:val="("/>
              <m:sepChr m:val=""/>
              <m:endChr m:val=")"/>
              <m:grow/>
            </m:dPr>
            <m:e>
              <m:sSup>
                <m:e>
                  <m:r>
                    <m:t>q</m:t>
                  </m:r>
                </m:e>
                <m:sup>
                  <m:r>
                    <m:t>L</m:t>
                  </m:r>
                </m:sup>
              </m:sSup>
            </m:e>
          </m:d>
          <m:r>
            <m:rPr>
              <m:sty m:val="p"/>
            </m:rPr>
            <m:t>&gt;</m:t>
          </m:r>
          <m:bar>
            <m:barPr>
              <m:pos m:val="top"/>
            </m:barPr>
            <m:e>
              <m:r>
                <m:t>c</m:t>
              </m:r>
            </m:e>
          </m:bar>
        </m:oMath>
      </m:oMathPara>
    </w:p>
    <w:p>
      <w:pPr>
        <w:numPr>
          <w:ilvl w:val="0"/>
          <w:numId w:val="1080"/>
        </w:numPr>
      </w:pPr>
      <w:r>
        <w:t xml:space="preserve">Si el precio de monopolio ya cumple</w:t>
      </w:r>
      <w:r>
        <w:t xml:space="preserve"> </w:t>
      </w:r>
      <m:oMath>
        <m:sSup>
          <m:e>
            <m:r>
              <m:t>p</m:t>
            </m:r>
          </m:e>
          <m:sup>
            <m:r>
              <m:t>M</m:t>
            </m:r>
          </m:sup>
        </m:sSup>
        <m:r>
          <m:rPr>
            <m:sty m:val="p"/>
          </m:rPr>
          <m:t>≤</m:t>
        </m:r>
        <m:sSup>
          <m:e>
            <m:r>
              <m:t>p</m:t>
            </m:r>
          </m:e>
          <m:sup>
            <m:r>
              <m:t>L</m:t>
            </m:r>
          </m:sup>
        </m:sSup>
      </m:oMath>
      <w:r>
        <w:t xml:space="preserve">, la entrada está</w:t>
      </w:r>
      <w:r>
        <w:t xml:space="preserve"> </w:t>
      </w:r>
      <w:r>
        <w:rPr>
          <w:i/>
          <w:iCs/>
        </w:rPr>
        <w:t xml:space="preserve">bloqueada</w:t>
      </w:r>
      <w:r>
        <w:t xml:space="preserve">; si no, la instalada compara el beneficio de fijar</w:t>
      </w:r>
      <w:r>
        <w:t xml:space="preserve"> </w:t>
      </w:r>
      <m:oMath>
        <m:sSup>
          <m:e>
            <m:r>
              <m:t>p</m:t>
            </m:r>
          </m:e>
          <m:sup>
            <m:r>
              <m:t>L</m:t>
            </m:r>
          </m:sup>
        </m:sSup>
      </m:oMath>
      <w:r>
        <w:t xml:space="preserve"> </w:t>
      </w:r>
      <w:r>
        <w:t xml:space="preserve">(entrada</w:t>
      </w:r>
      <w:r>
        <w:t xml:space="preserve"> </w:t>
      </w:r>
      <w:r>
        <w:rPr>
          <w:i/>
          <w:iCs/>
        </w:rPr>
        <w:t xml:space="preserve">disuadida</w:t>
      </w:r>
      <w:r>
        <w:t xml:space="preserve">) con el de dejar entrar (entrada</w:t>
      </w:r>
      <w:r>
        <w:t xml:space="preserve"> </w:t>
      </w:r>
      <w:r>
        <w:rPr>
          <w:i/>
          <w:iCs/>
        </w:rPr>
        <w:t xml:space="preserve">acomodada</w:t>
      </w:r>
      <w:r>
        <w:t xml:space="preserve">).</w:t>
      </w:r>
    </w:p>
    <w:bookmarkStart w:id="162" w:name="fig_precio_limite"/>
    <w:p>
      <w:pPr>
        <w:pStyle w:val="ImageCaption"/>
      </w:pPr>
      <w:r>
        <w:t xml:space="preserve">Gráfico 9.–</w:t>
      </w:r>
      <w:r>
        <w:t xml:space="preserve"> </w:t>
      </w:r>
      <w:r>
        <w:t xml:space="preserve">El precio límite: con la producción</w:t>
      </w:r>
      <w:r>
        <w:t xml:space="preserve"> </w:t>
      </w:r>
      <m:oMath>
        <m:sSup>
          <m:e>
            <m:r>
              <m:t>q</m:t>
            </m:r>
          </m:e>
          <m:sup>
            <m:r>
              <m:t>L</m:t>
            </m:r>
          </m:sup>
        </m:sSup>
      </m:oMath>
      <w:r>
        <w:t xml:space="preserve">, a un entrante de escala</w:t>
      </w:r>
      <w:r>
        <w:t xml:space="preserve"> </w:t>
      </w:r>
      <m:oMath>
        <m:bar>
          <m:barPr>
            <m:pos m:val="top"/>
          </m:barPr>
          <m:e>
            <m:r>
              <m:t>q</m:t>
            </m:r>
          </m:e>
        </m:bar>
      </m:oMath>
      <w:r>
        <w:t xml:space="preserve"> </w:t>
      </w:r>
      <w:r>
        <w:t xml:space="preserve">el precio no le cubre</w:t>
      </w:r>
      <w:r>
        <w:t xml:space="preserve"> </w:t>
      </w:r>
      <m:oMath>
        <m:bar>
          <m:barPr>
            <m:pos m:val="top"/>
          </m:barPr>
          <m:e>
            <m:r>
              <m:t>c</m:t>
            </m:r>
          </m:e>
        </m:bar>
      </m:oMath>
    </w:p>
    <w:p>
      <w:pPr>
        <w:pStyle w:val="CaptionedFigure"/>
      </w:pPr>
      <w:r>
        <w:drawing>
          <wp:inline>
            <wp:extent cx="3581400" cy="2487249"/>
            <wp:effectExtent b="0" l="0" r="0" t="0"/>
            <wp:docPr descr="Gráfico 9.– El precio límite: con la producción q^{L}, a un entrante de escala \overline{q} el precio no le cubre \overline{c}" title="" id="160" name="Picture"/>
            <a:graphic>
              <a:graphicData uri="http://schemas.openxmlformats.org/drawingml/2006/picture">
                <pic:pic>
                  <pic:nvPicPr>
                    <pic:cNvPr descr="C:\Users\vgutierrez\Documents\src\victorgutierrezmarcos.github.io-revision\oposicion\temario\fuentes\3A15\graficos/precio-limite.png" id="161" name="Picture"/>
                    <pic:cNvPicPr>
                      <a:picLocks noChangeArrowheads="1" noChangeAspect="1"/>
                    </pic:cNvPicPr>
                  </pic:nvPicPr>
                  <pic:blipFill>
                    <a:blip r:embed="rId159"/>
                    <a:stretch>
                      <a:fillRect/>
                    </a:stretch>
                  </pic:blipFill>
                  <pic:spPr bwMode="auto">
                    <a:xfrm>
                      <a:off x="0" y="0"/>
                      <a:ext cx="3581400" cy="2487249"/>
                    </a:xfrm>
                    <a:prstGeom prst="rect">
                      <a:avLst/>
                    </a:prstGeom>
                    <a:noFill/>
                    <a:ln w="9525">
                      <a:noFill/>
                      <a:headEnd/>
                      <a:tailEnd/>
                    </a:ln>
                  </pic:spPr>
                </pic:pic>
              </a:graphicData>
            </a:graphic>
          </wp:inline>
        </w:drawing>
      </w:r>
    </w:p>
    <w:bookmarkEnd w:id="162"/>
    <w:p>
      <w:pPr>
        <w:pStyle w:val="Piedeimagen"/>
      </w:pPr>
      <w:r>
        <w:t xml:space="preserve">Fuente: elaboración propia a partir de</w:t>
      </w:r>
      <w:r>
        <w:t xml:space="preserve"> </w:t>
      </w:r>
      <w:r>
        <w:rPr>
          <w:smallCaps/>
        </w:rPr>
        <w:t xml:space="preserve">Modigliani</w:t>
      </w:r>
      <w:r>
        <w:t xml:space="preserve"> </w:t>
      </w:r>
      <w:r>
        <w:t xml:space="preserve">(</w:t>
      </w:r>
      <w:hyperlink w:anchor="ref_Modigliani1958New">
        <w:r>
          <w:rPr>
            <w:rStyle w:val="Hyperlink"/>
          </w:rPr>
          <w:t xml:space="preserve">1958</w:t>
        </w:r>
      </w:hyperlink>
      <w:r>
        <w:t xml:space="preserve">)</w:t>
      </w:r>
      <w:r>
        <w:t xml:space="preserve">.</w:t>
      </w:r>
    </w:p>
    <w:bookmarkEnd w:id="163"/>
    <w:bookmarkStart w:id="164" w:name="iii_implicaciones_6"/>
    <w:p>
      <w:pPr>
        <w:pStyle w:val="Heading5"/>
      </w:pPr>
      <w:r>
        <w:t xml:space="preserve">iii) Implicaciones</w:t>
      </w:r>
    </w:p>
    <w:p>
      <w:pPr>
        <w:numPr>
          <w:ilvl w:val="0"/>
          <w:numId w:val="1081"/>
        </w:numPr>
      </w:pPr>
      <w:r>
        <w:t xml:space="preserve">El margen</w:t>
      </w:r>
      <w:r>
        <w:t xml:space="preserve"> </w:t>
      </w:r>
      <m:oMath>
        <m:sSup>
          <m:e>
            <m:r>
              <m:t>p</m:t>
            </m:r>
          </m:e>
          <m:sup>
            <m:r>
              <m:t>L</m:t>
            </m:r>
          </m:sup>
        </m:sSup>
        <m:r>
          <m:rPr>
            <m:sty m:val="p"/>
          </m:rPr>
          <m:t>−</m:t>
        </m:r>
        <m:bar>
          <m:barPr>
            <m:pos m:val="top"/>
          </m:barPr>
          <m:e>
            <m:r>
              <m:t>c</m:t>
            </m:r>
          </m:e>
        </m:bar>
      </m:oMath>
      <w:r>
        <w:t xml:space="preserve"> </w:t>
      </w:r>
      <w:r>
        <w:t xml:space="preserve">es mayor cuanto mayor es la escala mínima eficiente frente al mercado (</w:t>
      </w:r>
      <m:oMath>
        <m:bar>
          <m:barPr>
            <m:pos m:val="top"/>
          </m:barPr>
          <m:e>
            <m:r>
              <m:t>q</m:t>
            </m:r>
          </m:e>
        </m:bar>
        <m:r>
          <m:rPr>
            <m:sty m:val="p"/>
          </m:rPr>
          <m:t>/</m:t>
        </m:r>
        <m:r>
          <m:t>x</m:t>
        </m:r>
        <m:d>
          <m:dPr>
            <m:begChr m:val="("/>
            <m:sepChr m:val=""/>
            <m:endChr m:val=")"/>
            <m:grow/>
          </m:dPr>
          <m:e>
            <m:bar>
              <m:barPr>
                <m:pos m:val="top"/>
              </m:barPr>
              <m:e>
                <m:r>
                  <m:t>c</m:t>
                </m:r>
              </m:e>
            </m:bar>
          </m:e>
        </m:d>
      </m:oMath>
      <w:r>
        <w:t xml:space="preserve">) y cuanto menos elástica es la demanda: las economías de escala son la barrera.</w:t>
      </w:r>
    </w:p>
    <w:p>
      <w:pPr>
        <w:numPr>
          <w:ilvl w:val="0"/>
          <w:numId w:val="1081"/>
        </w:numPr>
      </w:pPr>
      <w:r>
        <w:t xml:space="preserve">La amenaza de entrada limita el precio aunque nadie entre: el precio observado queda entre el competitivo y el de monopolio, y el coste de la barrera para la instalada es el beneficio al que renuncia por no fijar</w:t>
      </w:r>
      <w:r>
        <w:t xml:space="preserve"> </w:t>
      </w:r>
      <m:oMath>
        <m:sSup>
          <m:e>
            <m:r>
              <m:t>p</m:t>
            </m:r>
          </m:e>
          <m:sup>
            <m:r>
              <m:t>M</m:t>
            </m:r>
          </m:sup>
        </m:sSup>
      </m:oMath>
      <w:r>
        <w:t xml:space="preserve">.</w:t>
      </w:r>
    </w:p>
    <w:bookmarkEnd w:id="164"/>
    <w:bookmarkEnd w:id="165"/>
    <w:bookmarkStart w:id="166" w:name="c_valoraci__n"/>
    <w:p>
      <w:pPr>
        <w:pStyle w:val="Heading4"/>
      </w:pPr>
      <w:r>
        <w:t xml:space="preserve">c) Valoración</w:t>
      </w:r>
    </w:p>
    <w:p>
      <w:pPr>
        <w:numPr>
          <w:ilvl w:val="0"/>
          <w:numId w:val="1082"/>
        </w:numPr>
      </w:pPr>
      <w:r>
        <w:t xml:space="preserve">La amenaza no es</w:t>
      </w:r>
      <w:r>
        <w:t xml:space="preserve"> </w:t>
      </w:r>
      <w:r>
        <w:rPr>
          <w:i/>
          <w:iCs/>
        </w:rPr>
        <w:t xml:space="preserve">creíble</w:t>
      </w:r>
      <w:r>
        <w:t xml:space="preserve">. Una vez que el entrante ha entrado, a la instalada no le conviene mantener su producción, sino reducirla y repartirse el mercado: el postulado de</w:t>
      </w:r>
      <w:r>
        <w:t xml:space="preserve"> </w:t>
      </w:r>
      <w:r>
        <w:rPr>
          <w:smallCaps/>
        </w:rPr>
        <w:t xml:space="preserve">Sylos-Labini</w:t>
      </w:r>
      <w:r>
        <w:t xml:space="preserve"> </w:t>
      </w:r>
      <w:r>
        <w:t xml:space="preserve">no forma parte de un equilibrio de</w:t>
      </w:r>
      <w:r>
        <w:t xml:space="preserve"> </w:t>
      </w:r>
      <w:r>
        <w:rPr>
          <w:smallCaps/>
        </w:rPr>
        <w:t xml:space="preserve">Nash</w:t>
      </w:r>
      <w:r>
        <w:t xml:space="preserve"> </w:t>
      </w:r>
      <w:r>
        <w:t xml:space="preserve">perfecto en subjuegos (ENPS), igual que la amenaza de luchar en el juego de entrada</w:t>
      </w:r>
      <w:r>
        <w:t xml:space="preserve"> </w:t>
      </w:r>
      <w:hyperlink r:id="rId36">
        <w:r>
          <w:rPr>
            <w:rStyle w:val="Referenciaatema"/>
          </w:rPr>
          <w:t xml:space="preserve">[ver tema 3.A.14]</w:t>
        </w:r>
      </w:hyperlink>
      <w:r>
        <w:t xml:space="preserve">, y el entrante racional no se lo cree. Para que la disuasión funcione hace falta un</w:t>
      </w:r>
      <w:r>
        <w:t xml:space="preserve"> </w:t>
      </w:r>
      <w:r>
        <w:rPr>
          <w:i/>
          <w:iCs/>
        </w:rPr>
        <w:t xml:space="preserve">compromiso</w:t>
      </w:r>
      <w:r>
        <w:t xml:space="preserve"> </w:t>
      </w:r>
      <w:r>
        <w:t xml:space="preserve">que cambie lo que a la instalada le conviene hacer tras la entrada (</w:t>
      </w:r>
      <w:hyperlink w:anchor="sec_compromiso_capacidad">
        <w:r>
          <w:rPr>
            <w:rStyle w:val="Hyperlink"/>
          </w:rPr>
          <w:t xml:space="preserve">III.2.3</w:t>
        </w:r>
      </w:hyperlink>
      <w:r>
        <w:t xml:space="preserve">) o información asimétrica (</w:t>
      </w:r>
      <w:hyperlink w:anchor="sec_otras_conductas">
        <w:r>
          <w:rPr>
            <w:rStyle w:val="Hyperlink"/>
          </w:rPr>
          <w:t xml:space="preserve">III.2.4</w:t>
        </w:r>
      </w:hyperlink>
      <w:r>
        <w:t xml:space="preserve">).</w:t>
      </w:r>
    </w:p>
    <w:bookmarkEnd w:id="166"/>
    <w:bookmarkEnd w:id="167"/>
    <w:bookmarkStart w:id="179" w:name="sec_compromiso_capacidad"/>
    <w:p>
      <w:pPr>
        <w:pStyle w:val="Heading3"/>
      </w:pPr>
      <w:r>
        <w:t xml:space="preserve">III.2.3.</w:t>
      </w:r>
      <w:r>
        <w:t xml:space="preserve"> </w:t>
      </w:r>
      <w:r>
        <w:t xml:space="preserve">El compromiso de capacidad</w:t>
      </w:r>
    </w:p>
    <w:bookmarkStart w:id="168" w:name="a_idea_7"/>
    <w:p>
      <w:pPr>
        <w:pStyle w:val="Heading4"/>
      </w:pPr>
      <w:r>
        <w:t xml:space="preserve">a) Idea</w:t>
      </w:r>
    </w:p>
    <w:p>
      <w:pPr>
        <w:numPr>
          <w:ilvl w:val="0"/>
          <w:numId w:val="1083"/>
        </w:numPr>
      </w:pPr>
      <w:r>
        <w:t xml:space="preserve">La instalada puede hacer creíble la lucha comprometiéndose</w:t>
      </w:r>
      <w:r>
        <w:t xml:space="preserve"> </w:t>
      </w:r>
      <w:r>
        <w:rPr>
          <w:i/>
          <w:iCs/>
        </w:rPr>
        <w:t xml:space="preserve">antes</w:t>
      </w:r>
      <w:r>
        <w:t xml:space="preserve"> </w:t>
      </w:r>
      <w:r>
        <w:t xml:space="preserve">de la entrada con una inversión irreversible que cambie sus incentivos</w:t>
      </w:r>
      <w:r>
        <w:t xml:space="preserve"> </w:t>
      </w:r>
      <w:r>
        <w:rPr>
          <w:i/>
          <w:iCs/>
        </w:rPr>
        <w:t xml:space="preserve">después</w:t>
      </w:r>
      <w:r>
        <w:t xml:space="preserve">: es la lógica de «quemar las naves»</w:t>
      </w:r>
      <w:r>
        <w:t xml:space="preserve"> </w:t>
      </w:r>
      <w:r>
        <w:t xml:space="preserve">(</w:t>
      </w:r>
      <w:hyperlink w:anchor="ref_Schelling1960Strategy">
        <w:r>
          <w:rPr>
            <w:rStyle w:val="Hyperlink"/>
            <w:smallCaps/>
          </w:rPr>
          <w:t xml:space="preserve">Schelling</w:t>
        </w:r>
        <w:r>
          <w:rPr>
            <w:rStyle w:val="Hyperlink"/>
          </w:rPr>
          <w:t xml:space="preserve">, 1960</w:t>
        </w:r>
      </w:hyperlink>
      <w:r>
        <w:t xml:space="preserve">)</w:t>
      </w:r>
      <w:r>
        <w:t xml:space="preserve"> </w:t>
      </w:r>
      <w:hyperlink r:id="rId36">
        <w:r>
          <w:rPr>
            <w:rStyle w:val="Referenciaatema"/>
          </w:rPr>
          <w:t xml:space="preserve">[ver tema 3.A.14]</w:t>
        </w:r>
      </w:hyperlink>
      <w:r>
        <w:t xml:space="preserve">, aplicada por</w:t>
      </w:r>
      <w:r>
        <w:t xml:space="preserve"> </w:t>
      </w:r>
      <w:r>
        <w:t xml:space="preserve">A. M.</w:t>
      </w:r>
      <w:r>
        <w:t xml:space="preserve"> </w:t>
      </w:r>
      <w:r>
        <w:rPr>
          <w:smallCaps/>
        </w:rPr>
        <w:t xml:space="preserve">Spence</w:t>
      </w:r>
      <w:r>
        <w:t xml:space="preserve"> </w:t>
      </w:r>
      <w:r>
        <w:t xml:space="preserve">(</w:t>
      </w:r>
      <w:hyperlink w:anchor="ref_Spence1977Entry">
        <w:r>
          <w:rPr>
            <w:rStyle w:val="Hyperlink"/>
          </w:rPr>
          <w:t xml:space="preserve">1977</w:t>
        </w:r>
      </w:hyperlink>
      <w:r>
        <w:t xml:space="preserve">)</w:t>
      </w:r>
      <w:r>
        <w:t xml:space="preserve"> </w:t>
      </w:r>
      <w:r>
        <w:t xml:space="preserve">y</w:t>
      </w:r>
      <w:r>
        <w:t xml:space="preserve"> </w:t>
      </w:r>
      <w:r>
        <w:rPr>
          <w:smallCaps/>
        </w:rPr>
        <w:t xml:space="preserve">Dixit</w:t>
      </w:r>
      <w:r>
        <w:t xml:space="preserve"> </w:t>
      </w:r>
      <w:r>
        <w:t xml:space="preserve">(</w:t>
      </w:r>
      <w:hyperlink w:anchor="ref_Dixit1980Role">
        <w:r>
          <w:rPr>
            <w:rStyle w:val="Hyperlink"/>
          </w:rPr>
          <w:t xml:space="preserve">1980</w:t>
        </w:r>
      </w:hyperlink>
      <w:r>
        <w:t xml:space="preserve">)</w:t>
      </w:r>
      <w:r>
        <w:t xml:space="preserve">.</w:t>
      </w:r>
    </w:p>
    <w:bookmarkEnd w:id="168"/>
    <w:bookmarkStart w:id="176" w:name="b_modelo_7"/>
    <w:p>
      <w:pPr>
        <w:pStyle w:val="Heading4"/>
      </w:pPr>
      <w:r>
        <w:t xml:space="preserve">b) Modelo</w:t>
      </w:r>
    </w:p>
    <w:bookmarkStart w:id="169" w:name="i_supuestos_6"/>
    <w:p>
      <w:pPr>
        <w:pStyle w:val="Heading5"/>
      </w:pPr>
      <w:r>
        <w:t xml:space="preserve">i) Supuestos</w:t>
      </w:r>
    </w:p>
    <w:p>
      <w:pPr>
        <w:numPr>
          <w:ilvl w:val="0"/>
          <w:numId w:val="1084"/>
        </w:numPr>
      </w:pPr>
      <w:r>
        <w:t xml:space="preserve">El juego de entrada con información completa, con los pagos (entrante, instalada) de siempre: si el entrante no entra, (0,</w:t>
      </w:r>
      <w:r>
        <w:t xml:space="preserve"> </w:t>
      </w:r>
      <m:oMath>
        <m:sSup>
          <m:e>
            <m:r>
              <m:t>B</m:t>
            </m:r>
          </m:e>
          <m:sup>
            <m:r>
              <m:t>M</m:t>
            </m:r>
          </m:sup>
        </m:sSup>
      </m:oMath>
      <w:r>
        <w:t xml:space="preserve">); si entra y la instalada acomoda, (1,</w:t>
      </w:r>
      <w:r>
        <w:t xml:space="preserve"> </w:t>
      </w:r>
      <m:oMath>
        <m:sSup>
          <m:e>
            <m:r>
              <m:t>B</m:t>
            </m:r>
          </m:e>
          <m:sup>
            <m:r>
              <m:t>D</m:t>
            </m:r>
          </m:sup>
        </m:sSup>
      </m:oMath>
      <w:r>
        <w:t xml:space="preserve">); si entra y la instalada lucha con una guerra de precios, (</w:t>
      </w:r>
      <m:oMath>
        <m:r>
          <m:rPr>
            <m:sty m:val="p"/>
          </m:rPr>
          <m:t>−</m:t>
        </m:r>
        <m:r>
          <m:t>1</m:t>
        </m:r>
      </m:oMath>
      <w:r>
        <w:t xml:space="preserve">,</w:t>
      </w:r>
      <w:r>
        <w:t xml:space="preserve"> </w:t>
      </w:r>
      <m:oMath>
        <m:sSup>
          <m:e>
            <m:r>
              <m:t>B</m:t>
            </m:r>
          </m:e>
          <m:sup>
            <m:r>
              <m:t>G</m:t>
            </m:r>
          </m:sup>
        </m:sSup>
      </m:oMath>
      <w:r>
        <w:t xml:space="preserve">), con</w:t>
      </w:r>
      <w:r>
        <w:t xml:space="preserve"> </w:t>
      </w:r>
      <m:oMath>
        <m:sSup>
          <m:e>
            <m:r>
              <m:t>B</m:t>
            </m:r>
          </m:e>
          <m:sup>
            <m:r>
              <m:t>G</m:t>
            </m:r>
          </m:sup>
        </m:sSup>
        <m:r>
          <m:rPr>
            <m:sty m:val="p"/>
          </m:rPr>
          <m:t>&lt;</m:t>
        </m:r>
        <m:sSup>
          <m:e>
            <m:r>
              <m:t>B</m:t>
            </m:r>
          </m:e>
          <m:sup>
            <m:r>
              <m:t>D</m:t>
            </m:r>
          </m:sup>
        </m:sSup>
        <m:r>
          <m:rPr>
            <m:sty m:val="p"/>
          </m:rPr>
          <m:t>&lt;</m:t>
        </m:r>
        <m:sSup>
          <m:e>
            <m:r>
              <m:t>B</m:t>
            </m:r>
          </m:e>
          <m:sup>
            <m:r>
              <m:t>M</m:t>
            </m:r>
          </m:sup>
        </m:sSup>
      </m:oMath>
      <w:r>
        <w:t xml:space="preserve"> </w:t>
      </w:r>
      <w:r>
        <w:t xml:space="preserve">(en el ejemplo,</w:t>
      </w:r>
      <w:r>
        <w:t xml:space="preserve"> </w:t>
      </w:r>
      <m:oMath>
        <m:sSup>
          <m:e>
            <m:r>
              <m:t>B</m:t>
            </m:r>
          </m:e>
          <m:sup>
            <m:r>
              <m:t>M</m:t>
            </m:r>
          </m:sup>
        </m:sSup>
        <m:r>
          <m:rPr>
            <m:sty m:val="p"/>
          </m:rPr>
          <m:t>=</m:t>
        </m:r>
        <m:r>
          <m:t>4</m:t>
        </m:r>
      </m:oMath>
      <w:r>
        <w:t xml:space="preserve">,</w:t>
      </w:r>
      <w:r>
        <w:t xml:space="preserve"> </w:t>
      </w:r>
      <m:oMath>
        <m:sSup>
          <m:e>
            <m:r>
              <m:t>B</m:t>
            </m:r>
          </m:e>
          <m:sup>
            <m:r>
              <m:t>D</m:t>
            </m:r>
          </m:sup>
        </m:sSup>
        <m:r>
          <m:rPr>
            <m:sty m:val="p"/>
          </m:rPr>
          <m:t>=</m:t>
        </m:r>
        <m:r>
          <m:t>1</m:t>
        </m:r>
      </m:oMath>
      <w:r>
        <w:t xml:space="preserve"> </w:t>
      </w:r>
      <w:r>
        <w:t xml:space="preserve">y</w:t>
      </w:r>
      <w:r>
        <w:t xml:space="preserve"> </w:t>
      </w:r>
      <m:oMath>
        <m:sSup>
          <m:e>
            <m:r>
              <m:t>B</m:t>
            </m:r>
          </m:e>
          <m:sup>
            <m:r>
              <m:t>G</m:t>
            </m:r>
          </m:sup>
        </m:sSup>
        <m:r>
          <m:rPr>
            <m:sty m:val="p"/>
          </m:rPr>
          <m:t>=</m:t>
        </m:r>
        <m:r>
          <m:rPr>
            <m:sty m:val="p"/>
          </m:rPr>
          <m:t>−</m:t>
        </m:r>
        <m:r>
          <m:t>1</m:t>
        </m:r>
      </m:oMath>
      <w:r>
        <w:t xml:space="preserve">).</w:t>
      </w:r>
    </w:p>
    <w:p>
      <w:pPr>
        <w:numPr>
          <w:ilvl w:val="0"/>
          <w:numId w:val="1084"/>
        </w:numPr>
      </w:pPr>
      <w:r>
        <w:t xml:space="preserve">Luchar exige una capacidad grande. La instalada puede comprarla</w:t>
      </w:r>
      <w:r>
        <w:t xml:space="preserve"> </w:t>
      </w:r>
      <w:r>
        <w:rPr>
          <w:i/>
          <w:iCs/>
        </w:rPr>
        <w:t xml:space="preserve">antes</w:t>
      </w:r>
      <w:r>
        <w:t xml:space="preserve">, con un coste hundido</w:t>
      </w:r>
      <w:r>
        <w:t xml:space="preserve"> </w:t>
      </w:r>
      <m:oMath>
        <m:r>
          <m:rPr>
            <m:sty m:val="p"/>
          </m:rPr>
          <m:t>C</m:t>
        </m:r>
        <m:r>
          <m:rPr>
            <m:sty m:val="p"/>
          </m:rPr>
          <m:t>H</m:t>
        </m:r>
      </m:oMath>
      <w:r>
        <w:t xml:space="preserve">, o, si no lo hace, comprarla cuando luche;</w:t>
      </w:r>
      <w:r>
        <w:t xml:space="preserve"> </w:t>
      </w:r>
      <m:oMath>
        <m:sSup>
          <m:e>
            <m:r>
              <m:t>B</m:t>
            </m:r>
          </m:e>
          <m:sup>
            <m:r>
              <m:t>G</m:t>
            </m:r>
          </m:sup>
        </m:sSup>
      </m:oMath>
      <w:r>
        <w:t xml:space="preserve"> </w:t>
      </w:r>
      <w:r>
        <w:t xml:space="preserve">ya descuenta ese coste. Si no hay entrada o si acomoda, la capacidad comprada antes queda ociosa y su coste es una pérdida.</w:t>
      </w:r>
    </w:p>
    <w:p>
      <w:pPr>
        <w:numPr>
          <w:ilvl w:val="0"/>
          <w:numId w:val="1084"/>
        </w:numPr>
      </w:pPr>
      <w:r>
        <w:t xml:space="preserve">3 etapas: (1) la instalada decide si invierte; (2) el entrante, que lo observa, decide si entra; (3) si ha entrado, la instalada decide si lucha o acomoda.</w:t>
      </w:r>
    </w:p>
    <w:bookmarkEnd w:id="169"/>
    <w:bookmarkStart w:id="174" w:name="ii_desarrollo_7"/>
    <w:p>
      <w:pPr>
        <w:pStyle w:val="Heading5"/>
      </w:pPr>
      <w:r>
        <w:t xml:space="preserve">ii) Desarrollo</w:t>
      </w:r>
    </w:p>
    <w:p>
      <w:pPr>
        <w:keepNext/>
        <w:numPr>
          <w:ilvl w:val="0"/>
          <w:numId w:val="1085"/>
        </w:numPr>
      </w:pPr>
      <w:r>
        <w:t xml:space="preserve">Por inducción hacia atrás (gráfico </w:t>
      </w:r>
      <w:hyperlink w:anchor="fig_disuasion_arbol">
        <w:r>
          <w:rPr>
            <w:rStyle w:val="Hyperlink"/>
          </w:rPr>
          <w:t xml:space="preserve">10</w:t>
        </w:r>
      </w:hyperlink>
      <w:r>
        <w:t xml:space="preserve">):</w:t>
      </w:r>
    </w:p>
    <w:p>
      <w:pPr>
        <w:numPr>
          <w:ilvl w:val="1"/>
          <w:numId w:val="1086"/>
        </w:numPr>
      </w:pPr>
      <w:r>
        <w:t xml:space="preserve">sin invertir, el juego es el de entrada de siempre: luchar es una amenaza no creíble (</w:t>
      </w:r>
      <m:oMath>
        <m:sSup>
          <m:e>
            <m:r>
              <m:t>B</m:t>
            </m:r>
          </m:e>
          <m:sup>
            <m:r>
              <m:t>G</m:t>
            </m:r>
          </m:sup>
        </m:sSup>
        <m:r>
          <m:rPr>
            <m:sty m:val="p"/>
          </m:rPr>
          <m:t>&lt;</m:t>
        </m:r>
        <m:sSup>
          <m:e>
            <m:r>
              <m:t>B</m:t>
            </m:r>
          </m:e>
          <m:sup>
            <m:r>
              <m:t>D</m:t>
            </m:r>
          </m:sup>
        </m:sSup>
      </m:oMath>
      <w:r>
        <w:t xml:space="preserve">), el entrante entra y la instalada acomoda;</w:t>
      </w:r>
    </w:p>
    <w:p>
      <w:pPr>
        <w:numPr>
          <w:ilvl w:val="1"/>
          <w:numId w:val="1086"/>
        </w:numPr>
      </w:pPr>
      <w:r>
        <w:t xml:space="preserve">tras invertir, la instalada lucha si</w:t>
      </w:r>
      <w:r>
        <w:t xml:space="preserve"> </w:t>
      </w:r>
      <m:oMath>
        <m:sSup>
          <m:e>
            <m:r>
              <m:t>B</m:t>
            </m:r>
          </m:e>
          <m:sup>
            <m:r>
              <m:t>G</m:t>
            </m:r>
          </m:sup>
        </m:sSup>
        <m:r>
          <m:rPr>
            <m:sty m:val="p"/>
          </m:rPr>
          <m:t>&gt;</m:t>
        </m:r>
        <m:sSup>
          <m:e>
            <m:r>
              <m:t>B</m:t>
            </m:r>
          </m:e>
          <m:sup>
            <m:r>
              <m:t>D</m:t>
            </m:r>
          </m:sup>
        </m:sSup>
        <m:r>
          <m:rPr>
            <m:sty m:val="p"/>
          </m:rPr>
          <m:t>−</m:t>
        </m:r>
        <m:r>
          <m:rPr>
            <m:sty m:val="p"/>
          </m:rPr>
          <m:t>C</m:t>
        </m:r>
        <m:r>
          <m:rPr>
            <m:sty m:val="p"/>
          </m:rPr>
          <m:t>H</m:t>
        </m:r>
      </m:oMath>
      <w:r>
        <w:t xml:space="preserve">, es decir, si</w:t>
      </w:r>
      <w:r>
        <w:t xml:space="preserve"> </w:t>
      </w:r>
      <m:oMath>
        <m:r>
          <m:rPr>
            <m:sty m:val="p"/>
          </m:rPr>
          <m:t>C</m:t>
        </m:r>
        <m:r>
          <m:rPr>
            <m:sty m:val="p"/>
          </m:rPr>
          <m:t>H</m:t>
        </m:r>
        <m:r>
          <m:rPr>
            <m:sty m:val="p"/>
          </m:rPr>
          <m:t>&gt;</m:t>
        </m:r>
        <m:sSup>
          <m:e>
            <m:r>
              <m:t>B</m:t>
            </m:r>
          </m:e>
          <m:sup>
            <m:r>
              <m:t>D</m:t>
            </m:r>
          </m:sup>
        </m:sSup>
        <m:r>
          <m:rPr>
            <m:sty m:val="p"/>
          </m:rPr>
          <m:t>−</m:t>
        </m:r>
        <m:sSup>
          <m:e>
            <m:r>
              <m:t>B</m:t>
            </m:r>
          </m:e>
          <m:sup>
            <m:r>
              <m:t>G</m:t>
            </m:r>
          </m:sup>
        </m:sSup>
      </m:oMath>
      <w:r>
        <w:t xml:space="preserve">: luchar le cuesta menos que dejar la capacidad ociosa;</w:t>
      </w:r>
    </w:p>
    <w:p>
      <w:pPr>
        <w:numPr>
          <w:ilvl w:val="1"/>
          <w:numId w:val="1086"/>
        </w:numPr>
      </w:pPr>
      <w:r>
        <w:t xml:space="preserve">el entrante, que lo anticipa, no entra, y la instalada gana</w:t>
      </w:r>
      <w:r>
        <w:t xml:space="preserve"> </w:t>
      </w:r>
      <m:oMath>
        <m:sSup>
          <m:e>
            <m:r>
              <m:t>B</m:t>
            </m:r>
          </m:e>
          <m:sup>
            <m:r>
              <m:t>M</m:t>
            </m:r>
          </m:sup>
        </m:sSup>
        <m:r>
          <m:rPr>
            <m:sty m:val="p"/>
          </m:rPr>
          <m:t>−</m:t>
        </m:r>
        <m:r>
          <m:rPr>
            <m:sty m:val="p"/>
          </m:rPr>
          <m:t>C</m:t>
        </m:r>
        <m:r>
          <m:rPr>
            <m:sty m:val="p"/>
          </m:rPr>
          <m:t>H</m:t>
        </m:r>
      </m:oMath>
      <w:r>
        <w:t xml:space="preserve">, más que acomodando sin invertir si</w:t>
      </w:r>
      <w:r>
        <w:t xml:space="preserve"> </w:t>
      </w:r>
      <m:oMath>
        <m:r>
          <m:rPr>
            <m:sty m:val="p"/>
          </m:rPr>
          <m:t>C</m:t>
        </m:r>
        <m:r>
          <m:rPr>
            <m:sty m:val="p"/>
          </m:rPr>
          <m:t>H</m:t>
        </m:r>
        <m:r>
          <m:rPr>
            <m:sty m:val="p"/>
          </m:rPr>
          <m:t>&lt;</m:t>
        </m:r>
        <m:sSup>
          <m:e>
            <m:r>
              <m:t>B</m:t>
            </m:r>
          </m:e>
          <m:sup>
            <m:r>
              <m:t>M</m:t>
            </m:r>
          </m:sup>
        </m:sSup>
        <m:r>
          <m:rPr>
            <m:sty m:val="p"/>
          </m:rPr>
          <m:t>−</m:t>
        </m:r>
        <m:sSup>
          <m:e>
            <m:r>
              <m:t>B</m:t>
            </m:r>
          </m:e>
          <m:sup>
            <m:r>
              <m:t>D</m:t>
            </m:r>
          </m:sup>
        </m:sSup>
      </m:oMath>
      <w:r>
        <w:t xml:space="preserve">.</w:t>
      </w:r>
    </w:p>
    <w:p>
      <w:pPr>
        <w:numPr>
          <w:ilvl w:val="0"/>
          <w:numId w:val="1085"/>
        </w:numPr>
      </w:pPr>
      <w:r>
        <w:t xml:space="preserve">La disuasión es un ENPS si</w:t>
      </w:r>
    </w:p>
    <w:p>
      <w:pPr>
        <w:pStyle w:val="BodyText"/>
        <w:keepNext/>
      </w:pPr>
      <m:oMathPara>
        <m:oMathParaPr>
          <m:jc m:val="center"/>
        </m:oMathParaPr>
        <m:oMath>
          <m:sSup>
            <m:e>
              <m:r>
                <m:t>B</m:t>
              </m:r>
            </m:e>
            <m:sup>
              <m:r>
                <m:t>D</m:t>
              </m:r>
            </m:sup>
          </m:sSup>
          <m:r>
            <m:rPr>
              <m:sty m:val="p"/>
            </m:rPr>
            <m:t>−</m:t>
          </m:r>
          <m:sSup>
            <m:e>
              <m:r>
                <m:t>B</m:t>
              </m:r>
            </m:e>
            <m:sup>
              <m:r>
                <m:t>G</m:t>
              </m:r>
            </m:sup>
          </m:sSup>
          <m:r>
            <m:rPr>
              <m:sty m:val="p"/>
            </m:rPr>
            <m:t>&lt;</m:t>
          </m:r>
          <m:r>
            <m:rPr>
              <m:sty m:val="p"/>
            </m:rPr>
            <m:t>C</m:t>
          </m:r>
          <m:r>
            <m:rPr>
              <m:sty m:val="p"/>
            </m:rPr>
            <m:t>H</m:t>
          </m:r>
          <m:r>
            <m:rPr>
              <m:sty m:val="p"/>
            </m:rPr>
            <m:t>&lt;</m:t>
          </m:r>
          <m:sSup>
            <m:e>
              <m:r>
                <m:t>B</m:t>
              </m:r>
            </m:e>
            <m:sup>
              <m:r>
                <m:t>M</m:t>
              </m:r>
            </m:sup>
          </m:sSup>
          <m:r>
            <m:rPr>
              <m:sty m:val="p"/>
            </m:rPr>
            <m:t>−</m:t>
          </m:r>
          <m:sSup>
            <m:e>
              <m:r>
                <m:t>B</m:t>
              </m:r>
            </m:e>
            <m:sup>
              <m:r>
                <m:t>D</m:t>
              </m:r>
            </m:sup>
          </m:sSup>
          <m:r>
            <m:rPr>
              <m:sty m:val="p"/>
            </m:rPr>
            <m:t>,</m:t>
          </m:r>
        </m:oMath>
      </m:oMathPara>
    </w:p>
    <w:p>
      <w:pPr>
        <w:numPr>
          <w:ilvl w:val="0"/>
          <w:numId w:val="1000"/>
        </w:numPr>
      </w:pPr>
      <w:r>
        <w:t xml:space="preserve">lo que exige</w:t>
      </w:r>
      <w:r>
        <w:t xml:space="preserve"> </w:t>
      </w:r>
      <m:oMath>
        <m:r>
          <m:t>2</m:t>
        </m:r>
        <m:sSup>
          <m:e>
            <m:r>
              <m:t>B</m:t>
            </m:r>
          </m:e>
          <m:sup>
            <m:r>
              <m:t>D</m:t>
            </m:r>
          </m:sup>
        </m:sSup>
        <m:r>
          <m:rPr>
            <m:sty m:val="p"/>
          </m:rPr>
          <m:t>&lt;</m:t>
        </m:r>
        <m:sSup>
          <m:e>
            <m:r>
              <m:t>B</m:t>
            </m:r>
          </m:e>
          <m:sup>
            <m:r>
              <m:t>M</m:t>
            </m:r>
          </m:sup>
        </m:sSup>
        <m:r>
          <m:rPr>
            <m:sty m:val="p"/>
          </m:rPr>
          <m:t>+</m:t>
        </m:r>
        <m:sSup>
          <m:e>
            <m:r>
              <m:t>B</m:t>
            </m:r>
          </m:e>
          <m:sup>
            <m:r>
              <m:t>G</m:t>
            </m:r>
          </m:sup>
        </m:sSup>
      </m:oMath>
      <w:r>
        <w:t xml:space="preserve">. En el ejemplo,</w:t>
      </w:r>
      <w:r>
        <w:t xml:space="preserve"> </w:t>
      </w:r>
      <m:oMath>
        <m:r>
          <m:t>2</m:t>
        </m:r>
        <m:r>
          <m:rPr>
            <m:sty m:val="p"/>
          </m:rPr>
          <m:t>&lt;</m:t>
        </m:r>
        <m:r>
          <m:rPr>
            <m:sty m:val="p"/>
          </m:rPr>
          <m:t>C</m:t>
        </m:r>
        <m:r>
          <m:rPr>
            <m:sty m:val="p"/>
          </m:rPr>
          <m:t>H</m:t>
        </m:r>
        <m:r>
          <m:rPr>
            <m:sty m:val="p"/>
          </m:rPr>
          <m:t>&lt;</m:t>
        </m:r>
        <m:r>
          <m:t>3</m:t>
        </m:r>
      </m:oMath>
      <w:r>
        <w:t xml:space="preserve">; con</w:t>
      </w:r>
      <w:r>
        <w:t xml:space="preserve"> </w:t>
      </w:r>
      <m:oMath>
        <m:r>
          <m:rPr>
            <m:sty m:val="p"/>
          </m:rPr>
          <m:t>C</m:t>
        </m:r>
        <m:r>
          <m:rPr>
            <m:sty m:val="p"/>
          </m:rPr>
          <m:t>H</m:t>
        </m:r>
        <m:r>
          <m:rPr>
            <m:sty m:val="p"/>
          </m:rPr>
          <m:t>=</m:t>
        </m:r>
        <m:r>
          <m:t>2</m:t>
        </m:r>
        <m:r>
          <m:rPr>
            <m:sty m:val="p"/>
          </m:rPr>
          <m:t>,</m:t>
        </m:r>
        <m:r>
          <m:t>5</m:t>
        </m:r>
      </m:oMath>
      <w:r>
        <w:t xml:space="preserve">, la instalada invierte (gana</w:t>
      </w:r>
      <w:r>
        <w:t xml:space="preserve"> </w:t>
      </w:r>
      <m:oMath>
        <m:r>
          <m:t>1</m:t>
        </m:r>
        <m:r>
          <m:rPr>
            <m:sty m:val="p"/>
          </m:rPr>
          <m:t>,</m:t>
        </m:r>
        <m:r>
          <m:t>5</m:t>
        </m:r>
        <m:r>
          <m:rPr>
            <m:sty m:val="p"/>
          </m:rPr>
          <m:t>&gt;</m:t>
        </m:r>
        <m:r>
          <m:t>1</m:t>
        </m:r>
      </m:oMath>
      <w:r>
        <w:t xml:space="preserve">), lucharía si hubiera entrada (</w:t>
      </w:r>
      <m:oMath>
        <m:r>
          <m:rPr>
            <m:sty m:val="p"/>
          </m:rPr>
          <m:t>−</m:t>
        </m:r>
        <m:r>
          <m:t>1</m:t>
        </m:r>
        <m:r>
          <m:rPr>
            <m:sty m:val="p"/>
          </m:rPr>
          <m:t>&gt;</m:t>
        </m:r>
        <m:r>
          <m:rPr>
            <m:sty m:val="p"/>
          </m:rPr>
          <m:t>−</m:t>
        </m:r>
        <m:r>
          <m:t>1</m:t>
        </m:r>
        <m:r>
          <m:rPr>
            <m:sty m:val="p"/>
          </m:rPr>
          <m:t>,</m:t>
        </m:r>
        <m:r>
          <m:t>5</m:t>
        </m:r>
      </m:oMath>
      <w:r>
        <w:t xml:space="preserve">) y el entrante no entra.</w:t>
      </w:r>
    </w:p>
    <w:bookmarkStart w:id="173" w:name="fig_disuasion_arbol"/>
    <w:p>
      <w:pPr>
        <w:pStyle w:val="ImageCaption"/>
      </w:pPr>
      <w:r>
        <w:t xml:space="preserve">Gráfico 10.–</w:t>
      </w:r>
      <w:r>
        <w:t xml:space="preserve"> </w:t>
      </w:r>
      <w:r>
        <w:t xml:space="preserve">Disuasión de la entrada con un compromiso de capacidad: el juego de entrada con una etapa previa</w:t>
      </w:r>
    </w:p>
    <w:p>
      <w:pPr>
        <w:pStyle w:val="CaptionedFigure"/>
      </w:pPr>
      <w:r>
        <w:drawing>
          <wp:inline>
            <wp:extent cx="4775200" cy="2456078"/>
            <wp:effectExtent b="0" l="0" r="0" t="0"/>
            <wp:docPr descr="Gráfico 10.– Disuasión de la entrada con un compromiso de capacidad: el juego de entrada con una etapa previa" title="" id="171" name="Picture"/>
            <a:graphic>
              <a:graphicData uri="http://schemas.openxmlformats.org/drawingml/2006/picture">
                <pic:pic>
                  <pic:nvPicPr>
                    <pic:cNvPr descr="C:\Users\vgutierrez\Documents\src\victorgutierrezmarcos.github.io-revision\oposicion\temario\fuentes\3A15\graficos/disuasion-arbol.png" id="172" name="Picture"/>
                    <pic:cNvPicPr>
                      <a:picLocks noChangeArrowheads="1" noChangeAspect="1"/>
                    </pic:cNvPicPr>
                  </pic:nvPicPr>
                  <pic:blipFill>
                    <a:blip r:embed="rId170"/>
                    <a:stretch>
                      <a:fillRect/>
                    </a:stretch>
                  </pic:blipFill>
                  <pic:spPr bwMode="auto">
                    <a:xfrm>
                      <a:off x="0" y="0"/>
                      <a:ext cx="4775200" cy="2456078"/>
                    </a:xfrm>
                    <a:prstGeom prst="rect">
                      <a:avLst/>
                    </a:prstGeom>
                    <a:noFill/>
                    <a:ln w="9525">
                      <a:noFill/>
                      <a:headEnd/>
                      <a:tailEnd/>
                    </a:ln>
                  </pic:spPr>
                </pic:pic>
              </a:graphicData>
            </a:graphic>
          </wp:inline>
        </w:drawing>
      </w:r>
    </w:p>
    <w:bookmarkEnd w:id="173"/>
    <w:p>
      <w:pPr>
        <w:pStyle w:val="Piedeimagen"/>
      </w:pPr>
      <w:r>
        <w:t xml:space="preserve">Fuente: elaboración propia a partir de</w:t>
      </w:r>
      <w:r>
        <w:t xml:space="preserve"> </w:t>
      </w:r>
      <w:r>
        <w:rPr>
          <w:smallCaps/>
        </w:rPr>
        <w:t xml:space="preserve">Dixit</w:t>
      </w:r>
      <w:r>
        <w:t xml:space="preserve"> </w:t>
      </w:r>
      <w:r>
        <w:t xml:space="preserve">(</w:t>
      </w:r>
      <w:hyperlink w:anchor="ref_Dixit1980Role">
        <w:r>
          <w:rPr>
            <w:rStyle w:val="Hyperlink"/>
          </w:rPr>
          <w:t xml:space="preserve">1980</w:t>
        </w:r>
      </w:hyperlink>
      <w:r>
        <w:t xml:space="preserve">)</w:t>
      </w:r>
      <w:r>
        <w:t xml:space="preserve"> </w:t>
      </w:r>
      <w:r>
        <w:t xml:space="preserve">y</w:t>
      </w:r>
      <w:r>
        <w:t xml:space="preserve"> </w:t>
      </w:r>
      <w:r>
        <w:rPr>
          <w:smallCaps/>
        </w:rPr>
        <w:t xml:space="preserve">Tirole</w:t>
      </w:r>
      <w:r>
        <w:t xml:space="preserve"> </w:t>
      </w:r>
      <w:r>
        <w:t xml:space="preserve">(</w:t>
      </w:r>
      <w:hyperlink w:anchor="ref_Tirole1988Theory">
        <w:r>
          <w:rPr>
            <w:rStyle w:val="Hyperlink"/>
          </w:rPr>
          <w:t xml:space="preserve">1988, cap. 8</w:t>
        </w:r>
      </w:hyperlink>
      <w:r>
        <w:t xml:space="preserve">)</w:t>
      </w:r>
      <w:r>
        <w:t xml:space="preserve">. Pagos: (entrante, instalada), con</w:t>
      </w:r>
      <w:r>
        <w:t xml:space="preserve"> </w:t>
      </w:r>
      <m:oMath>
        <m:r>
          <m:rPr>
            <m:sty m:val="p"/>
          </m:rPr>
          <m:t>C</m:t>
        </m:r>
        <m:r>
          <m:rPr>
            <m:sty m:val="p"/>
          </m:rPr>
          <m:t>H</m:t>
        </m:r>
        <m:r>
          <m:rPr>
            <m:sty m:val="p"/>
          </m:rPr>
          <m:t>=</m:t>
        </m:r>
        <m:r>
          <m:t>2</m:t>
        </m:r>
        <m:r>
          <m:rPr>
            <m:sty m:val="p"/>
          </m:rPr>
          <m:t>,</m:t>
        </m:r>
        <m:r>
          <m:t>5</m:t>
        </m:r>
      </m:oMath>
      <w:r>
        <w:t xml:space="preserve">; en rojo, el ENPS.</w:t>
      </w:r>
    </w:p>
    <w:bookmarkEnd w:id="174"/>
    <w:bookmarkStart w:id="175" w:name="iii_implicaciones_7"/>
    <w:p>
      <w:pPr>
        <w:pStyle w:val="Heading5"/>
      </w:pPr>
      <w:r>
        <w:t xml:space="preserve">iii) Implicaciones</w:t>
      </w:r>
    </w:p>
    <w:p>
      <w:pPr>
        <w:numPr>
          <w:ilvl w:val="0"/>
          <w:numId w:val="1087"/>
        </w:numPr>
      </w:pPr>
      <w:r>
        <w:t xml:space="preserve">Es el carácter</w:t>
      </w:r>
      <w:r>
        <w:t xml:space="preserve"> </w:t>
      </w:r>
      <w:r>
        <w:rPr>
          <w:i/>
          <w:iCs/>
        </w:rPr>
        <w:t xml:space="preserve">hundido</w:t>
      </w:r>
      <w:r>
        <w:t xml:space="preserve"> </w:t>
      </w:r>
      <w:r>
        <w:t xml:space="preserve">de la inversión lo que da credibilidad: si la capacidad pudiera revenderse sin pérdida, no comprometería a nada. La instalada sacrifica beneficio (</w:t>
      </w:r>
      <m:oMath>
        <m:r>
          <m:rPr>
            <m:sty m:val="p"/>
          </m:rPr>
          <m:t>C</m:t>
        </m:r>
        <m:r>
          <m:rPr>
            <m:sty m:val="p"/>
          </m:rPr>
          <m:t>H</m:t>
        </m:r>
      </m:oMath>
      <w:r>
        <w:t xml:space="preserve">) para conservar el monopolio.</w:t>
      </w:r>
    </w:p>
    <w:p>
      <w:pPr>
        <w:numPr>
          <w:ilvl w:val="0"/>
          <w:numId w:val="1087"/>
        </w:numPr>
      </w:pPr>
      <w:r>
        <w:t xml:space="preserve">Si</w:t>
      </w:r>
      <w:r>
        <w:t xml:space="preserve"> </w:t>
      </w:r>
      <m:oMath>
        <m:r>
          <m:rPr>
            <m:sty m:val="p"/>
          </m:rPr>
          <m:t>C</m:t>
        </m:r>
        <m:r>
          <m:rPr>
            <m:sty m:val="p"/>
          </m:rPr>
          <m:t>H</m:t>
        </m:r>
        <m:r>
          <m:rPr>
            <m:sty m:val="p"/>
          </m:rPr>
          <m:t>&gt;</m:t>
        </m:r>
        <m:sSup>
          <m:e>
            <m:r>
              <m:t>B</m:t>
            </m:r>
          </m:e>
          <m:sup>
            <m:r>
              <m:t>M</m:t>
            </m:r>
          </m:sup>
        </m:sSup>
        <m:r>
          <m:rPr>
            <m:sty m:val="p"/>
          </m:rPr>
          <m:t>−</m:t>
        </m:r>
        <m:sSup>
          <m:e>
            <m:r>
              <m:t>B</m:t>
            </m:r>
          </m:e>
          <m:sup>
            <m:r>
              <m:t>D</m:t>
            </m:r>
          </m:sup>
        </m:sSup>
      </m:oMath>
      <w:r>
        <w:t xml:space="preserve">, disuadir no compensa y la entrada es</w:t>
      </w:r>
      <w:r>
        <w:t xml:space="preserve"> </w:t>
      </w:r>
      <w:r>
        <w:rPr>
          <w:i/>
          <w:iCs/>
        </w:rPr>
        <w:t xml:space="preserve">acomodada</w:t>
      </w:r>
      <w:r>
        <w:t xml:space="preserve">; si el entrante no entraría ni sin inversión, la entrada está</w:t>
      </w:r>
      <w:r>
        <w:t xml:space="preserve"> </w:t>
      </w:r>
      <w:r>
        <w:rPr>
          <w:i/>
          <w:iCs/>
        </w:rPr>
        <w:t xml:space="preserve">bloqueada</w:t>
      </w:r>
      <w:r>
        <w:t xml:space="preserve"> </w:t>
      </w:r>
      <w:r>
        <w:t xml:space="preserve">(</w:t>
      </w:r>
      <w:hyperlink w:anchor="ref_Bain1956Barriers">
        <w:r>
          <w:rPr>
            <w:rStyle w:val="Hyperlink"/>
            <w:smallCaps/>
          </w:rPr>
          <w:t xml:space="preserve">Bain</w:t>
        </w:r>
        <w:r>
          <w:rPr>
            <w:rStyle w:val="Hyperlink"/>
          </w:rPr>
          <w:t xml:space="preserve">, 1956</w:t>
        </w:r>
      </w:hyperlink>
      <w:r>
        <w:t xml:space="preserve">)</w:t>
      </w:r>
      <w:r>
        <w:t xml:space="preserve">.</w:t>
      </w:r>
    </w:p>
    <w:bookmarkEnd w:id="175"/>
    <w:bookmarkEnd w:id="176"/>
    <w:bookmarkStart w:id="177" w:name="c_extensiones_2"/>
    <w:p>
      <w:pPr>
        <w:pStyle w:val="Heading4"/>
      </w:pPr>
      <w:r>
        <w:t xml:space="preserve">c) Extensiones</w:t>
      </w:r>
    </w:p>
    <w:p>
      <w:pPr>
        <w:numPr>
          <w:ilvl w:val="0"/>
          <w:numId w:val="1088"/>
        </w:numPr>
      </w:pPr>
      <w:r>
        <w:t xml:space="preserve">En</w:t>
      </w:r>
      <w:r>
        <w:t xml:space="preserve"> </w:t>
      </w:r>
      <w:r>
        <w:t xml:space="preserve">A. M.</w:t>
      </w:r>
      <w:r>
        <w:t xml:space="preserve"> </w:t>
      </w:r>
      <w:r>
        <w:rPr>
          <w:smallCaps/>
        </w:rPr>
        <w:t xml:space="preserve">Spence</w:t>
      </w:r>
      <w:r>
        <w:t xml:space="preserve"> </w:t>
      </w:r>
      <w:r>
        <w:t xml:space="preserve">(</w:t>
      </w:r>
      <w:hyperlink w:anchor="ref_Spence1977Entry">
        <w:r>
          <w:rPr>
            <w:rStyle w:val="Hyperlink"/>
          </w:rPr>
          <w:t xml:space="preserve">1977</w:t>
        </w:r>
      </w:hyperlink>
      <w:r>
        <w:t xml:space="preserve">)</w:t>
      </w:r>
      <w:r>
        <w:t xml:space="preserve">, la instalada mantiene capacidad ociosa como amenaza.</w:t>
      </w:r>
      <w:r>
        <w:t xml:space="preserve"> </w:t>
      </w:r>
      <w:r>
        <w:rPr>
          <w:smallCaps/>
        </w:rPr>
        <w:t xml:space="preserve">Dixit</w:t>
      </w:r>
      <w:r>
        <w:t xml:space="preserve"> </w:t>
      </w:r>
      <w:r>
        <w:t xml:space="preserve">(</w:t>
      </w:r>
      <w:hyperlink w:anchor="ref_Dixit1980Role">
        <w:r>
          <w:rPr>
            <w:rStyle w:val="Hyperlink"/>
          </w:rPr>
          <w:t xml:space="preserve">1980</w:t>
        </w:r>
      </w:hyperlink>
      <w:r>
        <w:t xml:space="preserve">)</w:t>
      </w:r>
      <w:r>
        <w:t xml:space="preserve">, con competencia en cantidades tras la entrada, muestra que la capacidad instalada abarata la producción de la instalada hasta ese nivel y desplaza su función de reacción: en equilibrio</w:t>
      </w:r>
      <w:r>
        <w:t xml:space="preserve"> </w:t>
      </w:r>
      <w:r>
        <w:rPr>
          <w:i/>
          <w:iCs/>
        </w:rPr>
        <w:t xml:space="preserve">no</w:t>
      </w:r>
      <w:r>
        <w:t xml:space="preserve"> </w:t>
      </w:r>
      <w:r>
        <w:t xml:space="preserve">mantiene capacidad ociosa, sino que produce más que un monopolista, y la disuasión solo compensa si el coste fijo del entrante es grande. La taxonomía de</w:t>
      </w:r>
      <w:r>
        <w:t xml:space="preserve"> </w:t>
      </w:r>
      <w:r>
        <w:rPr>
          <w:smallCaps/>
        </w:rPr>
        <w:t xml:space="preserve">Fudenberg</w:t>
      </w:r>
      <w:r>
        <w:t xml:space="preserve"> </w:t>
      </w:r>
      <w:r>
        <w:t xml:space="preserve">y</w:t>
      </w:r>
      <w:r>
        <w:t xml:space="preserve"> </w:t>
      </w:r>
      <w:r>
        <w:rPr>
          <w:smallCaps/>
        </w:rPr>
        <w:t xml:space="preserve">Tirole</w:t>
      </w:r>
      <w:r>
        <w:t xml:space="preserve"> </w:t>
      </w:r>
      <w:r>
        <w:t xml:space="preserve">(</w:t>
      </w:r>
      <w:hyperlink w:anchor="ref_FudenbergTirole1984Fat">
        <w:r>
          <w:rPr>
            <w:rStyle w:val="Hyperlink"/>
          </w:rPr>
          <w:t xml:space="preserve">1984</w:t>
        </w:r>
      </w:hyperlink>
      <w:r>
        <w:t xml:space="preserve">)</w:t>
      </w:r>
      <w:r>
        <w:t xml:space="preserve"> </w:t>
      </w:r>
      <w:r>
        <w:t xml:space="preserve">generaliza cuándo conviene invertir de más o de menos (anexo </w:t>
      </w:r>
      <w:hyperlink w:anchor="anexo_taxonomia">
        <w:r>
          <w:rPr>
            <w:rStyle w:val="Hyperlink"/>
          </w:rPr>
          <w:t xml:space="preserve">C</w:t>
        </w:r>
      </w:hyperlink>
      <w:r>
        <w:t xml:space="preserve">).</w:t>
      </w:r>
    </w:p>
    <w:bookmarkEnd w:id="177"/>
    <w:bookmarkStart w:id="178" w:name="d_valoraci__n_3"/>
    <w:p>
      <w:pPr>
        <w:pStyle w:val="Heading4"/>
      </w:pPr>
      <w:r>
        <w:t xml:space="preserve">d) Valoración</w:t>
      </w:r>
    </w:p>
    <w:p>
      <w:pPr>
        <w:numPr>
          <w:ilvl w:val="0"/>
          <w:numId w:val="1089"/>
        </w:numPr>
      </w:pPr>
      <w:r>
        <w:t xml:space="preserve">Da a la intuición de</w:t>
      </w:r>
      <w:r>
        <w:t xml:space="preserve"> </w:t>
      </w:r>
      <w:r>
        <w:rPr>
          <w:smallCaps/>
        </w:rPr>
        <w:t xml:space="preserve">Bain</w:t>
      </w:r>
      <w:r>
        <w:t xml:space="preserve"> </w:t>
      </w:r>
      <w:r>
        <w:t xml:space="preserve">un fundamento creíble, pero exige que la inversión sea hundida y observable, y que preceda a la entrada. Cuando la instalada no puede comprometerse así, le quedan otras conductas.</w:t>
      </w:r>
    </w:p>
    <w:bookmarkEnd w:id="178"/>
    <w:bookmarkEnd w:id="179"/>
    <w:bookmarkStart w:id="180" w:name="sec_otras_conductas"/>
    <w:p>
      <w:pPr>
        <w:pStyle w:val="Heading3"/>
      </w:pPr>
      <w:r>
        <w:t xml:space="preserve">III.2.4.</w:t>
      </w:r>
      <w:r>
        <w:t xml:space="preserve"> </w:t>
      </w:r>
      <w:r>
        <w:t xml:space="preserve">Otras conductas para disuadir la entrada</w:t>
      </w:r>
    </w:p>
    <w:p>
      <w:pPr>
        <w:numPr>
          <w:ilvl w:val="0"/>
          <w:numId w:val="1090"/>
        </w:numPr>
      </w:pPr>
      <w:r>
        <w:rPr>
          <w:i/>
          <w:iCs/>
        </w:rPr>
        <w:t xml:space="preserve">El precio límite como señal</w:t>
      </w:r>
      <w:r>
        <w:t xml:space="preserve"> </w:t>
      </w:r>
      <w:r>
        <w:t xml:space="preserve">(</w:t>
      </w:r>
      <w:hyperlink w:anchor="ref_MilgromRoberts1982Limit">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Roberts</w:t>
        </w:r>
        <w:r>
          <w:rPr>
            <w:rStyle w:val="Hyperlink"/>
          </w:rPr>
          <w:t xml:space="preserve">, 1982a</w:t>
        </w:r>
      </w:hyperlink>
      <w:r>
        <w:t xml:space="preserve">)</w:t>
      </w:r>
      <w:r>
        <w:t xml:space="preserve">: si el entrante no conoce los costes de la instalada, un precio bajo puede</w:t>
      </w:r>
      <w:r>
        <w:t xml:space="preserve"> </w:t>
      </w:r>
      <w:r>
        <w:rPr>
          <w:i/>
          <w:iCs/>
        </w:rPr>
        <w:t xml:space="preserve">señalizar</w:t>
      </w:r>
      <w:r>
        <w:t xml:space="preserve"> </w:t>
      </w:r>
      <w:r>
        <w:t xml:space="preserve">que son bajos y que la competencia tras la entrada sería dura</w:t>
      </w:r>
      <w:r>
        <w:t xml:space="preserve"> </w:t>
      </w:r>
      <w:hyperlink r:id="rId35">
        <w:r>
          <w:rPr>
            <w:rStyle w:val="Referenciaatema"/>
          </w:rPr>
          <w:t xml:space="preserve">[ver tema 3.A.13]</w:t>
        </w:r>
      </w:hyperlink>
      <w:r>
        <w:t xml:space="preserve">. En el equilibrio separador, la instalada de costes bajos fija un precio más bajo que el de monopolio para distinguirse, pero entra el mismo entrante que entraría con información completa: el precio límite existe, aunque no disuada más; solo en un equilibrio agrupador se disuade a entrantes que habrían entrado. El precio límite reaparece así como señal, resuelta como equilibrio bayesiano perfecto (EBP), y no como amenaza</w:t>
      </w:r>
      <w:r>
        <w:t xml:space="preserve"> </w:t>
      </w:r>
      <w:hyperlink r:id="rId36">
        <w:r>
          <w:rPr>
            <w:rStyle w:val="Referenciaatema"/>
          </w:rPr>
          <w:t xml:space="preserve">[ver tema 3.A.14]</w:t>
        </w:r>
      </w:hyperlink>
      <w:r>
        <w:t xml:space="preserve">.</w:t>
      </w:r>
    </w:p>
    <w:p>
      <w:pPr>
        <w:numPr>
          <w:ilvl w:val="0"/>
          <w:numId w:val="1090"/>
        </w:numPr>
      </w:pPr>
      <w:r>
        <w:rPr>
          <w:i/>
          <w:iCs/>
        </w:rPr>
        <w:t xml:space="preserve">La depredación</w:t>
      </w:r>
      <w:r>
        <w:t xml:space="preserve">: fijar precios por debajo del coste para expulsar a un rival y recuperar después las pérdidas.</w:t>
      </w:r>
      <w:r>
        <w:t xml:space="preserve"> </w:t>
      </w:r>
      <w:r>
        <w:rPr>
          <w:smallCaps/>
        </w:rPr>
        <w:t xml:space="preserve">Chicago</w:t>
      </w:r>
      <w:r>
        <w:t xml:space="preserve"> </w:t>
      </w:r>
      <w:r>
        <w:t xml:space="preserve">la juzgaba irracional</w:t>
      </w:r>
      <w:r>
        <w:t xml:space="preserve"> </w:t>
      </w:r>
      <w:r>
        <w:t xml:space="preserve">(</w:t>
      </w:r>
      <w:hyperlink w:anchor="ref_McGee1958Predatory">
        <w:r>
          <w:rPr>
            <w:rStyle w:val="Hyperlink"/>
            <w:smallCaps/>
          </w:rPr>
          <w:t xml:space="preserve">McGee</w:t>
        </w:r>
        <w:r>
          <w:rPr>
            <w:rStyle w:val="Hyperlink"/>
          </w:rPr>
          <w:t xml:space="preserve">, 1958</w:t>
        </w:r>
      </w:hyperlink>
      <w:r>
        <w:t xml:space="preserve">)</w:t>
      </w:r>
      <w:r>
        <w:t xml:space="preserve">, y con información completa y horizonte finito lo es (paradoja de la cadena de tiendas de</w:t>
      </w:r>
      <w:r>
        <w:t xml:space="preserve"> </w:t>
      </w:r>
      <w:r>
        <w:rPr>
          <w:smallCaps/>
        </w:rPr>
        <w:t xml:space="preserve">Selten</w:t>
      </w:r>
      <w:r>
        <w:t xml:space="preserve"> </w:t>
      </w:r>
      <w:r>
        <w:t xml:space="preserve">(</w:t>
      </w:r>
      <w:hyperlink w:anchor="ref_Selten1978Chain">
        <w:r>
          <w:rPr>
            <w:rStyle w:val="Hyperlink"/>
          </w:rPr>
          <w:t xml:space="preserve">1978</w:t>
        </w:r>
      </w:hyperlink>
      <w:r>
        <w:t xml:space="preserve">)</w:t>
      </w:r>
      <w:r>
        <w:t xml:space="preserve">); con algo de incertidumbre sobre el tipo de la instalada, luchar al principio crea</w:t>
      </w:r>
      <w:r>
        <w:t xml:space="preserve"> </w:t>
      </w:r>
      <w:r>
        <w:rPr>
          <w:i/>
          <w:iCs/>
        </w:rPr>
        <w:t xml:space="preserve">reputación</w:t>
      </w:r>
      <w:r>
        <w:t xml:space="preserve"> </w:t>
      </w:r>
      <w:r>
        <w:t xml:space="preserve">de agresiva y puede ser racional</w:t>
      </w:r>
      <w:r>
        <w:t xml:space="preserve"> </w:t>
      </w:r>
      <w:r>
        <w:t xml:space="preserve">(</w:t>
      </w:r>
      <w:hyperlink w:anchor="ref_KrepsWilson1982Reputation">
        <w:r>
          <w:rPr>
            <w:rStyle w:val="Hyperlink"/>
            <w:smallCaps/>
          </w:rPr>
          <w:t xml:space="preserve">Kreps</w:t>
        </w:r>
        <w:r>
          <w:rPr>
            <w:rStyle w:val="Hyperlink"/>
          </w:rPr>
          <w:t xml:space="preserve"> </w:t>
        </w:r>
        <w:r>
          <w:rPr>
            <w:rStyle w:val="Hyperlink"/>
          </w:rPr>
          <w:t xml:space="preserve">y</w:t>
        </w:r>
        <w:r>
          <w:rPr>
            <w:rStyle w:val="Hyperlink"/>
          </w:rPr>
          <w:t xml:space="preserve"> </w:t>
        </w:r>
        <w:r>
          <w:rPr>
            <w:rStyle w:val="Hyperlink"/>
            <w:smallCaps/>
          </w:rPr>
          <w:t xml:space="preserve">Wilson</w:t>
        </w:r>
        <w:r>
          <w:rPr>
            <w:rStyle w:val="Hyperlink"/>
          </w:rPr>
          <w:t xml:space="preserve">, 1982</w:t>
        </w:r>
      </w:hyperlink>
      <w:r>
        <w:t xml:space="preserve">;</w:t>
      </w:r>
      <w:r>
        <w:t xml:space="preserve"> </w:t>
      </w:r>
      <w:hyperlink w:anchor="ref_MilgromRoberts1982Predation">
        <w:r>
          <w:rPr>
            <w:rStyle w:val="Hyperlink"/>
            <w:smallCaps/>
          </w:rPr>
          <w:t xml:space="preserve">Milgrom</w:t>
        </w:r>
        <w:r>
          <w:rPr>
            <w:rStyle w:val="Hyperlink"/>
          </w:rPr>
          <w:t xml:space="preserve"> </w:t>
        </w:r>
        <w:r>
          <w:rPr>
            <w:rStyle w:val="Hyperlink"/>
          </w:rPr>
          <w:t xml:space="preserve">y</w:t>
        </w:r>
        <w:r>
          <w:rPr>
            <w:rStyle w:val="Hyperlink"/>
          </w:rPr>
          <w:t xml:space="preserve"> </w:t>
        </w:r>
        <w:r>
          <w:rPr>
            <w:rStyle w:val="Hyperlink"/>
            <w:smallCaps/>
          </w:rPr>
          <w:t xml:space="preserve">Roberts</w:t>
        </w:r>
        <w:r>
          <w:rPr>
            <w:rStyle w:val="Hyperlink"/>
          </w:rPr>
          <w:t xml:space="preserve">, 1982b</w:t>
        </w:r>
      </w:hyperlink>
      <w:r>
        <w:t xml:space="preserve">)</w:t>
      </w:r>
      <w:r>
        <w:t xml:space="preserve"> </w:t>
      </w:r>
      <w:hyperlink r:id="rId36">
        <w:r>
          <w:rPr>
            <w:rStyle w:val="Referenciaatema"/>
          </w:rPr>
          <w:t xml:space="preserve">[ver tema 3.A.14]</w:t>
        </w:r>
      </w:hyperlink>
      <w:r>
        <w:t xml:space="preserve">. En la práctica se juzga con pruebas de costes: un precio por debajo del coste variable medio se presume depredador</w:t>
      </w:r>
      <w:r>
        <w:t xml:space="preserve"> </w:t>
      </w:r>
      <w:r>
        <w:t xml:space="preserve">(</w:t>
      </w:r>
      <w:hyperlink w:anchor="ref_AreedaTurner1975Predatory">
        <w:r>
          <w:rPr>
            <w:rStyle w:val="Hyperlink"/>
            <w:smallCaps/>
          </w:rPr>
          <w:t xml:space="preserve">Areeda</w:t>
        </w:r>
        <w:r>
          <w:rPr>
            <w:rStyle w:val="Hyperlink"/>
          </w:rPr>
          <w:t xml:space="preserve"> </w:t>
        </w:r>
        <w:r>
          <w:rPr>
            <w:rStyle w:val="Hyperlink"/>
          </w:rPr>
          <w:t xml:space="preserve">y</w:t>
        </w:r>
        <w:r>
          <w:rPr>
            <w:rStyle w:val="Hyperlink"/>
          </w:rPr>
          <w:t xml:space="preserve"> </w:t>
        </w:r>
        <w:r>
          <w:rPr>
            <w:rStyle w:val="Hyperlink"/>
            <w:smallCaps/>
          </w:rPr>
          <w:t xml:space="preserve">Turner</w:t>
        </w:r>
        <w:r>
          <w:rPr>
            <w:rStyle w:val="Hyperlink"/>
          </w:rPr>
          <w:t xml:space="preserve">, 1975</w:t>
        </w:r>
      </w:hyperlink>
      <w:r>
        <w:t xml:space="preserve">)</w:t>
      </w:r>
      <w:r>
        <w:t xml:space="preserve">.</w:t>
      </w:r>
    </w:p>
    <w:p>
      <w:pPr>
        <w:numPr>
          <w:ilvl w:val="0"/>
          <w:numId w:val="1090"/>
        </w:numPr>
      </w:pPr>
      <w:r>
        <w:rPr>
          <w:i/>
          <w:iCs/>
        </w:rPr>
        <w:t xml:space="preserve">La proliferación de marcas</w:t>
      </w:r>
      <w:r>
        <w:t xml:space="preserve">: una empresa instalada puede lanzar muchas variedades para ocupar todos los nichos rentables, de modo que a un entrante no le queda hueco en el que cubrir su coste fijo</w:t>
      </w:r>
      <w:r>
        <w:t xml:space="preserve"> </w:t>
      </w:r>
      <w:r>
        <w:t xml:space="preserve">(</w:t>
      </w:r>
      <w:hyperlink w:anchor="ref_Schmalensee1978Entry">
        <w:r>
          <w:rPr>
            <w:rStyle w:val="Hyperlink"/>
            <w:smallCaps/>
          </w:rPr>
          <w:t xml:space="preserve">Schmalensee</w:t>
        </w:r>
        <w:r>
          <w:rPr>
            <w:rStyle w:val="Hyperlink"/>
          </w:rPr>
          <w:t xml:space="preserve">, 1978</w:t>
        </w:r>
      </w:hyperlink>
      <w:r>
        <w:t xml:space="preserve">)</w:t>
      </w:r>
      <w:r>
        <w:t xml:space="preserve">; solo disuade si retirar una variedad tras la entrada es caro</w:t>
      </w:r>
      <w:r>
        <w:t xml:space="preserve"> </w:t>
      </w:r>
      <w:r>
        <w:t xml:space="preserve">(</w:t>
      </w:r>
      <w:hyperlink w:anchor="ref_Judd1985Credible">
        <w:r>
          <w:rPr>
            <w:rStyle w:val="Hyperlink"/>
            <w:smallCaps/>
          </w:rPr>
          <w:t xml:space="preserve">Judd</w:t>
        </w:r>
        <w:r>
          <w:rPr>
            <w:rStyle w:val="Hyperlink"/>
          </w:rPr>
          <w:t xml:space="preserve">, 1985</w:t>
        </w:r>
      </w:hyperlink>
      <w:r>
        <w:t xml:space="preserve">)</w:t>
      </w:r>
      <w:r>
        <w:t xml:space="preserve"> </w:t>
      </w:r>
      <w:hyperlink r:id="rId27">
        <w:r>
          <w:rPr>
            <w:rStyle w:val="Referenciaatema"/>
          </w:rPr>
          <w:t xml:space="preserve">[ver tema 3.A.18]</w:t>
        </w:r>
      </w:hyperlink>
      <w:r>
        <w:t xml:space="preserve">.</w:t>
      </w:r>
    </w:p>
    <w:p>
      <w:pPr>
        <w:numPr>
          <w:ilvl w:val="0"/>
          <w:numId w:val="1090"/>
        </w:numPr>
      </w:pPr>
      <w:r>
        <w:rPr>
          <w:i/>
          <w:iCs/>
        </w:rPr>
        <w:t xml:space="preserve">Elevar los costes de los rivales</w:t>
      </w:r>
      <w:r>
        <w:t xml:space="preserve">: contratos de exclusiva con distribuidores o con los proveedores de un factor escaso, que encarecen la entrada más de lo que cuestan a la instalada</w:t>
      </w:r>
      <w:r>
        <w:t xml:space="preserve"> </w:t>
      </w:r>
      <w:r>
        <w:t xml:space="preserve">(</w:t>
      </w:r>
      <w:hyperlink w:anchor="ref_SalopScheffman1983Raising">
        <w:r>
          <w:rPr>
            <w:rStyle w:val="Hyperlink"/>
            <w:smallCaps/>
          </w:rPr>
          <w:t xml:space="preserve">Salop</w:t>
        </w:r>
        <w:r>
          <w:rPr>
            <w:rStyle w:val="Hyperlink"/>
          </w:rPr>
          <w:t xml:space="preserve"> </w:t>
        </w:r>
        <w:r>
          <w:rPr>
            <w:rStyle w:val="Hyperlink"/>
          </w:rPr>
          <w:t xml:space="preserve">y</w:t>
        </w:r>
        <w:r>
          <w:rPr>
            <w:rStyle w:val="Hyperlink"/>
          </w:rPr>
          <w:t xml:space="preserve"> </w:t>
        </w:r>
        <w:r>
          <w:rPr>
            <w:rStyle w:val="Hyperlink"/>
            <w:smallCaps/>
          </w:rPr>
          <w:t xml:space="preserve">Scheffman</w:t>
        </w:r>
        <w:r>
          <w:rPr>
            <w:rStyle w:val="Hyperlink"/>
          </w:rPr>
          <w:t xml:space="preserve">, 1983</w:t>
        </w:r>
      </w:hyperlink>
      <w:r>
        <w:t xml:space="preserve">)</w:t>
      </w:r>
      <w:r>
        <w:t xml:space="preserve">.</w:t>
      </w:r>
    </w:p>
    <w:p>
      <w:pPr>
        <w:numPr>
          <w:ilvl w:val="0"/>
          <w:numId w:val="1090"/>
        </w:numPr>
      </w:pPr>
      <w:r>
        <w:rPr>
          <w:i/>
          <w:iCs/>
        </w:rPr>
        <w:t xml:space="preserve">Efectos de red y costes de cambio</w:t>
      </w:r>
      <w:r>
        <w:t xml:space="preserve">: si el valor de un producto crece con el número de usuarios, el que ya tiene la base de clientes parte con ventaja; es la barrera típica de las plataformas digitales (anexo </w:t>
      </w:r>
      <w:hyperlink w:anchor="anexo_plataformas">
        <w:r>
          <w:rPr>
            <w:rStyle w:val="Hyperlink"/>
          </w:rPr>
          <w:t xml:space="preserve">E</w:t>
        </w:r>
      </w:hyperlink>
      <w:r>
        <w:t xml:space="preserve">).</w:t>
      </w:r>
    </w:p>
    <w:p>
      <w:pPr>
        <w:numPr>
          <w:ilvl w:val="0"/>
          <w:numId w:val="1090"/>
        </w:numPr>
      </w:pPr>
      <w:r>
        <w:t xml:space="preserve">En manos de una empresa dominante, estas conductas pueden ser un</w:t>
      </w:r>
      <w:r>
        <w:t xml:space="preserve"> </w:t>
      </w:r>
      <w:r>
        <w:rPr>
          <w:i/>
          <w:iCs/>
        </w:rPr>
        <w:t xml:space="preserve">abuso de posición dominante</w:t>
      </w:r>
      <w:r>
        <w:t xml:space="preserve"> </w:t>
      </w:r>
      <w:r>
        <w:t xml:space="preserve">(artículo 102 del TFUE)</w:t>
      </w:r>
      <w:r>
        <w:t xml:space="preserve"> </w:t>
      </w:r>
      <w:hyperlink r:id="rId32">
        <w:r>
          <w:rPr>
            <w:rStyle w:val="Referenciaatema"/>
          </w:rPr>
          <w:t xml:space="preserve">[ver tema 3.B.39]</w:t>
        </w:r>
      </w:hyperlink>
      <w:r>
        <w:t xml:space="preserve">. En suma, las barreras estratégicas existen, pero tienen que ser creíbles, y la credibilidad casi siempre exige costes hundidos o información asimétrica. ¿Qué pasa, entonces, si no hay costes hundidos?</w:t>
      </w:r>
    </w:p>
    <w:bookmarkEnd w:id="180"/>
    <w:bookmarkEnd w:id="181"/>
    <w:bookmarkStart w:id="197" w:name="sec_impugnables"/>
    <w:p>
      <w:pPr>
        <w:pStyle w:val="Heading2"/>
      </w:pPr>
      <w:r>
        <w:t xml:space="preserve">III.3.</w:t>
      </w:r>
      <w:r>
        <w:t xml:space="preserve"> </w:t>
      </w:r>
      <w:r>
        <w:t xml:space="preserve">Los mercados impugnables</w:t>
      </w:r>
    </w:p>
    <w:bookmarkStart w:id="182" w:name="a_idea_8"/>
    <w:p>
      <w:pPr>
        <w:pStyle w:val="Heading4"/>
      </w:pPr>
      <w:r>
        <w:t xml:space="preserve">a) Idea</w:t>
      </w:r>
    </w:p>
    <w:p>
      <w:pPr>
        <w:numPr>
          <w:ilvl w:val="0"/>
          <w:numId w:val="1091"/>
        </w:numPr>
      </w:pPr>
      <w:r>
        <w:rPr>
          <w:smallCaps/>
        </w:rPr>
        <w:t xml:space="preserve">Baumol</w:t>
      </w:r>
      <w:r>
        <w:t xml:space="preserve"> </w:t>
      </w:r>
      <w:r>
        <w:t xml:space="preserve">(</w:t>
      </w:r>
      <w:hyperlink w:anchor="ref_Baumol1982Contestable">
        <w:r>
          <w:rPr>
            <w:rStyle w:val="Hyperlink"/>
          </w:rPr>
          <w:t xml:space="preserve">1982</w:t>
        </w:r>
      </w:hyperlink>
      <w:r>
        <w:t xml:space="preserve">)</w:t>
      </w:r>
      <w:r>
        <w:t xml:space="preserve">, en un artículo cuyo título la presenta como «un levantamiento en la teoría de la estructura de la industria», y</w:t>
      </w:r>
      <w:r>
        <w:t xml:space="preserve"> </w:t>
      </w:r>
      <w:r>
        <w:rPr>
          <w:smallCaps/>
        </w:rPr>
        <w:t xml:space="preserve">Baumol</w:t>
      </w:r>
      <w:r>
        <w:t xml:space="preserve">,</w:t>
      </w:r>
      <w:r>
        <w:t xml:space="preserve"> </w:t>
      </w:r>
      <w:r>
        <w:rPr>
          <w:smallCaps/>
        </w:rPr>
        <w:t xml:space="preserve">Panzar</w:t>
      </w:r>
      <w:r>
        <w:t xml:space="preserve"> </w:t>
      </w:r>
      <w:r>
        <w:t xml:space="preserve">y</w:t>
      </w:r>
      <w:r>
        <w:t xml:space="preserve"> </w:t>
      </w:r>
      <w:r>
        <w:rPr>
          <w:smallCaps/>
        </w:rPr>
        <w:t xml:space="preserve">Willig</w:t>
      </w:r>
      <w:r>
        <w:t xml:space="preserve"> </w:t>
      </w:r>
      <w:r>
        <w:t xml:space="preserve">(</w:t>
      </w:r>
      <w:hyperlink w:anchor="ref_BaumolPanzarWillig1982Contestable">
        <w:r>
          <w:rPr>
            <w:rStyle w:val="Hyperlink"/>
          </w:rPr>
          <w:t xml:space="preserve">1982</w:t>
        </w:r>
      </w:hyperlink>
      <w:r>
        <w:t xml:space="preserve">)</w:t>
      </w:r>
      <w:r>
        <w:t xml:space="preserve"> </w:t>
      </w:r>
      <w:r>
        <w:t xml:space="preserve">dan la vuelta al debate entre</w:t>
      </w:r>
      <w:r>
        <w:t xml:space="preserve"> </w:t>
      </w:r>
      <w:r>
        <w:rPr>
          <w:smallCaps/>
        </w:rPr>
        <w:t xml:space="preserve">Harvard</w:t>
      </w:r>
      <w:r>
        <w:t xml:space="preserve"> </w:t>
      </w:r>
      <w:r>
        <w:t xml:space="preserve">y</w:t>
      </w:r>
      <w:r>
        <w:t xml:space="preserve"> </w:t>
      </w:r>
      <w:r>
        <w:rPr>
          <w:smallCaps/>
        </w:rPr>
        <w:t xml:space="preserve">Chicago</w:t>
      </w:r>
      <w:r>
        <w:t xml:space="preserve">: lo que disciplina a las empresas no es su número, sino la</w:t>
      </w:r>
      <w:r>
        <w:t xml:space="preserve"> </w:t>
      </w:r>
      <w:r>
        <w:rPr>
          <w:i/>
          <w:iCs/>
        </w:rPr>
        <w:t xml:space="preserve">amenaza de entrada</w:t>
      </w:r>
      <w:r>
        <w:t xml:space="preserve">. Si entrar y salir no cuesta nada, cualquier beneficio extraordinario atrae a entrantes que</w:t>
      </w:r>
      <w:r>
        <w:t xml:space="preserve"> </w:t>
      </w:r>
      <w:r>
        <w:rPr>
          <w:i/>
          <w:iCs/>
        </w:rPr>
        <w:t xml:space="preserve">entran y salen</w:t>
      </w:r>
      <w:r>
        <w:t xml:space="preserve"> </w:t>
      </w:r>
      <w:r>
        <w:t xml:space="preserve">(</w:t>
      </w:r>
      <w:r>
        <w:rPr>
          <w:i/>
          <w:iCs/>
        </w:rPr>
        <w:t xml:space="preserve">hit and run</w:t>
      </w:r>
      <w:r>
        <w:t xml:space="preserve">): venden algo más barato mientras la instalada no reacciona y se van sin pérdidas cuando lo hace. Es la versión más extrema del argumento de la entrada.</w:t>
      </w:r>
    </w:p>
    <w:bookmarkEnd w:id="182"/>
    <w:bookmarkStart w:id="194" w:name="b_modelo_8"/>
    <w:p>
      <w:pPr>
        <w:pStyle w:val="Heading4"/>
      </w:pPr>
      <w:r>
        <w:t xml:space="preserve">b) Modelo</w:t>
      </w:r>
    </w:p>
    <w:bookmarkStart w:id="184" w:name="i_supuestos_7"/>
    <w:p>
      <w:pPr>
        <w:pStyle w:val="Heading5"/>
      </w:pPr>
      <w:r>
        <w:t xml:space="preserve">i) Supuestos</w:t>
      </w:r>
    </w:p>
    <w:p>
      <w:pPr>
        <w:keepNext/>
        <w:numPr>
          <w:ilvl w:val="0"/>
          <w:numId w:val="1092"/>
        </w:numPr>
      </w:pPr>
      <w:r>
        <w:t xml:space="preserve">Un mercado es</w:t>
      </w:r>
      <w:r>
        <w:t xml:space="preserve"> </w:t>
      </w:r>
      <w:r>
        <w:rPr>
          <w:b/>
          <w:bCs/>
        </w:rPr>
        <w:t xml:space="preserve">perfectamente impugnable</w:t>
      </w:r>
      <w:r>
        <w:t xml:space="preserve"> </w:t>
      </w:r>
      <w:r>
        <w:t xml:space="preserve">(contestable) si:</w:t>
      </w:r>
    </w:p>
    <w:p>
      <w:pPr>
        <w:numPr>
          <w:ilvl w:val="1"/>
          <w:numId w:val="1093"/>
        </w:numPr>
      </w:pPr>
      <w:r>
        <w:t xml:space="preserve">los entrantes potenciales tienen acceso a la</w:t>
      </w:r>
      <w:r>
        <w:t xml:space="preserve"> </w:t>
      </w:r>
      <w:r>
        <w:rPr>
          <w:i/>
          <w:iCs/>
        </w:rPr>
        <w:t xml:space="preserve">misma tecnología</w:t>
      </w:r>
      <w:r>
        <w:t xml:space="preserve"> </w:t>
      </w:r>
      <w:r>
        <w:t xml:space="preserve">y a la misma demanda que las empresas instaladas (no hay ventajas absolutas en costes ni clientela cautiva);</w:t>
      </w:r>
    </w:p>
    <w:p>
      <w:pPr>
        <w:numPr>
          <w:ilvl w:val="1"/>
          <w:numId w:val="1093"/>
        </w:numPr>
      </w:pPr>
      <w:r>
        <w:t xml:space="preserve">la entrada y la salida son</w:t>
      </w:r>
      <w:r>
        <w:t xml:space="preserve"> </w:t>
      </w:r>
      <w:r>
        <w:rPr>
          <w:i/>
          <w:iCs/>
        </w:rPr>
        <w:t xml:space="preserve">libres</w:t>
      </w:r>
      <w:r>
        <w:t xml:space="preserve"> </w:t>
      </w:r>
      <w:r>
        <w:t xml:space="preserve">y</w:t>
      </w:r>
      <w:r>
        <w:t xml:space="preserve"> </w:t>
      </w:r>
      <w:r>
        <w:rPr>
          <w:i/>
          <w:iCs/>
        </w:rPr>
        <w:t xml:space="preserve">sin costes hundidos</w:t>
      </w:r>
      <w:r>
        <w:t xml:space="preserve">: puede haber costes fijos, pero lo invertido se recupera al salir;</w:t>
      </w:r>
    </w:p>
    <w:p>
      <w:pPr>
        <w:numPr>
          <w:ilvl w:val="1"/>
          <w:numId w:val="1093"/>
        </w:numPr>
      </w:pPr>
      <w:r>
        <w:t xml:space="preserve">las instaladas</w:t>
      </w:r>
      <w:r>
        <w:t xml:space="preserve"> </w:t>
      </w:r>
      <w:r>
        <w:rPr>
          <w:i/>
          <w:iCs/>
        </w:rPr>
        <w:t xml:space="preserve">tardan en reaccionar</w:t>
      </w:r>
      <w:r>
        <w:t xml:space="preserve"> </w:t>
      </w:r>
      <w:r>
        <w:t xml:space="preserve">más que los consumidores: si un entrante cobra algo menos, le compran a él antes de que la instalada cambie su precio (los entrantes toman los precios de las instaladas como dados).</w:t>
      </w:r>
    </w:p>
    <w:p>
      <w:pPr>
        <w:numPr>
          <w:ilvl w:val="0"/>
          <w:numId w:val="1092"/>
        </w:numPr>
      </w:pPr>
      <w:r>
        <w:t xml:space="preserve">No hace falta que haya muchas empresas, ni rendimientos constantes, ni producto único: la teoría admite economías de escala y de alcance, y su caso estrella es el monopolio natural (tabla </w:t>
      </w:r>
      <w:hyperlink w:anchor="tab_supuestos_impugnables">
        <w:r>
          <w:rPr>
            <w:rStyle w:val="Hyperlink"/>
          </w:rPr>
          <w:t xml:space="preserve">1</w:t>
        </w:r>
      </w:hyperlink>
      <w:r>
        <w:t xml:space="preserve">).</w:t>
      </w:r>
    </w:p>
    <w:bookmarkStart w:id="183" w:name="tab_supuestos_impugnables"/>
    <w:p>
      <w:pPr>
        <w:pStyle w:val="TableCaption"/>
      </w:pPr>
      <w:r>
        <w:t xml:space="preserve">Tabla 1.–</w:t>
      </w:r>
      <w:r>
        <w:t xml:space="preserve"> </w:t>
      </w:r>
      <w:r>
        <w:t xml:space="preserve">Supuestos de las estructuras de mercado: las barreras levantan el 5 y los mercados impugnables lo refuerzan</w:t>
      </w:r>
    </w:p>
    <w:tbl>
      <w:tblPr>
        <w:tblStyle w:val="Table"/>
        <w:tblW w:type="auto" w:w="0"/>
        <w:tblLook w:firstRow="1" w:lastRow="0" w:firstColumn="0" w:lastColumn="0" w:noHBand="0" w:noVBand="0" w:val="0020"/>
        <w:tblCaption w:val="Tabla 1.– Supuestos de las estructuras de mercado: las barreras levantan el 5 y los mercados impugnables lo refuerzan"/>
      </w:tblPr>
      <w:tblGrid>
        <w:gridCol w:w="2640"/>
        <w:gridCol w:w="2640"/>
        <w:gridCol w:w="2640"/>
      </w:tblGrid>
      <w:tr>
        <w:trPr>
          <w:tblHeader w:val="on"/>
        </w:trPr>
        <w:tc>
          <w:tcPr>
            <w:vAlign w:val="center"/>
          </w:tcPr>
          <w:p>
            <w:pPr>
              <w:pStyle w:val="Celdatceeazulpalido"/>
              <w:jc w:val="center"/>
            </w:pPr>
            <w:r>
              <w:rPr>
                <w:b/>
                <w:bCs/>
              </w:rPr>
              <w:t xml:space="preserve">N.º</w:t>
            </w:r>
          </w:p>
        </w:tc>
        <w:tc>
          <w:tcPr>
            <w:vAlign w:val="center"/>
          </w:tcPr>
          <w:p>
            <w:pPr>
              <w:pStyle w:val="Celdatceeazulpalido"/>
              <w:jc w:val="left"/>
            </w:pPr>
            <w:r>
              <w:rPr>
                <w:b/>
                <w:bCs/>
              </w:rPr>
              <w:t xml:space="preserve">Supuesto</w:t>
            </w:r>
          </w:p>
        </w:tc>
        <w:tc>
          <w:tcPr>
            <w:vAlign w:val="center"/>
          </w:tcPr>
          <w:p>
            <w:pPr>
              <w:pStyle w:val="Celdatceeazulpalido"/>
              <w:jc w:val="left"/>
            </w:pPr>
            <w:r>
              <w:rPr>
                <w:b/>
                <w:bCs/>
              </w:rPr>
              <w:t xml:space="preserve">Barreras a la entrada y mercado perfectamente impugnable</w:t>
            </w:r>
          </w:p>
        </w:tc>
      </w:tr>
      <w:tr>
        <w:tc>
          <w:tcPr>
            <w:vAlign w:val="center"/>
          </w:tcPr>
          <w:p>
            <w:pPr>
              <w:pStyle w:val="Compact"/>
              <w:jc w:val="center"/>
            </w:pPr>
            <w:r>
              <w:rPr>
                <w:rStyle w:val="Textomorado"/>
                <w:b/>
                <w:bCs/>
              </w:rPr>
              <w:t xml:space="preserve">1</w:t>
            </w:r>
          </w:p>
        </w:tc>
        <w:tc>
          <w:tcPr>
            <w:vAlign w:val="center"/>
          </w:tcPr>
          <w:p>
            <w:pPr>
              <w:pStyle w:val="Compact"/>
              <w:jc w:val="left"/>
            </w:pPr>
            <w:r>
              <w:rPr>
                <w:b/>
                <w:bCs/>
              </w:rPr>
              <w:t xml:space="preserve">Agentes racionales</w:t>
            </w:r>
          </w:p>
        </w:tc>
        <w:tc>
          <w:tcPr>
            <w:vAlign w:val="center"/>
          </w:tcPr>
          <w:p>
            <w:pPr>
              <w:pStyle w:val="Compact"/>
              <w:jc w:val="left"/>
            </w:pPr>
            <w:r>
              <w:t xml:space="preserve">los consumidores maximizan su utilidad y las empresas, su beneficio</w:t>
            </w:r>
            <w:r>
              <w:br/>
            </w:r>
            <w:r>
              <w:rPr>
                <w:rStyle w:val="Textoverde"/>
                <w:b/>
                <w:bCs/>
              </w:rPr>
              <w:t xml:space="preserve">Se mantiene</w:t>
            </w:r>
          </w:p>
        </w:tc>
      </w:tr>
      <w:tr>
        <w:tc>
          <w:tcPr>
            <w:vAlign w:val="center"/>
          </w:tcPr>
          <w:p>
            <w:pPr>
              <w:pStyle w:val="Compact"/>
              <w:jc w:val="center"/>
            </w:pPr>
            <w:r>
              <w:rPr>
                <w:rStyle w:val="Textomorado"/>
                <w:b/>
                <w:bCs/>
              </w:rPr>
              <w:t xml:space="preserve">2</w:t>
            </w:r>
          </w:p>
        </w:tc>
        <w:tc>
          <w:tcPr>
            <w:vAlign w:val="center"/>
          </w:tcPr>
          <w:p>
            <w:pPr>
              <w:pStyle w:val="Compact"/>
              <w:jc w:val="left"/>
            </w:pPr>
            <w:r>
              <w:rPr>
                <w:b/>
                <w:bCs/>
              </w:rPr>
              <w:t xml:space="preserve">Información perfecta y simétrica</w:t>
            </w:r>
          </w:p>
        </w:tc>
        <w:tc>
          <w:tcPr>
            <w:vAlign w:val="center"/>
          </w:tcPr>
          <w:p>
            <w:pPr>
              <w:pStyle w:val="Compact"/>
              <w:jc w:val="left"/>
            </w:pPr>
            <w:r>
              <w:t xml:space="preserve">los consumidores conocen las características del producto y el precio, y las empresas, su tecnología y el precio; nadie sabe más que los demás</w:t>
            </w:r>
            <w:r>
              <w:br/>
            </w:r>
            <w:r>
              <w:rPr>
                <w:rStyle w:val="Textoverde"/>
                <w:b/>
                <w:bCs/>
              </w:rPr>
              <w:t xml:space="preserve">Se mantiene</w:t>
            </w:r>
            <w:r>
              <w:t xml:space="preserve"> </w:t>
            </w:r>
            <w:r>
              <w:t xml:space="preserve">(salvo en el precio límite como señal)</w:t>
            </w:r>
          </w:p>
        </w:tc>
      </w:tr>
      <w:tr>
        <w:tc>
          <w:tcPr>
            <w:vAlign w:val="center"/>
          </w:tcPr>
          <w:p>
            <w:pPr>
              <w:pStyle w:val="Compact"/>
              <w:jc w:val="center"/>
            </w:pPr>
            <w:r>
              <w:rPr>
                <w:rStyle w:val="Textomorado"/>
                <w:b/>
                <w:bCs/>
              </w:rPr>
              <w:t xml:space="preserve">3</w:t>
            </w:r>
          </w:p>
        </w:tc>
        <w:tc>
          <w:tcPr>
            <w:vAlign w:val="center"/>
          </w:tcPr>
          <w:p>
            <w:pPr>
              <w:pStyle w:val="Compact"/>
              <w:jc w:val="left"/>
            </w:pPr>
            <w:r>
              <w:rPr>
                <w:b/>
                <w:bCs/>
              </w:rPr>
              <w:t xml:space="preserve">Producto homogéneo (sin sustitutivos cercanos)</w:t>
            </w:r>
          </w:p>
        </w:tc>
        <w:tc>
          <w:tcPr>
            <w:vAlign w:val="center"/>
          </w:tcPr>
          <w:p>
            <w:pPr>
              <w:pStyle w:val="Compact"/>
              <w:jc w:val="left"/>
            </w:pPr>
            <w:r>
              <w:t xml:space="preserve">los consumidores ven como sustitutivos perfectos las unidades de todas las empresas, de modo que solo les importa el precio</w:t>
            </w:r>
            <w:r>
              <w:br/>
            </w:r>
            <w:r>
              <w:rPr>
                <w:rStyle w:val="Textoverde"/>
                <w:b/>
                <w:bCs/>
              </w:rPr>
              <w:t xml:space="preserve">Se mantiene</w:t>
            </w:r>
            <w:r>
              <w:t xml:space="preserve"> </w:t>
            </w:r>
            <w:r>
              <w:t xml:space="preserve">(salvo en la proliferación de marcas)</w:t>
            </w:r>
          </w:p>
        </w:tc>
      </w:tr>
      <w:tr>
        <w:tc>
          <w:tcPr>
            <w:vAlign w:val="center"/>
          </w:tcPr>
          <w:p>
            <w:pPr>
              <w:pStyle w:val="Celdatceesalmon"/>
              <w:jc w:val="center"/>
            </w:pPr>
            <w:r>
              <w:rPr>
                <w:rStyle w:val="Textomorado"/>
                <w:b/>
                <w:bCs/>
              </w:rPr>
              <w:t xml:space="preserve">4</w:t>
            </w:r>
          </w:p>
        </w:tc>
        <w:tc>
          <w:tcPr>
            <w:vAlign w:val="center"/>
          </w:tcPr>
          <w:p>
            <w:pPr>
              <w:pStyle w:val="Celdatceesalmon"/>
              <w:jc w:val="left"/>
            </w:pPr>
            <w:r>
              <w:rPr>
                <w:b/>
                <w:bCs/>
              </w:rPr>
              <w:t xml:space="preserve">Mercado atomizado: muchos compradores y vendedores (precio-aceptantes)</w:t>
            </w:r>
          </w:p>
        </w:tc>
        <w:tc>
          <w:tcPr>
            <w:vAlign w:val="center"/>
          </w:tcPr>
          <w:p>
            <w:pPr>
              <w:pStyle w:val="Celdatceesalmon"/>
              <w:jc w:val="left"/>
            </w:pPr>
            <w:r>
              <w:t xml:space="preserve">cada uno es pequeño respecto al mercado y sus decisiones individuales no mueven el precio</w:t>
            </w:r>
            <w:r>
              <w:br/>
            </w:r>
            <w:r>
              <w:rPr>
                <w:rStyle w:val="Textorojo"/>
                <w:b/>
                <w:bCs/>
              </w:rPr>
              <w:t xml:space="preserve">Se levanta</w:t>
            </w:r>
            <w:r>
              <w:t xml:space="preserve">: pocas empresas, o una sola, que no son precio-aceptantes; se admiten economías de escala</w:t>
            </w:r>
          </w:p>
        </w:tc>
      </w:tr>
      <w:tr>
        <w:tc>
          <w:tcPr>
            <w:vAlign w:val="center"/>
          </w:tcPr>
          <w:p>
            <w:pPr>
              <w:pStyle w:val="Celdatceesalmon"/>
              <w:jc w:val="center"/>
            </w:pPr>
            <w:r>
              <w:rPr>
                <w:rStyle w:val="Textomorado"/>
                <w:b/>
                <w:bCs/>
              </w:rPr>
              <w:t xml:space="preserve">5</w:t>
            </w:r>
          </w:p>
        </w:tc>
        <w:tc>
          <w:tcPr>
            <w:vAlign w:val="center"/>
          </w:tcPr>
          <w:p>
            <w:pPr>
              <w:pStyle w:val="Celdatceesalmon"/>
              <w:jc w:val="left"/>
            </w:pPr>
            <w:r>
              <w:rPr>
                <w:b/>
                <w:bCs/>
              </w:rPr>
              <w:t xml:space="preserve">Libre entrada y salida (a largo plazo)</w:t>
            </w:r>
          </w:p>
        </w:tc>
        <w:tc>
          <w:tcPr>
            <w:vAlign w:val="center"/>
          </w:tcPr>
          <w:p>
            <w:pPr>
              <w:pStyle w:val="Celdatceesalmon"/>
              <w:jc w:val="left"/>
            </w:pPr>
            <w:r>
              <w:t xml:space="preserve">a largo plazo, si hay beneficios extraordinarios, entran empresas hasta agotarlos, y si hay pérdidas, salen</w:t>
            </w:r>
            <w:r>
              <w:br/>
            </w:r>
            <w:r>
              <w:rPr>
                <w:rStyle w:val="Textorojo"/>
                <w:b/>
                <w:bCs/>
              </w:rPr>
              <w:t xml:space="preserve">Se levanta</w:t>
            </w:r>
            <w:r>
              <w:t xml:space="preserve"> </w:t>
            </w:r>
            <w:r>
              <w:t xml:space="preserve">con las</w:t>
            </w:r>
            <w:r>
              <w:t xml:space="preserve"> </w:t>
            </w:r>
            <w:r>
              <w:rPr>
                <w:b/>
                <w:bCs/>
              </w:rPr>
              <w:t xml:space="preserve">barreras a la entrada</w:t>
            </w:r>
            <w:r>
              <w:t xml:space="preserve"> </w:t>
            </w:r>
            <w:r>
              <w:t xml:space="preserve">(</w:t>
            </w:r>
            <w:hyperlink w:anchor="sec_barreras">
              <w:r>
                <w:rPr>
                  <w:rStyle w:val="Hyperlink"/>
                </w:rPr>
                <w:t xml:space="preserve">III.2</w:t>
              </w:r>
            </w:hyperlink>
            <w:r>
              <w:t xml:space="preserve">)</w:t>
            </w:r>
            <w:r>
              <w:br/>
            </w:r>
            <w:r>
              <w:rPr>
                <w:rStyle w:val="Textoverde"/>
                <w:b/>
                <w:bCs/>
              </w:rPr>
              <w:t xml:space="preserve">Se refuerza</w:t>
            </w:r>
            <w:r>
              <w:t xml:space="preserve"> </w:t>
            </w:r>
            <w:r>
              <w:t xml:space="preserve">en los</w:t>
            </w:r>
            <w:r>
              <w:t xml:space="preserve"> </w:t>
            </w:r>
            <w:r>
              <w:rPr>
                <w:b/>
                <w:bCs/>
              </w:rPr>
              <w:t xml:space="preserve">mercados impugnables</w:t>
            </w:r>
            <w:r>
              <w:t xml:space="preserve">: entrada y salida libres también a corto plazo, con la misma tecnología y</w:t>
            </w:r>
            <w:r>
              <w:t xml:space="preserve"> </w:t>
            </w:r>
            <w:r>
              <w:rPr>
                <w:i/>
                <w:iCs/>
              </w:rPr>
              <w:t xml:space="preserve">sin costes hundidos</w:t>
            </w:r>
          </w:p>
        </w:tc>
      </w:tr>
      <w:tr>
        <w:tc>
          <w:tcPr>
            <w:vAlign w:val="center"/>
          </w:tcPr>
          <w:p>
            <w:pPr>
              <w:pStyle w:val="Compact"/>
              <w:jc w:val="center"/>
            </w:pPr>
            <w:r>
              <w:rPr>
                <w:rStyle w:val="Textodorado"/>
                <w:b/>
                <w:bCs/>
              </w:rPr>
              <w:t xml:space="preserve">+</w:t>
            </w:r>
          </w:p>
        </w:tc>
        <w:tc>
          <w:tcPr>
            <w:vAlign w:val="center"/>
          </w:tcPr>
          <w:p>
            <w:pPr>
              <w:pStyle w:val="Compact"/>
              <w:jc w:val="left"/>
            </w:pPr>
            <w:r>
              <w:rPr>
                <w:b/>
                <w:bCs/>
              </w:rPr>
              <w:t xml:space="preserve">Supuesto propio de los impugnables</w:t>
            </w:r>
          </w:p>
        </w:tc>
        <w:tc>
          <w:tcPr>
            <w:vAlign w:val="center"/>
          </w:tcPr>
          <w:p>
            <w:pPr>
              <w:pStyle w:val="Compact"/>
              <w:jc w:val="left"/>
            </w:pPr>
            <w:r>
              <w:t xml:space="preserve">el entrante entra y sale antes de que las instaladas cambien sus precios: los toma como dados</w:t>
            </w:r>
          </w:p>
        </w:tc>
      </w:tr>
    </w:tbl>
    <w:bookmarkEnd w:id="183"/>
    <w:p>
      <w:pPr>
        <w:pStyle w:val="BodyText"/>
      </w:pPr>
      <w:r>
        <w:rPr>
          <w:i/>
          <w:iCs/>
        </w:rPr>
        <w:t xml:space="preserve">Fuente: elaboración propia a partir de</w:t>
      </w:r>
      <w:r>
        <w:rPr>
          <w:i/>
          <w:iCs/>
        </w:rPr>
        <w:t xml:space="preserve"> </w:t>
      </w:r>
      <w:r>
        <w:rPr>
          <w:i/>
          <w:iCs/>
          <w:smallCaps/>
        </w:rPr>
        <w:t xml:space="preserve">Baumol</w:t>
      </w:r>
      <w:r>
        <w:rPr>
          <w:i/>
          <w:iCs/>
        </w:rPr>
        <w:t xml:space="preserve">,</w:t>
      </w:r>
      <w:r>
        <w:rPr>
          <w:i/>
          <w:iCs/>
        </w:rPr>
        <w:t xml:space="preserve"> </w:t>
      </w:r>
      <w:r>
        <w:rPr>
          <w:i/>
          <w:iCs/>
          <w:smallCaps/>
        </w:rPr>
        <w:t xml:space="preserve">Panzar</w:t>
      </w:r>
      <w:r>
        <w:rPr>
          <w:i/>
          <w:iCs/>
        </w:rPr>
        <w:t xml:space="preserve"> </w:t>
      </w:r>
      <w:r>
        <w:rPr>
          <w:i/>
          <w:iCs/>
        </w:rPr>
        <w:t xml:space="preserve">y</w:t>
      </w:r>
      <w:r>
        <w:rPr>
          <w:i/>
          <w:iCs/>
        </w:rPr>
        <w:t xml:space="preserve"> </w:t>
      </w:r>
      <w:r>
        <w:rPr>
          <w:i/>
          <w:iCs/>
          <w:smallCaps/>
        </w:rPr>
        <w:t xml:space="preserve">Willig</w:t>
      </w:r>
      <w:r>
        <w:rPr>
          <w:i/>
          <w:iCs/>
        </w:rPr>
        <w:t xml:space="preserve"> </w:t>
      </w:r>
      <w:r>
        <w:rPr>
          <w:i/>
          <w:iCs/>
        </w:rPr>
        <w:t xml:space="preserve">(</w:t>
      </w:r>
      <w:hyperlink w:anchor="ref_BaumolPanzarWillig1982Contestable">
        <w:r>
          <w:rPr>
            <w:rStyle w:val="Hyperlink"/>
            <w:i/>
            <w:iCs/>
          </w:rPr>
          <w:t xml:space="preserve">1982</w:t>
        </w:r>
      </w:hyperlink>
      <w:r>
        <w:rPr>
          <w:i/>
          <w:iCs/>
        </w:rPr>
        <w:t xml:space="preserve">)</w:t>
      </w:r>
      <w:r>
        <w:rPr>
          <w:i/>
          <w:iCs/>
        </w:rPr>
        <w:t xml:space="preserve"> </w:t>
      </w:r>
      <w:r>
        <w:rPr>
          <w:i/>
          <w:iCs/>
        </w:rPr>
        <w:t xml:space="preserve">y de la lista común de supuestos</w:t>
      </w:r>
      <w:r>
        <w:rPr>
          <w:i/>
          <w:iCs/>
        </w:rPr>
        <w:t xml:space="preserve"> </w:t>
      </w:r>
      <w:hyperlink r:id="rId25">
        <w:r>
          <w:rPr>
            <w:rStyle w:val="Referenciaatema"/>
            <w:i/>
            <w:iCs/>
          </w:rPr>
          <w:t xml:space="preserve">[ver tema 3.A.16]</w:t>
        </w:r>
      </w:hyperlink>
      <w:r>
        <w:rPr>
          <w:i/>
          <w:iCs/>
        </w:rPr>
        <w:t xml:space="preserve">.</w:t>
      </w:r>
    </w:p>
    <w:bookmarkEnd w:id="184"/>
    <w:bookmarkStart w:id="191" w:name="ii_desarrollo_8"/>
    <w:p>
      <w:pPr>
        <w:pStyle w:val="Heading5"/>
      </w:pPr>
      <w:r>
        <w:t xml:space="preserve">ii) Desarrollo</w:t>
      </w:r>
    </w:p>
    <w:p>
      <w:pPr>
        <w:numPr>
          <w:ilvl w:val="0"/>
          <w:numId w:val="1094"/>
        </w:numPr>
      </w:pPr>
      <w:r>
        <w:t xml:space="preserve">Una</w:t>
      </w:r>
      <w:r>
        <w:t xml:space="preserve"> </w:t>
      </w:r>
      <w:r>
        <w:rPr>
          <w:b/>
          <w:bCs/>
        </w:rPr>
        <w:t xml:space="preserve">configuración de la industria</w:t>
      </w:r>
      <w:r>
        <w:t xml:space="preserve"> </w:t>
      </w:r>
      <w:r>
        <w:t xml:space="preserve">(número de empresas, producciones y precio</w:t>
      </w:r>
      <w:r>
        <w:t xml:space="preserve"> </w:t>
      </w:r>
      <m:oMath>
        <m:r>
          <m:t>p</m:t>
        </m:r>
      </m:oMath>
      <w:r>
        <w:t xml:space="preserve">) es</w:t>
      </w:r>
      <w:r>
        <w:t xml:space="preserve"> </w:t>
      </w:r>
      <w:r>
        <w:rPr>
          <w:i/>
          <w:iCs/>
        </w:rPr>
        <w:t xml:space="preserve">factible</w:t>
      </w:r>
      <w:r>
        <w:t xml:space="preserve"> </w:t>
      </w:r>
      <w:r>
        <w:t xml:space="preserve">si las producciones suman la demanda y ninguna empresa pierde dinero, y</w:t>
      </w:r>
      <w:r>
        <w:t xml:space="preserve"> </w:t>
      </w:r>
      <w:r>
        <w:rPr>
          <w:b/>
          <w:bCs/>
        </w:rPr>
        <w:t xml:space="preserve">sostenible</w:t>
      </w:r>
      <w:r>
        <w:t xml:space="preserve"> </w:t>
      </w:r>
      <w:r>
        <w:t xml:space="preserve">si, además, ningún entrante con la misma tecnología gana dinero vendiendo a un precio igual o menor una cantidad que el mercado le compre:</w:t>
      </w:r>
    </w:p>
    <w:p>
      <w:pPr>
        <w:pStyle w:val="BodyText"/>
        <w:keepNext/>
      </w:pPr>
      <m:oMathPara>
        <m:oMathParaPr>
          <m:jc m:val="center"/>
        </m:oMathParaPr>
        <m:oMath>
          <m:sSub>
            <m:e>
              <m:r>
                <m:t>p</m:t>
              </m:r>
            </m:e>
            <m:sub>
              <m:r>
                <m:rPr>
                  <m:sty m:val="p"/>
                </m:rPr>
                <m:t>E</m:t>
              </m:r>
            </m:sub>
          </m:sSub>
          <m:r>
            <m:t> </m:t>
          </m:r>
          <m:sSub>
            <m:e>
              <m:r>
                <m:t>q</m:t>
              </m:r>
            </m:e>
            <m:sub>
              <m:r>
                <m:rPr>
                  <m:sty m:val="p"/>
                </m:rPr>
                <m:t>E</m:t>
              </m:r>
            </m:sub>
          </m:sSub>
          <m:r>
            <m:rPr>
              <m:sty m:val="p"/>
            </m:rPr>
            <m:t>−</m:t>
          </m:r>
          <m:r>
            <m:t>C</m:t>
          </m:r>
          <m:d>
            <m:dPr>
              <m:begChr m:val="("/>
              <m:sepChr m:val=""/>
              <m:endChr m:val=")"/>
              <m:grow/>
            </m:dPr>
            <m:e>
              <m:sSub>
                <m:e>
                  <m:r>
                    <m:t>q</m:t>
                  </m:r>
                </m:e>
                <m:sub>
                  <m:r>
                    <m:rPr>
                      <m:sty m:val="p"/>
                    </m:rPr>
                    <m:t>E</m:t>
                  </m:r>
                </m:sub>
              </m:sSub>
            </m:e>
          </m:d>
          <m:r>
            <m:rPr>
              <m:sty m:val="p"/>
            </m:rPr>
            <m:t>≤</m:t>
          </m:r>
          <m:r>
            <m:t>0</m:t>
          </m:r>
          <m:r>
            <m:t>  </m:t>
          </m:r>
          <m:r>
            <m:rPr>
              <m:nor/>
              <m:sty m:val="p"/>
            </m:rPr>
            <m:t>para todo </m:t>
          </m:r>
          <m:sSub>
            <m:e>
              <m:r>
                <m:t>p</m:t>
              </m:r>
            </m:e>
            <m:sub>
              <m:r>
                <m:rPr>
                  <m:sty m:val="p"/>
                </m:rPr>
                <m:t>E</m:t>
              </m:r>
            </m:sub>
          </m:sSub>
          <m:r>
            <m:rPr>
              <m:sty m:val="p"/>
            </m:rPr>
            <m:t>≤</m:t>
          </m:r>
          <m:r>
            <m:t>p</m:t>
          </m:r>
          <m:r>
            <m:t> </m:t>
          </m:r>
          <m:r>
            <m:rPr>
              <m:nor/>
              <m:sty m:val="p"/>
            </m:rPr>
            <m:t>y</m:t>
          </m:r>
          <m:r>
            <m:t> </m:t>
          </m:r>
          <m:sSub>
            <m:e>
              <m:r>
                <m:t>q</m:t>
              </m:r>
            </m:e>
            <m:sub>
              <m:r>
                <m:rPr>
                  <m:sty m:val="p"/>
                </m:rPr>
                <m:t>E</m:t>
              </m:r>
            </m:sub>
          </m:sSub>
          <m:r>
            <m:rPr>
              <m:sty m:val="p"/>
            </m:rPr>
            <m:t>≤</m:t>
          </m:r>
          <m:r>
            <m:t>x</m:t>
          </m:r>
          <m:d>
            <m:dPr>
              <m:begChr m:val="("/>
              <m:sepChr m:val=""/>
              <m:endChr m:val=")"/>
              <m:grow/>
            </m:dPr>
            <m:e>
              <m:sSub>
                <m:e>
                  <m:r>
                    <m:t>p</m:t>
                  </m:r>
                </m:e>
                <m:sub>
                  <m:r>
                    <m:rPr>
                      <m:sty m:val="p"/>
                    </m:rPr>
                    <m:t>E</m:t>
                  </m:r>
                </m:sub>
              </m:sSub>
            </m:e>
          </m:d>
          <m:r>
            <m:rPr>
              <m:sty m:val="p"/>
            </m:rPr>
            <m:t>.</m:t>
          </m:r>
        </m:oMath>
      </m:oMathPara>
    </w:p>
    <w:p>
      <w:pPr>
        <w:numPr>
          <w:ilvl w:val="0"/>
          <w:numId w:val="1000"/>
        </w:numPr>
      </w:pPr>
      <w:r>
        <w:t xml:space="preserve">En un mercado perfectamente impugnable, el equilibrio tiene que ser una configuración sostenible, y solo lo son las que cumplen</w:t>
      </w:r>
    </w:p>
    <w:bookmarkStart w:id="185" w:name="eq_sostenible"/>
    <w:bookmarkEnd w:id="185"/>
    <w:p>
      <w:pPr>
        <w:pStyle w:val="Funcionclave"/>
      </w:pPr>
      <m:oMathPara>
        <m:oMathParaPr>
          <m:jc m:val="center"/>
        </m:oMathParaPr>
        <m:oMath>
          <m:r>
            <m:t>p</m:t>
          </m:r>
          <m:r>
            <m:rPr>
              <m:sty m:val="p"/>
            </m:rPr>
            <m:t>=</m:t>
          </m:r>
          <m:r>
            <m:rPr>
              <m:sty m:val="p"/>
            </m:rPr>
            <m:t>C</m:t>
          </m:r>
          <m:r>
            <m:rPr>
              <m:sty m:val="p"/>
            </m:rPr>
            <m:t>M</m:t>
          </m:r>
          <m:r>
            <m:rPr>
              <m:sty m:val="p"/>
            </m:rPr>
            <m:t>e</m:t>
          </m:r>
          <m:d>
            <m:dPr>
              <m:begChr m:val="("/>
              <m:sepChr m:val=""/>
              <m:endChr m:val=")"/>
              <m:grow/>
            </m:dPr>
            <m:e>
              <m:r>
                <m:t>q</m:t>
              </m:r>
            </m:e>
          </m:d>
          <m:r>
            <m:rPr>
              <m:sty m:val="p"/>
            </m:rPr>
            <m:t>,</m:t>
          </m:r>
          <m:r>
            <m:t> </m:t>
          </m:r>
          <m:r>
            <m:t> </m:t>
          </m:r>
          <m:r>
            <m:t>q</m:t>
          </m:r>
          <m:r>
            <m:rPr>
              <m:sty m:val="p"/>
            </m:rPr>
            <m:t>=</m:t>
          </m:r>
          <m:r>
            <m:t>x</m:t>
          </m:r>
          <m:d>
            <m:dPr>
              <m:begChr m:val="("/>
              <m:sepChr m:val=""/>
              <m:endChr m:val=")"/>
              <m:grow/>
            </m:dPr>
            <m:e>
              <m:r>
                <m:t>p</m:t>
              </m:r>
            </m:e>
          </m:d>
          <m:r>
            <m:t> </m:t>
          </m:r>
          <m:r>
            <m:rPr>
              <m:nor/>
              <m:sty m:val="p"/>
            </m:rPr>
            <m:t>(una empresa)</m:t>
          </m:r>
          <m:r>
            <m:rPr>
              <m:sty m:val="p"/>
            </m:rPr>
            <m:t>;</m:t>
          </m:r>
          <m:r>
            <m:t>  </m:t>
          </m:r>
          <m:r>
            <m:t>p</m:t>
          </m:r>
          <m:r>
            <m:rPr>
              <m:sty m:val="p"/>
            </m:rPr>
            <m:t>=</m:t>
          </m:r>
          <m:r>
            <m:rPr>
              <m:sty m:val="p"/>
            </m:rPr>
            <m:t>C</m:t>
          </m:r>
          <m:r>
            <m:rPr>
              <m:sty m:val="p"/>
            </m:rPr>
            <m:t>M</m:t>
          </m:r>
          <m:r>
            <m:rPr>
              <m:sty m:val="p"/>
            </m:rPr>
            <m:t>g</m:t>
          </m:r>
          <m:r>
            <m:rPr>
              <m:sty m:val="p"/>
            </m:rPr>
            <m:t>=</m:t>
          </m:r>
          <m:r>
            <m:rPr>
              <m:sty m:val="p"/>
            </m:rPr>
            <m:t>C</m:t>
          </m:r>
          <m:r>
            <m:rPr>
              <m:sty m:val="p"/>
            </m:rPr>
            <m:t>M</m:t>
          </m:r>
          <m:r>
            <m:rPr>
              <m:sty m:val="p"/>
            </m:rPr>
            <m:t>e</m:t>
          </m:r>
          <m:r>
            <m:t> </m:t>
          </m:r>
          <m:r>
            <m:rPr>
              <m:nor/>
              <m:sty m:val="p"/>
            </m:rPr>
            <m:t>(2 o más empresas)</m:t>
          </m:r>
        </m:oMath>
      </m:oMathPara>
    </w:p>
    <w:p>
      <w:pPr>
        <w:keepNext/>
        <w:numPr>
          <w:ilvl w:val="0"/>
          <w:numId w:val="1000"/>
        </w:numPr>
      </w:pPr>
      <w:r>
        <w:t xml:space="preserve">(</w:t>
      </w:r>
      <w:hyperlink w:anchor="ref_BaumolPanzarWillig1982Contestable">
        <w:r>
          <w:rPr>
            <w:rStyle w:val="Hyperlink"/>
            <w:smallCaps/>
          </w:rPr>
          <w:t xml:space="preserve">Baumol</w:t>
        </w:r>
        <w:r>
          <w:rPr>
            <w:rStyle w:val="Hyperlink"/>
          </w:rPr>
          <w:t xml:space="preserve">,</w:t>
        </w:r>
        <w:r>
          <w:rPr>
            <w:rStyle w:val="Hyperlink"/>
          </w:rPr>
          <w:t xml:space="preserve"> </w:t>
        </w:r>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1982</w:t>
        </w:r>
      </w:hyperlink>
      <w:r>
        <w:t xml:space="preserve">)</w:t>
      </w:r>
      <w:r>
        <w:t xml:space="preserve">. Sus propiedades (anexo </w:t>
      </w:r>
      <w:hyperlink w:anchor="anexo_impugnable">
        <w:r>
          <w:rPr>
            <w:rStyle w:val="Hyperlink"/>
          </w:rPr>
          <w:t xml:space="preserve">B.5</w:t>
        </w:r>
      </w:hyperlink>
      <w:r>
        <w:t xml:space="preserve">):</w:t>
      </w:r>
    </w:p>
    <w:p>
      <w:pPr>
        <w:numPr>
          <w:ilvl w:val="1"/>
          <w:numId w:val="1095"/>
        </w:numPr>
      </w:pPr>
      <w:r>
        <w:rPr>
          <w:i/>
          <w:iCs/>
        </w:rPr>
        <w:t xml:space="preserve">beneficio nulo</w:t>
      </w:r>
      <w:r>
        <w:t xml:space="preserve">,</w:t>
      </w:r>
      <w:r>
        <w:t xml:space="preserve"> </w:t>
      </w:r>
      <m:oMath>
        <m:r>
          <m:t>p</m:t>
        </m:r>
        <m:r>
          <m:rPr>
            <m:sty m:val="p"/>
          </m:rPr>
          <m:t>=</m:t>
        </m:r>
        <m:r>
          <m:rPr>
            <m:sty m:val="p"/>
          </m:rPr>
          <m:t>C</m:t>
        </m:r>
        <m:r>
          <m:rPr>
            <m:sty m:val="p"/>
          </m:rPr>
          <m:t>M</m:t>
        </m:r>
        <m:r>
          <m:rPr>
            <m:sty m:val="p"/>
          </m:rPr>
          <m:t>e</m:t>
        </m:r>
      </m:oMath>
      <w:r>
        <w:t xml:space="preserve">: si</w:t>
      </w:r>
      <w:r>
        <w:t xml:space="preserve"> </w:t>
      </w:r>
      <m:oMath>
        <m:r>
          <m:t>p</m:t>
        </m:r>
        <m:r>
          <m:rPr>
            <m:sty m:val="p"/>
          </m:rPr>
          <m:t>&gt;</m:t>
        </m:r>
        <m:r>
          <m:rPr>
            <m:sty m:val="p"/>
          </m:rPr>
          <m:t>C</m:t>
        </m:r>
        <m:r>
          <m:rPr>
            <m:sty m:val="p"/>
          </m:rPr>
          <m:t>M</m:t>
        </m:r>
        <m:r>
          <m:rPr>
            <m:sty m:val="p"/>
          </m:rPr>
          <m:t>e</m:t>
        </m:r>
      </m:oMath>
      <w:r>
        <w:t xml:space="preserve">, un entrante cobra algo menos, se lleva el mercado y sale antes de que la instalada reaccione;</w:t>
      </w:r>
    </w:p>
    <w:p>
      <w:pPr>
        <w:numPr>
          <w:ilvl w:val="1"/>
          <w:numId w:val="1095"/>
        </w:numPr>
      </w:pPr>
      <w:r>
        <w:rPr>
          <w:i/>
          <w:iCs/>
        </w:rPr>
        <w:t xml:space="preserve">eficiencia productiva</w:t>
      </w:r>
      <w:r>
        <w:t xml:space="preserve">: la industria produce al menor coste posible y no cabe la ineficiencia X;</w:t>
      </w:r>
    </w:p>
    <w:p>
      <w:pPr>
        <w:numPr>
          <w:ilvl w:val="1"/>
          <w:numId w:val="1095"/>
        </w:numPr>
      </w:pPr>
      <w:r>
        <w:rPr>
          <w:i/>
          <w:iCs/>
        </w:rPr>
        <w:t xml:space="preserve">ningún precio por debajo del coste marginal</w:t>
      </w:r>
      <w:r>
        <w:t xml:space="preserve">: si</w:t>
      </w:r>
      <w:r>
        <w:t xml:space="preserve"> </w:t>
      </w:r>
      <m:oMath>
        <m:r>
          <m:t>p</m:t>
        </m:r>
        <m:r>
          <m:rPr>
            <m:sty m:val="p"/>
          </m:rPr>
          <m:t>&lt;</m:t>
        </m:r>
        <m:r>
          <m:rPr>
            <m:sty m:val="p"/>
          </m:rPr>
          <m:t>C</m:t>
        </m:r>
        <m:r>
          <m:rPr>
            <m:sty m:val="p"/>
          </m:rPr>
          <m:t>M</m:t>
        </m:r>
        <m:r>
          <m:rPr>
            <m:sty m:val="p"/>
          </m:rPr>
          <m:t>g</m:t>
        </m:r>
      </m:oMath>
      <w:r>
        <w:t xml:space="preserve">, un entrante produciría algo menos y ganaría dinero;</w:t>
      </w:r>
    </w:p>
    <w:p>
      <w:pPr>
        <w:numPr>
          <w:ilvl w:val="1"/>
          <w:numId w:val="1095"/>
        </w:numPr>
      </w:pPr>
      <w:r>
        <w:t xml:space="preserve">con</w:t>
      </w:r>
      <w:r>
        <w:t xml:space="preserve"> </w:t>
      </w:r>
      <w:r>
        <w:rPr>
          <w:i/>
          <w:iCs/>
        </w:rPr>
        <w:t xml:space="preserve">2 o más empresas</w:t>
      </w:r>
      <w:r>
        <w:t xml:space="preserve">,</w:t>
      </w:r>
      <w:r>
        <w:t xml:space="preserve"> </w:t>
      </w:r>
      <m:oMath>
        <m:r>
          <m:t>p</m:t>
        </m:r>
        <m:r>
          <m:rPr>
            <m:sty m:val="p"/>
          </m:rPr>
          <m:t>=</m:t>
        </m:r>
        <m:r>
          <m:rPr>
            <m:sty m:val="p"/>
          </m:rPr>
          <m:t>C</m:t>
        </m:r>
        <m:r>
          <m:rPr>
            <m:sty m:val="p"/>
          </m:rPr>
          <m:t>M</m:t>
        </m:r>
        <m:r>
          <m:rPr>
            <m:sty m:val="p"/>
          </m:rPr>
          <m:t>g</m:t>
        </m:r>
      </m:oMath>
      <w:r>
        <w:t xml:space="preserve">: si</w:t>
      </w:r>
      <w:r>
        <w:t xml:space="preserve"> </w:t>
      </w:r>
      <m:oMath>
        <m:r>
          <m:t>p</m:t>
        </m:r>
        <m:r>
          <m:rPr>
            <m:sty m:val="p"/>
          </m:rPr>
          <m:t>&gt;</m:t>
        </m:r>
        <m:r>
          <m:rPr>
            <m:sty m:val="p"/>
          </m:rPr>
          <m:t>C</m:t>
        </m:r>
        <m:r>
          <m:rPr>
            <m:sty m:val="p"/>
          </m:rPr>
          <m:t>M</m:t>
        </m:r>
        <m:r>
          <m:rPr>
            <m:sty m:val="p"/>
          </m:rPr>
          <m:t>g</m:t>
        </m:r>
      </m:oMath>
      <w:r>
        <w:t xml:space="preserve">, un entrante vendería un poco más a un precio un poco menor; con</w:t>
      </w:r>
      <w:r>
        <w:t xml:space="preserve"> </w:t>
      </w:r>
      <m:oMath>
        <m:r>
          <m:t>p</m:t>
        </m:r>
        <m:r>
          <m:rPr>
            <m:sty m:val="p"/>
          </m:rPr>
          <m:t>=</m:t>
        </m:r>
        <m:r>
          <m:rPr>
            <m:sty m:val="p"/>
          </m:rPr>
          <m:t>C</m:t>
        </m:r>
        <m:r>
          <m:rPr>
            <m:sty m:val="p"/>
          </m:rPr>
          <m:t>M</m:t>
        </m:r>
        <m:r>
          <m:rPr>
            <m:sty m:val="p"/>
          </m:rPr>
          <m:t>g</m:t>
        </m:r>
        <m:r>
          <m:rPr>
            <m:sty m:val="p"/>
          </m:rPr>
          <m:t>=</m:t>
        </m:r>
        <m:r>
          <m:rPr>
            <m:sty m:val="p"/>
          </m:rPr>
          <m:t>C</m:t>
        </m:r>
        <m:r>
          <m:rPr>
            <m:sty m:val="p"/>
          </m:rPr>
          <m:t>M</m:t>
        </m:r>
        <m:r>
          <m:rPr>
            <m:sty m:val="p"/>
          </m:rPr>
          <m:t>e</m:t>
        </m:r>
      </m:oMath>
      <w:r>
        <w:t xml:space="preserve">, cada empresa produce en su escala mínima eficiente, como en el largo plazo competitivo;</w:t>
      </w:r>
    </w:p>
    <w:p>
      <w:pPr>
        <w:numPr>
          <w:ilvl w:val="1"/>
          <w:numId w:val="1095"/>
        </w:numPr>
      </w:pPr>
      <w:r>
        <w:t xml:space="preserve">con</w:t>
      </w:r>
      <w:r>
        <w:t xml:space="preserve"> </w:t>
      </w:r>
      <w:r>
        <w:rPr>
          <w:i/>
          <w:iCs/>
        </w:rPr>
        <w:t xml:space="preserve">una sola empresa</w:t>
      </w:r>
      <w:r>
        <w:t xml:space="preserve"> </w:t>
      </w:r>
      <w:r>
        <w:t xml:space="preserve">(monopolio natural), el precio iguala el coste medio en el corte con la demanda,</w:t>
      </w:r>
      <w:r>
        <w:t xml:space="preserve"> </w:t>
      </w:r>
      <m:oMath>
        <m:r>
          <m:t>p</m:t>
        </m:r>
        <m:r>
          <m:rPr>
            <m:sty m:val="p"/>
          </m:rPr>
          <m:t>=</m:t>
        </m:r>
        <m:r>
          <m:rPr>
            <m:sty m:val="p"/>
          </m:rPr>
          <m:t>C</m:t>
        </m:r>
        <m:r>
          <m:rPr>
            <m:sty m:val="p"/>
          </m:rPr>
          <m:t>M</m:t>
        </m:r>
        <m:r>
          <m:rPr>
            <m:sty m:val="p"/>
          </m:rPr>
          <m:t>e</m:t>
        </m:r>
        <m:r>
          <m:rPr>
            <m:sty m:val="p"/>
          </m:rPr>
          <m:t>&gt;</m:t>
        </m:r>
        <m:r>
          <m:rPr>
            <m:sty m:val="p"/>
          </m:rPr>
          <m:t>C</m:t>
        </m:r>
        <m:r>
          <m:rPr>
            <m:sty m:val="p"/>
          </m:rPr>
          <m:t>M</m:t>
        </m:r>
        <m:r>
          <m:rPr>
            <m:sty m:val="p"/>
          </m:rPr>
          <m:t>g</m:t>
        </m:r>
      </m:oMath>
      <w:r>
        <w:t xml:space="preserve"> </w:t>
      </w:r>
      <w:r>
        <w:t xml:space="preserve">(gráfico </w:t>
      </w:r>
      <w:hyperlink w:anchor="fig_impugnables">
        <w:r>
          <w:rPr>
            <w:rStyle w:val="Hyperlink"/>
          </w:rPr>
          <w:t xml:space="preserve">11</w:t>
        </w:r>
      </w:hyperlink>
      <w:r>
        <w:t xml:space="preserve">): es el segundo óptimo (</w:t>
      </w:r>
      <w:r>
        <w:rPr>
          <w:i/>
          <w:iCs/>
        </w:rPr>
        <w:t xml:space="preserve">second best</w:t>
      </w:r>
      <w:r>
        <w:t xml:space="preserve">) con presupuesto equilibrado, el mismo que impondría un regulador, sin regulación de precios</w:t>
      </w:r>
      <w:r>
        <w:t xml:space="preserve"> </w:t>
      </w:r>
      <w:hyperlink r:id="rId26">
        <w:r>
          <w:rPr>
            <w:rStyle w:val="Referenciaatema"/>
          </w:rPr>
          <w:t xml:space="preserve">[ver tema 3.A.17]</w:t>
        </w:r>
      </w:hyperlink>
      <w:r>
        <w:t xml:space="preserve"> </w:t>
      </w:r>
      <w:hyperlink r:id="rId186">
        <w:r>
          <w:rPr>
            <w:rStyle w:val="Referenciaatema"/>
          </w:rPr>
          <w:t xml:space="preserve">[ver tema 3.A.22]</w:t>
        </w:r>
      </w:hyperlink>
      <w:r>
        <w:t xml:space="preserve">; con varios productos, precios sin subvenciones cruzadas</w:t>
      </w:r>
      <w:r>
        <w:t xml:space="preserve"> </w:t>
      </w:r>
      <w:r>
        <w:t xml:space="preserve">(</w:t>
      </w:r>
      <w:hyperlink w:anchor="ref_BaumolBaileyWillig1977Weak">
        <w:r>
          <w:rPr>
            <w:rStyle w:val="Hyperlink"/>
            <w:smallCaps/>
          </w:rPr>
          <w:t xml:space="preserve">Baumol</w:t>
        </w:r>
        <w:r>
          <w:rPr>
            <w:rStyle w:val="Hyperlink"/>
          </w:rPr>
          <w:t xml:space="preserve">,</w:t>
        </w:r>
        <w:r>
          <w:rPr>
            <w:rStyle w:val="Hyperlink"/>
          </w:rPr>
          <w:t xml:space="preserve"> </w:t>
        </w:r>
        <w:r>
          <w:rPr>
            <w:rStyle w:val="Hyperlink"/>
            <w:smallCaps/>
          </w:rPr>
          <w:t xml:space="preserve">Bailey</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1977</w:t>
        </w:r>
      </w:hyperlink>
      <w:r>
        <w:t xml:space="preserve">)</w:t>
      </w:r>
      <w:r>
        <w:t xml:space="preserve">.</w:t>
      </w:r>
    </w:p>
    <w:bookmarkStart w:id="190" w:name="fig_impugnables"/>
    <w:p>
      <w:pPr>
        <w:pStyle w:val="ImageCaption"/>
      </w:pPr>
      <w:r>
        <w:t xml:space="preserve">Gráfico 11.–</w:t>
      </w:r>
      <w:r>
        <w:t xml:space="preserve"> </w:t>
      </w:r>
      <w:r>
        <w:t xml:space="preserve">Monopolio natural en un mercado impugnable: la amenaza de entrada lleva el precio al coste medio</w:t>
      </w:r>
    </w:p>
    <w:p>
      <w:pPr>
        <w:pStyle w:val="CaptionedFigure"/>
      </w:pPr>
      <w:r>
        <w:drawing>
          <wp:inline>
            <wp:extent cx="3581400" cy="2208577"/>
            <wp:effectExtent b="0" l="0" r="0" t="0"/>
            <wp:docPr descr="Gráfico 11.– Monopolio natural en un mercado impugnable: la amenaza de entrada lleva el precio al coste medio" title="" id="188" name="Picture"/>
            <a:graphic>
              <a:graphicData uri="http://schemas.openxmlformats.org/drawingml/2006/picture">
                <pic:pic>
                  <pic:nvPicPr>
                    <pic:cNvPr descr="C:\Users\vgutierrez\Documents\src\victorgutierrezmarcos.github.io-revision\oposicion\temario\fuentes\3A15\graficos/impugnables.png" id="189" name="Picture"/>
                    <pic:cNvPicPr>
                      <a:picLocks noChangeArrowheads="1" noChangeAspect="1"/>
                    </pic:cNvPicPr>
                  </pic:nvPicPr>
                  <pic:blipFill>
                    <a:blip r:embed="rId187"/>
                    <a:stretch>
                      <a:fillRect/>
                    </a:stretch>
                  </pic:blipFill>
                  <pic:spPr bwMode="auto">
                    <a:xfrm>
                      <a:off x="0" y="0"/>
                      <a:ext cx="3581400" cy="2208577"/>
                    </a:xfrm>
                    <a:prstGeom prst="rect">
                      <a:avLst/>
                    </a:prstGeom>
                    <a:noFill/>
                    <a:ln w="9525">
                      <a:noFill/>
                      <a:headEnd/>
                      <a:tailEnd/>
                    </a:ln>
                  </pic:spPr>
                </pic:pic>
              </a:graphicData>
            </a:graphic>
          </wp:inline>
        </w:drawing>
      </w:r>
    </w:p>
    <w:bookmarkEnd w:id="190"/>
    <w:p>
      <w:pPr>
        <w:pStyle w:val="Piedeimagen"/>
      </w:pPr>
      <w:r>
        <w:t xml:space="preserve">Fuente: elaboración propia a partir de</w:t>
      </w:r>
      <w:r>
        <w:t xml:space="preserve"> </w:t>
      </w:r>
      <w:r>
        <w:rPr>
          <w:smallCaps/>
        </w:rPr>
        <w:t xml:space="preserve">Baumol</w:t>
      </w:r>
      <w:r>
        <w:t xml:space="preserve">,</w:t>
      </w:r>
      <w:r>
        <w:t xml:space="preserve"> </w:t>
      </w:r>
      <w:r>
        <w:rPr>
          <w:smallCaps/>
        </w:rPr>
        <w:t xml:space="preserve">Panzar</w:t>
      </w:r>
      <w:r>
        <w:t xml:space="preserve"> </w:t>
      </w:r>
      <w:r>
        <w:t xml:space="preserve">y</w:t>
      </w:r>
      <w:r>
        <w:t xml:space="preserve"> </w:t>
      </w:r>
      <w:r>
        <w:rPr>
          <w:smallCaps/>
        </w:rPr>
        <w:t xml:space="preserve">Willig</w:t>
      </w:r>
      <w:r>
        <w:t xml:space="preserve"> </w:t>
      </w:r>
      <w:r>
        <w:t xml:space="preserve">(</w:t>
      </w:r>
      <w:hyperlink w:anchor="ref_BaumolPanzarWillig1982Contestable">
        <w:r>
          <w:rPr>
            <w:rStyle w:val="Hyperlink"/>
          </w:rPr>
          <w:t xml:space="preserve">1982</w:t>
        </w:r>
      </w:hyperlink>
      <w:r>
        <w:t xml:space="preserve">)</w:t>
      </w:r>
      <w:r>
        <w:t xml:space="preserve">.</w:t>
      </w:r>
    </w:p>
    <w:bookmarkEnd w:id="191"/>
    <w:bookmarkStart w:id="193" w:name="iii_implicaciones_8"/>
    <w:p>
      <w:pPr>
        <w:pStyle w:val="Heading5"/>
      </w:pPr>
      <w:r>
        <w:t xml:space="preserve">iii) Implicaciones</w:t>
      </w:r>
    </w:p>
    <w:p>
      <w:pPr>
        <w:numPr>
          <w:ilvl w:val="0"/>
          <w:numId w:val="1096"/>
        </w:numPr>
      </w:pPr>
      <w:r>
        <w:t xml:space="preserve">El número de empresas no es un buen indicador del poder de mercado: hay que mirar las barreras a la entrada y a la salida, y sobre todo los costes hundidos. Es más fácil y más útil eliminarlas que multiplicar el número de competidores.</w:t>
      </w:r>
    </w:p>
    <w:p>
      <w:pPr>
        <w:numPr>
          <w:ilvl w:val="0"/>
          <w:numId w:val="1096"/>
        </w:numPr>
      </w:pPr>
      <w:r>
        <w:t xml:space="preserve">Es el enfoque de la</w:t>
      </w:r>
      <w:r>
        <w:t xml:space="preserve"> </w:t>
      </w:r>
      <w:r>
        <w:rPr>
          <w:b/>
          <w:bCs/>
        </w:rPr>
        <w:t xml:space="preserve">competencia efectiva</w:t>
      </w:r>
      <w:r>
        <w:t xml:space="preserve">: la Ley 15/2007, de Defensa de la Competencia, pone como objetivo proteger «la competencia efectiva en los mercados» y valora las concentraciones según obstaculicen o no su mantenimiento</w:t>
      </w:r>
      <w:r>
        <w:t xml:space="preserve"> </w:t>
      </w:r>
      <w:r>
        <w:t xml:space="preserve">(</w:t>
      </w:r>
      <w:hyperlink w:anchor="ref_BOE2007LDC">
        <w:r>
          <w:rPr>
            <w:rStyle w:val="Hyperlink"/>
            <w:smallCaps/>
          </w:rPr>
          <w:t xml:space="preserve">Jefatura del Estado</w:t>
        </w:r>
        <w:r>
          <w:rPr>
            <w:rStyle w:val="Hyperlink"/>
          </w:rPr>
          <w:t xml:space="preserve">, 2007</w:t>
        </w:r>
      </w:hyperlink>
      <w:r>
        <w:t xml:space="preserve">)</w:t>
      </w:r>
      <w:r>
        <w:t xml:space="preserve">: importa la conducta del mercado más que el número de empresas</w:t>
      </w:r>
      <w:r>
        <w:t xml:space="preserve"> </w:t>
      </w:r>
      <w:hyperlink r:id="rId33">
        <w:r>
          <w:rPr>
            <w:rStyle w:val="Referenciaatema"/>
          </w:rPr>
          <w:t xml:space="preserve">[ver tema 4.A.15]</w:t>
        </w:r>
      </w:hyperlink>
      <w:r>
        <w:t xml:space="preserve">.</w:t>
      </w:r>
    </w:p>
    <w:p>
      <w:pPr>
        <w:numPr>
          <w:ilvl w:val="0"/>
          <w:numId w:val="1096"/>
        </w:numPr>
      </w:pPr>
      <w:r>
        <w:t xml:space="preserve">En las</w:t>
      </w:r>
      <w:r>
        <w:t xml:space="preserve"> </w:t>
      </w:r>
      <w:r>
        <w:rPr>
          <w:i/>
          <w:iCs/>
        </w:rPr>
        <w:t xml:space="preserve">industrias de red</w:t>
      </w:r>
      <w:r>
        <w:t xml:space="preserve">, el coste hundido está en la red (vías, cables, conducciones). Separar la red de los servicios y garantizar el acceso de terceros en condiciones no discriminatorias hace impugnables los segmentos que no son monopolio natural (los servicios ferroviarios, la comercialización de electricidad, la telefonía sobre la red de otro)</w:t>
      </w:r>
      <w:r>
        <w:t xml:space="preserve"> </w:t>
      </w:r>
      <w:hyperlink r:id="rId31">
        <w:r>
          <w:rPr>
            <w:rStyle w:val="Referenciaatema"/>
          </w:rPr>
          <w:t xml:space="preserve">[ver tema 3.A.20]</w:t>
        </w:r>
      </w:hyperlink>
      <w:r>
        <w:t xml:space="preserve">; para ampliar,</w:t>
      </w:r>
      <w:r>
        <w:t xml:space="preserve"> </w:t>
      </w:r>
      <w:hyperlink r:id="rId192">
        <w:r>
          <w:rPr>
            <w:rStyle w:val="Referenciaatema"/>
          </w:rPr>
          <w:t xml:space="preserve">[ver tema 4.A.12]</w:t>
        </w:r>
      </w:hyperlink>
      <w:r>
        <w:t xml:space="preserve">.</w:t>
      </w:r>
    </w:p>
    <w:bookmarkEnd w:id="193"/>
    <w:bookmarkEnd w:id="194"/>
    <w:bookmarkStart w:id="195" w:name="c_evidencia_emp__rica_2"/>
    <w:p>
      <w:pPr>
        <w:pStyle w:val="Heading4"/>
      </w:pPr>
      <w:r>
        <w:t xml:space="preserve">c) Evidencia empírica</w:t>
      </w:r>
    </w:p>
    <w:p>
      <w:pPr>
        <w:numPr>
          <w:ilvl w:val="0"/>
          <w:numId w:val="1097"/>
        </w:numPr>
      </w:pPr>
      <w:r>
        <w:t xml:space="preserve">La aviación comercial era el candidato natural: los aviones son capital que puede cambiar de ruta, y la teoría se usó para defender la desregulación del transporte aéreo de Estados Unidos de 1978</w:t>
      </w:r>
      <w:r>
        <w:t xml:space="preserve"> </w:t>
      </w:r>
      <w:r>
        <w:t xml:space="preserve">(</w:t>
      </w:r>
      <w:hyperlink w:anchor="ref_BaileyPanzar1981Contestability">
        <w:r>
          <w:rPr>
            <w:rStyle w:val="Hyperlink"/>
            <w:smallCaps/>
          </w:rPr>
          <w:t xml:space="preserve">Bailey</w:t>
        </w:r>
        <w:r>
          <w:rPr>
            <w:rStyle w:val="Hyperlink"/>
          </w:rPr>
          <w:t xml:space="preserve"> </w:t>
        </w:r>
        <w:r>
          <w:rPr>
            <w:rStyle w:val="Hyperlink"/>
          </w:rPr>
          <w:t xml:space="preserve">y</w:t>
        </w:r>
        <w:r>
          <w:rPr>
            <w:rStyle w:val="Hyperlink"/>
          </w:rPr>
          <w:t xml:space="preserve"> </w:t>
        </w:r>
        <w:r>
          <w:rPr>
            <w:rStyle w:val="Hyperlink"/>
            <w:smallCaps/>
          </w:rPr>
          <w:t xml:space="preserve">Panzar</w:t>
        </w:r>
        <w:r>
          <w:rPr>
            <w:rStyle w:val="Hyperlink"/>
          </w:rPr>
          <w:t xml:space="preserve">, 1981</w:t>
        </w:r>
      </w:hyperlink>
      <w:r>
        <w:t xml:space="preserve">;</w:t>
      </w:r>
      <w:r>
        <w:t xml:space="preserve"> </w:t>
      </w:r>
      <w:hyperlink w:anchor="ref_BaileyBaumol1984Deregulation">
        <w:r>
          <w:rPr>
            <w:rStyle w:val="Hyperlink"/>
            <w:smallCaps/>
          </w:rPr>
          <w:t xml:space="preserve">Bailey</w:t>
        </w:r>
        <w:r>
          <w:rPr>
            <w:rStyle w:val="Hyperlink"/>
          </w:rPr>
          <w:t xml:space="preserve"> </w:t>
        </w:r>
        <w:r>
          <w:rPr>
            <w:rStyle w:val="Hyperlink"/>
          </w:rPr>
          <w:t xml:space="preserve">y</w:t>
        </w:r>
        <w:r>
          <w:rPr>
            <w:rStyle w:val="Hyperlink"/>
          </w:rPr>
          <w:t xml:space="preserve"> </w:t>
        </w:r>
        <w:r>
          <w:rPr>
            <w:rStyle w:val="Hyperlink"/>
            <w:smallCaps/>
          </w:rPr>
          <w:t xml:space="preserve">Baumol</w:t>
        </w:r>
        <w:r>
          <w:rPr>
            <w:rStyle w:val="Hyperlink"/>
          </w:rPr>
          <w:t xml:space="preserve">, 1984</w:t>
        </w:r>
      </w:hyperlink>
      <w:r>
        <w:t xml:space="preserve">)</w:t>
      </w:r>
      <w:r>
        <w:t xml:space="preserve">. Los estudios posteriores encontraron que las tarifas de una ruta dependen del número de competidores que de verdad la sirven, no solo de los potenciales: el mercado es impugnable, pero de forma imperfecta, porque los aeropuertos, los derechos de aterrizaje y la reputación son costes hundidos</w:t>
      </w:r>
      <w:r>
        <w:t xml:space="preserve"> </w:t>
      </w:r>
      <w:r>
        <w:t xml:space="preserve">(</w:t>
      </w:r>
      <w:hyperlink w:anchor="ref_MorrisonWinston1987Empirical">
        <w:r>
          <w:rPr>
            <w:rStyle w:val="Hyperlink"/>
            <w:smallCaps/>
          </w:rPr>
          <w:t xml:space="preserve">Morrison</w:t>
        </w:r>
        <w:r>
          <w:rPr>
            <w:rStyle w:val="Hyperlink"/>
          </w:rPr>
          <w:t xml:space="preserve"> </w:t>
        </w:r>
        <w:r>
          <w:rPr>
            <w:rStyle w:val="Hyperlink"/>
          </w:rPr>
          <w:t xml:space="preserve">y</w:t>
        </w:r>
        <w:r>
          <w:rPr>
            <w:rStyle w:val="Hyperlink"/>
          </w:rPr>
          <w:t xml:space="preserve"> </w:t>
        </w:r>
        <w:r>
          <w:rPr>
            <w:rStyle w:val="Hyperlink"/>
            <w:smallCaps/>
          </w:rPr>
          <w:t xml:space="preserve">Winston</w:t>
        </w:r>
        <w:r>
          <w:rPr>
            <w:rStyle w:val="Hyperlink"/>
          </w:rPr>
          <w:t xml:space="preserve">, 1987</w:t>
        </w:r>
      </w:hyperlink>
      <w:r>
        <w:t xml:space="preserve">)</w:t>
      </w:r>
      <w:r>
        <w:t xml:space="preserve">.</w:t>
      </w:r>
    </w:p>
    <w:bookmarkEnd w:id="195"/>
    <w:bookmarkStart w:id="196" w:name="d_valoraci__n_4"/>
    <w:p>
      <w:pPr>
        <w:pStyle w:val="Heading4"/>
      </w:pPr>
      <w:r>
        <w:t xml:space="preserve">d) Valoración</w:t>
      </w:r>
    </w:p>
    <w:p>
      <w:pPr>
        <w:numPr>
          <w:ilvl w:val="0"/>
          <w:numId w:val="1098"/>
        </w:numPr>
      </w:pPr>
      <w:r>
        <w:t xml:space="preserve">El resultado es</w:t>
      </w:r>
      <w:r>
        <w:t xml:space="preserve"> </w:t>
      </w:r>
      <w:r>
        <w:rPr>
          <w:i/>
          <w:iCs/>
        </w:rPr>
        <w:t xml:space="preserve">frágil</w:t>
      </w:r>
      <w:r>
        <w:t xml:space="preserve">. Si la instalada puede bajar el precio antes de que el entrante recupere un coste hundido, aunque sea pequeño, el entrante anticipa que perderá dinero y no entra, y la instalada puede fijar el precio de monopolio</w:t>
      </w:r>
      <w:r>
        <w:t xml:space="preserve"> </w:t>
      </w:r>
      <w:r>
        <w:t xml:space="preserve">(</w:t>
      </w:r>
      <w:hyperlink w:anchor="ref_SchwartzReynolds1983Contestable">
        <w:r>
          <w:rPr>
            <w:rStyle w:val="Hyperlink"/>
            <w:smallCaps/>
          </w:rPr>
          <w:t xml:space="preserve">Schwartz</w:t>
        </w:r>
        <w:r>
          <w:rPr>
            <w:rStyle w:val="Hyperlink"/>
          </w:rPr>
          <w:t xml:space="preserve"> </w:t>
        </w:r>
        <w:r>
          <w:rPr>
            <w:rStyle w:val="Hyperlink"/>
          </w:rPr>
          <w:t xml:space="preserve">y</w:t>
        </w:r>
        <w:r>
          <w:rPr>
            <w:rStyle w:val="Hyperlink"/>
          </w:rPr>
          <w:t xml:space="preserve"> </w:t>
        </w:r>
        <w:r>
          <w:rPr>
            <w:rStyle w:val="Hyperlink"/>
            <w:smallCaps/>
          </w:rPr>
          <w:t xml:space="preserve">Reynolds</w:t>
        </w:r>
        <w:r>
          <w:rPr>
            <w:rStyle w:val="Hyperlink"/>
          </w:rPr>
          <w:t xml:space="preserve">, 1983</w:t>
        </w:r>
      </w:hyperlink>
      <w:r>
        <w:t xml:space="preserve">;</w:t>
      </w:r>
      <w:r>
        <w:t xml:space="preserve"> </w:t>
      </w:r>
      <w:hyperlink w:anchor="ref_Stiglitz1987Technological">
        <w:r>
          <w:rPr>
            <w:rStyle w:val="Hyperlink"/>
            <w:smallCaps/>
          </w:rPr>
          <w:t xml:space="preserve">Stiglitz</w:t>
        </w:r>
        <w:r>
          <w:rPr>
            <w:rStyle w:val="Hyperlink"/>
          </w:rPr>
          <w:t xml:space="preserve">, 1987</w:t>
        </w:r>
      </w:hyperlink>
      <w:r>
        <w:t xml:space="preserve">)</w:t>
      </w:r>
      <w:r>
        <w:t xml:space="preserve">: el paso de «sin costes hundidos» a «con algunos» no es continuo, como mostraba el compromiso de capacidad (</w:t>
      </w:r>
      <w:hyperlink w:anchor="sec_compromiso_capacidad">
        <w:r>
          <w:rPr>
            <w:rStyle w:val="Hyperlink"/>
          </w:rPr>
          <w:t xml:space="preserve">III.2.3</w:t>
        </w:r>
      </w:hyperlink>
      <w:r>
        <w:t xml:space="preserve">).</w:t>
      </w:r>
    </w:p>
    <w:p>
      <w:pPr>
        <w:numPr>
          <w:ilvl w:val="0"/>
          <w:numId w:val="1098"/>
        </w:numPr>
      </w:pPr>
      <w:r>
        <w:rPr>
          <w:smallCaps/>
        </w:rPr>
        <w:t xml:space="preserve">Weitzman</w:t>
      </w:r>
      <w:r>
        <w:t xml:space="preserve"> </w:t>
      </w:r>
      <w:r>
        <w:t xml:space="preserve">(</w:t>
      </w:r>
      <w:hyperlink w:anchor="ref_Weitzman1983Contestable">
        <w:r>
          <w:rPr>
            <w:rStyle w:val="Hyperlink"/>
          </w:rPr>
          <w:t xml:space="preserve">1983</w:t>
        </w:r>
      </w:hyperlink>
      <w:r>
        <w:t xml:space="preserve">)</w:t>
      </w:r>
      <w:r>
        <w:t xml:space="preserve"> </w:t>
      </w:r>
      <w:r>
        <w:t xml:space="preserve">añade que, sin costes hundidos, es difícil que haya economías de escala, lo que pone en duda el monopolio natural impugnable, y</w:t>
      </w:r>
      <w:r>
        <w:t xml:space="preserve"> </w:t>
      </w:r>
      <w:r>
        <w:rPr>
          <w:smallCaps/>
        </w:rPr>
        <w:t xml:space="preserve">Shepherd</w:t>
      </w:r>
      <w:r>
        <w:t xml:space="preserve"> </w:t>
      </w:r>
      <w:r>
        <w:t xml:space="preserve">(</w:t>
      </w:r>
      <w:hyperlink w:anchor="ref_Shepherd1984Contestability">
        <w:r>
          <w:rPr>
            <w:rStyle w:val="Hyperlink"/>
          </w:rPr>
          <w:t xml:space="preserve">1984</w:t>
        </w:r>
      </w:hyperlink>
      <w:r>
        <w:t xml:space="preserve">)</w:t>
      </w:r>
      <w:r>
        <w:t xml:space="preserve"> </w:t>
      </w:r>
      <w:r>
        <w:t xml:space="preserve">critica que unos supuestos de entrada tan libres se usaran para justificar concentraciones; sus autores la defendieron como referencia normativa</w:t>
      </w:r>
      <w:r>
        <w:t xml:space="preserve"> </w:t>
      </w:r>
      <w:r>
        <w:t xml:space="preserve">(</w:t>
      </w:r>
      <w:hyperlink w:anchor="ref_BaumolPanzarWillig1983Reply">
        <w:r>
          <w:rPr>
            <w:rStyle w:val="Hyperlink"/>
            <w:smallCaps/>
          </w:rPr>
          <w:t xml:space="preserve">Baumol</w:t>
        </w:r>
        <w:r>
          <w:rPr>
            <w:rStyle w:val="Hyperlink"/>
          </w:rPr>
          <w:t xml:space="preserve">,</w:t>
        </w:r>
        <w:r>
          <w:rPr>
            <w:rStyle w:val="Hyperlink"/>
          </w:rPr>
          <w:t xml:space="preserve"> </w:t>
        </w:r>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1983</w:t>
        </w:r>
      </w:hyperlink>
      <w:r>
        <w:t xml:space="preserve">)</w:t>
      </w:r>
      <w:r>
        <w:t xml:space="preserve">.</w:t>
      </w:r>
    </w:p>
    <w:p>
      <w:pPr>
        <w:numPr>
          <w:ilvl w:val="0"/>
          <w:numId w:val="1098"/>
        </w:numPr>
      </w:pPr>
      <w:r>
        <w:t xml:space="preserve">Su valor no está en describir mercados reales, pocos de los cuales son perfectamente impugnables</w:t>
      </w:r>
      <w:r>
        <w:t xml:space="preserve"> </w:t>
      </w:r>
      <w:r>
        <w:t xml:space="preserve">(</w:t>
      </w:r>
      <w:hyperlink w:anchor="ref_Spence1983Contestable">
        <w:r>
          <w:rPr>
            <w:rStyle w:val="Hyperlink"/>
          </w:rPr>
          <w:t xml:space="preserve">M.</w:t>
        </w:r>
        <w:r>
          <w:rPr>
            <w:rStyle w:val="Hyperlink"/>
          </w:rPr>
          <w:t xml:space="preserve"> </w:t>
        </w:r>
        <w:r>
          <w:rPr>
            <w:rStyle w:val="Hyperlink"/>
            <w:smallCaps/>
          </w:rPr>
          <w:t xml:space="preserve">Spence</w:t>
        </w:r>
        <w:r>
          <w:rPr>
            <w:rStyle w:val="Hyperlink"/>
          </w:rPr>
          <w:t xml:space="preserve">, 1983</w:t>
        </w:r>
      </w:hyperlink>
      <w:r>
        <w:t xml:space="preserve">)</w:t>
      </w:r>
      <w:r>
        <w:t xml:space="preserve">, sino en servir de punto de referencia: dice qué hay que mirar (los costes hundidos y la velocidad de reacción de las instaladas) y qué política funciona (reducirlos). Para analizar lo que pasa cuando no se cumplen sus supuestos hacen falta la teoría de juegos y los datos: la Nueva TOI.</w:t>
      </w:r>
    </w:p>
    <w:bookmarkEnd w:id="196"/>
    <w:bookmarkEnd w:id="197"/>
    <w:bookmarkStart w:id="199" w:name="sec_nueva_toi"/>
    <w:p>
      <w:pPr>
        <w:pStyle w:val="Heading2"/>
      </w:pPr>
      <w:r>
        <w:t xml:space="preserve">III.4.</w:t>
      </w:r>
      <w:r>
        <w:t xml:space="preserve"> </w:t>
      </w:r>
      <w:r>
        <w:t xml:space="preserve">La Nueva Teoría de la Organización Industrial</w:t>
      </w:r>
    </w:p>
    <w:p>
      <w:pPr>
        <w:numPr>
          <w:ilvl w:val="0"/>
          <w:numId w:val="1099"/>
        </w:numPr>
      </w:pPr>
      <w:r>
        <w:rPr>
          <w:i/>
          <w:iCs/>
        </w:rPr>
        <w:t xml:space="preserve">La teoría de juegos</w:t>
      </w:r>
      <w:r>
        <w:t xml:space="preserve">: desde los años 70, la teoría de juegos da a la TOI una teoría de la conducta</w:t>
      </w:r>
      <w:r>
        <w:t xml:space="preserve"> </w:t>
      </w:r>
      <w:r>
        <w:t xml:space="preserve">(</w:t>
      </w:r>
      <w:hyperlink w:anchor="ref_Tirole1988Theory">
        <w:r>
          <w:rPr>
            <w:rStyle w:val="Hyperlink"/>
            <w:smallCaps/>
          </w:rPr>
          <w:t xml:space="preserve">Tirole</w:t>
        </w:r>
        <w:r>
          <w:rPr>
            <w:rStyle w:val="Hyperlink"/>
          </w:rPr>
          <w:t xml:space="preserve">, 1988</w:t>
        </w:r>
      </w:hyperlink>
      <w:r>
        <w:t xml:space="preserve">)</w:t>
      </w:r>
      <w:r>
        <w:t xml:space="preserve"> </w:t>
      </w:r>
      <w:hyperlink r:id="rId36">
        <w:r>
          <w:rPr>
            <w:rStyle w:val="Referenciaatema"/>
          </w:rPr>
          <w:t xml:space="preserve">[ver tema 3.A.14]</w:t>
        </w:r>
      </w:hyperlink>
      <w:r>
        <w:t xml:space="preserve">. La Nueva TOI conserva la pregunta de</w:t>
      </w:r>
      <w:r>
        <w:t xml:space="preserve"> </w:t>
      </w:r>
      <w:r>
        <w:rPr>
          <w:smallCaps/>
        </w:rPr>
        <w:t xml:space="preserve">Harvard</w:t>
      </w:r>
      <w:r>
        <w:t xml:space="preserve"> </w:t>
      </w:r>
      <w:r>
        <w:t xml:space="preserve">(la estructura y la conducta importan) y toma de</w:t>
      </w:r>
      <w:r>
        <w:t xml:space="preserve"> </w:t>
      </w:r>
      <w:r>
        <w:rPr>
          <w:smallCaps/>
        </w:rPr>
        <w:t xml:space="preserve">Chicago</w:t>
      </w:r>
      <w:r>
        <w:t xml:space="preserve"> </w:t>
      </w:r>
      <w:r>
        <w:t xml:space="preserve">el rigor teórico y la importancia de la entrada; la causalidad va en los 2 sentidos: la conducta (inversión, precios, publicidad) también cambia la estructura, como en el compromiso de capacidad (</w:t>
      </w:r>
      <w:hyperlink w:anchor="sec_compromiso_capacidad">
        <w:r>
          <w:rPr>
            <w:rStyle w:val="Hyperlink"/>
          </w:rPr>
          <w:t xml:space="preserve">III.2.3</w:t>
        </w:r>
      </w:hyperlink>
      <w:r>
        <w:t xml:space="preserve">). Los mercados impugnables (</w:t>
      </w:r>
      <w:hyperlink w:anchor="sec_impugnables">
        <w:r>
          <w:rPr>
            <w:rStyle w:val="Hyperlink"/>
          </w:rPr>
          <w:t xml:space="preserve">III.3</w:t>
        </w:r>
      </w:hyperlink>
      <w:r>
        <w:t xml:space="preserve">) son la versión más extrema del argumento de la entrada.</w:t>
      </w:r>
    </w:p>
    <w:p>
      <w:pPr>
        <w:keepNext/>
        <w:numPr>
          <w:ilvl w:val="0"/>
          <w:numId w:val="1099"/>
        </w:numPr>
      </w:pPr>
      <w:r>
        <w:rPr>
          <w:i/>
          <w:iCs/>
        </w:rPr>
        <w:t xml:space="preserve">La Nueva Organización Industrial Empírica</w:t>
      </w:r>
      <w:r>
        <w:t xml:space="preserve"> </w:t>
      </w:r>
      <w:r>
        <w:t xml:space="preserve">(NOIE) estudia los mercados uno a uno y estima la conducta en lugar de suponerla, porque los costes marginales no se observan</w:t>
      </w:r>
      <w:r>
        <w:t xml:space="preserve"> </w:t>
      </w:r>
      <w:r>
        <w:t xml:space="preserve">(</w:t>
      </w:r>
      <w:hyperlink w:anchor="ref_Bresnahan1989Empirical">
        <w:r>
          <w:rPr>
            <w:rStyle w:val="Hyperlink"/>
            <w:smallCaps/>
          </w:rPr>
          <w:t xml:space="preserve">Bresnahan</w:t>
        </w:r>
        <w:r>
          <w:rPr>
            <w:rStyle w:val="Hyperlink"/>
          </w:rPr>
          <w:t xml:space="preserve">, 1989</w:t>
        </w:r>
      </w:hyperlink>
      <w:r>
        <w:t xml:space="preserve">)</w:t>
      </w:r>
      <w:r>
        <w:t xml:space="preserve">, frente a los estudios entre industrias del ECR</w:t>
      </w:r>
      <w:r>
        <w:t xml:space="preserve"> </w:t>
      </w:r>
      <w:r>
        <w:t xml:space="preserve">(</w:t>
      </w:r>
      <w:hyperlink w:anchor="ref_Schmalensee1989Inter">
        <w:r>
          <w:rPr>
            <w:rStyle w:val="Hyperlink"/>
            <w:smallCaps/>
          </w:rPr>
          <w:t xml:space="preserve">Schmalensee</w:t>
        </w:r>
        <w:r>
          <w:rPr>
            <w:rStyle w:val="Hyperlink"/>
          </w:rPr>
          <w:t xml:space="preserve">, 1989</w:t>
        </w:r>
      </w:hyperlink>
      <w:r>
        <w:t xml:space="preserve">)</w:t>
      </w:r>
      <w:r>
        <w:t xml:space="preserve">:</w:t>
      </w:r>
    </w:p>
    <w:p>
      <w:pPr>
        <w:numPr>
          <w:ilvl w:val="1"/>
          <w:numId w:val="1100"/>
        </w:numPr>
      </w:pPr>
      <w:r>
        <w:t xml:space="preserve">con datos de precios y cantidades se estima un</w:t>
      </w:r>
      <w:r>
        <w:t xml:space="preserve"> </w:t>
      </w:r>
      <w:r>
        <w:rPr>
          <w:i/>
          <w:iCs/>
        </w:rPr>
        <w:t xml:space="preserve">parámetro de conducta</w:t>
      </w:r>
      <w:r>
        <w:t xml:space="preserve"> </w:t>
      </w:r>
      <m:oMath>
        <m:r>
          <m:t>θ</m:t>
        </m:r>
      </m:oMath>
      <w:r>
        <w:t xml:space="preserve"> </w:t>
      </w:r>
      <w:r>
        <w:t xml:space="preserve">en la condición de la industria</w:t>
      </w:r>
      <w:r>
        <w:t xml:space="preserve"> </w:t>
      </w:r>
      <m:oMath>
        <m:r>
          <m:t>p</m:t>
        </m:r>
        <m:r>
          <m:rPr>
            <m:sty m:val="p"/>
          </m:rPr>
          <m:t>+</m:t>
        </m:r>
        <m:r>
          <m:t>θ</m:t>
        </m:r>
        <m:r>
          <m:t> </m:t>
        </m:r>
        <m:r>
          <m:t>Q</m:t>
        </m:r>
        <m:r>
          <m:t> </m:t>
        </m:r>
        <m:r>
          <m:t>p</m:t>
        </m:r>
        <m:r>
          <m:rPr>
            <m:sty m:val="p"/>
          </m:rPr>
          <m:t>′</m:t>
        </m:r>
        <m:d>
          <m:dPr>
            <m:begChr m:val="("/>
            <m:sepChr m:val=""/>
            <m:endChr m:val=")"/>
            <m:grow/>
          </m:dPr>
          <m:e>
            <m:r>
              <m:t>Q</m:t>
            </m:r>
          </m:e>
        </m:d>
        <m:r>
          <m:rPr>
            <m:sty m:val="p"/>
          </m:rPr>
          <m:t>=</m:t>
        </m:r>
        <m:r>
          <m:rPr>
            <m:sty m:val="p"/>
          </m:rPr>
          <m:t>C</m:t>
        </m:r>
        <m:r>
          <m:rPr>
            <m:sty m:val="p"/>
          </m:rPr>
          <m:t>M</m:t>
        </m:r>
        <m:r>
          <m:rPr>
            <m:sty m:val="p"/>
          </m:rPr>
          <m:t>g</m:t>
        </m:r>
      </m:oMath>
      <w:r>
        <w:t xml:space="preserve">, equivalente a</w:t>
      </w:r>
      <w:r>
        <w:t xml:space="preserve"> </w:t>
      </w:r>
      <m:oMath>
        <m:r>
          <m:rPr>
            <m:sty m:val="p"/>
            <m:scr m:val="script"/>
          </m:rPr>
          <m:t>L</m:t>
        </m:r>
        <m:r>
          <m:rPr>
            <m:sty m:val="p"/>
          </m:rPr>
          <m:t>=</m:t>
        </m:r>
        <m:r>
          <m:t>θ</m:t>
        </m:r>
        <m:r>
          <m:rPr>
            <m:sty m:val="p"/>
          </m:rPr>
          <m:t>/</m:t>
        </m:r>
        <m:d>
          <m:dPr>
            <m:begChr m:val="|"/>
            <m:sepChr m:val=""/>
            <m:endChr m:val="|"/>
            <m:grow/>
          </m:dPr>
          <m:e>
            <m:sSub>
              <m:e>
                <m:r>
                  <m:t>ε</m:t>
                </m:r>
              </m:e>
              <m:sub>
                <m:r>
                  <m:t>q</m:t>
                </m:r>
                <m:r>
                  <m:rPr>
                    <m:sty m:val="p"/>
                  </m:rPr>
                  <m:t>,</m:t>
                </m:r>
                <m:r>
                  <m:t>p</m:t>
                </m:r>
              </m:sub>
            </m:sSub>
          </m:e>
        </m:d>
      </m:oMath>
      <w:r>
        <w:t xml:space="preserve">:</w:t>
      </w:r>
      <w:r>
        <w:t xml:space="preserve"> </w:t>
      </w:r>
      <m:oMath>
        <m:r>
          <m:t>θ</m:t>
        </m:r>
        <m:r>
          <m:rPr>
            <m:sty m:val="p"/>
          </m:rPr>
          <m:t>=</m:t>
        </m:r>
        <m:r>
          <m:t>0</m:t>
        </m:r>
      </m:oMath>
      <w:r>
        <w:t xml:space="preserve"> </w:t>
      </w:r>
      <w:r>
        <w:t xml:space="preserve">es competencia (o</w:t>
      </w:r>
      <w:r>
        <w:t xml:space="preserve"> </w:t>
      </w:r>
      <w:r>
        <w:rPr>
          <w:smallCaps/>
        </w:rPr>
        <w:t xml:space="preserve">Bertrand</w:t>
      </w:r>
      <w:r>
        <w:t xml:space="preserve">),</w:t>
      </w:r>
      <w:r>
        <w:t xml:space="preserve"> </w:t>
      </w:r>
      <m:oMath>
        <m:r>
          <m:t>θ</m:t>
        </m:r>
        <m:r>
          <m:rPr>
            <m:sty m:val="p"/>
          </m:rPr>
          <m:t>=</m:t>
        </m:r>
        <m:r>
          <m:t>1</m:t>
        </m:r>
        <m:r>
          <m:rPr>
            <m:sty m:val="p"/>
          </m:rPr>
          <m:t>/</m:t>
        </m:r>
        <m:r>
          <m:t>J</m:t>
        </m:r>
      </m:oMath>
      <w:r>
        <w:t xml:space="preserve"> </w:t>
      </w:r>
      <w:r>
        <w:t xml:space="preserve">el oligopolio simétrico de</w:t>
      </w:r>
      <w:r>
        <w:t xml:space="preserve"> </w:t>
      </w:r>
      <w:r>
        <w:rPr>
          <w:smallCaps/>
        </w:rPr>
        <w:t xml:space="preserve">Cournot</w:t>
      </w:r>
      <w:r>
        <w:t xml:space="preserve"> </w:t>
      </w:r>
      <w:r>
        <w:t xml:space="preserve">y</w:t>
      </w:r>
      <w:r>
        <w:t xml:space="preserve"> </w:t>
      </w:r>
      <m:oMath>
        <m:r>
          <m:t>θ</m:t>
        </m:r>
        <m:r>
          <m:rPr>
            <m:sty m:val="p"/>
          </m:rPr>
          <m:t>=</m:t>
        </m:r>
        <m:r>
          <m:t>1</m:t>
        </m:r>
      </m:oMath>
      <w:r>
        <w:t xml:space="preserve"> </w:t>
      </w:r>
      <w:r>
        <w:t xml:space="preserve">el monopolio o el cártel; los giros de la demanda, y no solo sus desplazamientos, permiten identificarlo</w:t>
      </w:r>
      <w:r>
        <w:t xml:space="preserve"> </w:t>
      </w:r>
      <w:r>
        <w:t xml:space="preserve">(</w:t>
      </w:r>
      <w:hyperlink w:anchor="ref_Bresnahan1982Oligopoly">
        <w:r>
          <w:rPr>
            <w:rStyle w:val="Hyperlink"/>
            <w:smallCaps/>
          </w:rPr>
          <w:t xml:space="preserve">Bresnahan</w:t>
        </w:r>
        <w:r>
          <w:rPr>
            <w:rStyle w:val="Hyperlink"/>
          </w:rPr>
          <w:t xml:space="preserve">, 1982</w:t>
        </w:r>
      </w:hyperlink>
      <w:r>
        <w:t xml:space="preserve">)</w:t>
      </w:r>
      <w:r>
        <w:t xml:space="preserve">;</w:t>
      </w:r>
      <w:r>
        <w:rPr>
          <w:rStyle w:val="FootnoteReference"/>
        </w:rPr>
        <w:footnoteReference w:id="198"/>
      </w:r>
    </w:p>
    <w:p>
      <w:pPr>
        <w:numPr>
          <w:ilvl w:val="1"/>
          <w:numId w:val="1100"/>
        </w:numPr>
      </w:pPr>
      <w:r>
        <w:t xml:space="preserve">o se comparan modelos alternativos no anidados (</w:t>
      </w:r>
      <w:r>
        <w:rPr>
          <w:smallCaps/>
        </w:rPr>
        <w:t xml:space="preserve">Cournot</w:t>
      </w:r>
      <w:r>
        <w:t xml:space="preserve">,</w:t>
      </w:r>
      <w:r>
        <w:t xml:space="preserve"> </w:t>
      </w:r>
      <w:r>
        <w:rPr>
          <w:smallCaps/>
        </w:rPr>
        <w:t xml:space="preserve">Bertrand</w:t>
      </w:r>
      <w:r>
        <w:t xml:space="preserve">, colusión) para ver cuál explica mejor los datos, como en el mercado de refrescos de cola</w:t>
      </w:r>
      <w:r>
        <w:t xml:space="preserve"> </w:t>
      </w:r>
      <w:r>
        <w:t xml:space="preserve">(</w:t>
      </w:r>
      <w:hyperlink w:anchor="ref_GasmiLaffontVuong1992Econometric">
        <w:r>
          <w:rPr>
            <w:rStyle w:val="Hyperlink"/>
            <w:smallCaps/>
          </w:rPr>
          <w:t xml:space="preserve">Gasmi</w:t>
        </w:r>
        <w:r>
          <w:rPr>
            <w:rStyle w:val="Hyperlink"/>
          </w:rPr>
          <w:t xml:space="preserve">,</w:t>
        </w:r>
        <w:r>
          <w:rPr>
            <w:rStyle w:val="Hyperlink"/>
          </w:rPr>
          <w:t xml:space="preserve"> </w:t>
        </w:r>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Vuong</w:t>
        </w:r>
        <w:r>
          <w:rPr>
            <w:rStyle w:val="Hyperlink"/>
          </w:rPr>
          <w:t xml:space="preserve">, 1992</w:t>
        </w:r>
      </w:hyperlink>
      <w:r>
        <w:t xml:space="preserve">)</w:t>
      </w:r>
      <w:r>
        <w:t xml:space="preserve">.</w:t>
      </w:r>
    </w:p>
    <w:p>
      <w:pPr>
        <w:numPr>
          <w:ilvl w:val="0"/>
          <w:numId w:val="1000"/>
        </w:numPr>
      </w:pPr>
      <w:r>
        <w:t xml:space="preserve">La evidencia reciente apunta a márgenes crecientes: desde 2000 han subido de media un 8 % en las economías avanzadas</w:t>
      </w:r>
      <w:r>
        <w:t xml:space="preserve"> </w:t>
      </w:r>
      <w:r>
        <w:t xml:space="preserve">(</w:t>
      </w:r>
      <w:hyperlink w:anchor="ref_FMI2019WEO">
        <w:r>
          <w:rPr>
            <w:rStyle w:val="Hyperlink"/>
            <w:smallCaps/>
          </w:rPr>
          <w:t xml:space="preserve">Fondo Monetario Internacional</w:t>
        </w:r>
        <w:r>
          <w:rPr>
            <w:rStyle w:val="Hyperlink"/>
          </w:rPr>
          <w:t xml:space="preserve">, 2019</w:t>
        </w:r>
      </w:hyperlink>
      <w:r>
        <w:t xml:space="preserve">)</w:t>
      </w:r>
      <w:r>
        <w:t xml:space="preserve">, y en Estados Unidos mucho más</w:t>
      </w:r>
      <w:r>
        <w:t xml:space="preserve"> </w:t>
      </w:r>
      <w:r>
        <w:t xml:space="preserve">(</w:t>
      </w:r>
      <w:hyperlink w:anchor="ref_DeLoeckerEeckhoutUnger2020Rise">
        <w:r>
          <w:rPr>
            <w:rStyle w:val="Hyperlink"/>
            <w:smallCaps/>
          </w:rPr>
          <w:t xml:space="preserve">De Loecker</w:t>
        </w:r>
        <w:r>
          <w:rPr>
            <w:rStyle w:val="Hyperlink"/>
          </w:rPr>
          <w:t xml:space="preserve">,</w:t>
        </w:r>
        <w:r>
          <w:rPr>
            <w:rStyle w:val="Hyperlink"/>
          </w:rPr>
          <w:t xml:space="preserve"> </w:t>
        </w:r>
        <w:r>
          <w:rPr>
            <w:rStyle w:val="Hyperlink"/>
            <w:smallCaps/>
          </w:rPr>
          <w:t xml:space="preserve">Eeckhout</w:t>
        </w:r>
        <w:r>
          <w:rPr>
            <w:rStyle w:val="Hyperlink"/>
          </w:rPr>
          <w:t xml:space="preserve"> </w:t>
        </w:r>
        <w:r>
          <w:rPr>
            <w:rStyle w:val="Hyperlink"/>
          </w:rPr>
          <w:t xml:space="preserve">y</w:t>
        </w:r>
        <w:r>
          <w:rPr>
            <w:rStyle w:val="Hyperlink"/>
          </w:rPr>
          <w:t xml:space="preserve"> </w:t>
        </w:r>
        <w:r>
          <w:rPr>
            <w:rStyle w:val="Hyperlink"/>
            <w:smallCaps/>
          </w:rPr>
          <w:t xml:space="preserve">Unger</w:t>
        </w:r>
        <w:r>
          <w:rPr>
            <w:rStyle w:val="Hyperlink"/>
          </w:rPr>
          <w:t xml:space="preserve">, 2020</w:t>
        </w:r>
      </w:hyperlink>
      <w:r>
        <w:t xml:space="preserve">)</w:t>
      </w:r>
      <w:r>
        <w:t xml:space="preserve">, con un debate abierto entre la explicación tecnológica (empresas superestrella, como sostienen</w:t>
      </w:r>
      <w:r>
        <w:t xml:space="preserve"> </w:t>
      </w:r>
      <w:r>
        <w:rPr>
          <w:smallCaps/>
        </w:rPr>
        <w:t xml:space="preserve">Autor</w:t>
      </w:r>
      <w:r>
        <w:t xml:space="preserve"> </w:t>
      </w:r>
      <w:r>
        <w:t xml:space="preserve">et al. (</w:t>
      </w:r>
      <w:hyperlink w:anchor="ref_AutorEtAl2020Fall">
        <w:r>
          <w:rPr>
            <w:rStyle w:val="Hyperlink"/>
          </w:rPr>
          <w:t xml:space="preserve">2020</w:t>
        </w:r>
      </w:hyperlink>
      <w:r>
        <w:t xml:space="preserve">)</w:t>
      </w:r>
      <w:r>
        <w:t xml:space="preserve">) y la de las barreras y la menor competencia</w:t>
      </w:r>
      <w:r>
        <w:t xml:space="preserve"> </w:t>
      </w:r>
      <w:r>
        <w:t xml:space="preserve">(</w:t>
      </w:r>
      <w:hyperlink w:anchor="ref_Philippon2019Great">
        <w:r>
          <w:rPr>
            <w:rStyle w:val="Hyperlink"/>
            <w:smallCaps/>
          </w:rPr>
          <w:t xml:space="preserve">Philippon</w:t>
        </w:r>
        <w:r>
          <w:rPr>
            <w:rStyle w:val="Hyperlink"/>
          </w:rPr>
          <w:t xml:space="preserve">, 2019</w:t>
        </w:r>
      </w:hyperlink>
      <w:r>
        <w:t xml:space="preserve">)</w:t>
      </w:r>
      <w:r>
        <w:t xml:space="preserve">.</w:t>
      </w:r>
    </w:p>
    <w:p>
      <w:pPr>
        <w:keepNext/>
        <w:numPr>
          <w:ilvl w:val="0"/>
          <w:numId w:val="1099"/>
        </w:numPr>
      </w:pPr>
      <w:r>
        <w:rPr>
          <w:i/>
          <w:iCs/>
        </w:rPr>
        <w:t xml:space="preserve">Jean</w:t>
      </w:r>
      <w:r>
        <w:rPr>
          <w:i/>
          <w:iCs/>
        </w:rPr>
        <w:t xml:space="preserve"> </w:t>
      </w:r>
      <w:r>
        <w:rPr>
          <w:i/>
          <w:iCs/>
          <w:smallCaps/>
        </w:rPr>
        <w:t xml:space="preserve">Tirole</w:t>
      </w:r>
      <w:r>
        <w:t xml:space="preserve"> </w:t>
      </w:r>
      <w:r>
        <w:t xml:space="preserve">(Nobel 2014) es la figura central de esta etapa. Su idea guía: no hay recetas universales; la intervención adecuada depende de los costes, de la información y del origen del poder de mercado de cada industria</w:t>
      </w:r>
      <w:r>
        <w:t xml:space="preserve"> </w:t>
      </w:r>
      <w:r>
        <w:t xml:space="preserve">(</w:t>
      </w:r>
      <w:hyperlink w:anchor="ref_Tirole2014Nobel">
        <w:r>
          <w:rPr>
            <w:rStyle w:val="Hyperlink"/>
            <w:smallCaps/>
          </w:rPr>
          <w:t xml:space="preserve">Tirole</w:t>
        </w:r>
        <w:r>
          <w:rPr>
            <w:rStyle w:val="Hyperlink"/>
          </w:rPr>
          <w:t xml:space="preserve">, 2014</w:t>
        </w:r>
      </w:hyperlink>
      <w:r>
        <w:t xml:space="preserve">)</w:t>
      </w:r>
      <w:r>
        <w:t xml:space="preserve">. Entre las aportaciones que cita el Nobel</w:t>
      </w:r>
      <w:r>
        <w:t xml:space="preserve"> </w:t>
      </w:r>
      <w:r>
        <w:t xml:space="preserve">(</w:t>
      </w:r>
      <w:hyperlink w:anchor="ref_Nobel2014TiroleBackground">
        <w:r>
          <w:rPr>
            <w:rStyle w:val="Hyperlink"/>
            <w:smallCaps/>
          </w:rPr>
          <w:t xml:space="preserve">Economic Sciences Prize Committee of the Royal Swedish Academy of Sciences</w:t>
        </w:r>
        <w:r>
          <w:rPr>
            <w:rStyle w:val="Hyperlink"/>
          </w:rPr>
          <w:t xml:space="preserve">, 2014</w:t>
        </w:r>
      </w:hyperlink>
      <w:r>
        <w:t xml:space="preserve">)</w:t>
      </w:r>
      <w:r>
        <w:t xml:space="preserve">:</w:t>
      </w:r>
    </w:p>
    <w:p>
      <w:pPr>
        <w:numPr>
          <w:ilvl w:val="1"/>
          <w:numId w:val="1101"/>
        </w:numPr>
      </w:pPr>
      <w:r>
        <w:t xml:space="preserve">la</w:t>
      </w:r>
      <w:r>
        <w:t xml:space="preserve"> </w:t>
      </w:r>
      <w:r>
        <w:rPr>
          <w:i/>
          <w:iCs/>
        </w:rPr>
        <w:t xml:space="preserve">inversión estratégica</w:t>
      </w:r>
      <w:r>
        <w:t xml:space="preserve">: cuándo conviene invertir de más o de menos (capacidad, publicidad, investigación) para disuadir o acomodar la entrada</w:t>
      </w:r>
      <w:r>
        <w:t xml:space="preserve"> </w:t>
      </w:r>
      <w:r>
        <w:t xml:space="preserve">(</w:t>
      </w:r>
      <w:hyperlink w:anchor="ref_FudenbergTirole1984Fat">
        <w:r>
          <w:rPr>
            <w:rStyle w:val="Hyperlink"/>
            <w:smallCaps/>
          </w:rPr>
          <w:t xml:space="preserve">Fudenberg</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1984</w:t>
        </w:r>
      </w:hyperlink>
      <w:r>
        <w:t xml:space="preserve">)</w:t>
      </w:r>
      <w:r>
        <w:t xml:space="preserve"> </w:t>
      </w:r>
      <w:r>
        <w:t xml:space="preserve">(anexo </w:t>
      </w:r>
      <w:hyperlink w:anchor="anexo_taxonomia">
        <w:r>
          <w:rPr>
            <w:rStyle w:val="Hyperlink"/>
          </w:rPr>
          <w:t xml:space="preserve">C</w:t>
        </w:r>
      </w:hyperlink>
      <w:r>
        <w:t xml:space="preserve">);</w:t>
      </w:r>
    </w:p>
    <w:p>
      <w:pPr>
        <w:numPr>
          <w:ilvl w:val="1"/>
          <w:numId w:val="1101"/>
        </w:numPr>
      </w:pPr>
      <w:r>
        <w:t xml:space="preserve">el</w:t>
      </w:r>
      <w:r>
        <w:t xml:space="preserve"> </w:t>
      </w:r>
      <w:r>
        <w:rPr>
          <w:i/>
          <w:iCs/>
        </w:rPr>
        <w:t xml:space="preserve">cierre de mercados</w:t>
      </w:r>
      <w:r>
        <w:t xml:space="preserve"> </w:t>
      </w:r>
      <w:r>
        <w:t xml:space="preserve">(</w:t>
      </w:r>
      <w:r>
        <w:rPr>
          <w:i/>
          <w:iCs/>
        </w:rPr>
        <w:t xml:space="preserve">foreclosure</w:t>
      </w:r>
      <w:r>
        <w:t xml:space="preserve">): el dueño de un cuello de botella integrado verticalmente puede negar el acceso o discriminar a los rivales para recuperar el poder de mercado que la competencia aguas abajo le quitaría</w:t>
      </w:r>
      <w:r>
        <w:t xml:space="preserve"> </w:t>
      </w:r>
      <w:r>
        <w:t xml:space="preserve">(</w:t>
      </w:r>
      <w:hyperlink w:anchor="ref_HartTirole1990Vertical">
        <w:r>
          <w:rPr>
            <w:rStyle w:val="Hyperlink"/>
            <w:smallCaps/>
          </w:rPr>
          <w:t xml:space="preserve">Hart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1990</w:t>
        </w:r>
      </w:hyperlink>
      <w:r>
        <w:t xml:space="preserve">)</w:t>
      </w:r>
      <w:r>
        <w:t xml:space="preserve">; es el contrapeso de la tolerancia con la integración vertical (</w:t>
      </w:r>
      <w:hyperlink w:anchor="sec_otros_enfoques">
        <w:r>
          <w:rPr>
            <w:rStyle w:val="Hyperlink"/>
          </w:rPr>
          <w:t xml:space="preserve">II.4</w:t>
        </w:r>
      </w:hyperlink>
      <w:r>
        <w:t xml:space="preserve">);</w:t>
      </w:r>
    </w:p>
    <w:p>
      <w:pPr>
        <w:numPr>
          <w:ilvl w:val="1"/>
          <w:numId w:val="1101"/>
        </w:numPr>
      </w:pPr>
      <w:r>
        <w:t xml:space="preserve">la</w:t>
      </w:r>
      <w:r>
        <w:t xml:space="preserve"> </w:t>
      </w:r>
      <w:r>
        <w:rPr>
          <w:i/>
          <w:iCs/>
        </w:rPr>
        <w:t xml:space="preserve">regulación con información asimétrica</w:t>
      </w:r>
      <w:r>
        <w:t xml:space="preserve">: menús de contratos con los que el regulador hace que la empresa revele su eficiencia a cambio de una renta, y el efecto trinquete en la relación repetida</w:t>
      </w:r>
      <w:r>
        <w:t xml:space="preserve"> </w:t>
      </w:r>
      <w:r>
        <w:t xml:space="preserve">(</w:t>
      </w:r>
      <w:hyperlink w:anchor="ref_LaffontTirole1986Using">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1986</w:t>
        </w:r>
      </w:hyperlink>
      <w:r>
        <w:t xml:space="preserve">,</w:t>
      </w:r>
      <w:r>
        <w:t xml:space="preserve"> </w:t>
      </w:r>
      <w:hyperlink w:anchor="ref_LaffontTirole1993Theory">
        <w:r>
          <w:rPr>
            <w:rStyle w:val="Hyperlink"/>
          </w:rPr>
          <w:t xml:space="preserve">1993</w:t>
        </w:r>
      </w:hyperlink>
      <w:r>
        <w:t xml:space="preserve">)</w:t>
      </w:r>
      <w:r>
        <w:t xml:space="preserve">, y el precio de acceso y de interconexión de las redes</w:t>
      </w:r>
      <w:r>
        <w:t xml:space="preserve"> </w:t>
      </w:r>
      <w:r>
        <w:t xml:space="preserve">(</w:t>
      </w:r>
      <w:hyperlink w:anchor="ref_LaffontReyTirole1998NetworkI">
        <w:r>
          <w:rPr>
            <w:rStyle w:val="Hyperlink"/>
            <w:smallCaps/>
          </w:rPr>
          <w:t xml:space="preserve">Laffont</w:t>
        </w:r>
        <w:r>
          <w:rPr>
            <w:rStyle w:val="Hyperlink"/>
          </w:rPr>
          <w:t xml:space="preserve">,</w:t>
        </w:r>
        <w:r>
          <w:rPr>
            <w:rStyle w:val="Hyperlink"/>
          </w:rPr>
          <w:t xml:space="preserve"> </w:t>
        </w:r>
        <w:r>
          <w:rPr>
            <w:rStyle w:val="Hyperlink"/>
            <w:smallCaps/>
          </w:rPr>
          <w:t xml:space="preserve">Rey</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1998</w:t>
        </w:r>
      </w:hyperlink>
      <w:r>
        <w:t xml:space="preserve">;</w:t>
      </w:r>
      <w:r>
        <w:t xml:space="preserve"> </w:t>
      </w:r>
      <w:hyperlink w:anchor="ref_LaffontTirole2000Competition">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2000</w:t>
        </w:r>
      </w:hyperlink>
      <w:r>
        <w:t xml:space="preserve">)</w:t>
      </w:r>
      <w:r>
        <w:t xml:space="preserve"> </w:t>
      </w:r>
      <w:hyperlink r:id="rId26">
        <w:r>
          <w:rPr>
            <w:rStyle w:val="Referenciaatema"/>
          </w:rPr>
          <w:t xml:space="preserve">[ver tema 3.A.17]</w:t>
        </w:r>
      </w:hyperlink>
      <w:r>
        <w:t xml:space="preserve"> </w:t>
      </w:r>
      <w:hyperlink r:id="rId31">
        <w:r>
          <w:rPr>
            <w:rStyle w:val="Referenciaatema"/>
          </w:rPr>
          <w:t xml:space="preserve">[ver tema 3.A.20]</w:t>
        </w:r>
      </w:hyperlink>
      <w:r>
        <w:t xml:space="preserve">;</w:t>
      </w:r>
    </w:p>
    <w:p>
      <w:pPr>
        <w:numPr>
          <w:ilvl w:val="1"/>
          <w:numId w:val="1101"/>
        </w:numPr>
      </w:pPr>
      <w:r>
        <w:t xml:space="preserve">los</w:t>
      </w:r>
      <w:r>
        <w:t xml:space="preserve"> </w:t>
      </w:r>
      <w:r>
        <w:rPr>
          <w:i/>
          <w:iCs/>
        </w:rPr>
        <w:t xml:space="preserve">mercados de 2 lados</w:t>
      </w:r>
      <w:r>
        <w:t xml:space="preserve">: plataformas que fijan precios a 2 grupos de usuarios que se necesitan, y para las que un precio muy bajo o nulo en un lado no es depredación</w:t>
      </w:r>
      <w:r>
        <w:t xml:space="preserve"> </w:t>
      </w:r>
      <w:r>
        <w:t xml:space="preserve">(</w:t>
      </w:r>
      <w:hyperlink w:anchor="ref_RochetTirole2003Platform">
        <w:r>
          <w:rPr>
            <w:rStyle w:val="Hyperlink"/>
            <w:smallCaps/>
          </w:rPr>
          <w:t xml:space="preserve">Rochet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2003</w:t>
        </w:r>
      </w:hyperlink>
      <w:r>
        <w:t xml:space="preserve">)</w:t>
      </w:r>
      <w:r>
        <w:t xml:space="preserve">.</w:t>
      </w:r>
    </w:p>
    <w:p>
      <w:pPr>
        <w:numPr>
          <w:ilvl w:val="0"/>
          <w:numId w:val="1102"/>
        </w:numPr>
      </w:pPr>
      <w:r>
        <w:rPr>
          <w:i/>
          <w:iCs/>
        </w:rPr>
        <w:t xml:space="preserve">Recapitulación del bloque </w:t>
      </w:r>
      <w:hyperlink w:anchor="sec_toi">
        <w:r>
          <w:rPr>
            <w:rStyle w:val="Hyperlink"/>
            <w:i/>
            <w:iCs/>
          </w:rPr>
          <w:t xml:space="preserve">III</w:t>
        </w:r>
      </w:hyperlink>
      <w:r>
        <w:t xml:space="preserve">: el paradigma ECR veía el poder de mercado en la concentración;</w:t>
      </w:r>
      <w:r>
        <w:t xml:space="preserve"> </w:t>
      </w:r>
      <w:r>
        <w:rPr>
          <w:smallCaps/>
        </w:rPr>
        <w:t xml:space="preserve">Chicago</w:t>
      </w:r>
      <w:r>
        <w:t xml:space="preserve">, en la regulación. Las barreras a la entrada resuelven el debate: el poder de mercado dura si entrar exige costes hundidos o si las instaladas pueden comprometerse de forma creíble; sin costes hundidos, la amenaza de entrada basta, aunque haya una sola empresa.</w:t>
      </w:r>
    </w:p>
    <w:bookmarkEnd w:id="199"/>
    <w:bookmarkEnd w:id="200"/>
    <w:bookmarkStart w:id="202" w:name="conclusi__n"/>
    <w:p>
      <w:pPr>
        <w:pStyle w:val="Heading1"/>
      </w:pPr>
      <w:r>
        <w:t xml:space="preserve">Conclusión</w:t>
      </w:r>
      <w:r>
        <w:t xml:space="preserve"> </w:t>
      </w:r>
      <w:r>
        <w:rPr>
          <w:rStyle w:val="Minutos"/>
        </w:rPr>
        <w:t xml:space="preserve">1′</w:t>
      </w:r>
    </w:p>
    <w:p>
      <w:pPr>
        <w:keepNext/>
        <w:numPr>
          <w:ilvl w:val="0"/>
          <w:numId w:val="1103"/>
        </w:numPr>
      </w:pPr>
      <w:r>
        <w:rPr>
          <w:b/>
          <w:bCs/>
          <w:i/>
          <w:iCs/>
        </w:rPr>
        <w:t xml:space="preserve">Recapitulación</w:t>
      </w:r>
      <w:r>
        <w:t xml:space="preserve">: en conclusión, la empresa deja de ser una caja negra:</w:t>
      </w:r>
    </w:p>
    <w:p>
      <w:pPr>
        <w:numPr>
          <w:ilvl w:val="1"/>
          <w:numId w:val="1104"/>
        </w:numPr>
      </w:pPr>
      <w:r>
        <w:t xml:space="preserve">la tecnología fija un tamaño eficiente mínimo; la dirección, los objetivos de los directivos y los problemas de agencia le ponen límites internos (</w:t>
      </w:r>
      <w:hyperlink w:anchor="sec_tamano_limites">
        <w:r>
          <w:rPr>
            <w:rStyle w:val="Hyperlink"/>
          </w:rPr>
          <w:t xml:space="preserve">I</w:t>
        </w:r>
      </w:hyperlink>
      <w:r>
        <w:t xml:space="preserve">);</w:t>
      </w:r>
    </w:p>
    <w:p>
      <w:pPr>
        <w:numPr>
          <w:ilvl w:val="1"/>
          <w:numId w:val="1104"/>
        </w:numPr>
      </w:pPr>
      <w:r>
        <w:t xml:space="preserve">la empresa existe porque usar el mercado cuesta, y su frontera depende de la especificidad de los activos y de quién tiene los derechos residuales de control cuando el contrato calla (</w:t>
      </w:r>
      <w:hyperlink w:anchor="sec_costes_transaccion">
        <w:r>
          <w:rPr>
            <w:rStyle w:val="Hyperlink"/>
          </w:rPr>
          <w:t xml:space="preserve">II</w:t>
        </w:r>
      </w:hyperlink>
      <w:r>
        <w:t xml:space="preserve">);</w:t>
      </w:r>
    </w:p>
    <w:p>
      <w:pPr>
        <w:numPr>
          <w:ilvl w:val="1"/>
          <w:numId w:val="1104"/>
        </w:numPr>
      </w:pPr>
      <w:r>
        <w:t xml:space="preserve">en el mercado, el número de empresas importa menos que las condiciones de entrada: las barreras sostienen el poder de mercado si son creíbles, y sin costes hundidos basta la amenaza de entrada (</w:t>
      </w:r>
      <w:hyperlink w:anchor="sec_toi">
        <w:r>
          <w:rPr>
            <w:rStyle w:val="Hyperlink"/>
          </w:rPr>
          <w:t xml:space="preserve">III</w:t>
        </w:r>
      </w:hyperlink>
      <w:r>
        <w:t xml:space="preserve">).</w:t>
      </w:r>
    </w:p>
    <w:p>
      <w:pPr>
        <w:numPr>
          <w:ilvl w:val="0"/>
          <w:numId w:val="1103"/>
        </w:numPr>
      </w:pPr>
      <w:r>
        <w:rPr>
          <w:b/>
          <w:bCs/>
          <w:i/>
          <w:iCs/>
        </w:rPr>
        <w:t xml:space="preserve">Relevancia</w:t>
      </w:r>
      <w:r>
        <w:t xml:space="preserve">: la defensa de la competencia mira la competencia efectiva y las barreras, no solo el número de empresas, y no condena de antemano integraciones, franquicias y exclusivas, que pueden ahorrar costes de transacción</w:t>
      </w:r>
      <w:r>
        <w:t xml:space="preserve"> </w:t>
      </w:r>
      <w:hyperlink r:id="rId32">
        <w:r>
          <w:rPr>
            <w:rStyle w:val="Referenciaatema"/>
          </w:rPr>
          <w:t xml:space="preserve">[ver tema 3.B.39]</w:t>
        </w:r>
      </w:hyperlink>
      <w:r>
        <w:t xml:space="preserve"> </w:t>
      </w:r>
      <w:hyperlink r:id="rId33">
        <w:r>
          <w:rPr>
            <w:rStyle w:val="Referenciaatema"/>
          </w:rPr>
          <w:t xml:space="preserve">[ver tema 4.A.15]</w:t>
        </w:r>
      </w:hyperlink>
      <w:r>
        <w:t xml:space="preserve">; la regulación de las industrias de red separa la red de los servicios para que estos sean impugnables</w:t>
      </w:r>
      <w:r>
        <w:t xml:space="preserve"> </w:t>
      </w:r>
      <w:hyperlink r:id="rId31">
        <w:r>
          <w:rPr>
            <w:rStyle w:val="Referenciaatema"/>
          </w:rPr>
          <w:t xml:space="preserve">[ver tema 3.A.20]</w:t>
        </w:r>
      </w:hyperlink>
      <w:r>
        <w:t xml:space="preserve">.</w:t>
      </w:r>
    </w:p>
    <w:p>
      <w:pPr>
        <w:numPr>
          <w:ilvl w:val="0"/>
          <w:numId w:val="1103"/>
        </w:numPr>
      </w:pPr>
      <w:r>
        <w:rPr>
          <w:b/>
          <w:bCs/>
          <w:i/>
          <w:iCs/>
        </w:rPr>
        <w:t xml:space="preserve">Extensiones y relación con otras partes del temario</w:t>
      </w:r>
      <w:r>
        <w:t xml:space="preserve">: la información asimétrica y la agencia</w:t>
      </w:r>
      <w:r>
        <w:t xml:space="preserve"> </w:t>
      </w:r>
      <w:hyperlink r:id="rId35">
        <w:r>
          <w:rPr>
            <w:rStyle w:val="Referenciaatema"/>
          </w:rPr>
          <w:t xml:space="preserve">[ver tema 3.A.13]</w:t>
        </w:r>
      </w:hyperlink>
      <w:r>
        <w:t xml:space="preserve">; las herramientas de la teoría de juegos</w:t>
      </w:r>
      <w:r>
        <w:t xml:space="preserve"> </w:t>
      </w:r>
      <w:hyperlink r:id="rId36">
        <w:r>
          <w:rPr>
            <w:rStyle w:val="Referenciaatema"/>
          </w:rPr>
          <w:t xml:space="preserve">[ver tema 3.A.14]</w:t>
        </w:r>
      </w:hyperlink>
      <w:r>
        <w:t xml:space="preserve">; las estructuras de mercado</w:t>
      </w:r>
      <w:r>
        <w:t xml:space="preserve"> </w:t>
      </w:r>
      <w:hyperlink r:id="rId25">
        <w:r>
          <w:rPr>
            <w:rStyle w:val="Referenciaatema"/>
          </w:rPr>
          <w:t xml:space="preserve">[ver tema 3.A.16]</w:t>
        </w:r>
      </w:hyperlink>
      <w:r>
        <w:t xml:space="preserve"> </w:t>
      </w:r>
      <w:hyperlink r:id="rId26">
        <w:r>
          <w:rPr>
            <w:rStyle w:val="Referenciaatema"/>
          </w:rPr>
          <w:t xml:space="preserve">[ver tema 3.A.17]</w:t>
        </w:r>
      </w:hyperlink>
      <w:r>
        <w:t xml:space="preserve"> </w:t>
      </w:r>
      <w:hyperlink r:id="rId27">
        <w:r>
          <w:rPr>
            <w:rStyle w:val="Referenciaatema"/>
          </w:rPr>
          <w:t xml:space="preserve">[ver tema 3.A.18]</w:t>
        </w:r>
      </w:hyperlink>
      <w:r>
        <w:t xml:space="preserve"> </w:t>
      </w:r>
      <w:hyperlink r:id="rId28">
        <w:r>
          <w:rPr>
            <w:rStyle w:val="Referenciaatema"/>
          </w:rPr>
          <w:t xml:space="preserve">[ver tema 3.A.19]</w:t>
        </w:r>
      </w:hyperlink>
      <w:r>
        <w:t xml:space="preserve">; el crecimiento de la empresa, las fusiones y las alianzas</w:t>
      </w:r>
      <w:r>
        <w:t xml:space="preserve"> </w:t>
      </w:r>
      <w:hyperlink r:id="rId63">
        <w:r>
          <w:rPr>
            <w:rStyle w:val="Referenciaatema"/>
          </w:rPr>
          <w:t xml:space="preserve">[ver tema 3.B.4]</w:t>
        </w:r>
      </w:hyperlink>
      <w:r>
        <w:t xml:space="preserve">; las cadenas globales de valor como decisión de hacer o comprar entre países</w:t>
      </w:r>
      <w:r>
        <w:t xml:space="preserve"> </w:t>
      </w:r>
      <w:hyperlink r:id="rId201">
        <w:r>
          <w:rPr>
            <w:rStyle w:val="Referenciaatema"/>
          </w:rPr>
          <w:t xml:space="preserve">[ver tema 3.B.18]</w:t>
        </w:r>
      </w:hyperlink>
      <w:r>
        <w:t xml:space="preserve">, y las plataformas digitales, en las que los efectos de red y los datos son las nuevas barreras y que la Unión Europea regula desde 2022 con un reglamento «sobre mercados disputables y equitativos en el sector digital»</w:t>
      </w:r>
      <w:r>
        <w:t xml:space="preserve"> </w:t>
      </w:r>
      <w:r>
        <w:t xml:space="preserve">(</w:t>
      </w:r>
      <w:hyperlink w:anchor="ref_UE2022DMA">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2022</w:t>
        </w:r>
      </w:hyperlink>
      <w:r>
        <w:t xml:space="preserve">)</w:t>
      </w:r>
      <w:r>
        <w:t xml:space="preserve"> </w:t>
      </w:r>
      <w:r>
        <w:t xml:space="preserve">(anexo </w:t>
      </w:r>
      <w:hyperlink w:anchor="anexo_plataformas">
        <w:r>
          <w:rPr>
            <w:rStyle w:val="Hyperlink"/>
          </w:rPr>
          <w:t xml:space="preserve">E</w:t>
        </w:r>
      </w:hyperlink>
      <w:r>
        <w:t xml:space="preserve">).</w:t>
      </w:r>
    </w:p>
    <w:p>
      <w:pPr>
        <w:numPr>
          <w:ilvl w:val="0"/>
          <w:numId w:val="1103"/>
        </w:numPr>
      </w:pPr>
      <w:r>
        <w:rPr>
          <w:b/>
          <w:bCs/>
          <w:i/>
          <w:iCs/>
        </w:rPr>
        <w:t xml:space="preserve">Opinión</w:t>
      </w:r>
      <w:r>
        <w:t xml:space="preserve">: la economía de los costes de transacción enseña humildad al regulador, porque muchas prácticas que parecen restrictivas son soluciones a problemas de contratación. Pero los márgenes crecientes recuerdan que la amenaza de entrada solo disciplina si entrar es posible: vigilar las barreras, sobre todo en los mercados digitales, es hoy la tarea central de la política de competencia.</w:t>
      </w:r>
    </w:p>
    <w:p>
      <w:pPr>
        <w:numPr>
          <w:ilvl w:val="0"/>
          <w:numId w:val="1103"/>
        </w:numPr>
      </w:pPr>
      <w:r>
        <w:rPr>
          <w:b/>
          <w:bCs/>
          <w:i/>
          <w:iCs/>
        </w:rPr>
        <w:t xml:space="preserve">Idea final</w:t>
      </w:r>
      <w:r>
        <w:t xml:space="preserve">:</w:t>
      </w:r>
      <w:r>
        <w:t xml:space="preserve"> </w:t>
      </w:r>
      <w:r>
        <w:rPr>
          <w:smallCaps/>
        </w:rPr>
        <w:t xml:space="preserve">Lenin</w:t>
      </w:r>
      <w:r>
        <w:t xml:space="preserve"> </w:t>
      </w:r>
      <w:r>
        <w:t xml:space="preserve">quería organizar la economía como una sola fábrica; los profesores de</w:t>
      </w:r>
      <w:r>
        <w:t xml:space="preserve"> </w:t>
      </w:r>
      <w:r>
        <w:rPr>
          <w:smallCaps/>
        </w:rPr>
        <w:t xml:space="preserve">Coase</w:t>
      </w:r>
      <w:r>
        <w:t xml:space="preserve">, como un solo mercado. La respuesta de</w:t>
      </w:r>
      <w:r>
        <w:t xml:space="preserve"> </w:t>
      </w:r>
      <w:r>
        <w:rPr>
          <w:smallCaps/>
        </w:rPr>
        <w:t xml:space="preserve">Coase</w:t>
      </w:r>
      <w:r>
        <w:t xml:space="preserve"> </w:t>
      </w:r>
      <w:r>
        <w:t xml:space="preserve">es que los 2 cuestan: hay empresas porque los contratos no lo pueden prever todo, y no hay una sola porque la jerarquía también tiene costes. La economía real son islas de organización en un mar de mercado, y su tamaño lo fija el margen en que organizar y comprar cuestan lo mismo.</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202"/>
    <w:bookmarkStart w:id="203" w:name="anexo_austriaca"/>
    <w:p>
      <w:pPr>
        <w:pStyle w:val="Heading1"/>
      </w:pPr>
      <w:r>
        <w:t xml:space="preserve">A. Anexo: la escuela austriaca y</w:t>
      </w:r>
      <w:r>
        <w:t xml:space="preserve"> </w:t>
      </w:r>
      <w:r>
        <w:rPr>
          <w:smallCaps/>
        </w:rPr>
        <w:t xml:space="preserve">Schumpeter</w:t>
      </w:r>
    </w:p>
    <w:p>
      <w:pPr>
        <w:keepNext/>
        <w:numPr>
          <w:ilvl w:val="0"/>
          <w:numId w:val="1105"/>
        </w:numPr>
      </w:pPr>
      <w:r>
        <w:rPr>
          <w:i/>
          <w:iCs/>
        </w:rPr>
        <w:t xml:space="preserve">Mercado y empresario</w:t>
      </w:r>
      <w:r>
        <w:t xml:space="preserve"> </w:t>
      </w:r>
      <w:r>
        <w:t xml:space="preserve">(los neoaustriacos:</w:t>
      </w:r>
      <w:r>
        <w:t xml:space="preserve"> </w:t>
      </w:r>
      <w:r>
        <w:rPr>
          <w:smallCaps/>
        </w:rPr>
        <w:t xml:space="preserve">Hayek</w:t>
      </w:r>
      <w:r>
        <w:t xml:space="preserve"> </w:t>
      </w:r>
      <w:r>
        <w:t xml:space="preserve">y</w:t>
      </w:r>
      <w:r>
        <w:t xml:space="preserve"> </w:t>
      </w:r>
      <w:r>
        <w:rPr>
          <w:smallCaps/>
        </w:rPr>
        <w:t xml:space="preserve">Kirzner</w:t>
      </w:r>
      <w:r>
        <w:t xml:space="preserve">, seguidores de</w:t>
      </w:r>
      <w:r>
        <w:t xml:space="preserve"> </w:t>
      </w:r>
      <w:r>
        <w:rPr>
          <w:smallCaps/>
        </w:rPr>
        <w:t xml:space="preserve">Mises</w:t>
      </w:r>
      <w:r>
        <w:t xml:space="preserve">). La competencia es un</w:t>
      </w:r>
      <w:r>
        <w:t xml:space="preserve"> </w:t>
      </w:r>
      <w:r>
        <w:rPr>
          <w:i/>
          <w:iCs/>
        </w:rPr>
        <w:t xml:space="preserve">proceso de descubrimiento</w:t>
      </w:r>
      <w:r>
        <w:t xml:space="preserve">: con incertidumbre y conocimiento disperso, los precios transmiten información, y el empresario es quien está alerta a las oportunidades de beneficio que otros no han visto</w:t>
      </w:r>
      <w:r>
        <w:t xml:space="preserve"> </w:t>
      </w:r>
      <w:r>
        <w:t xml:space="preserve">(</w:t>
      </w:r>
      <w:hyperlink w:anchor="ref_Kirzner1973Competition">
        <w:r>
          <w:rPr>
            <w:rStyle w:val="Hyperlink"/>
            <w:smallCaps/>
          </w:rPr>
          <w:t xml:space="preserve">Kirzner</w:t>
        </w:r>
        <w:r>
          <w:rPr>
            <w:rStyle w:val="Hyperlink"/>
          </w:rPr>
          <w:t xml:space="preserve">, 1973</w:t>
        </w:r>
      </w:hyperlink>
      <w:r>
        <w:t xml:space="preserve">)</w:t>
      </w:r>
      <w:r>
        <w:t xml:space="preserve">. El mercado no está nunca en equilibrio, sino en un orden que tiende a él</w:t>
      </w:r>
      <w:r>
        <w:t xml:space="preserve"> </w:t>
      </w:r>
      <w:r>
        <w:t xml:space="preserve">(</w:t>
      </w:r>
      <w:hyperlink w:anchor="ref_Hayek1945Use">
        <w:r>
          <w:rPr>
            <w:rStyle w:val="Hyperlink"/>
            <w:smallCaps/>
          </w:rPr>
          <w:t xml:space="preserve">Hayek</w:t>
        </w:r>
        <w:r>
          <w:rPr>
            <w:rStyle w:val="Hyperlink"/>
          </w:rPr>
          <w:t xml:space="preserve">, 1945</w:t>
        </w:r>
      </w:hyperlink>
      <w:r>
        <w:t xml:space="preserve">)</w:t>
      </w:r>
      <w:r>
        <w:t xml:space="preserve">.</w:t>
      </w:r>
    </w:p>
    <w:p>
      <w:pPr>
        <w:numPr>
          <w:ilvl w:val="1"/>
          <w:numId w:val="1106"/>
        </w:numPr>
      </w:pPr>
      <w:r>
        <w:t xml:space="preserve">Los beneficios extraordinarios no prueban un monopolio dañino, sino oportunidades por explotar; el poder de mercado duradero lo crea la regulación.</w:t>
      </w:r>
    </w:p>
    <w:p>
      <w:pPr>
        <w:numPr>
          <w:ilvl w:val="1"/>
          <w:numId w:val="1106"/>
        </w:numPr>
      </w:pPr>
      <w:r>
        <w:rPr>
          <w:i/>
          <w:iCs/>
        </w:rPr>
        <w:t xml:space="preserve">Implicaciones de política económica</w:t>
      </w:r>
      <w:r>
        <w:t xml:space="preserve">: libertad de entrada y reglas marco que no maten el incentivo a innovar. Controlar los precios o los beneficios de las industrias reguladas reduce el atractivo de entrar en ellas y, paradójicamente, protege a las instaladas; y las empresas que podrían innovar se desaniman si la regulación amenaza los beneficios de hacerlo. El</w:t>
      </w:r>
      <w:r>
        <w:t xml:space="preserve"> </w:t>
      </w:r>
      <w:r>
        <w:rPr>
          <w:i/>
          <w:iCs/>
        </w:rPr>
        <w:t xml:space="preserve">price cap</w:t>
      </w:r>
      <w:r>
        <w:t xml:space="preserve"> </w:t>
      </w:r>
      <w:r>
        <w:t xml:space="preserve">que propone</w:t>
      </w:r>
      <w:r>
        <w:t xml:space="preserve"> </w:t>
      </w:r>
      <w:r>
        <w:rPr>
          <w:smallCaps/>
        </w:rPr>
        <w:t xml:space="preserve">Littlechild</w:t>
      </w:r>
      <w:r>
        <w:t xml:space="preserve"> </w:t>
      </w:r>
      <w:r>
        <w:t xml:space="preserve">(</w:t>
      </w:r>
      <w:hyperlink w:anchor="ref_Littlechild1983Regulation">
        <w:r>
          <w:rPr>
            <w:rStyle w:val="Hyperlink"/>
          </w:rPr>
          <w:t xml:space="preserve">1983</w:t>
        </w:r>
      </w:hyperlink>
      <w:r>
        <w:t xml:space="preserve">)</w:t>
      </w:r>
      <w:r>
        <w:t xml:space="preserve"> </w:t>
      </w:r>
      <w:r>
        <w:t xml:space="preserve">para la British Telecom privatizada responde a esa idea</w:t>
      </w:r>
      <w:r>
        <w:t xml:space="preserve"> </w:t>
      </w:r>
      <w:hyperlink r:id="rId26">
        <w:r>
          <w:rPr>
            <w:rStyle w:val="Referenciaatema"/>
          </w:rPr>
          <w:t xml:space="preserve">[ver tema 3.A.17]</w:t>
        </w:r>
      </w:hyperlink>
      <w:r>
        <w:t xml:space="preserve">.</w:t>
      </w:r>
    </w:p>
    <w:p>
      <w:pPr>
        <w:keepNext/>
        <w:numPr>
          <w:ilvl w:val="0"/>
          <w:numId w:val="1105"/>
        </w:numPr>
      </w:pPr>
      <w:r>
        <w:rPr>
          <w:i/>
          <w:iCs/>
        </w:rPr>
        <w:t xml:space="preserve">La línea schumpeteriana</w:t>
      </w:r>
      <w:r>
        <w:t xml:space="preserve"> </w:t>
      </w:r>
      <w:r>
        <w:t xml:space="preserve">(</w:t>
      </w:r>
      <w:hyperlink w:anchor="ref_Schumpeter1942Capitalism">
        <w:r>
          <w:rPr>
            <w:rStyle w:val="Hyperlink"/>
            <w:smallCaps/>
          </w:rPr>
          <w:t xml:space="preserve">Schumpeter</w:t>
        </w:r>
        <w:r>
          <w:rPr>
            <w:rStyle w:val="Hyperlink"/>
          </w:rPr>
          <w:t xml:space="preserve">, 1942</w:t>
        </w:r>
      </w:hyperlink>
      <w:r>
        <w:t xml:space="preserve">)</w:t>
      </w:r>
      <w:r>
        <w:t xml:space="preserve">: lo relevante no es la competencia en precios, sino la que traen los productos y las técnicas nuevas, la</w:t>
      </w:r>
      <w:r>
        <w:t xml:space="preserve"> </w:t>
      </w:r>
      <w:r>
        <w:rPr>
          <w:b/>
          <w:bCs/>
        </w:rPr>
        <w:t xml:space="preserve">destrucción creativa</w:t>
      </w:r>
      <w:r>
        <w:t xml:space="preserve">. El poder de mercado da los incentivos</w:t>
      </w:r>
      <w:r>
        <w:t xml:space="preserve"> </w:t>
      </w:r>
      <w:r>
        <w:rPr>
          <w:i/>
          <w:iCs/>
        </w:rPr>
        <w:t xml:space="preserve">ex ante</w:t>
      </w:r>
      <w:r>
        <w:t xml:space="preserve"> </w:t>
      </w:r>
      <w:r>
        <w:t xml:space="preserve">(la perspectiva de beneficios extraordinarios) y los recursos</w:t>
      </w:r>
      <w:r>
        <w:t xml:space="preserve"> </w:t>
      </w:r>
      <w:r>
        <w:rPr>
          <w:i/>
          <w:iCs/>
        </w:rPr>
        <w:t xml:space="preserve">ex post</w:t>
      </w:r>
      <w:r>
        <w:t xml:space="preserve"> </w:t>
      </w:r>
      <w:r>
        <w:t xml:space="preserve">(beneficios con los que financiar la innovación).</w:t>
      </w:r>
    </w:p>
    <w:p>
      <w:pPr>
        <w:numPr>
          <w:ilvl w:val="1"/>
          <w:numId w:val="1107"/>
        </w:numPr>
      </w:pPr>
      <w:r>
        <w:rPr>
          <w:i/>
          <w:iCs/>
        </w:rPr>
        <w:t xml:space="preserve">Implicaciones de política económica</w:t>
      </w:r>
      <w:r>
        <w:t xml:space="preserve">: fomento de la I+D y patentes, monopolios temporales que sacrifican eficiencia estática por innovación</w:t>
      </w:r>
      <w:r>
        <w:t xml:space="preserve"> </w:t>
      </w:r>
      <w:hyperlink r:id="rId150">
        <w:r>
          <w:rPr>
            <w:rStyle w:val="Referenciaatema"/>
          </w:rPr>
          <w:t xml:space="preserve">[ver tema 3.A.44]</w:t>
        </w:r>
      </w:hyperlink>
      <w:r>
        <w:t xml:space="preserve">.</w:t>
      </w:r>
    </w:p>
    <w:p>
      <w:pPr>
        <w:numPr>
          <w:ilvl w:val="1"/>
          <w:numId w:val="1107"/>
        </w:numPr>
      </w:pPr>
      <w:r>
        <w:rPr>
          <w:smallCaps/>
        </w:rPr>
        <w:t xml:space="preserve">Arrow</w:t>
      </w:r>
      <w:r>
        <w:t xml:space="preserve"> </w:t>
      </w:r>
      <w:r>
        <w:t xml:space="preserve">(</w:t>
      </w:r>
      <w:hyperlink w:anchor="ref_Arrow1962Economic">
        <w:r>
          <w:rPr>
            <w:rStyle w:val="Hyperlink"/>
          </w:rPr>
          <w:t xml:space="preserve">1962</w:t>
        </w:r>
      </w:hyperlink>
      <w:r>
        <w:t xml:space="preserve">)</w:t>
      </w:r>
      <w:r>
        <w:t xml:space="preserve"> </w:t>
      </w:r>
      <w:r>
        <w:t xml:space="preserve">sostiene lo contrario: el monopolista innova menos, porque al innovar se reemplaza a sí mismo y gana menos que un entrante que no tenía nada (</w:t>
      </w:r>
      <w:r>
        <w:rPr>
          <w:i/>
          <w:iCs/>
        </w:rPr>
        <w:t xml:space="preserve">efecto reemplazo</w:t>
      </w:r>
      <w:r>
        <w:t xml:space="preserve">).</w:t>
      </w:r>
    </w:p>
    <w:bookmarkEnd w:id="203"/>
    <w:bookmarkStart w:id="209" w:name="anexo_derivaciones"/>
    <w:p>
      <w:pPr>
        <w:pStyle w:val="Heading1"/>
      </w:pPr>
      <w:r>
        <w:t xml:space="preserve">B. Anexo: derivaciones</w:t>
      </w:r>
    </w:p>
    <w:bookmarkStart w:id="204" w:name="anexo_baumol"/>
    <w:p>
      <w:pPr>
        <w:pStyle w:val="Heading2"/>
      </w:pPr>
      <w:r>
        <w:t xml:space="preserve">B.1. Maximización de las ventas con beneficio mínimo</w:t>
      </w:r>
    </w:p>
    <w:p>
      <w:pPr>
        <w:numPr>
          <w:ilvl w:val="0"/>
          <w:numId w:val="1108"/>
        </w:numPr>
      </w:pPr>
      <w:r>
        <w:rPr>
          <w:i/>
          <w:iCs/>
        </w:rPr>
        <w:t xml:space="preserve">Problema</w:t>
      </w:r>
      <w:r>
        <w:t xml:space="preserve">: maximizar</w:t>
      </w:r>
      <w:r>
        <w:t xml:space="preserve"> </w:t>
      </w:r>
      <m:oMath>
        <m:r>
          <m:t>I</m:t>
        </m:r>
        <m:d>
          <m:dPr>
            <m:begChr m:val="("/>
            <m:sepChr m:val=""/>
            <m:endChr m:val=")"/>
            <m:grow/>
          </m:dPr>
          <m:e>
            <m:r>
              <m:t>q</m:t>
            </m:r>
          </m:e>
        </m:d>
      </m:oMath>
      <w:r>
        <w:t xml:space="preserve"> </w:t>
      </w:r>
      <w:r>
        <w:t xml:space="preserve">sujeto a</w:t>
      </w:r>
      <w:r>
        <w:t xml:space="preserve"> </w:t>
      </w:r>
      <m:oMath>
        <m:r>
          <m:t>B</m:t>
        </m:r>
        <m:d>
          <m:dPr>
            <m:begChr m:val="("/>
            <m:sepChr m:val=""/>
            <m:endChr m:val=")"/>
            <m:grow/>
          </m:dPr>
          <m:e>
            <m:r>
              <m:t>q</m:t>
            </m:r>
          </m:e>
        </m:d>
        <m:r>
          <m:rPr>
            <m:sty m:val="p"/>
          </m:rPr>
          <m:t>=</m:t>
        </m:r>
        <m:r>
          <m:t>I</m:t>
        </m:r>
        <m:d>
          <m:dPr>
            <m:begChr m:val="("/>
            <m:sepChr m:val=""/>
            <m:endChr m:val=")"/>
            <m:grow/>
          </m:dPr>
          <m:e>
            <m:r>
              <m:t>q</m:t>
            </m:r>
          </m:e>
        </m:d>
        <m:r>
          <m:rPr>
            <m:sty m:val="p"/>
          </m:rPr>
          <m:t>−</m:t>
        </m:r>
        <m:r>
          <m:t>C</m:t>
        </m:r>
        <m:d>
          <m:dPr>
            <m:begChr m:val="("/>
            <m:sepChr m:val=""/>
            <m:endChr m:val=")"/>
            <m:grow/>
          </m:dPr>
          <m:e>
            <m:r>
              <m:t>q</m:t>
            </m:r>
          </m:e>
        </m:d>
        <m:r>
          <m:rPr>
            <m:sty m:val="p"/>
          </m:rPr>
          <m:t>≥</m:t>
        </m:r>
        <m:bar>
          <m:barPr>
            <m:pos m:val="bot"/>
          </m:barPr>
          <m:e>
            <m:r>
              <m:t>B</m:t>
            </m:r>
          </m:e>
        </m:bar>
      </m:oMath>
      <w:r>
        <w:t xml:space="preserve">. Con el multiplicador</w:t>
      </w:r>
      <w:r>
        <w:t xml:space="preserve"> </w:t>
      </w:r>
      <m:oMath>
        <m:r>
          <m:t>λ</m:t>
        </m:r>
        <m:r>
          <m:rPr>
            <m:sty m:val="p"/>
          </m:rPr>
          <m:t>≥</m:t>
        </m:r>
        <m:r>
          <m:t>0</m:t>
        </m:r>
      </m:oMath>
      <w:r>
        <w:t xml:space="preserve">, las condiciones de</w:t>
      </w:r>
      <w:r>
        <w:t xml:space="preserve"> </w:t>
      </w:r>
      <w:r>
        <w:rPr>
          <w:smallCaps/>
        </w:rPr>
        <w:t xml:space="preserve">Kuhn</w:t>
      </w:r>
      <w:r>
        <w:t xml:space="preserve">-</w:t>
      </w:r>
      <w:r>
        <w:rPr>
          <w:smallCaps/>
        </w:rPr>
        <w:t xml:space="preserve">Tucker</w:t>
      </w:r>
      <w:r>
        <w:t xml:space="preserve"> </w:t>
      </w:r>
      <w:r>
        <w:t xml:space="preserve">son</w:t>
      </w:r>
    </w:p>
    <w:p>
      <w:pPr>
        <w:pStyle w:val="BodyText"/>
        <w:keepNext/>
      </w:pPr>
      <m:oMathPara>
        <m:oMathParaPr>
          <m:jc m:val="center"/>
        </m:oMathParaPr>
        <m:oMath>
          <m:r>
            <m:rPr>
              <m:sty m:val="p"/>
            </m:rPr>
            <m:t>I</m:t>
          </m:r>
          <m:r>
            <m:rPr>
              <m:sty m:val="p"/>
            </m:rPr>
            <m:t>M</m:t>
          </m:r>
          <m:r>
            <m:rPr>
              <m:sty m:val="p"/>
            </m:rPr>
            <m:t>g</m:t>
          </m:r>
          <m:d>
            <m:dPr>
              <m:begChr m:val="("/>
              <m:sepChr m:val=""/>
              <m:endChr m:val=")"/>
              <m:grow/>
            </m:dPr>
            <m:e>
              <m:r>
                <m:t>q</m:t>
              </m:r>
            </m:e>
          </m:d>
          <m:r>
            <m:rPr>
              <m:sty m:val="p"/>
            </m:rPr>
            <m:t>+</m:t>
          </m:r>
          <m:r>
            <m:t>λ</m:t>
          </m:r>
          <m:r>
            <m:t> </m:t>
          </m:r>
          <m:d>
            <m:dPr>
              <m:begChr m:val="["/>
              <m:sepChr m:val=""/>
              <m:endChr m:val="]"/>
              <m:grow/>
            </m:dPr>
            <m:e>
              <m:r>
                <m:rPr>
                  <m:sty m:val="p"/>
                </m:rPr>
                <m:t>I</m:t>
              </m:r>
              <m:r>
                <m:rPr>
                  <m:sty m:val="p"/>
                </m:rPr>
                <m:t>M</m:t>
              </m:r>
              <m:r>
                <m:rPr>
                  <m:sty m:val="p"/>
                </m:rPr>
                <m:t>g</m:t>
              </m:r>
              <m:d>
                <m:dPr>
                  <m:begChr m:val="("/>
                  <m:sepChr m:val=""/>
                  <m:endChr m:val=")"/>
                  <m:grow/>
                </m:dPr>
                <m:e>
                  <m:r>
                    <m:t>q</m:t>
                  </m:r>
                </m:e>
              </m:d>
              <m:r>
                <m:rPr>
                  <m:sty m:val="p"/>
                </m:rPr>
                <m:t>−</m:t>
              </m:r>
              <m:r>
                <m:rPr>
                  <m:sty m:val="p"/>
                </m:rPr>
                <m:t>C</m:t>
              </m:r>
              <m:r>
                <m:rPr>
                  <m:sty m:val="p"/>
                </m:rPr>
                <m:t>M</m:t>
              </m:r>
              <m:r>
                <m:rPr>
                  <m:sty m:val="p"/>
                </m:rPr>
                <m:t>g</m:t>
              </m:r>
              <m:d>
                <m:dPr>
                  <m:begChr m:val="("/>
                  <m:sepChr m:val=""/>
                  <m:endChr m:val=")"/>
                  <m:grow/>
                </m:dPr>
                <m:e>
                  <m:r>
                    <m:t>q</m:t>
                  </m:r>
                </m:e>
              </m:d>
            </m:e>
          </m:d>
          <m:r>
            <m:rPr>
              <m:sty m:val="p"/>
            </m:rPr>
            <m:t>=</m:t>
          </m:r>
          <m:r>
            <m:t>0</m:t>
          </m:r>
          <m:r>
            <m:rPr>
              <m:sty m:val="p"/>
            </m:rPr>
            <m:t>,</m:t>
          </m:r>
          <m:r>
            <m:t>  </m:t>
          </m:r>
          <m:r>
            <m:t>λ</m:t>
          </m:r>
          <m:r>
            <m:t> </m:t>
          </m:r>
          <m:d>
            <m:dPr>
              <m:begChr m:val="["/>
              <m:sepChr m:val=""/>
              <m:endChr m:val="]"/>
              <m:grow/>
            </m:dPr>
            <m:e>
              <m:r>
                <m:t>B</m:t>
              </m:r>
              <m:d>
                <m:dPr>
                  <m:begChr m:val="("/>
                  <m:sepChr m:val=""/>
                  <m:endChr m:val=")"/>
                  <m:grow/>
                </m:dPr>
                <m:e>
                  <m:r>
                    <m:t>q</m:t>
                  </m:r>
                </m:e>
              </m:d>
              <m:r>
                <m:rPr>
                  <m:sty m:val="p"/>
                </m:rPr>
                <m:t>−</m:t>
              </m:r>
              <m:bar>
                <m:barPr>
                  <m:pos m:val="bot"/>
                </m:barPr>
                <m:e>
                  <m:r>
                    <m:t>B</m:t>
                  </m:r>
                </m:e>
              </m:bar>
            </m:e>
          </m:d>
          <m:r>
            <m:rPr>
              <m:sty m:val="p"/>
            </m:rPr>
            <m:t>=</m:t>
          </m:r>
          <m:r>
            <m:t>0</m:t>
          </m:r>
          <m:r>
            <m:rPr>
              <m:sty m:val="p"/>
            </m:rPr>
            <m:t>,</m:t>
          </m:r>
        </m:oMath>
      </m:oMathPara>
    </w:p>
    <w:p>
      <w:pPr>
        <w:numPr>
          <w:ilvl w:val="0"/>
          <w:numId w:val="1000"/>
        </w:numPr>
      </w:pPr>
      <w:r>
        <w:t xml:space="preserve">y de la primera,</w:t>
      </w:r>
      <w:r>
        <w:t xml:space="preserve"> </w:t>
      </w:r>
      <m:oMath>
        <m:r>
          <m:rPr>
            <m:sty m:val="p"/>
          </m:rPr>
          <m:t>I</m:t>
        </m:r>
        <m:r>
          <m:rPr>
            <m:sty m:val="p"/>
          </m:rPr>
          <m:t>M</m:t>
        </m:r>
        <m:r>
          <m:rPr>
            <m:sty m:val="p"/>
          </m:rPr>
          <m:t>g</m:t>
        </m:r>
        <m:r>
          <m:rPr>
            <m:sty m:val="p"/>
          </m:rPr>
          <m:t>=</m:t>
        </m:r>
        <m:f>
          <m:fPr>
            <m:type m:val="bar"/>
          </m:fPr>
          <m:num>
            <m:r>
              <m:t>λ</m:t>
            </m:r>
          </m:num>
          <m:den>
            <m:r>
              <m:t>1</m:t>
            </m:r>
            <m:r>
              <m:rPr>
                <m:sty m:val="p"/>
              </m:rPr>
              <m:t>+</m:t>
            </m:r>
            <m:r>
              <m:t>λ</m:t>
            </m:r>
          </m:den>
        </m:f>
        <m:r>
          <m:t> </m:t>
        </m:r>
        <m:r>
          <m:rPr>
            <m:sty m:val="p"/>
          </m:rPr>
          <m:t>C</m:t>
        </m:r>
        <m:r>
          <m:rPr>
            <m:sty m:val="p"/>
          </m:rPr>
          <m:t>M</m:t>
        </m:r>
        <m:r>
          <m:rPr>
            <m:sty m:val="p"/>
          </m:rPr>
          <m:t>g</m:t>
        </m:r>
      </m:oMath>
      <w:r>
        <w:t xml:space="preserve">.</w:t>
      </w:r>
    </w:p>
    <w:p>
      <w:pPr>
        <w:numPr>
          <w:ilvl w:val="0"/>
          <w:numId w:val="1108"/>
        </w:numPr>
      </w:pPr>
      <w:r>
        <w:t xml:space="preserve">Si</w:t>
      </w:r>
      <w:r>
        <w:t xml:space="preserve"> </w:t>
      </w:r>
      <m:oMath>
        <m:r>
          <m:t>λ</m:t>
        </m:r>
        <m:r>
          <m:rPr>
            <m:sty m:val="p"/>
          </m:rPr>
          <m:t>=</m:t>
        </m:r>
        <m:r>
          <m:t>0</m:t>
        </m:r>
      </m:oMath>
      <w:r>
        <w:t xml:space="preserve"> </w:t>
      </w:r>
      <w:r>
        <w:t xml:space="preserve">(restricción no activa),</w:t>
      </w:r>
      <w:r>
        <w:t xml:space="preserve"> </w:t>
      </w:r>
      <m:oMath>
        <m:r>
          <m:rPr>
            <m:sty m:val="p"/>
          </m:rPr>
          <m:t>I</m:t>
        </m:r>
        <m:r>
          <m:rPr>
            <m:sty m:val="p"/>
          </m:rPr>
          <m:t>M</m:t>
        </m:r>
        <m:r>
          <m:rPr>
            <m:sty m:val="p"/>
          </m:rPr>
          <m:t>g</m:t>
        </m:r>
        <m:r>
          <m:rPr>
            <m:sty m:val="p"/>
          </m:rPr>
          <m:t>=</m:t>
        </m:r>
        <m:r>
          <m:t>0</m:t>
        </m:r>
      </m:oMath>
      <w:r>
        <w:t xml:space="preserve">: la empresa produce en el máximo del ingreso. Si</w:t>
      </w:r>
      <w:r>
        <w:t xml:space="preserve"> </w:t>
      </w:r>
      <m:oMath>
        <m:r>
          <m:t>λ</m:t>
        </m:r>
        <m:r>
          <m:rPr>
            <m:sty m:val="p"/>
          </m:rPr>
          <m:t>&gt;</m:t>
        </m:r>
        <m:r>
          <m:t>0</m:t>
        </m:r>
      </m:oMath>
      <w:r>
        <w:t xml:space="preserve">,</w:t>
      </w:r>
      <w:r>
        <w:t xml:space="preserve"> </w:t>
      </w:r>
      <m:oMath>
        <m:r>
          <m:t>0</m:t>
        </m:r>
        <m:r>
          <m:rPr>
            <m:sty m:val="p"/>
          </m:rPr>
          <m:t>&lt;</m:t>
        </m:r>
        <m:r>
          <m:rPr>
            <m:sty m:val="p"/>
          </m:rPr>
          <m:t>I</m:t>
        </m:r>
        <m:r>
          <m:rPr>
            <m:sty m:val="p"/>
          </m:rPr>
          <m:t>M</m:t>
        </m:r>
        <m:r>
          <m:rPr>
            <m:sty m:val="p"/>
          </m:rPr>
          <m:t>g</m:t>
        </m:r>
        <m:r>
          <m:rPr>
            <m:sty m:val="p"/>
          </m:rPr>
          <m:t>&lt;</m:t>
        </m:r>
        <m:r>
          <m:rPr>
            <m:sty m:val="p"/>
          </m:rPr>
          <m:t>C</m:t>
        </m:r>
        <m:r>
          <m:rPr>
            <m:sty m:val="p"/>
          </m:rPr>
          <m:t>M</m:t>
        </m:r>
        <m:r>
          <m:rPr>
            <m:sty m:val="p"/>
          </m:rPr>
          <m:t>g</m:t>
        </m:r>
      </m:oMath>
      <w:r>
        <w:t xml:space="preserve">: como el monopolista que maximiza el beneficio produce donde</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 </w:t>
      </w:r>
      <w:r>
        <w:t xml:space="preserve">y el ingreso marginal es decreciente,</w:t>
      </w:r>
      <w:r>
        <w:t xml:space="preserve"> </w:t>
      </w:r>
      <m:oMath>
        <m:sSup>
          <m:e>
            <m:r>
              <m:t>q</m:t>
            </m:r>
          </m:e>
          <m:sup>
            <m:r>
              <m:t>B</m:t>
            </m:r>
          </m:sup>
        </m:sSup>
        <m:r>
          <m:rPr>
            <m:sty m:val="p"/>
          </m:rPr>
          <m:t>&gt;</m:t>
        </m:r>
        <m:sSup>
          <m:e>
            <m:r>
              <m:t>q</m:t>
            </m:r>
          </m:e>
          <m:sup>
            <m:r>
              <m:t>M</m:t>
            </m:r>
          </m:sup>
        </m:sSup>
      </m:oMath>
      <w:r>
        <w:t xml:space="preserve">;</w:t>
      </w:r>
      <w:r>
        <w:t xml:space="preserve"> </w:t>
      </w:r>
      <m:oMath>
        <m:sSup>
          <m:e>
            <m:r>
              <m:t>q</m:t>
            </m:r>
          </m:e>
          <m:sup>
            <m:r>
              <m:t>B</m:t>
            </m:r>
          </m:sup>
        </m:sSup>
      </m:oMath>
      <w:r>
        <w:t xml:space="preserve"> </w:t>
      </w:r>
      <w:r>
        <w:t xml:space="preserve">está en el tramo decreciente de</w:t>
      </w:r>
      <w:r>
        <w:t xml:space="preserve"> </w:t>
      </w:r>
      <m:oMath>
        <m:r>
          <m:t>B</m:t>
        </m:r>
        <m:d>
          <m:dPr>
            <m:begChr m:val="("/>
            <m:sepChr m:val=""/>
            <m:endChr m:val=")"/>
            <m:grow/>
          </m:dPr>
          <m:e>
            <m:r>
              <m:t>q</m:t>
            </m:r>
          </m:e>
        </m:d>
      </m:oMath>
      <w:r>
        <w:t xml:space="preserve">, con</w:t>
      </w:r>
      <w:r>
        <w:t xml:space="preserve"> </w:t>
      </w:r>
      <m:oMath>
        <m:r>
          <m:t>B</m:t>
        </m:r>
        <m:d>
          <m:dPr>
            <m:begChr m:val="("/>
            <m:sepChr m:val=""/>
            <m:endChr m:val=")"/>
            <m:grow/>
          </m:dPr>
          <m:e>
            <m:sSup>
              <m:e>
                <m:r>
                  <m:t>q</m:t>
                </m:r>
              </m:e>
              <m:sup>
                <m:r>
                  <m:t>B</m:t>
                </m:r>
              </m:sup>
            </m:sSup>
          </m:e>
        </m:d>
        <m:r>
          <m:rPr>
            <m:sty m:val="p"/>
          </m:rPr>
          <m:t>=</m:t>
        </m:r>
        <m:bar>
          <m:barPr>
            <m:pos m:val="bot"/>
          </m:barPr>
          <m:e>
            <m:r>
              <m:t>B</m:t>
            </m:r>
          </m:e>
        </m:bar>
      </m:oMath>
      <w:r>
        <w:t xml:space="preserve">.</w:t>
      </w:r>
    </w:p>
    <w:p>
      <w:pPr>
        <w:numPr>
          <w:ilvl w:val="0"/>
          <w:numId w:val="1108"/>
        </w:numPr>
      </w:pPr>
      <w:r>
        <w:rPr>
          <w:i/>
          <w:iCs/>
        </w:rPr>
        <w:t xml:space="preserve">Estática comparativa</w:t>
      </w:r>
      <w:r>
        <w:t xml:space="preserve">: si el coste fijo sube en</w:t>
      </w:r>
      <w:r>
        <w:t xml:space="preserve"> </w:t>
      </w:r>
      <m:oMath>
        <m:r>
          <m:t>Δ</m:t>
        </m:r>
      </m:oMath>
      <w:r>
        <w:t xml:space="preserve">, la restricción activa pasa a ser</w:t>
      </w:r>
      <w:r>
        <w:t xml:space="preserve"> </w:t>
      </w:r>
      <m:oMath>
        <m:r>
          <m:t>B</m:t>
        </m:r>
        <m:d>
          <m:dPr>
            <m:begChr m:val="("/>
            <m:sepChr m:val=""/>
            <m:endChr m:val=")"/>
            <m:grow/>
          </m:dPr>
          <m:e>
            <m:r>
              <m:t>q</m:t>
            </m:r>
          </m:e>
        </m:d>
        <m:r>
          <m:rPr>
            <m:sty m:val="p"/>
          </m:rPr>
          <m:t>−</m:t>
        </m:r>
        <m:r>
          <m:t>Δ</m:t>
        </m:r>
        <m:r>
          <m:rPr>
            <m:sty m:val="p"/>
          </m:rPr>
          <m:t>=</m:t>
        </m:r>
        <m:bar>
          <m:barPr>
            <m:pos m:val="bot"/>
          </m:barPr>
          <m:e>
            <m:r>
              <m:t>B</m:t>
            </m:r>
          </m:e>
        </m:bar>
      </m:oMath>
      <w:r>
        <w:t xml:space="preserve">; como</w:t>
      </w:r>
      <w:r>
        <w:t xml:space="preserve"> </w:t>
      </w:r>
      <m:oMath>
        <m:r>
          <m:t>B</m:t>
        </m:r>
      </m:oMath>
      <w:r>
        <w:t xml:space="preserve"> </w:t>
      </w:r>
      <w:r>
        <w:t xml:space="preserve">es decreciente en</w:t>
      </w:r>
      <w:r>
        <w:t xml:space="preserve"> </w:t>
      </w:r>
      <m:oMath>
        <m:sSup>
          <m:e>
            <m:r>
              <m:t>q</m:t>
            </m:r>
          </m:e>
          <m:sup>
            <m:r>
              <m:t>B</m:t>
            </m:r>
          </m:sup>
        </m:sSup>
      </m:oMath>
      <w:r>
        <w:t xml:space="preserve">,</w:t>
      </w:r>
      <w:r>
        <w:t xml:space="preserve"> </w:t>
      </w:r>
      <m:oMath>
        <m:sSup>
          <m:e>
            <m:r>
              <m:t>q</m:t>
            </m:r>
          </m:e>
          <m:sup>
            <m:r>
              <m:t>B</m:t>
            </m:r>
          </m:sup>
        </m:sSup>
      </m:oMath>
      <w:r>
        <w:t xml:space="preserve"> </w:t>
      </w:r>
      <w:r>
        <w:t xml:space="preserve">baja. El maximizador del beneficio no cambia</w:t>
      </w:r>
      <w:r>
        <w:t xml:space="preserve"> </w:t>
      </w:r>
      <m:oMath>
        <m:sSup>
          <m:e>
            <m:r>
              <m:t>q</m:t>
            </m:r>
          </m:e>
          <m:sup>
            <m:r>
              <m:t>M</m:t>
            </m:r>
          </m:sup>
        </m:sSup>
      </m:oMath>
      <w:r>
        <w:t xml:space="preserve">, porque el coste fijo no altera el coste marginal. ∎</w:t>
      </w:r>
    </w:p>
    <w:bookmarkEnd w:id="204"/>
    <w:bookmarkStart w:id="205" w:name="anexo_riordan_williamson"/>
    <w:p>
      <w:pPr>
        <w:pStyle w:val="Heading2"/>
      </w:pPr>
      <w:r>
        <w:t xml:space="preserve">B.2. Producción y gobierno:</w:t>
      </w:r>
      <w:r>
        <w:t xml:space="preserve"> </w:t>
      </w:r>
      <w:r>
        <w:rPr>
          <w:smallCaps/>
        </w:rPr>
        <w:t xml:space="preserve">Riordan</w:t>
      </w:r>
      <w:r>
        <w:t xml:space="preserve"> </w:t>
      </w:r>
      <w:r>
        <w:t xml:space="preserve">y</w:t>
      </w:r>
      <w:r>
        <w:t xml:space="preserve"> </w:t>
      </w:r>
      <w:r>
        <w:rPr>
          <w:smallCaps/>
        </w:rPr>
        <w:t xml:space="preserve">Williamson</w:t>
      </w:r>
    </w:p>
    <w:p>
      <w:pPr>
        <w:numPr>
          <w:ilvl w:val="0"/>
          <w:numId w:val="1109"/>
        </w:numPr>
      </w:pPr>
      <w:r>
        <w:t xml:space="preserve">Sea</w:t>
      </w:r>
      <w:r>
        <w:t xml:space="preserve"> </w:t>
      </w:r>
      <m:oMath>
        <m:r>
          <m:t>Δ</m:t>
        </m:r>
        <m:r>
          <m:t>C</m:t>
        </m:r>
        <m:d>
          <m:dPr>
            <m:begChr m:val="("/>
            <m:sepChr m:val=""/>
            <m:endChr m:val=")"/>
            <m:grow/>
          </m:dPr>
          <m:e>
            <m:r>
              <m:t>a</m:t>
            </m:r>
          </m:e>
        </m:d>
      </m:oMath>
      <w:r>
        <w:t xml:space="preserve"> </w:t>
      </w:r>
      <w:r>
        <w:t xml:space="preserve">el sobrecoste de</w:t>
      </w:r>
      <w:r>
        <w:t xml:space="preserve"> </w:t>
      </w:r>
      <w:r>
        <w:rPr>
          <w:i/>
          <w:iCs/>
        </w:rPr>
        <w:t xml:space="preserve">producción</w:t>
      </w:r>
      <w:r>
        <w:t xml:space="preserve"> </w:t>
      </w:r>
      <w:r>
        <w:t xml:space="preserve">de hacer uno mismo frente a comprar: positivo, porque el proveedor agrega demandas y aprovecha economías de escala, y decreciente en</w:t>
      </w:r>
      <w:r>
        <w:t xml:space="preserve"> </w:t>
      </w:r>
      <m:oMath>
        <m:r>
          <m:t>a</m:t>
        </m:r>
      </m:oMath>
      <w:r>
        <w:t xml:space="preserve">, porque cuanto más específico es el bien, menos clientes comparten esa ventaja.</w:t>
      </w:r>
    </w:p>
    <w:p>
      <w:pPr>
        <w:numPr>
          <w:ilvl w:val="0"/>
          <w:numId w:val="1109"/>
        </w:numPr>
      </w:pPr>
      <w:r>
        <w:t xml:space="preserve">Sea</w:t>
      </w:r>
      <w:r>
        <w:t xml:space="preserve"> </w:t>
      </w:r>
      <m:oMath>
        <m:r>
          <m:t>Δ</m:t>
        </m:r>
        <m:r>
          <m:t>G</m:t>
        </m:r>
        <m:d>
          <m:dPr>
            <m:begChr m:val="("/>
            <m:sepChr m:val=""/>
            <m:endChr m:val=")"/>
            <m:grow/>
          </m:dPr>
          <m:e>
            <m:r>
              <m:t>a</m:t>
            </m:r>
          </m:e>
        </m:d>
        <m:r>
          <m:rPr>
            <m:sty m:val="p"/>
          </m:rPr>
          <m:t>=</m:t>
        </m:r>
        <m:sSub>
          <m:e>
            <m:r>
              <m:t>C</m:t>
            </m:r>
          </m:e>
          <m:sub>
            <m:r>
              <m:rPr>
                <m:nor/>
                <m:sty m:val="p"/>
              </m:rPr>
              <m:t>jerarquía</m:t>
            </m:r>
          </m:sub>
        </m:sSub>
        <m:d>
          <m:dPr>
            <m:begChr m:val="("/>
            <m:sepChr m:val=""/>
            <m:endChr m:val=")"/>
            <m:grow/>
          </m:dPr>
          <m:e>
            <m:r>
              <m:t>a</m:t>
            </m:r>
          </m:e>
        </m:d>
        <m:r>
          <m:rPr>
            <m:sty m:val="p"/>
          </m:rPr>
          <m:t>−</m:t>
        </m:r>
        <m:sSub>
          <m:e>
            <m:r>
              <m:t>C</m:t>
            </m:r>
          </m:e>
          <m:sub>
            <m:r>
              <m:rPr>
                <m:nor/>
                <m:sty m:val="p"/>
              </m:rPr>
              <m:t>mercado</m:t>
            </m:r>
          </m:sub>
        </m:sSub>
        <m:d>
          <m:dPr>
            <m:begChr m:val="("/>
            <m:sepChr m:val=""/>
            <m:endChr m:val=")"/>
            <m:grow/>
          </m:dPr>
          <m:e>
            <m:r>
              <m:t>a</m:t>
            </m:r>
          </m:e>
        </m:d>
      </m:oMath>
      <w:r>
        <w:t xml:space="preserve"> </w:t>
      </w:r>
      <w:r>
        <w:t xml:space="preserve">la diferencia de costes de</w:t>
      </w:r>
      <w:r>
        <w:t xml:space="preserve"> </w:t>
      </w:r>
      <w:r>
        <w:rPr>
          <w:i/>
          <w:iCs/>
        </w:rPr>
        <w:t xml:space="preserve">gobierno</w:t>
      </w:r>
      <w:r>
        <w:t xml:space="preserve">: positiva para</w:t>
      </w:r>
      <w:r>
        <w:t xml:space="preserve"> </w:t>
      </w:r>
      <m:oMath>
        <m:r>
          <m:t>a</m:t>
        </m:r>
      </m:oMath>
      <w:r>
        <w:t xml:space="preserve"> </w:t>
      </w:r>
      <w:r>
        <w:t xml:space="preserve">pequeña, por los costes burocráticos, y decreciente, porque la jerarquía protege mejor la inversión específica; se anula en</w:t>
      </w:r>
      <w:r>
        <w:t xml:space="preserve"> </w:t>
      </w:r>
      <m:oMath>
        <m:bar>
          <m:barPr>
            <m:pos m:val="top"/>
          </m:barPr>
          <m:e>
            <m:r>
              <m:t>a</m:t>
            </m:r>
          </m:e>
        </m:bar>
      </m:oMath>
      <w:r>
        <w:t xml:space="preserve">.</w:t>
      </w:r>
    </w:p>
    <w:p>
      <w:pPr>
        <w:numPr>
          <w:ilvl w:val="0"/>
          <w:numId w:val="1109"/>
        </w:numPr>
      </w:pPr>
      <w:r>
        <w:t xml:space="preserve">La empresa</w:t>
      </w:r>
      <w:r>
        <w:t xml:space="preserve"> </w:t>
      </w:r>
      <w:r>
        <w:rPr>
          <w:i/>
          <w:iCs/>
        </w:rPr>
        <w:t xml:space="preserve">hace</w:t>
      </w:r>
      <w:r>
        <w:t xml:space="preserve"> </w:t>
      </w:r>
      <w:r>
        <w:t xml:space="preserve">en lugar de</w:t>
      </w:r>
      <w:r>
        <w:t xml:space="preserve"> </w:t>
      </w:r>
      <w:r>
        <w:rPr>
          <w:i/>
          <w:iCs/>
        </w:rPr>
        <w:t xml:space="preserve">comprar</w:t>
      </w:r>
      <w:r>
        <w:t xml:space="preserve"> </w:t>
      </w:r>
      <w:r>
        <w:t xml:space="preserve">si</w:t>
      </w:r>
      <w:r>
        <w:t xml:space="preserve"> </w:t>
      </w:r>
      <m:oMath>
        <m:r>
          <m:t>Δ</m:t>
        </m:r>
        <m:r>
          <m:t>C</m:t>
        </m:r>
        <m:d>
          <m:dPr>
            <m:begChr m:val="("/>
            <m:sepChr m:val=""/>
            <m:endChr m:val=")"/>
            <m:grow/>
          </m:dPr>
          <m:e>
            <m:r>
              <m:t>a</m:t>
            </m:r>
          </m:e>
        </m:d>
        <m:r>
          <m:rPr>
            <m:sty m:val="p"/>
          </m:rPr>
          <m:t>+</m:t>
        </m:r>
        <m:r>
          <m:t>Δ</m:t>
        </m:r>
        <m:r>
          <m:t>G</m:t>
        </m:r>
        <m:d>
          <m:dPr>
            <m:begChr m:val="("/>
            <m:sepChr m:val=""/>
            <m:endChr m:val=")"/>
            <m:grow/>
          </m:dPr>
          <m:e>
            <m:r>
              <m:t>a</m:t>
            </m:r>
          </m:e>
        </m:d>
        <m:r>
          <m:rPr>
            <m:sty m:val="p"/>
          </m:rPr>
          <m:t>&lt;</m:t>
        </m:r>
        <m:r>
          <m:t>0</m:t>
        </m:r>
      </m:oMath>
      <w:r>
        <w:t xml:space="preserve">, es decir, si</w:t>
      </w:r>
      <w:r>
        <w:t xml:space="preserve"> </w:t>
      </w:r>
      <m:oMath>
        <m:r>
          <m:t>a</m:t>
        </m:r>
        <m:r>
          <m:rPr>
            <m:sty m:val="p"/>
          </m:rPr>
          <m:t>&gt;</m:t>
        </m:r>
        <m:acc>
          <m:accPr>
            <m:chr m:val="̂"/>
          </m:accPr>
          <m:e>
            <m:r>
              <m:t>a</m:t>
            </m:r>
          </m:e>
        </m:acc>
      </m:oMath>
      <w:r>
        <w:t xml:space="preserve">. Como</w:t>
      </w:r>
      <w:r>
        <w:t xml:space="preserve"> </w:t>
      </w:r>
      <m:oMath>
        <m:r>
          <m:t>Δ</m:t>
        </m:r>
        <m:r>
          <m:t>C</m:t>
        </m:r>
        <m:d>
          <m:dPr>
            <m:begChr m:val="("/>
            <m:sepChr m:val=""/>
            <m:endChr m:val=")"/>
            <m:grow/>
          </m:dPr>
          <m:e>
            <m:bar>
              <m:barPr>
                <m:pos m:val="top"/>
              </m:barPr>
              <m:e>
                <m:r>
                  <m:t>a</m:t>
                </m:r>
              </m:e>
            </m:bar>
          </m:e>
        </m:d>
        <m:r>
          <m:rPr>
            <m:sty m:val="p"/>
          </m:rPr>
          <m:t>&gt;</m:t>
        </m:r>
        <m:r>
          <m:t>0</m:t>
        </m:r>
      </m:oMath>
      <w:r>
        <w:t xml:space="preserve">, en</w:t>
      </w:r>
      <w:r>
        <w:t xml:space="preserve"> </w:t>
      </w:r>
      <m:oMath>
        <m:bar>
          <m:barPr>
            <m:pos m:val="top"/>
          </m:barPr>
          <m:e>
            <m:r>
              <m:t>a</m:t>
            </m:r>
          </m:e>
        </m:bar>
      </m:oMath>
      <w:r>
        <w:t xml:space="preserve"> </w:t>
      </w:r>
      <w:r>
        <w:t xml:space="preserve">la suma aún es positiva, y</w:t>
      </w:r>
      <w:r>
        <w:t xml:space="preserve"> </w:t>
      </w:r>
      <m:oMath>
        <m:acc>
          <m:accPr>
            <m:chr m:val="̂"/>
          </m:accPr>
          <m:e>
            <m:r>
              <m:t>a</m:t>
            </m:r>
          </m:e>
        </m:acc>
        <m:r>
          <m:rPr>
            <m:sty m:val="p"/>
          </m:rPr>
          <m:t>&gt;</m:t>
        </m:r>
        <m:bar>
          <m:barPr>
            <m:pos m:val="top"/>
          </m:barPr>
          <m:e>
            <m:r>
              <m:t>a</m:t>
            </m:r>
          </m:e>
        </m:bar>
      </m:oMath>
      <w:r>
        <w:t xml:space="preserve">: la ventaja de escala del mercado retrasa la integración</w:t>
      </w:r>
      <w:r>
        <w:t xml:space="preserve"> </w:t>
      </w:r>
      <w:r>
        <w:t xml:space="preserve">(</w:t>
      </w:r>
      <w:hyperlink w:anchor="ref_RiordanWilliamson1985Asset">
        <w:r>
          <w:rPr>
            <w:rStyle w:val="Hyperlink"/>
            <w:smallCaps/>
          </w:rPr>
          <w:t xml:space="preserve">Riordan</w:t>
        </w:r>
        <w:r>
          <w:rPr>
            <w:rStyle w:val="Hyperlink"/>
          </w:rPr>
          <w:t xml:space="preserve"> </w:t>
        </w:r>
        <w:r>
          <w:rPr>
            <w:rStyle w:val="Hyperlink"/>
          </w:rPr>
          <w:t xml:space="preserve">y</w:t>
        </w:r>
        <w:r>
          <w:rPr>
            <w:rStyle w:val="Hyperlink"/>
          </w:rPr>
          <w:t xml:space="preserve"> </w:t>
        </w:r>
        <w:r>
          <w:rPr>
            <w:rStyle w:val="Hyperlink"/>
            <w:smallCaps/>
          </w:rPr>
          <w:t xml:space="preserve">Williamson</w:t>
        </w:r>
        <w:r>
          <w:rPr>
            <w:rStyle w:val="Hyperlink"/>
          </w:rPr>
          <w:t xml:space="preserve">, 1985</w:t>
        </w:r>
      </w:hyperlink>
      <w:r>
        <w:t xml:space="preserve">;</w:t>
      </w:r>
      <w:r>
        <w:t xml:space="preserve"> </w:t>
      </w:r>
      <w:hyperlink w:anchor="ref_Williamson1985Economic">
        <w:r>
          <w:rPr>
            <w:rStyle w:val="Hyperlink"/>
            <w:smallCaps/>
          </w:rPr>
          <w:t xml:space="preserve">Williamson</w:t>
        </w:r>
        <w:r>
          <w:rPr>
            <w:rStyle w:val="Hyperlink"/>
          </w:rPr>
          <w:t xml:space="preserve">, 1985, cap. 4</w:t>
        </w:r>
      </w:hyperlink>
      <w:r>
        <w:t xml:space="preserve">)</w:t>
      </w:r>
      <w:r>
        <w:t xml:space="preserve">. ∎</w:t>
      </w:r>
    </w:p>
    <w:bookmarkEnd w:id="205"/>
    <w:bookmarkStart w:id="206" w:name="anexo_ghm"/>
    <w:p>
      <w:pPr>
        <w:pStyle w:val="Heading2"/>
      </w:pPr>
      <w:r>
        <w:t xml:space="preserve">B.3. Infrainversión con contratos incompletos</w:t>
      </w:r>
    </w:p>
    <w:p>
      <w:pPr>
        <w:numPr>
          <w:ilvl w:val="0"/>
          <w:numId w:val="1110"/>
        </w:numPr>
      </w:pPr>
      <w:r>
        <w:rPr>
          <w:i/>
          <w:iCs/>
        </w:rPr>
        <w:t xml:space="preserve">Pago del comprador</w:t>
      </w:r>
      <w:r>
        <w:t xml:space="preserve">:</w:t>
      </w:r>
      <w:r>
        <w:t xml:space="preserve"> </w:t>
      </w:r>
      <m:oMath>
        <m:sSub>
          <m:e>
            <m:r>
              <m:t>y</m:t>
            </m:r>
          </m:e>
          <m:sub>
            <m:r>
              <m:t>0</m:t>
            </m:r>
          </m:sub>
        </m:sSub>
        <m:d>
          <m:dPr>
            <m:begChr m:val="("/>
            <m:sepChr m:val=""/>
            <m:endChr m:val=")"/>
            <m:grow/>
          </m:dPr>
          <m:e>
            <m:r>
              <m:t>e</m:t>
            </m:r>
          </m:e>
        </m:d>
        <m:r>
          <m:rPr>
            <m:sty m:val="p"/>
          </m:rPr>
          <m:t>+</m:t>
        </m:r>
        <m:f>
          <m:fPr>
            <m:type m:val="lin"/>
          </m:fPr>
          <m:num>
            <m:r>
              <m:t>1</m:t>
            </m:r>
          </m:num>
          <m:den>
            <m:r>
              <m:t>2</m:t>
            </m:r>
          </m:den>
        </m:f>
        <m:r>
          <m:t> </m:t>
        </m:r>
        <m:d>
          <m:dPr>
            <m:begChr m:val="["/>
            <m:sepChr m:val=""/>
            <m:endChr m:val="]"/>
            <m:grow/>
          </m:dPr>
          <m:e>
            <m:r>
              <m:t>y</m:t>
            </m:r>
            <m:d>
              <m:dPr>
                <m:begChr m:val="("/>
                <m:sepChr m:val=""/>
                <m:endChr m:val=")"/>
                <m:grow/>
              </m:dPr>
              <m:e>
                <m:r>
                  <m:t>e</m:t>
                </m:r>
              </m:e>
            </m:d>
            <m:r>
              <m:rPr>
                <m:sty m:val="p"/>
              </m:rPr>
              <m:t>−</m:t>
            </m:r>
            <m:sSub>
              <m:e>
                <m:r>
                  <m:t>y</m:t>
                </m:r>
              </m:e>
              <m:sub>
                <m:r>
                  <m:t>0</m:t>
                </m:r>
              </m:sub>
            </m:sSub>
            <m:d>
              <m:dPr>
                <m:begChr m:val="("/>
                <m:sepChr m:val=""/>
                <m:endChr m:val=")"/>
                <m:grow/>
              </m:dPr>
              <m:e>
                <m:r>
                  <m:t>e</m:t>
                </m:r>
              </m:e>
            </m:d>
          </m:e>
        </m:d>
        <m:r>
          <m:rPr>
            <m:sty m:val="p"/>
          </m:rPr>
          <m:t>−</m:t>
        </m:r>
        <m:r>
          <m:t>e</m:t>
        </m:r>
        <m:r>
          <m:rPr>
            <m:sty m:val="p"/>
          </m:rPr>
          <m:t>=</m:t>
        </m:r>
        <m:f>
          <m:fPr>
            <m:type m:val="lin"/>
          </m:fPr>
          <m:num>
            <m:r>
              <m:t>1</m:t>
            </m:r>
          </m:num>
          <m:den>
            <m:r>
              <m:t>2</m:t>
            </m:r>
          </m:den>
        </m:f>
        <m:r>
          <m:t> </m:t>
        </m:r>
        <m:r>
          <m:t>y</m:t>
        </m:r>
        <m:d>
          <m:dPr>
            <m:begChr m:val="("/>
            <m:sepChr m:val=""/>
            <m:endChr m:val=")"/>
            <m:grow/>
          </m:dPr>
          <m:e>
            <m:r>
              <m:t>e</m:t>
            </m:r>
          </m:e>
        </m:d>
        <m:r>
          <m:rPr>
            <m:sty m:val="p"/>
          </m:rPr>
          <m:t>+</m:t>
        </m:r>
        <m:f>
          <m:fPr>
            <m:type m:val="lin"/>
          </m:fPr>
          <m:num>
            <m:r>
              <m:t>1</m:t>
            </m:r>
          </m:num>
          <m:den>
            <m:r>
              <m:t>2</m:t>
            </m:r>
          </m:den>
        </m:f>
        <m:r>
          <m:t> </m:t>
        </m:r>
        <m:sSub>
          <m:e>
            <m:r>
              <m:t>y</m:t>
            </m:r>
          </m:e>
          <m:sub>
            <m:r>
              <m:t>0</m:t>
            </m:r>
          </m:sub>
        </m:sSub>
        <m:d>
          <m:dPr>
            <m:begChr m:val="("/>
            <m:sepChr m:val=""/>
            <m:endChr m:val=")"/>
            <m:grow/>
          </m:dPr>
          <m:e>
            <m:r>
              <m:t>e</m:t>
            </m:r>
          </m:e>
        </m:d>
        <m:r>
          <m:rPr>
            <m:sty m:val="p"/>
          </m:rPr>
          <m:t>−</m:t>
        </m:r>
        <m:r>
          <m:t>e</m:t>
        </m:r>
      </m:oMath>
      <w:r>
        <w:t xml:space="preserve">. Condición de primer orden:</w:t>
      </w:r>
      <w:r>
        <w:t xml:space="preserve"> </w:t>
      </w:r>
      <m:oMath>
        <m:f>
          <m:fPr>
            <m:type m:val="lin"/>
          </m:fPr>
          <m:num>
            <m:r>
              <m:t>1</m:t>
            </m:r>
          </m:num>
          <m:den>
            <m:r>
              <m:t>2</m:t>
            </m:r>
          </m:den>
        </m:f>
        <m:r>
          <m:t> </m:t>
        </m:r>
        <m:r>
          <m:t>y</m:t>
        </m:r>
        <m:r>
          <m:rPr>
            <m:sty m:val="p"/>
          </m:rPr>
          <m:t>′</m:t>
        </m:r>
        <m:d>
          <m:dPr>
            <m:begChr m:val="("/>
            <m:sepChr m:val=""/>
            <m:endChr m:val=")"/>
            <m:grow/>
          </m:dPr>
          <m:e>
            <m:sSup>
              <m:e>
                <m:r>
                  <m:t>e</m:t>
                </m:r>
              </m:e>
              <m:sup>
                <m:r>
                  <m:rPr>
                    <m:sty m:val="p"/>
                  </m:rPr>
                  <m:t>*</m:t>
                </m:r>
              </m:sup>
            </m:sSup>
          </m:e>
        </m:d>
        <m:r>
          <m:rPr>
            <m:sty m:val="p"/>
          </m:rPr>
          <m:t>+</m:t>
        </m:r>
        <m:f>
          <m:fPr>
            <m:type m:val="lin"/>
          </m:fPr>
          <m:num>
            <m:r>
              <m:t>1</m:t>
            </m:r>
          </m:num>
          <m:den>
            <m:r>
              <m:t>2</m:t>
            </m:r>
          </m:den>
        </m:f>
        <m:r>
          <m:t> </m:t>
        </m:r>
        <m:sSub>
          <m:e>
            <m:r>
              <m:t>y</m:t>
            </m:r>
          </m:e>
          <m:sub>
            <m:r>
              <m:t>0</m:t>
            </m:r>
          </m:sub>
        </m:sSub>
        <m:r>
          <m:rPr>
            <m:sty m:val="p"/>
          </m:rPr>
          <m:t>′</m:t>
        </m:r>
        <m:d>
          <m:dPr>
            <m:begChr m:val="("/>
            <m:sepChr m:val=""/>
            <m:endChr m:val=")"/>
            <m:grow/>
          </m:dPr>
          <m:e>
            <m:sSup>
              <m:e>
                <m:r>
                  <m:t>e</m:t>
                </m:r>
              </m:e>
              <m:sup>
                <m:r>
                  <m:rPr>
                    <m:sty m:val="p"/>
                  </m:rPr>
                  <m:t>*</m:t>
                </m:r>
              </m:sup>
            </m:sSup>
          </m:e>
        </m:d>
        <m:r>
          <m:rPr>
            <m:sty m:val="p"/>
          </m:rPr>
          <m:t>=</m:t>
        </m:r>
        <m:r>
          <m:t>1</m:t>
        </m:r>
      </m:oMath>
      <w:r>
        <w:t xml:space="preserve">; de segundo orden,</w:t>
      </w:r>
      <w:r>
        <w:t xml:space="preserve"> </w:t>
      </w:r>
      <m:oMath>
        <m:f>
          <m:fPr>
            <m:type m:val="lin"/>
          </m:fPr>
          <m:num>
            <m:r>
              <m:t>1</m:t>
            </m:r>
          </m:num>
          <m:den>
            <m:r>
              <m:t>2</m:t>
            </m:r>
          </m:den>
        </m:f>
        <m:r>
          <m:t> </m:t>
        </m:r>
        <m:r>
          <m:t>y</m:t>
        </m:r>
        <m:r>
          <m:rPr>
            <m:sty m:val="p"/>
          </m:rPr>
          <m:t>″</m:t>
        </m:r>
        <m:r>
          <m:rPr>
            <m:sty m:val="p"/>
          </m:rPr>
          <m:t>+</m:t>
        </m:r>
        <m:f>
          <m:fPr>
            <m:type m:val="lin"/>
          </m:fPr>
          <m:num>
            <m:r>
              <m:t>1</m:t>
            </m:r>
          </m:num>
          <m:den>
            <m:r>
              <m:t>2</m:t>
            </m:r>
          </m:den>
        </m:f>
        <m:r>
          <m:t> </m:t>
        </m:r>
        <m:sSub>
          <m:e>
            <m:r>
              <m:t>y</m:t>
            </m:r>
          </m:e>
          <m:sub>
            <m:r>
              <m:t>0</m:t>
            </m:r>
          </m:sub>
        </m:sSub>
        <m:r>
          <m:rPr>
            <m:sty m:val="p"/>
          </m:rPr>
          <m:t>″</m:t>
        </m:r>
        <m:r>
          <m:rPr>
            <m:sty m:val="p"/>
          </m:rPr>
          <m:t>&lt;</m:t>
        </m:r>
        <m:r>
          <m:t>0</m:t>
        </m:r>
      </m:oMath>
      <w:r>
        <w:t xml:space="preserve"> </w:t>
      </w:r>
      <w:r>
        <w:t xml:space="preserve">si</w:t>
      </w:r>
      <w:r>
        <w:t xml:space="preserve"> </w:t>
      </w:r>
      <m:oMath>
        <m:r>
          <m:t>y</m:t>
        </m:r>
      </m:oMath>
      <w:r>
        <w:t xml:space="preserve"> </w:t>
      </w:r>
      <w:r>
        <w:t xml:space="preserve">e</w:t>
      </w:r>
      <w:r>
        <w:t xml:space="preserve"> </w:t>
      </w:r>
      <m:oMath>
        <m:sSub>
          <m:e>
            <m:r>
              <m:t>y</m:t>
            </m:r>
          </m:e>
          <m:sub>
            <m:r>
              <m:t>0</m:t>
            </m:r>
          </m:sub>
        </m:sSub>
      </m:oMath>
      <w:r>
        <w:t xml:space="preserve"> </w:t>
      </w:r>
      <w:r>
        <w:t xml:space="preserve">son cóncavas.</w:t>
      </w:r>
    </w:p>
    <w:p>
      <w:pPr>
        <w:numPr>
          <w:ilvl w:val="0"/>
          <w:numId w:val="1110"/>
        </w:numPr>
      </w:pPr>
      <w:r>
        <w:t xml:space="preserve">Como</w:t>
      </w:r>
      <w:r>
        <w:t xml:space="preserve"> </w:t>
      </w:r>
      <m:oMath>
        <m:sSub>
          <m:e>
            <m:r>
              <m:t>y</m:t>
            </m:r>
          </m:e>
          <m:sub>
            <m:r>
              <m:t>0</m:t>
            </m:r>
          </m:sub>
        </m:sSub>
        <m:r>
          <m:rPr>
            <m:sty m:val="p"/>
          </m:rPr>
          <m:t>′</m:t>
        </m:r>
        <m:d>
          <m:dPr>
            <m:begChr m:val="("/>
            <m:sepChr m:val=""/>
            <m:endChr m:val=")"/>
            <m:grow/>
          </m:dPr>
          <m:e>
            <m:sSup>
              <m:e>
                <m:r>
                  <m:t>e</m:t>
                </m:r>
              </m:e>
              <m:sup>
                <m:r>
                  <m:rPr>
                    <m:sty m:val="p"/>
                  </m:rPr>
                  <m:t>*</m:t>
                </m:r>
              </m:sup>
            </m:sSup>
          </m:e>
        </m:d>
        <m:r>
          <m:rPr>
            <m:sty m:val="p"/>
          </m:rPr>
          <m:t>&lt;</m:t>
        </m:r>
        <m:r>
          <m:t>y</m:t>
        </m:r>
        <m:r>
          <m:rPr>
            <m:sty m:val="p"/>
          </m:rPr>
          <m:t>′</m:t>
        </m:r>
        <m:d>
          <m:dPr>
            <m:begChr m:val="("/>
            <m:sepChr m:val=""/>
            <m:endChr m:val=")"/>
            <m:grow/>
          </m:dPr>
          <m:e>
            <m:sSup>
              <m:e>
                <m:r>
                  <m:t>e</m:t>
                </m:r>
              </m:e>
              <m:sup>
                <m:r>
                  <m:rPr>
                    <m:sty m:val="p"/>
                  </m:rPr>
                  <m:t>*</m:t>
                </m:r>
              </m:sup>
            </m:sSup>
          </m:e>
        </m:d>
      </m:oMath>
      <w:r>
        <w:t xml:space="preserve">,</w:t>
      </w:r>
      <w:r>
        <w:t xml:space="preserve"> </w:t>
      </w:r>
      <m:oMath>
        <m:r>
          <m:t>1</m:t>
        </m:r>
        <m:r>
          <m:rPr>
            <m:sty m:val="p"/>
          </m:rPr>
          <m:t>=</m:t>
        </m:r>
        <m:f>
          <m:fPr>
            <m:type m:val="lin"/>
          </m:fPr>
          <m:num>
            <m:r>
              <m:t>1</m:t>
            </m:r>
          </m:num>
          <m:den>
            <m:r>
              <m:t>2</m:t>
            </m:r>
          </m:den>
        </m:f>
        <m:r>
          <m:t> </m:t>
        </m:r>
        <m:d>
          <m:dPr>
            <m:begChr m:val="["/>
            <m:sepChr m:val=""/>
            <m:endChr m:val="]"/>
            <m:grow/>
          </m:dPr>
          <m:e>
            <m:r>
              <m:t>y</m:t>
            </m:r>
            <m:r>
              <m:rPr>
                <m:sty m:val="p"/>
              </m:rPr>
              <m:t>′</m:t>
            </m:r>
            <m:d>
              <m:dPr>
                <m:begChr m:val="("/>
                <m:sepChr m:val=""/>
                <m:endChr m:val=")"/>
                <m:grow/>
              </m:dPr>
              <m:e>
                <m:sSup>
                  <m:e>
                    <m:r>
                      <m:t>e</m:t>
                    </m:r>
                  </m:e>
                  <m:sup>
                    <m:r>
                      <m:rPr>
                        <m:sty m:val="p"/>
                      </m:rPr>
                      <m:t>*</m:t>
                    </m:r>
                  </m:sup>
                </m:sSup>
              </m:e>
            </m:d>
            <m:r>
              <m:rPr>
                <m:sty m:val="p"/>
              </m:rPr>
              <m:t>+</m:t>
            </m:r>
            <m:sSub>
              <m:e>
                <m:r>
                  <m:t>y</m:t>
                </m:r>
              </m:e>
              <m:sub>
                <m:r>
                  <m:t>0</m:t>
                </m:r>
              </m:sub>
            </m:sSub>
            <m:r>
              <m:rPr>
                <m:sty m:val="p"/>
              </m:rPr>
              <m:t>′</m:t>
            </m:r>
            <m:d>
              <m:dPr>
                <m:begChr m:val="("/>
                <m:sepChr m:val=""/>
                <m:endChr m:val=")"/>
                <m:grow/>
              </m:dPr>
              <m:e>
                <m:sSup>
                  <m:e>
                    <m:r>
                      <m:t>e</m:t>
                    </m:r>
                  </m:e>
                  <m:sup>
                    <m:r>
                      <m:rPr>
                        <m:sty m:val="p"/>
                      </m:rPr>
                      <m:t>*</m:t>
                    </m:r>
                  </m:sup>
                </m:sSup>
              </m:e>
            </m:d>
          </m:e>
        </m:d>
        <m:r>
          <m:rPr>
            <m:sty m:val="p"/>
          </m:rPr>
          <m:t>&lt;</m:t>
        </m:r>
        <m:r>
          <m:t>y</m:t>
        </m:r>
        <m:r>
          <m:rPr>
            <m:sty m:val="p"/>
          </m:rPr>
          <m:t>′</m:t>
        </m:r>
        <m:d>
          <m:dPr>
            <m:begChr m:val="("/>
            <m:sepChr m:val=""/>
            <m:endChr m:val=")"/>
            <m:grow/>
          </m:dPr>
          <m:e>
            <m:sSup>
              <m:e>
                <m:r>
                  <m:t>e</m:t>
                </m:r>
              </m:e>
              <m:sup>
                <m:r>
                  <m:rPr>
                    <m:sty m:val="p"/>
                  </m:rPr>
                  <m:t>*</m:t>
                </m:r>
              </m:sup>
            </m:sSup>
          </m:e>
        </m:d>
      </m:oMath>
      <w:r>
        <w:t xml:space="preserve">; y como</w:t>
      </w:r>
      <w:r>
        <w:t xml:space="preserve"> </w:t>
      </w:r>
      <m:oMath>
        <m:r>
          <m:t>y</m:t>
        </m:r>
        <m:r>
          <m:rPr>
            <m:sty m:val="p"/>
          </m:rPr>
          <m:t>′</m:t>
        </m:r>
        <m:d>
          <m:dPr>
            <m:begChr m:val="("/>
            <m:sepChr m:val=""/>
            <m:endChr m:val=")"/>
            <m:grow/>
          </m:dPr>
          <m:e>
            <m:sSup>
              <m:e>
                <m:r>
                  <m:t>e</m:t>
                </m:r>
              </m:e>
              <m:sup>
                <m:r>
                  <m:t>o</m:t>
                </m:r>
              </m:sup>
            </m:sSup>
          </m:e>
        </m:d>
        <m:r>
          <m:rPr>
            <m:sty m:val="p"/>
          </m:rPr>
          <m:t>=</m:t>
        </m:r>
        <m:r>
          <m:t>1</m:t>
        </m:r>
      </m:oMath>
      <w:r>
        <w:t xml:space="preserve"> </w:t>
      </w:r>
      <w:r>
        <w:t xml:space="preserve">e</w:t>
      </w:r>
      <w:r>
        <w:t xml:space="preserve"> </w:t>
      </w:r>
      <m:oMath>
        <m:r>
          <m:t>y</m:t>
        </m:r>
        <m:r>
          <m:rPr>
            <m:sty m:val="p"/>
          </m:rPr>
          <m:t>′</m:t>
        </m:r>
      </m:oMath>
      <w:r>
        <w:t xml:space="preserve"> </w:t>
      </w:r>
      <w:r>
        <w:t xml:space="preserve">es decreciente,</w:t>
      </w:r>
      <w:r>
        <w:t xml:space="preserve"> </w:t>
      </w:r>
      <m:oMath>
        <m:sSup>
          <m:e>
            <m:r>
              <m:t>e</m:t>
            </m:r>
          </m:e>
          <m:sup>
            <m:r>
              <m:rPr>
                <m:sty m:val="p"/>
              </m:rPr>
              <m:t>*</m:t>
            </m:r>
          </m:sup>
        </m:sSup>
        <m:r>
          <m:rPr>
            <m:sty m:val="p"/>
          </m:rPr>
          <m:t>&lt;</m:t>
        </m:r>
        <m:sSup>
          <m:e>
            <m:r>
              <m:t>e</m:t>
            </m:r>
          </m:e>
          <m:sup>
            <m:r>
              <m:t>o</m:t>
            </m:r>
          </m:sup>
        </m:sSup>
      </m:oMath>
      <w:r>
        <w:t xml:space="preserve">.</w:t>
      </w:r>
    </w:p>
    <w:p>
      <w:pPr>
        <w:numPr>
          <w:ilvl w:val="0"/>
          <w:numId w:val="1110"/>
        </w:numPr>
      </w:pPr>
      <w:r>
        <w:t xml:space="preserve">Si la propiedad del activo del vendedor pasa al comprador, su opción exterior pasa a ser</w:t>
      </w:r>
      <w:r>
        <w:t xml:space="preserve"> </w:t>
      </w:r>
      <m:oMath>
        <m:sSubSup>
          <m:e>
            <m:r>
              <m:t>y</m:t>
            </m:r>
          </m:e>
          <m:sub>
            <m:r>
              <m:t>0</m:t>
            </m:r>
          </m:sub>
          <m:sup>
            <m:r>
              <m:rPr>
                <m:sty m:val="p"/>
              </m:rPr>
              <m:t>I</m:t>
            </m:r>
          </m:sup>
        </m:sSubSup>
        <m:d>
          <m:dPr>
            <m:begChr m:val="("/>
            <m:sepChr m:val=""/>
            <m:endChr m:val=")"/>
            <m:grow/>
          </m:dPr>
          <m:e>
            <m:r>
              <m:t>e</m:t>
            </m:r>
          </m:e>
        </m:d>
      </m:oMath>
      <w:r>
        <w:t xml:space="preserve">, con</w:t>
      </w:r>
      <w:r>
        <w:t xml:space="preserve"> </w:t>
      </w:r>
      <m:oMath>
        <m:sSubSup>
          <m:e>
            <m:r>
              <m:t>y</m:t>
            </m:r>
          </m:e>
          <m:sub>
            <m:r>
              <m:t>0</m:t>
            </m:r>
          </m:sub>
          <m:sup>
            <m:r>
              <m:rPr>
                <m:sty m:val="p"/>
              </m:rPr>
              <m:t>I</m:t>
            </m:r>
            <m:r>
              <m:rPr>
                <m:sty m:val="p"/>
              </m:rPr>
              <m:t>′</m:t>
            </m:r>
          </m:sup>
        </m:sSubSup>
        <m:d>
          <m:dPr>
            <m:begChr m:val="("/>
            <m:sepChr m:val=""/>
            <m:endChr m:val=")"/>
            <m:grow/>
          </m:dPr>
          <m:e>
            <m:r>
              <m:t>e</m:t>
            </m:r>
          </m:e>
        </m:d>
        <m:r>
          <m:rPr>
            <m:sty m:val="p"/>
          </m:rPr>
          <m:t>≥</m:t>
        </m:r>
        <m:sSub>
          <m:e>
            <m:r>
              <m:t>y</m:t>
            </m:r>
          </m:e>
          <m:sub>
            <m:r>
              <m:t>0</m:t>
            </m:r>
          </m:sub>
        </m:sSub>
        <m:r>
          <m:rPr>
            <m:sty m:val="p"/>
          </m:rPr>
          <m:t>′</m:t>
        </m:r>
        <m:d>
          <m:dPr>
            <m:begChr m:val="("/>
            <m:sepChr m:val=""/>
            <m:endChr m:val=")"/>
            <m:grow/>
          </m:dPr>
          <m:e>
            <m:r>
              <m:t>e</m:t>
            </m:r>
          </m:e>
        </m:d>
      </m:oMath>
      <w:r>
        <w:t xml:space="preserve"> </w:t>
      </w:r>
      <w:r>
        <w:t xml:space="preserve">para todo</w:t>
      </w:r>
      <w:r>
        <w:t xml:space="preserve"> </w:t>
      </w:r>
      <m:oMath>
        <m:r>
          <m:t>e</m:t>
        </m:r>
      </m:oMath>
      <w:r>
        <w:t xml:space="preserve">: la condición de primer orden se cumple con un</w:t>
      </w:r>
      <w:r>
        <w:t xml:space="preserve"> </w:t>
      </w:r>
      <m:oMath>
        <m:sSup>
          <m:e>
            <m:r>
              <m:t>e</m:t>
            </m:r>
          </m:e>
          <m:sup>
            <m:r>
              <m:rPr>
                <m:sty m:val="p"/>
              </m:rPr>
              <m:t>*</m:t>
            </m:r>
          </m:sup>
        </m:sSup>
      </m:oMath>
      <w:r>
        <w:t xml:space="preserve"> </w:t>
      </w:r>
      <w:r>
        <w:t xml:space="preserve">mayor, más cerca de</w:t>
      </w:r>
      <w:r>
        <w:t xml:space="preserve"> </w:t>
      </w:r>
      <m:oMath>
        <m:sSup>
          <m:e>
            <m:r>
              <m:t>e</m:t>
            </m:r>
          </m:e>
          <m:sup>
            <m:r>
              <m:t>o</m:t>
            </m:r>
          </m:sup>
        </m:sSup>
      </m:oMath>
      <w:r>
        <w:t xml:space="preserve">. Si el vendedor también invirtiera, su opción exterior sin el activo sería menor y menos sensible a su inversión, y su incentivo caería: de ahí los resultados sobre a quién dar la propiedad</w:t>
      </w:r>
      <w:r>
        <w:t xml:space="preserve"> </w:t>
      </w:r>
      <w:r>
        <w:t xml:space="preserve">(</w:t>
      </w:r>
      <w:hyperlink w:anchor="ref_Hart1995Firms">
        <w:r>
          <w:rPr>
            <w:rStyle w:val="Hyperlink"/>
            <w:smallCaps/>
          </w:rPr>
          <w:t xml:space="preserve">Hart</w:t>
        </w:r>
        <w:r>
          <w:rPr>
            <w:rStyle w:val="Hyperlink"/>
          </w:rPr>
          <w:t xml:space="preserve">, 1995, cap. 2</w:t>
        </w:r>
      </w:hyperlink>
      <w:r>
        <w:t xml:space="preserve">)</w:t>
      </w:r>
      <w:r>
        <w:t xml:space="preserve">. ∎</w:t>
      </w:r>
    </w:p>
    <w:bookmarkEnd w:id="206"/>
    <w:bookmarkStart w:id="207" w:name="anexo_cowling_waterson"/>
    <w:p>
      <w:pPr>
        <w:pStyle w:val="Heading2"/>
      </w:pPr>
      <w:r>
        <w:t xml:space="preserve">B.4.</w:t>
      </w:r>
      <w:r>
        <w:t xml:space="preserve"> </w:t>
      </w:r>
      <w:r>
        <w:rPr>
          <w:smallCaps/>
        </w:rPr>
        <w:t xml:space="preserve">Cowling</w:t>
      </w:r>
      <w:r>
        <w:t xml:space="preserve"> </w:t>
      </w:r>
      <w:r>
        <w:t xml:space="preserve">y</w:t>
      </w:r>
      <w:r>
        <w:t xml:space="preserve"> </w:t>
      </w:r>
      <w:r>
        <w:rPr>
          <w:smallCaps/>
        </w:rPr>
        <w:t xml:space="preserve">Waterson</w:t>
      </w:r>
      <w:r>
        <w:t xml:space="preserve">: concentración y margen en</w:t>
      </w:r>
      <w:r>
        <w:t xml:space="preserve"> </w:t>
      </w:r>
      <w:r>
        <w:rPr>
          <w:smallCaps/>
        </w:rPr>
        <w:t xml:space="preserve">Cournot</w:t>
      </w:r>
    </w:p>
    <w:p>
      <w:pPr>
        <w:numPr>
          <w:ilvl w:val="0"/>
          <w:numId w:val="1111"/>
        </w:numPr>
      </w:pPr>
      <w:r>
        <w:t xml:space="preserve">La condición de primer orden de la empresa</w:t>
      </w:r>
      <w:r>
        <w:t xml:space="preserve"> </w:t>
      </w:r>
      <m:oMath>
        <m:r>
          <m:t>i</m:t>
        </m:r>
      </m:oMath>
      <w:r>
        <w:t xml:space="preserve"> </w:t>
      </w:r>
      <w:r>
        <w:t xml:space="preserve">en el oligopolio de</w:t>
      </w:r>
      <w:r>
        <w:t xml:space="preserve"> </w:t>
      </w:r>
      <w:r>
        <w:rPr>
          <w:smallCaps/>
        </w:rPr>
        <w:t xml:space="preserve">Cournot</w:t>
      </w:r>
      <w:r>
        <w:t xml:space="preserve"> </w:t>
      </w:r>
      <w:r>
        <w:t xml:space="preserve">con costes distintos es</w:t>
      </w:r>
      <w:r>
        <w:t xml:space="preserve"> </w:t>
      </w:r>
      <m:oMath>
        <m:r>
          <m:t>p</m:t>
        </m:r>
        <m:r>
          <m:rPr>
            <m:sty m:val="p"/>
          </m:rPr>
          <m:t>+</m:t>
        </m:r>
        <m:sSub>
          <m:e>
            <m:r>
              <m:t>q</m:t>
            </m:r>
          </m:e>
          <m:sub>
            <m:r>
              <m:t>i</m:t>
            </m:r>
          </m:sub>
        </m:sSub>
        <m:r>
          <m:t> </m:t>
        </m:r>
        <m:r>
          <m:t>p</m:t>
        </m:r>
        <m:r>
          <m:rPr>
            <m:sty m:val="p"/>
          </m:rPr>
          <m:t>′</m:t>
        </m:r>
        <m:d>
          <m:dPr>
            <m:begChr m:val="("/>
            <m:sepChr m:val=""/>
            <m:endChr m:val=")"/>
            <m:grow/>
          </m:dPr>
          <m:e>
            <m:r>
              <m:t>Q</m:t>
            </m:r>
          </m:e>
        </m:d>
        <m:r>
          <m:rPr>
            <m:sty m:val="p"/>
          </m:rPr>
          <m:t>=</m:t>
        </m:r>
        <m:sSub>
          <m:e>
            <m:r>
              <m:rPr>
                <m:sty m:val="p"/>
              </m:rPr>
              <m:t>C</m:t>
            </m:r>
            <m:r>
              <m:rPr>
                <m:sty m:val="p"/>
              </m:rPr>
              <m:t>M</m:t>
            </m:r>
            <m:r>
              <m:rPr>
                <m:sty m:val="p"/>
              </m:rPr>
              <m:t>g</m:t>
            </m:r>
          </m:e>
          <m:sub>
            <m:r>
              <m:t>i</m:t>
            </m:r>
          </m:sub>
        </m:sSub>
      </m:oMath>
      <w:r>
        <w:t xml:space="preserve">. Dividiendo por</w:t>
      </w:r>
      <w:r>
        <w:t xml:space="preserve"> </w:t>
      </w:r>
      <m:oMath>
        <m:r>
          <m:t>p</m:t>
        </m:r>
      </m:oMath>
      <w:r>
        <w:t xml:space="preserve"> </w:t>
      </w:r>
      <w:r>
        <w:t xml:space="preserve">y llamando</w:t>
      </w:r>
      <w:r>
        <w:t xml:space="preserve"> </w:t>
      </w:r>
      <m:oMath>
        <m:sSub>
          <m:e>
            <m:r>
              <m:t>s</m:t>
            </m:r>
          </m:e>
          <m:sub>
            <m:r>
              <m:t>i</m:t>
            </m:r>
          </m:sub>
        </m:sSub>
        <m:r>
          <m:rPr>
            <m:sty m:val="p"/>
          </m:rPr>
          <m:t>=</m:t>
        </m:r>
        <m:sSub>
          <m:e>
            <m:r>
              <m:t>q</m:t>
            </m:r>
          </m:e>
          <m:sub>
            <m:r>
              <m:t>i</m:t>
            </m:r>
          </m:sub>
        </m:sSub>
        <m:r>
          <m:rPr>
            <m:sty m:val="p"/>
          </m:rPr>
          <m:t>/</m:t>
        </m:r>
        <m:r>
          <m:t>Q</m:t>
        </m:r>
      </m:oMath>
      <w:r>
        <w:t xml:space="preserve">:</w:t>
      </w:r>
    </w:p>
    <w:p>
      <w:pPr>
        <w:pStyle w:val="BodyText"/>
        <w:keepNext/>
      </w:pPr>
      <m:oMathPara>
        <m:oMathParaPr>
          <m:jc m:val="center"/>
        </m:oMathParaPr>
        <m:oMath>
          <m:sSub>
            <m:e>
              <m:r>
                <m:rPr>
                  <m:sty m:val="p"/>
                  <m:scr m:val="script"/>
                </m:rPr>
                <m:t>L</m:t>
              </m:r>
            </m:e>
            <m:sub>
              <m:r>
                <m:t>i</m:t>
              </m:r>
            </m:sub>
          </m:sSub>
          <m:r>
            <m:rPr>
              <m:sty m:val="p"/>
            </m:rPr>
            <m:t>=</m:t>
          </m:r>
          <m:f>
            <m:fPr>
              <m:type m:val="bar"/>
            </m:fPr>
            <m:num>
              <m:r>
                <m:t>p</m:t>
              </m:r>
              <m:r>
                <m:rPr>
                  <m:sty m:val="p"/>
                </m:rPr>
                <m:t>−</m:t>
              </m:r>
              <m:sSub>
                <m:e>
                  <m:r>
                    <m:rPr>
                      <m:sty m:val="p"/>
                    </m:rPr>
                    <m:t>C</m:t>
                  </m:r>
                  <m:r>
                    <m:rPr>
                      <m:sty m:val="p"/>
                    </m:rPr>
                    <m:t>M</m:t>
                  </m:r>
                  <m:r>
                    <m:rPr>
                      <m:sty m:val="p"/>
                    </m:rPr>
                    <m:t>g</m:t>
                  </m:r>
                </m:e>
                <m:sub>
                  <m:r>
                    <m:t>i</m:t>
                  </m:r>
                </m:sub>
              </m:sSub>
            </m:num>
            <m:den>
              <m:r>
                <m:t>p</m:t>
              </m:r>
            </m:den>
          </m:f>
          <m:r>
            <m:rPr>
              <m:sty m:val="p"/>
            </m:rPr>
            <m:t>=</m:t>
          </m:r>
          <m:r>
            <m:rPr>
              <m:sty m:val="p"/>
            </m:rPr>
            <m:t>−</m:t>
          </m:r>
          <m:f>
            <m:fPr>
              <m:type m:val="bar"/>
            </m:fPr>
            <m:num>
              <m:sSub>
                <m:e>
                  <m:r>
                    <m:t>q</m:t>
                  </m:r>
                </m:e>
                <m:sub>
                  <m:r>
                    <m:t>i</m:t>
                  </m:r>
                </m:sub>
              </m:sSub>
              <m:r>
                <m:t> </m:t>
              </m:r>
              <m:r>
                <m:t>p</m:t>
              </m:r>
              <m:r>
                <m:rPr>
                  <m:sty m:val="p"/>
                </m:rPr>
                <m:t>′</m:t>
              </m:r>
              <m:d>
                <m:dPr>
                  <m:begChr m:val="("/>
                  <m:sepChr m:val=""/>
                  <m:endChr m:val=")"/>
                  <m:grow/>
                </m:dPr>
                <m:e>
                  <m:r>
                    <m:t>Q</m:t>
                  </m:r>
                </m:e>
              </m:d>
            </m:num>
            <m:den>
              <m:r>
                <m:t>p</m:t>
              </m:r>
            </m:den>
          </m:f>
          <m:r>
            <m:rPr>
              <m:sty m:val="p"/>
            </m:rPr>
            <m:t>=</m:t>
          </m:r>
          <m:f>
            <m:fPr>
              <m:type m:val="bar"/>
            </m:fPr>
            <m:num>
              <m:sSub>
                <m:e>
                  <m:r>
                    <m:t>s</m:t>
                  </m:r>
                </m:e>
                <m:sub>
                  <m:r>
                    <m:t>i</m:t>
                  </m:r>
                </m:sub>
              </m:sSub>
            </m:num>
            <m:den>
              <m:d>
                <m:dPr>
                  <m:begChr m:val="|"/>
                  <m:sepChr m:val=""/>
                  <m:endChr m:val="|"/>
                  <m:grow/>
                </m:dPr>
                <m:e>
                  <m:sSub>
                    <m:e>
                      <m:r>
                        <m:t>ε</m:t>
                      </m:r>
                    </m:e>
                    <m:sub>
                      <m:r>
                        <m:t>q</m:t>
                      </m:r>
                      <m:r>
                        <m:rPr>
                          <m:sty m:val="p"/>
                        </m:rPr>
                        <m:t>,</m:t>
                      </m:r>
                      <m:r>
                        <m:t>p</m:t>
                      </m:r>
                    </m:sub>
                  </m:sSub>
                </m:e>
              </m:d>
            </m:den>
          </m:f>
          <m:r>
            <m:rPr>
              <m:sty m:val="p"/>
            </m:rPr>
            <m:t>.</m:t>
          </m:r>
        </m:oMath>
      </m:oMathPara>
    </w:p>
    <w:p>
      <w:pPr>
        <w:numPr>
          <w:ilvl w:val="0"/>
          <w:numId w:val="1111"/>
        </w:numPr>
      </w:pPr>
      <w:r>
        <w:t xml:space="preserve">Multiplicando por</w:t>
      </w:r>
      <w:r>
        <w:t xml:space="preserve"> </w:t>
      </w:r>
      <m:oMath>
        <m:sSub>
          <m:e>
            <m:r>
              <m:t>s</m:t>
            </m:r>
          </m:e>
          <m:sub>
            <m:r>
              <m:t>i</m:t>
            </m:r>
          </m:sub>
        </m:sSub>
      </m:oMath>
      <w:r>
        <w:t xml:space="preserve"> </w:t>
      </w:r>
      <w:r>
        <w:t xml:space="preserve">y sumando:</w:t>
      </w:r>
      <w:r>
        <w:t xml:space="preserve"> </w:t>
      </w:r>
      <m:oMath>
        <m:nary>
          <m:naryPr>
            <m:chr m:val="∑"/>
            <m:limLoc m:val="undOvr"/>
            <m:subHide m:val="off"/>
            <m:supHide m:val="on"/>
          </m:naryPr>
          <m:sub>
            <m:r>
              <m:t>i</m:t>
            </m:r>
          </m:sub>
          <m:sup>
            <m:r>
              <m:t>​</m:t>
            </m:r>
          </m:sup>
          <m:e>
            <m:sSub>
              <m:e>
                <m:r>
                  <m:t>s</m:t>
                </m:r>
              </m:e>
              <m:sub>
                <m:r>
                  <m:t>i</m:t>
                </m:r>
              </m:sub>
            </m:sSub>
          </m:e>
        </m:nary>
        <m:r>
          <m:t> </m:t>
        </m:r>
        <m:sSub>
          <m:e>
            <m:r>
              <m:rPr>
                <m:sty m:val="p"/>
                <m:scr m:val="script"/>
              </m:rPr>
              <m:t>L</m:t>
            </m:r>
          </m:e>
          <m:sub>
            <m:r>
              <m:t>i</m:t>
            </m:r>
          </m:sub>
        </m:sSub>
        <m:r>
          <m:rPr>
            <m:sty m:val="p"/>
          </m:rPr>
          <m:t>=</m:t>
        </m:r>
        <m:nary>
          <m:naryPr>
            <m:chr m:val="∑"/>
            <m:limLoc m:val="undOvr"/>
            <m:subHide m:val="off"/>
            <m:supHide m:val="on"/>
          </m:naryPr>
          <m:sub>
            <m:r>
              <m:t>i</m:t>
            </m:r>
          </m:sub>
          <m:sup>
            <m:r>
              <m:t>​</m:t>
            </m:r>
          </m:sup>
          <m:e>
            <m:sSubSup>
              <m:e>
                <m:r>
                  <m:t>s</m:t>
                </m:r>
              </m:e>
              <m:sub>
                <m:r>
                  <m:t>i</m:t>
                </m:r>
              </m:sub>
              <m:sup>
                <m:r>
                  <m:t>2</m:t>
                </m:r>
              </m:sup>
            </m:sSubSup>
          </m:e>
        </m:nary>
        <m:r>
          <m:rPr>
            <m:sty m:val="p"/>
          </m:rPr>
          <m:t>/</m:t>
        </m:r>
        <m:d>
          <m:dPr>
            <m:begChr m:val="|"/>
            <m:sepChr m:val=""/>
            <m:endChr m:val="|"/>
            <m:grow/>
          </m:dPr>
          <m:e>
            <m:sSub>
              <m:e>
                <m:r>
                  <m:t>ε</m:t>
                </m:r>
              </m:e>
              <m:sub>
                <m:r>
                  <m:t>q</m:t>
                </m:r>
                <m:r>
                  <m:rPr>
                    <m:sty m:val="p"/>
                  </m:rPr>
                  <m:t>,</m:t>
                </m:r>
                <m:r>
                  <m:t>p</m:t>
                </m:r>
              </m:sub>
            </m:sSub>
          </m:e>
        </m:d>
        <m:r>
          <m:rPr>
            <m:sty m:val="p"/>
          </m:rPr>
          <m:t>=</m:t>
        </m:r>
        <m:r>
          <m:rPr>
            <m:sty m:val="p"/>
          </m:rPr>
          <m:t>H</m:t>
        </m:r>
        <m:r>
          <m:rPr>
            <m:sty m:val="p"/>
          </m:rPr>
          <m:t>H</m:t>
        </m:r>
        <m:r>
          <m:rPr>
            <m:sty m:val="p"/>
          </m:rPr>
          <m:t>I</m:t>
        </m:r>
        <m:r>
          <m:rPr>
            <m:sty m:val="p"/>
          </m:rPr>
          <m:t>/</m:t>
        </m:r>
        <m:d>
          <m:dPr>
            <m:begChr m:val="("/>
            <m:sepChr m:val=""/>
            <m:endChr m:val=")"/>
            <m:grow/>
          </m:dPr>
          <m:e>
            <m:r>
              <m:t>10.000</m:t>
            </m:r>
            <m:r>
              <m:t> </m:t>
            </m:r>
            <m:d>
              <m:dPr>
                <m:begChr m:val="|"/>
                <m:sepChr m:val=""/>
                <m:endChr m:val="|"/>
                <m:grow/>
              </m:dPr>
              <m:e>
                <m:sSub>
                  <m:e>
                    <m:r>
                      <m:t>ε</m:t>
                    </m:r>
                  </m:e>
                  <m:sub>
                    <m:r>
                      <m:t>q</m:t>
                    </m:r>
                    <m:r>
                      <m:rPr>
                        <m:sty m:val="p"/>
                      </m:rPr>
                      <m:t>,</m:t>
                    </m:r>
                    <m:r>
                      <m:t>p</m:t>
                    </m:r>
                  </m:sub>
                </m:sSub>
              </m:e>
            </m:d>
          </m:e>
        </m:d>
      </m:oMath>
      <w:r>
        <w:t xml:space="preserve"> </w:t>
      </w:r>
      <w:r>
        <w:t xml:space="preserve">(</w:t>
      </w:r>
      <w:hyperlink w:anchor="ref_CowlingWaterson1976Price">
        <w:r>
          <w:rPr>
            <w:rStyle w:val="Hyperlink"/>
            <w:smallCaps/>
          </w:rPr>
          <w:t xml:space="preserve">Cowling</w:t>
        </w:r>
        <w:r>
          <w:rPr>
            <w:rStyle w:val="Hyperlink"/>
          </w:rPr>
          <w:t xml:space="preserve"> </w:t>
        </w:r>
        <w:r>
          <w:rPr>
            <w:rStyle w:val="Hyperlink"/>
          </w:rPr>
          <w:t xml:space="preserve">y</w:t>
        </w:r>
        <w:r>
          <w:rPr>
            <w:rStyle w:val="Hyperlink"/>
          </w:rPr>
          <w:t xml:space="preserve"> </w:t>
        </w:r>
        <w:r>
          <w:rPr>
            <w:rStyle w:val="Hyperlink"/>
            <w:smallCaps/>
          </w:rPr>
          <w:t xml:space="preserve">Waterson</w:t>
        </w:r>
        <w:r>
          <w:rPr>
            <w:rStyle w:val="Hyperlink"/>
          </w:rPr>
          <w:t xml:space="preserve">, 1976</w:t>
        </w:r>
      </w:hyperlink>
      <w:r>
        <w:t xml:space="preserve">)</w:t>
      </w:r>
      <w:r>
        <w:t xml:space="preserve">. La concentración y el margen van juntos, pero porque las empresas más eficientes tienen más cuota, no necesariamente porque pacten: es la lectura de</w:t>
      </w:r>
      <w:r>
        <w:t xml:space="preserve"> </w:t>
      </w:r>
      <w:r>
        <w:rPr>
          <w:smallCaps/>
        </w:rPr>
        <w:t xml:space="preserve">Demsetz</w:t>
      </w:r>
      <w:r>
        <w:t xml:space="preserve"> </w:t>
      </w:r>
      <w:r>
        <w:t xml:space="preserve">(</w:t>
      </w:r>
      <w:hyperlink w:anchor="ref_Demsetz1973Industry">
        <w:r>
          <w:rPr>
            <w:rStyle w:val="Hyperlink"/>
          </w:rPr>
          <w:t xml:space="preserve">1973</w:t>
        </w:r>
      </w:hyperlink>
      <w:r>
        <w:t xml:space="preserve">)</w:t>
      </w:r>
      <w:r>
        <w:t xml:space="preserve">. ∎</w:t>
      </w:r>
    </w:p>
    <w:bookmarkEnd w:id="207"/>
    <w:bookmarkStart w:id="208" w:name="anexo_impugnable"/>
    <w:p>
      <w:pPr>
        <w:pStyle w:val="Heading2"/>
      </w:pPr>
      <w:r>
        <w:t xml:space="preserve">B.5. Propiedades del equilibrio impugnable</w:t>
      </w:r>
    </w:p>
    <w:p>
      <w:pPr>
        <w:numPr>
          <w:ilvl w:val="0"/>
          <w:numId w:val="1112"/>
        </w:numPr>
      </w:pPr>
      <w:r>
        <w:rPr>
          <w:i/>
          <w:iCs/>
        </w:rPr>
        <w:t xml:space="preserve">Beneficio nulo</w:t>
      </w:r>
      <w:r>
        <w:t xml:space="preserve">: si una empresa ganara</w:t>
      </w:r>
      <w:r>
        <w:t xml:space="preserve"> </w:t>
      </w:r>
      <m:oMath>
        <m:r>
          <m:t>p</m:t>
        </m:r>
        <m:r>
          <m:t>q</m:t>
        </m:r>
        <m:r>
          <m:rPr>
            <m:sty m:val="p"/>
          </m:rPr>
          <m:t>−</m:t>
        </m:r>
        <m:r>
          <m:t>C</m:t>
        </m:r>
        <m:d>
          <m:dPr>
            <m:begChr m:val="("/>
            <m:sepChr m:val=""/>
            <m:endChr m:val=")"/>
            <m:grow/>
          </m:dPr>
          <m:e>
            <m:r>
              <m:t>q</m:t>
            </m:r>
          </m:e>
        </m:d>
        <m:r>
          <m:rPr>
            <m:sty m:val="p"/>
          </m:rPr>
          <m:t>&gt;</m:t>
        </m:r>
        <m:r>
          <m:t>0</m:t>
        </m:r>
      </m:oMath>
      <w:r>
        <w:t xml:space="preserve">, un entrante podría producir</w:t>
      </w:r>
      <w:r>
        <w:t xml:space="preserve"> </w:t>
      </w:r>
      <m:oMath>
        <m:r>
          <m:t>q</m:t>
        </m:r>
      </m:oMath>
      <w:r>
        <w:t xml:space="preserve"> </w:t>
      </w:r>
      <w:r>
        <w:t xml:space="preserve">a un precio algo menor que</w:t>
      </w:r>
      <w:r>
        <w:t xml:space="preserve"> </w:t>
      </w:r>
      <m:oMath>
        <m:r>
          <m:t>p</m:t>
        </m:r>
      </m:oMath>
      <w:r>
        <w:t xml:space="preserve"> </w:t>
      </w:r>
      <w:r>
        <w:t xml:space="preserve">y ganar dinero, lo que contradice la sostenibilidad.</w:t>
      </w:r>
    </w:p>
    <w:p>
      <w:pPr>
        <w:numPr>
          <w:ilvl w:val="0"/>
          <w:numId w:val="1112"/>
        </w:numPr>
      </w:pPr>
      <m:oMath>
        <m:r>
          <m:t>p</m:t>
        </m:r>
        <m:r>
          <m:rPr>
            <m:sty m:val="p"/>
          </m:rPr>
          <m:t>≥</m:t>
        </m:r>
        <m:r>
          <m:rPr>
            <m:sty m:val="p"/>
          </m:rPr>
          <m:t>C</m:t>
        </m:r>
        <m:r>
          <m:rPr>
            <m:sty m:val="p"/>
          </m:rPr>
          <m:t>M</m:t>
        </m:r>
        <m:r>
          <m:rPr>
            <m:sty m:val="p"/>
          </m:rPr>
          <m:t>g</m:t>
        </m:r>
      </m:oMath>
      <w:r>
        <w:t xml:space="preserve">: si</w:t>
      </w:r>
      <w:r>
        <w:t xml:space="preserve"> </w:t>
      </w:r>
      <m:oMath>
        <m:r>
          <m:t>p</m:t>
        </m:r>
        <m:r>
          <m:rPr>
            <m:sty m:val="p"/>
          </m:rPr>
          <m:t>&lt;</m:t>
        </m:r>
        <m:r>
          <m:rPr>
            <m:sty m:val="p"/>
          </m:rPr>
          <m:t>C</m:t>
        </m:r>
        <m:r>
          <m:rPr>
            <m:sty m:val="p"/>
          </m:rPr>
          <m:t>M</m:t>
        </m:r>
        <m:r>
          <m:rPr>
            <m:sty m:val="p"/>
          </m:rPr>
          <m:t>g</m:t>
        </m:r>
        <m:d>
          <m:dPr>
            <m:begChr m:val="("/>
            <m:sepChr m:val=""/>
            <m:endChr m:val=")"/>
            <m:grow/>
          </m:dPr>
          <m:e>
            <m:sSub>
              <m:e>
                <m:r>
                  <m:t>q</m:t>
                </m:r>
              </m:e>
              <m:sub>
                <m:r>
                  <m:t>j</m:t>
                </m:r>
              </m:sub>
            </m:sSub>
          </m:e>
        </m:d>
      </m:oMath>
      <w:r>
        <w:t xml:space="preserve"> </w:t>
      </w:r>
      <w:r>
        <w:t xml:space="preserve">en la producción</w:t>
      </w:r>
      <w:r>
        <w:t xml:space="preserve"> </w:t>
      </w:r>
      <m:oMath>
        <m:sSub>
          <m:e>
            <m:r>
              <m:t>q</m:t>
            </m:r>
          </m:e>
          <m:sub>
            <m:r>
              <m:t>j</m:t>
            </m:r>
          </m:sub>
        </m:sSub>
      </m:oMath>
      <w:r>
        <w:t xml:space="preserve"> </w:t>
      </w:r>
      <w:r>
        <w:t xml:space="preserve">de una instalada, un entrante que produjera</w:t>
      </w:r>
      <w:r>
        <w:t xml:space="preserve"> </w:t>
      </w:r>
      <m:oMath>
        <m:sSub>
          <m:e>
            <m:r>
              <m:t>q</m:t>
            </m:r>
          </m:e>
          <m:sub>
            <m:r>
              <m:t>j</m:t>
            </m:r>
          </m:sub>
        </m:sSub>
        <m:r>
          <m:rPr>
            <m:sty m:val="p"/>
          </m:rPr>
          <m:t>−</m:t>
        </m:r>
        <m:r>
          <m:t>δ</m:t>
        </m:r>
      </m:oMath>
      <w:r>
        <w:t xml:space="preserve"> </w:t>
      </w:r>
      <w:r>
        <w:t xml:space="preserve">al precio</w:t>
      </w:r>
      <w:r>
        <w:t xml:space="preserve"> </w:t>
      </w:r>
      <m:oMath>
        <m:r>
          <m:t>p</m:t>
        </m:r>
      </m:oMath>
      <w:r>
        <w:t xml:space="preserve"> </w:t>
      </w:r>
      <w:r>
        <w:t xml:space="preserve">ahorraría unos</w:t>
      </w:r>
      <w:r>
        <w:t xml:space="preserve"> </w:t>
      </w:r>
      <m:oMath>
        <m:r>
          <m:rPr>
            <m:sty m:val="p"/>
          </m:rPr>
          <m:t>C</m:t>
        </m:r>
        <m:r>
          <m:rPr>
            <m:sty m:val="p"/>
          </m:rPr>
          <m:t>M</m:t>
        </m:r>
        <m:r>
          <m:rPr>
            <m:sty m:val="p"/>
          </m:rPr>
          <m:t>g</m:t>
        </m:r>
        <m:r>
          <m:rPr>
            <m:sty m:val="p"/>
          </m:rPr>
          <m:t>⋅</m:t>
        </m:r>
        <m:r>
          <m:t>δ</m:t>
        </m:r>
        <m:r>
          <m:rPr>
            <m:sty m:val="p"/>
          </m:rPr>
          <m:t>&gt;</m:t>
        </m:r>
        <m:r>
          <m:t>p</m:t>
        </m:r>
        <m:r>
          <m:t> </m:t>
        </m:r>
        <m:r>
          <m:t>δ</m:t>
        </m:r>
      </m:oMath>
      <w:r>
        <w:t xml:space="preserve"> </w:t>
      </w:r>
      <w:r>
        <w:t xml:space="preserve">e ingresaría</w:t>
      </w:r>
      <w:r>
        <w:t xml:space="preserve"> </w:t>
      </w:r>
      <m:oMath>
        <m:r>
          <m:t>p</m:t>
        </m:r>
        <m:r>
          <m:t> </m:t>
        </m:r>
        <m:d>
          <m:dPr>
            <m:begChr m:val="("/>
            <m:sepChr m:val=""/>
            <m:endChr m:val=")"/>
            <m:grow/>
          </m:dPr>
          <m:e>
            <m:sSub>
              <m:e>
                <m:r>
                  <m:t>q</m:t>
                </m:r>
              </m:e>
              <m:sub>
                <m:r>
                  <m:t>j</m:t>
                </m:r>
              </m:sub>
            </m:sSub>
            <m:r>
              <m:rPr>
                <m:sty m:val="p"/>
              </m:rPr>
              <m:t>−</m:t>
            </m:r>
            <m:r>
              <m:t>δ</m:t>
            </m:r>
          </m:e>
        </m:d>
      </m:oMath>
      <w:r>
        <w:t xml:space="preserve">: ganaría más que la instalada, que gana 0.</w:t>
      </w:r>
    </w:p>
    <w:p>
      <w:pPr>
        <w:numPr>
          <w:ilvl w:val="0"/>
          <w:numId w:val="1112"/>
        </w:numPr>
      </w:pPr>
      <m:oMath>
        <m:r>
          <m:t>p</m:t>
        </m:r>
        <m:r>
          <m:rPr>
            <m:sty m:val="p"/>
          </m:rPr>
          <m:t>≤</m:t>
        </m:r>
        <m:r>
          <m:rPr>
            <m:sty m:val="p"/>
          </m:rPr>
          <m:t>C</m:t>
        </m:r>
        <m:r>
          <m:rPr>
            <m:sty m:val="p"/>
          </m:rPr>
          <m:t>M</m:t>
        </m:r>
        <m:r>
          <m:rPr>
            <m:sty m:val="p"/>
          </m:rPr>
          <m:t>g</m:t>
        </m:r>
      </m:oMath>
      <w:r>
        <w:rPr>
          <w:i/>
          <w:iCs/>
        </w:rPr>
        <w:t xml:space="preserve"> </w:t>
      </w:r>
      <w:r>
        <w:rPr>
          <w:i/>
          <w:iCs/>
        </w:rPr>
        <w:t xml:space="preserve">con 2 o más empresas</w:t>
      </w:r>
      <w:r>
        <w:t xml:space="preserve">: si</w:t>
      </w:r>
      <w:r>
        <w:t xml:space="preserve"> </w:t>
      </w:r>
      <m:oMath>
        <m:r>
          <m:t>p</m:t>
        </m:r>
        <m:r>
          <m:rPr>
            <m:sty m:val="p"/>
          </m:rPr>
          <m:t>&gt;</m:t>
        </m:r>
        <m:r>
          <m:rPr>
            <m:sty m:val="p"/>
          </m:rPr>
          <m:t>C</m:t>
        </m:r>
        <m:r>
          <m:rPr>
            <m:sty m:val="p"/>
          </m:rPr>
          <m:t>M</m:t>
        </m:r>
        <m:r>
          <m:rPr>
            <m:sty m:val="p"/>
          </m:rPr>
          <m:t>g</m:t>
        </m:r>
        <m:d>
          <m:dPr>
            <m:begChr m:val="("/>
            <m:sepChr m:val=""/>
            <m:endChr m:val=")"/>
            <m:grow/>
          </m:dPr>
          <m:e>
            <m:sSub>
              <m:e>
                <m:r>
                  <m:t>q</m:t>
                </m:r>
              </m:e>
              <m:sub>
                <m:r>
                  <m:t>j</m:t>
                </m:r>
              </m:sub>
            </m:sSub>
          </m:e>
        </m:d>
      </m:oMath>
      <w:r>
        <w:t xml:space="preserve">, un entrante podría vender</w:t>
      </w:r>
      <w:r>
        <w:t xml:space="preserve"> </w:t>
      </w:r>
      <m:oMath>
        <m:sSub>
          <m:e>
            <m:r>
              <m:t>q</m:t>
            </m:r>
          </m:e>
          <m:sub>
            <m:r>
              <m:t>j</m:t>
            </m:r>
          </m:sub>
        </m:sSub>
        <m:r>
          <m:rPr>
            <m:sty m:val="p"/>
          </m:rPr>
          <m:t>+</m:t>
        </m:r>
        <m:r>
          <m:t>δ</m:t>
        </m:r>
      </m:oMath>
      <w:r>
        <w:t xml:space="preserve"> </w:t>
      </w:r>
      <w:r>
        <w:t xml:space="preserve">a un precio un poco menor que</w:t>
      </w:r>
      <w:r>
        <w:t xml:space="preserve"> </w:t>
      </w:r>
      <m:oMath>
        <m:r>
          <m:t>p</m:t>
        </m:r>
      </m:oMath>
      <w:r>
        <w:t xml:space="preserve">, porque con otras empresas en el mercado hay demanda que quitarles, y ganaría unos</w:t>
      </w:r>
      <w:r>
        <w:t xml:space="preserve"> </w:t>
      </w:r>
      <m:oMath>
        <m:d>
          <m:dPr>
            <m:begChr m:val="("/>
            <m:sepChr m:val=""/>
            <m:endChr m:val=")"/>
            <m:grow/>
          </m:dPr>
          <m:e>
            <m:r>
              <m:t>p</m:t>
            </m:r>
            <m:r>
              <m:rPr>
                <m:sty m:val="p"/>
              </m:rPr>
              <m:t>−</m:t>
            </m:r>
            <m:r>
              <m:rPr>
                <m:sty m:val="p"/>
              </m:rPr>
              <m:t>C</m:t>
            </m:r>
            <m:r>
              <m:rPr>
                <m:sty m:val="p"/>
              </m:rPr>
              <m:t>M</m:t>
            </m:r>
            <m:r>
              <m:rPr>
                <m:sty m:val="p"/>
              </m:rPr>
              <m:t>g</m:t>
            </m:r>
          </m:e>
        </m:d>
        <m:r>
          <m:t> </m:t>
        </m:r>
        <m:r>
          <m:t>δ</m:t>
        </m:r>
        <m:r>
          <m:rPr>
            <m:sty m:val="p"/>
          </m:rPr>
          <m:t>&gt;</m:t>
        </m:r>
        <m:r>
          <m:t>0</m:t>
        </m:r>
      </m:oMath>
      <w:r>
        <w:t xml:space="preserve"> </w:t>
      </w:r>
      <w:r>
        <w:t xml:space="preserve">sobre el beneficio nulo de</w:t>
      </w:r>
      <w:r>
        <w:t xml:space="preserve"> </w:t>
      </w:r>
      <m:oMath>
        <m:sSub>
          <m:e>
            <m:r>
              <m:t>q</m:t>
            </m:r>
          </m:e>
          <m:sub>
            <m:r>
              <m:t>j</m:t>
            </m:r>
          </m:sub>
        </m:sSub>
      </m:oMath>
      <w:r>
        <w:t xml:space="preserve">. Por tanto,</w:t>
      </w:r>
      <w:r>
        <w:t xml:space="preserve"> </w:t>
      </w:r>
      <m:oMath>
        <m:r>
          <m:t>p</m:t>
        </m:r>
        <m:r>
          <m:rPr>
            <m:sty m:val="p"/>
          </m:rPr>
          <m:t>=</m:t>
        </m:r>
        <m:r>
          <m:rPr>
            <m:sty m:val="p"/>
          </m:rPr>
          <m:t>C</m:t>
        </m:r>
        <m:r>
          <m:rPr>
            <m:sty m:val="p"/>
          </m:rPr>
          <m:t>M</m:t>
        </m:r>
        <m:r>
          <m:rPr>
            <m:sty m:val="p"/>
          </m:rPr>
          <m:t>g</m:t>
        </m:r>
      </m:oMath>
      <w:r>
        <w:t xml:space="preserve"> </w:t>
      </w:r>
      <w:r>
        <w:t xml:space="preserve">y, con beneficio nulo,</w:t>
      </w:r>
      <w:r>
        <w:t xml:space="preserve"> </w:t>
      </w:r>
      <m:oMath>
        <m:r>
          <m:t>p</m:t>
        </m:r>
        <m:r>
          <m:rPr>
            <m:sty m:val="p"/>
          </m:rPr>
          <m:t>=</m:t>
        </m:r>
        <m:r>
          <m:rPr>
            <m:sty m:val="p"/>
          </m:rPr>
          <m:t>C</m:t>
        </m:r>
        <m:r>
          <m:rPr>
            <m:sty m:val="p"/>
          </m:rPr>
          <m:t>M</m:t>
        </m:r>
        <m:r>
          <m:rPr>
            <m:sty m:val="p"/>
          </m:rPr>
          <m:t>g</m:t>
        </m:r>
        <m:r>
          <m:rPr>
            <m:sty m:val="p"/>
          </m:rPr>
          <m:t>=</m:t>
        </m:r>
        <m:r>
          <m:rPr>
            <m:sty m:val="p"/>
          </m:rPr>
          <m:t>C</m:t>
        </m:r>
        <m:r>
          <m:rPr>
            <m:sty m:val="p"/>
          </m:rPr>
          <m:t>M</m:t>
        </m:r>
        <m:r>
          <m:rPr>
            <m:sty m:val="p"/>
          </m:rPr>
          <m:t>e</m:t>
        </m:r>
      </m:oMath>
      <w:r>
        <w:t xml:space="preserve"> </w:t>
      </w:r>
      <w:r>
        <w:t xml:space="preserve">(</w:t>
      </w:r>
      <w:hyperlink w:anchor="ref_BaumolPanzarWillig1982Contestable">
        <w:r>
          <w:rPr>
            <w:rStyle w:val="Hyperlink"/>
            <w:smallCaps/>
          </w:rPr>
          <w:t xml:space="preserve">Baumol</w:t>
        </w:r>
        <w:r>
          <w:rPr>
            <w:rStyle w:val="Hyperlink"/>
          </w:rPr>
          <w:t xml:space="preserve">,</w:t>
        </w:r>
        <w:r>
          <w:rPr>
            <w:rStyle w:val="Hyperlink"/>
          </w:rPr>
          <w:t xml:space="preserve"> </w:t>
        </w:r>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1982, cap. 2</w:t>
        </w:r>
      </w:hyperlink>
      <w:r>
        <w:t xml:space="preserve">)</w:t>
      </w:r>
      <w:r>
        <w:t xml:space="preserve">. ∎</w:t>
      </w:r>
    </w:p>
    <w:bookmarkEnd w:id="208"/>
    <w:bookmarkEnd w:id="209"/>
    <w:bookmarkStart w:id="211" w:name="anexo_taxonomia"/>
    <w:p>
      <w:pPr>
        <w:pStyle w:val="Heading1"/>
      </w:pPr>
      <w:r>
        <w:t xml:space="preserve">C. Anexo: inversión estratégica, la taxonomía de</w:t>
      </w:r>
      <w:r>
        <w:t xml:space="preserve"> </w:t>
      </w:r>
      <w:r>
        <w:rPr>
          <w:smallCaps/>
        </w:rPr>
        <w:t xml:space="preserve">Fudenberg</w:t>
      </w:r>
      <w:r>
        <w:t xml:space="preserve"> </w:t>
      </w:r>
      <w:r>
        <w:t xml:space="preserve">y</w:t>
      </w:r>
      <w:r>
        <w:t xml:space="preserve"> </w:t>
      </w:r>
      <w:r>
        <w:rPr>
          <w:smallCaps/>
        </w:rPr>
        <w:t xml:space="preserve">Tirole</w:t>
      </w:r>
    </w:p>
    <w:p>
      <w:pPr>
        <w:numPr>
          <w:ilvl w:val="0"/>
          <w:numId w:val="1113"/>
        </w:numPr>
      </w:pPr>
      <w:r>
        <w:t xml:space="preserve">Una inversión hecha antes de competir puede hacer a la empresa</w:t>
      </w:r>
      <w:r>
        <w:t xml:space="preserve"> </w:t>
      </w:r>
      <w:r>
        <w:rPr>
          <w:i/>
          <w:iCs/>
        </w:rPr>
        <w:t xml:space="preserve">dura</w:t>
      </w:r>
      <w:r>
        <w:t xml:space="preserve"> </w:t>
      </w:r>
      <w:r>
        <w:t xml:space="preserve">(más agresiva después: más capacidad, menor coste marginal) o</w:t>
      </w:r>
      <w:r>
        <w:t xml:space="preserve"> </w:t>
      </w:r>
      <w:r>
        <w:rPr>
          <w:i/>
          <w:iCs/>
        </w:rPr>
        <w:t xml:space="preserve">blanda</w:t>
      </w:r>
      <w:r>
        <w:t xml:space="preserve"> </w:t>
      </w:r>
      <w:r>
        <w:t xml:space="preserve">(menos agresiva: una base de clientes cautivos le hace preferir precios altos). Lo que conviene depende del objetivo (disuadir o acomodar) y de si las variables de la competencia son</w:t>
      </w:r>
      <w:r>
        <w:t xml:space="preserve"> </w:t>
      </w:r>
      <w:r>
        <w:rPr>
          <w:i/>
          <w:iCs/>
        </w:rPr>
        <w:t xml:space="preserve">sustitutivos estratégicos</w:t>
      </w:r>
      <w:r>
        <w:t xml:space="preserve"> </w:t>
      </w:r>
      <w:r>
        <w:t xml:space="preserve">(cantidades: funciones de reacción decrecientes) o</w:t>
      </w:r>
      <w:r>
        <w:t xml:space="preserve"> </w:t>
      </w:r>
      <w:r>
        <w:rPr>
          <w:i/>
          <w:iCs/>
        </w:rPr>
        <w:t xml:space="preserve">complementos estratégicos</w:t>
      </w:r>
      <w:r>
        <w:t xml:space="preserve"> </w:t>
      </w:r>
      <w:r>
        <w:t xml:space="preserve">(precios: funciones de reacción crecientes)</w:t>
      </w:r>
      <w:r>
        <w:t xml:space="preserve"> </w:t>
      </w:r>
      <w:r>
        <w:t xml:space="preserve">(</w:t>
      </w:r>
      <w:hyperlink w:anchor="ref_FudenbergTirole1984Fat">
        <w:r>
          <w:rPr>
            <w:rStyle w:val="Hyperlink"/>
            <w:smallCaps/>
          </w:rPr>
          <w:t xml:space="preserve">Fudenberg</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1984</w:t>
        </w:r>
      </w:hyperlink>
      <w:r>
        <w:t xml:space="preserve">)</w:t>
      </w:r>
      <w:r>
        <w:t xml:space="preserve">. Para disuadir hay que ser duro; para acomodar con sustitutivos estratégicos también, porque el rival responde produciendo menos; con complementos estratégicos conviene ser blando, porque el rival responde subiendo su precio (tabla </w:t>
      </w:r>
      <w:hyperlink w:anchor="tab_taxonomia">
        <w:r>
          <w:rPr>
            <w:rStyle w:val="Hyperlink"/>
          </w:rPr>
          <w:t xml:space="preserve">2</w:t>
        </w:r>
      </w:hyperlink>
      <w:r>
        <w:t xml:space="preserve">).</w:t>
      </w:r>
    </w:p>
    <w:bookmarkStart w:id="210" w:name="tab_taxonomia"/>
    <w:p>
      <w:pPr>
        <w:pStyle w:val="TableCaption"/>
      </w:pPr>
      <w:r>
        <w:t xml:space="preserve">Tabla 2.–</w:t>
      </w:r>
      <w:r>
        <w:t xml:space="preserve"> </w:t>
      </w:r>
      <w:r>
        <w:t xml:space="preserve">Inversión estratégica: cuándo invertir de más o de menos</w:t>
      </w:r>
    </w:p>
    <w:tbl>
      <w:tblPr>
        <w:tblStyle w:val="Table"/>
        <w:tblW w:type="auto" w:w="0"/>
        <w:tblLook w:firstRow="1" w:lastRow="0" w:firstColumn="0" w:lastColumn="0" w:noHBand="0" w:noVBand="0" w:val="0020"/>
        <w:tblCaption w:val="Tabla 2.– Inversión estratégica: cuándo invertir de más o de menos"/>
      </w:tblPr>
      <w:tblGrid>
        <w:gridCol w:w="2640"/>
        <w:gridCol w:w="2640"/>
        <w:gridCol w:w="2640"/>
      </w:tblGrid>
      <w:tr>
        <w:trPr>
          <w:tblHeader w:val="on"/>
        </w:trPr>
        <w:tc>
          <w:tcPr>
            <w:vAlign w:val="center"/>
          </w:tcPr>
          <w:p/>
        </w:tc>
        <w:tc>
          <w:tcPr>
            <w:vAlign w:val="center"/>
          </w:tcPr>
          <w:p>
            <w:pPr>
              <w:pStyle w:val="Celdatceeazulpalido"/>
              <w:jc w:val="center"/>
            </w:pPr>
            <w:r>
              <w:rPr>
                <w:b/>
                <w:bCs/>
              </w:rPr>
              <w:t xml:space="preserve">La inversión hace dura a la empresa</w:t>
            </w:r>
          </w:p>
        </w:tc>
        <w:tc>
          <w:tcPr>
            <w:vAlign w:val="center"/>
          </w:tcPr>
          <w:p>
            <w:pPr>
              <w:pStyle w:val="Celdatceeazulpalido"/>
              <w:jc w:val="center"/>
            </w:pPr>
            <w:r>
              <w:rPr>
                <w:b/>
                <w:bCs/>
              </w:rPr>
              <w:t xml:space="preserve">La inversión hace blanda a la empresa</w:t>
            </w:r>
          </w:p>
        </w:tc>
      </w:tr>
      <w:tr>
        <w:tc>
          <w:tcPr>
            <w:vAlign w:val="center"/>
          </w:tcPr>
          <w:p>
            <w:pPr>
              <w:pStyle w:val="Compact"/>
              <w:jc w:val="left"/>
            </w:pPr>
            <w:r>
              <w:rPr>
                <w:b/>
                <w:bCs/>
              </w:rPr>
              <w:t xml:space="preserve">Disuadir la entrada</w:t>
            </w:r>
          </w:p>
        </w:tc>
        <w:tc>
          <w:tcPr>
            <w:vAlign w:val="center"/>
          </w:tcPr>
          <w:p>
            <w:pPr>
              <w:pStyle w:val="Compact"/>
              <w:jc w:val="center"/>
            </w:pPr>
            <w:r>
              <w:t xml:space="preserve">invertir de más:</w:t>
            </w:r>
            <w:r>
              <w:t xml:space="preserve"> </w:t>
            </w:r>
            <w:r>
              <w:rPr>
                <w:i/>
                <w:iCs/>
              </w:rPr>
              <w:t xml:space="preserve">perro grande</w:t>
            </w:r>
            <w:r>
              <w:t xml:space="preserve"> </w:t>
            </w:r>
            <w:r>
              <w:t xml:space="preserve">(</w:t>
            </w:r>
            <w:r>
              <w:rPr>
                <w:i/>
                <w:iCs/>
              </w:rPr>
              <w:t xml:space="preserve">top dog</w:t>
            </w:r>
            <w:r>
              <w:t xml:space="preserve">)</w:t>
            </w:r>
          </w:p>
        </w:tc>
        <w:tc>
          <w:tcPr>
            <w:vAlign w:val="center"/>
          </w:tcPr>
          <w:p>
            <w:pPr>
              <w:pStyle w:val="Compact"/>
              <w:jc w:val="center"/>
            </w:pPr>
            <w:r>
              <w:t xml:space="preserve">invertir de menos:</w:t>
            </w:r>
            <w:r>
              <w:t xml:space="preserve"> </w:t>
            </w:r>
            <w:r>
              <w:rPr>
                <w:i/>
                <w:iCs/>
              </w:rPr>
              <w:t xml:space="preserve">flaco y hambriento</w:t>
            </w:r>
            <w:r>
              <w:t xml:space="preserve"> </w:t>
            </w:r>
            <w:r>
              <w:t xml:space="preserve">(</w:t>
            </w:r>
            <w:r>
              <w:rPr>
                <w:i/>
                <w:iCs/>
              </w:rPr>
              <w:t xml:space="preserve">lean and hungry</w:t>
            </w:r>
            <w:r>
              <w:t xml:space="preserve">)</w:t>
            </w:r>
          </w:p>
        </w:tc>
      </w:tr>
      <w:tr>
        <w:tc>
          <w:tcPr>
            <w:vAlign w:val="center"/>
          </w:tcPr>
          <w:p>
            <w:pPr>
              <w:pStyle w:val="Compact"/>
              <w:jc w:val="left"/>
            </w:pPr>
            <w:r>
              <w:rPr>
                <w:b/>
                <w:bCs/>
              </w:rPr>
              <w:t xml:space="preserve">Acomodar, sustitutivos estratégicos</w:t>
            </w:r>
          </w:p>
        </w:tc>
        <w:tc>
          <w:tcPr>
            <w:vAlign w:val="center"/>
          </w:tcPr>
          <w:p>
            <w:pPr>
              <w:pStyle w:val="Compact"/>
              <w:jc w:val="center"/>
            </w:pPr>
            <w:r>
              <w:t xml:space="preserve">invertir de más:</w:t>
            </w:r>
            <w:r>
              <w:t xml:space="preserve"> </w:t>
            </w:r>
            <w:r>
              <w:rPr>
                <w:i/>
                <w:iCs/>
              </w:rPr>
              <w:t xml:space="preserve">perro grande</w:t>
            </w:r>
          </w:p>
        </w:tc>
        <w:tc>
          <w:tcPr>
            <w:vAlign w:val="center"/>
          </w:tcPr>
          <w:p>
            <w:pPr>
              <w:pStyle w:val="Compact"/>
              <w:jc w:val="center"/>
            </w:pPr>
            <w:r>
              <w:t xml:space="preserve">invertir de menos:</w:t>
            </w:r>
            <w:r>
              <w:t xml:space="preserve"> </w:t>
            </w:r>
            <w:r>
              <w:rPr>
                <w:i/>
                <w:iCs/>
              </w:rPr>
              <w:t xml:space="preserve">flaco y hambriento</w:t>
            </w:r>
          </w:p>
        </w:tc>
      </w:tr>
      <w:tr>
        <w:tc>
          <w:tcPr>
            <w:vAlign w:val="center"/>
          </w:tcPr>
          <w:p>
            <w:pPr>
              <w:pStyle w:val="Compact"/>
              <w:jc w:val="left"/>
            </w:pPr>
            <w:r>
              <w:rPr>
                <w:b/>
                <w:bCs/>
              </w:rPr>
              <w:t xml:space="preserve">Acomodar, complementos estratégicos</w:t>
            </w:r>
          </w:p>
        </w:tc>
        <w:tc>
          <w:tcPr>
            <w:vAlign w:val="center"/>
          </w:tcPr>
          <w:p>
            <w:pPr>
              <w:pStyle w:val="Compact"/>
              <w:jc w:val="center"/>
            </w:pPr>
            <w:r>
              <w:t xml:space="preserve">invertir de menos:</w:t>
            </w:r>
            <w:r>
              <w:t xml:space="preserve"> </w:t>
            </w:r>
            <w:r>
              <w:rPr>
                <w:i/>
                <w:iCs/>
              </w:rPr>
              <w:t xml:space="preserve">cachorro</w:t>
            </w:r>
            <w:r>
              <w:t xml:space="preserve"> </w:t>
            </w:r>
            <w:r>
              <w:t xml:space="preserve">(</w:t>
            </w:r>
            <w:r>
              <w:rPr>
                <w:i/>
                <w:iCs/>
              </w:rPr>
              <w:t xml:space="preserve">puppy dog</w:t>
            </w:r>
            <w:r>
              <w:t xml:space="preserve">)</w:t>
            </w:r>
          </w:p>
        </w:tc>
        <w:tc>
          <w:tcPr>
            <w:vAlign w:val="center"/>
          </w:tcPr>
          <w:p>
            <w:pPr>
              <w:pStyle w:val="Compact"/>
              <w:jc w:val="center"/>
            </w:pPr>
            <w:r>
              <w:t xml:space="preserve">invertir de más:</w:t>
            </w:r>
            <w:r>
              <w:t xml:space="preserve"> </w:t>
            </w:r>
            <w:r>
              <w:rPr>
                <w:i/>
                <w:iCs/>
              </w:rPr>
              <w:t xml:space="preserve">gato gordo</w:t>
            </w:r>
            <w:r>
              <w:t xml:space="preserve"> </w:t>
            </w:r>
            <w:r>
              <w:t xml:space="preserve">(</w:t>
            </w:r>
            <w:r>
              <w:rPr>
                <w:i/>
                <w:iCs/>
              </w:rPr>
              <w:t xml:space="preserve">fat cat</w:t>
            </w:r>
            <w:r>
              <w:t xml:space="preserve">)</w:t>
            </w:r>
          </w:p>
        </w:tc>
      </w:tr>
    </w:tbl>
    <w:bookmarkEnd w:id="210"/>
    <w:p>
      <w:pPr>
        <w:pStyle w:val="BodyText"/>
      </w:pPr>
      <w:r>
        <w:rPr>
          <w:i/>
          <w:iCs/>
        </w:rPr>
        <w:t xml:space="preserve">Fuente: elaboración propia a partir de</w:t>
      </w:r>
      <w:r>
        <w:rPr>
          <w:i/>
          <w:iCs/>
        </w:rPr>
        <w:t xml:space="preserve"> </w:t>
      </w:r>
      <w:r>
        <w:rPr>
          <w:i/>
          <w:iCs/>
          <w:smallCaps/>
        </w:rPr>
        <w:t xml:space="preserve">Fudenberg</w:t>
      </w:r>
      <w:r>
        <w:rPr>
          <w:i/>
          <w:iCs/>
        </w:rPr>
        <w:t xml:space="preserve"> </w:t>
      </w:r>
      <w:r>
        <w:rPr>
          <w:i/>
          <w:iCs/>
        </w:rPr>
        <w:t xml:space="preserve">y</w:t>
      </w:r>
      <w:r>
        <w:rPr>
          <w:i/>
          <w:iCs/>
        </w:rPr>
        <w:t xml:space="preserve"> </w:t>
      </w:r>
      <w:r>
        <w:rPr>
          <w:i/>
          <w:iCs/>
          <w:smallCaps/>
        </w:rPr>
        <w:t xml:space="preserve">Tirole</w:t>
      </w:r>
      <w:r>
        <w:rPr>
          <w:i/>
          <w:iCs/>
        </w:rPr>
        <w:t xml:space="preserve"> </w:t>
      </w:r>
      <w:r>
        <w:rPr>
          <w:i/>
          <w:iCs/>
        </w:rPr>
        <w:t xml:space="preserve">(</w:t>
      </w:r>
      <w:hyperlink w:anchor="ref_FudenbergTirole1984Fat">
        <w:r>
          <w:rPr>
            <w:rStyle w:val="Hyperlink"/>
            <w:i/>
            <w:iCs/>
          </w:rPr>
          <w:t xml:space="preserve">1984</w:t>
        </w:r>
      </w:hyperlink>
      <w:r>
        <w:rPr>
          <w:i/>
          <w:iCs/>
        </w:rPr>
        <w:t xml:space="preserve">)</w:t>
      </w:r>
      <w:r>
        <w:rPr>
          <w:i/>
          <w:iCs/>
        </w:rPr>
        <w:t xml:space="preserve"> </w:t>
      </w:r>
      <w:r>
        <w:rPr>
          <w:i/>
          <w:iCs/>
        </w:rPr>
        <w:t xml:space="preserve">y</w:t>
      </w:r>
      <w:r>
        <w:rPr>
          <w:i/>
          <w:iCs/>
        </w:rPr>
        <w:t xml:space="preserve"> </w:t>
      </w:r>
      <w:r>
        <w:rPr>
          <w:i/>
          <w:iCs/>
          <w:smallCaps/>
        </w:rPr>
        <w:t xml:space="preserve">Tirole</w:t>
      </w:r>
      <w:r>
        <w:rPr>
          <w:i/>
          <w:iCs/>
        </w:rPr>
        <w:t xml:space="preserve"> </w:t>
      </w:r>
      <w:r>
        <w:rPr>
          <w:i/>
          <w:iCs/>
        </w:rPr>
        <w:t xml:space="preserve">(</w:t>
      </w:r>
      <w:hyperlink w:anchor="ref_Tirole1988Theory">
        <w:r>
          <w:rPr>
            <w:rStyle w:val="Hyperlink"/>
            <w:i/>
            <w:iCs/>
          </w:rPr>
          <w:t xml:space="preserve">1988, cap. 8</w:t>
        </w:r>
      </w:hyperlink>
      <w:r>
        <w:rPr>
          <w:i/>
          <w:iCs/>
        </w:rPr>
        <w:t xml:space="preserve">)</w:t>
      </w:r>
      <w:r>
        <w:rPr>
          <w:i/>
          <w:iCs/>
        </w:rPr>
        <w:t xml:space="preserve">.</w:t>
      </w:r>
    </w:p>
    <w:bookmarkEnd w:id="211"/>
    <w:bookmarkStart w:id="212" w:name="anexo_gobierno_corporativo"/>
    <w:p>
      <w:pPr>
        <w:pStyle w:val="Heading1"/>
      </w:pPr>
      <w:r>
        <w:t xml:space="preserve">D. Anexo: gobierno corporativo en España</w:t>
      </w:r>
    </w:p>
    <w:p>
      <w:pPr>
        <w:numPr>
          <w:ilvl w:val="0"/>
          <w:numId w:val="1114"/>
        </w:numPr>
      </w:pPr>
      <w:r>
        <w:t xml:space="preserve">El</w:t>
      </w:r>
      <w:r>
        <w:t xml:space="preserve"> </w:t>
      </w:r>
      <w:r>
        <w:rPr>
          <w:b/>
          <w:bCs/>
        </w:rPr>
        <w:t xml:space="preserve">gobierno corporativo</w:t>
      </w:r>
      <w:r>
        <w:t xml:space="preserve"> </w:t>
      </w:r>
      <w:r>
        <w:t xml:space="preserve">es el conjunto de reglas con las que los accionistas y otros interesados controlan a quienes dirigen la empresa: es la respuesta práctica al problema de agencia (</w:t>
      </w:r>
      <w:hyperlink w:anchor="sec_agencia">
        <w:r>
          <w:rPr>
            <w:rStyle w:val="Hyperlink"/>
          </w:rPr>
          <w:t xml:space="preserve">I.2.3</w:t>
        </w:r>
      </w:hyperlink>
      <w:r>
        <w:t xml:space="preserve">). Los poderes públicos no han podido resolver por ley (</w:t>
      </w:r>
      <w:r>
        <w:rPr>
          <w:i/>
          <w:iCs/>
        </w:rPr>
        <w:t xml:space="preserve">hard law</w:t>
      </w:r>
      <w:r>
        <w:t xml:space="preserve">) la desalineación de objetivos dentro de la empresa, y han recurrido a códigos de buenas prácticas (</w:t>
      </w:r>
      <w:r>
        <w:rPr>
          <w:i/>
          <w:iCs/>
        </w:rPr>
        <w:t xml:space="preserve">soft law</w:t>
      </w:r>
      <w:r>
        <w:t xml:space="preserve">).</w:t>
      </w:r>
    </w:p>
    <w:p>
      <w:pPr>
        <w:keepNext/>
        <w:numPr>
          <w:ilvl w:val="0"/>
          <w:numId w:val="1114"/>
        </w:numPr>
      </w:pPr>
      <w:r>
        <w:t xml:space="preserve">En España, los códigos de buen gobierno son de asunción voluntaria, con el principio de</w:t>
      </w:r>
      <w:r>
        <w:t xml:space="preserve"> </w:t>
      </w:r>
      <w:r>
        <w:rPr>
          <w:i/>
          <w:iCs/>
        </w:rPr>
        <w:t xml:space="preserve">cumplir o explicar</w:t>
      </w:r>
      <w:r>
        <w:t xml:space="preserve">: las sociedades cotizadas informan cada año de qué recomendaciones siguen y explican por qué no siguen las demás.</w:t>
      </w:r>
    </w:p>
    <w:p>
      <w:pPr>
        <w:numPr>
          <w:ilvl w:val="1"/>
          <w:numId w:val="1115"/>
        </w:numPr>
      </w:pPr>
      <w:r>
        <w:t xml:space="preserve">El</w:t>
      </w:r>
      <w:r>
        <w:t xml:space="preserve"> </w:t>
      </w:r>
      <w:r>
        <w:rPr>
          <w:i/>
          <w:iCs/>
        </w:rPr>
        <w:t xml:space="preserve">Informe Olivencia</w:t>
      </w:r>
      <w:r>
        <w:t xml:space="preserve"> </w:t>
      </w:r>
      <w:r>
        <w:t xml:space="preserve">(1998) y el</w:t>
      </w:r>
      <w:r>
        <w:t xml:space="preserve"> </w:t>
      </w:r>
      <w:r>
        <w:rPr>
          <w:i/>
          <w:iCs/>
        </w:rPr>
        <w:t xml:space="preserve">Informe Aldama</w:t>
      </w:r>
      <w:r>
        <w:t xml:space="preserve"> </w:t>
      </w:r>
      <w:r>
        <w:t xml:space="preserve">(2003) recomiendan reforzar el peso de los consejeros independientes, los que no forman parte del equipo directivo, y la información a los inversores</w:t>
      </w:r>
      <w:r>
        <w:t xml:space="preserve"> </w:t>
      </w:r>
      <w:r>
        <w:t xml:space="preserve">(</w:t>
      </w:r>
      <w:hyperlink w:anchor="ref_CNMV1998Olivencia">
        <w:r>
          <w:rPr>
            <w:rStyle w:val="Hyperlink"/>
            <w:smallCaps/>
          </w:rPr>
          <w:t xml:space="preserve">Comisión Especial para el estudio de un Código Ético de los Consejos de Administración de las Sociedades</w:t>
        </w:r>
        <w:r>
          <w:rPr>
            <w:rStyle w:val="Hyperlink"/>
          </w:rPr>
          <w:t xml:space="preserve">, 1998</w:t>
        </w:r>
      </w:hyperlink>
      <w:r>
        <w:t xml:space="preserve">;</w:t>
      </w:r>
      <w:r>
        <w:t xml:space="preserve"> </w:t>
      </w:r>
      <w:hyperlink w:anchor="ref_CNMV2003Aldama">
        <w:r>
          <w:rPr>
            <w:rStyle w:val="Hyperlink"/>
            <w:smallCaps/>
          </w:rPr>
          <w:t xml:space="preserve">Comisión Especial para el Fomento de la Transparencia y Seguridad en los Mercados y Sociedades Cotizadas</w:t>
        </w:r>
        <w:r>
          <w:rPr>
            <w:rStyle w:val="Hyperlink"/>
          </w:rPr>
          <w:t xml:space="preserve">, 2003</w:t>
        </w:r>
      </w:hyperlink>
      <w:r>
        <w:t xml:space="preserve">)</w:t>
      </w:r>
      <w:r>
        <w:t xml:space="preserve">.</w:t>
      </w:r>
    </w:p>
    <w:p>
      <w:pPr>
        <w:numPr>
          <w:ilvl w:val="1"/>
          <w:numId w:val="1115"/>
        </w:numPr>
      </w:pPr>
      <w:r>
        <w:t xml:space="preserve">El</w:t>
      </w:r>
      <w:r>
        <w:t xml:space="preserve"> </w:t>
      </w:r>
      <w:r>
        <w:rPr>
          <w:i/>
          <w:iCs/>
        </w:rPr>
        <w:t xml:space="preserve">Código unificado de buen gobierno</w:t>
      </w:r>
      <w:r>
        <w:t xml:space="preserve"> </w:t>
      </w:r>
      <w:r>
        <w:t xml:space="preserve">o</w:t>
      </w:r>
      <w:r>
        <w:t xml:space="preserve"> </w:t>
      </w:r>
      <w:r>
        <w:rPr>
          <w:i/>
          <w:iCs/>
        </w:rPr>
        <w:t xml:space="preserve">Código Conthe</w:t>
      </w:r>
      <w:r>
        <w:t xml:space="preserve"> </w:t>
      </w:r>
      <w:r>
        <w:t xml:space="preserve">(CNMV, 2006) los refunde</w:t>
      </w:r>
      <w:r>
        <w:t xml:space="preserve"> </w:t>
      </w:r>
      <w:r>
        <w:t xml:space="preserve">(</w:t>
      </w:r>
      <w:hyperlink w:anchor="ref_CNMV2006Unificado">
        <w:r>
          <w:rPr>
            <w:rStyle w:val="Hyperlink"/>
            <w:smallCaps/>
          </w:rPr>
          <w:t xml:space="preserve">Comisión Nacional del Mercado de Valores</w:t>
        </w:r>
        <w:r>
          <w:rPr>
            <w:rStyle w:val="Hyperlink"/>
          </w:rPr>
          <w:t xml:space="preserve">, 2006</w:t>
        </w:r>
      </w:hyperlink>
      <w:r>
        <w:t xml:space="preserve">)</w:t>
      </w:r>
      <w:r>
        <w:t xml:space="preserve">.</w:t>
      </w:r>
    </w:p>
    <w:p>
      <w:pPr>
        <w:numPr>
          <w:ilvl w:val="1"/>
          <w:numId w:val="1115"/>
        </w:numPr>
      </w:pPr>
      <w:r>
        <w:t xml:space="preserve">El</w:t>
      </w:r>
      <w:r>
        <w:t xml:space="preserve"> </w:t>
      </w:r>
      <w:r>
        <w:rPr>
          <w:i/>
          <w:iCs/>
        </w:rPr>
        <w:t xml:space="preserve">Código de buen gobierno de las sociedades cotizadas</w:t>
      </w:r>
      <w:r>
        <w:t xml:space="preserve"> </w:t>
      </w:r>
      <w:r>
        <w:t xml:space="preserve">de la CNMV (2015, revisado en 2020) lo sustituye</w:t>
      </w:r>
      <w:r>
        <w:t xml:space="preserve"> </w:t>
      </w:r>
      <w:r>
        <w:t xml:space="preserve">(</w:t>
      </w:r>
      <w:hyperlink w:anchor="ref_CNMV2015CBG">
        <w:r>
          <w:rPr>
            <w:rStyle w:val="Hyperlink"/>
            <w:smallCaps/>
          </w:rPr>
          <w:t xml:space="preserve">Comisión Nacional del Mercado de Valores</w:t>
        </w:r>
        <w:r>
          <w:rPr>
            <w:rStyle w:val="Hyperlink"/>
          </w:rPr>
          <w:t xml:space="preserve">, 2015</w:t>
        </w:r>
      </w:hyperlink>
      <w:r>
        <w:t xml:space="preserve">,</w:t>
      </w:r>
      <w:r>
        <w:t xml:space="preserve"> </w:t>
      </w:r>
      <w:hyperlink w:anchor="ref_CNMV2020CBG">
        <w:r>
          <w:rPr>
            <w:rStyle w:val="Hyperlink"/>
          </w:rPr>
          <w:t xml:space="preserve">2020</w:t>
        </w:r>
      </w:hyperlink>
      <w:r>
        <w:t xml:space="preserve">)</w:t>
      </w:r>
      <w:r>
        <w:t xml:space="preserve">; la CNMV prepara una nueva revisión para 2027</w:t>
      </w:r>
      <w:r>
        <w:t xml:space="preserve"> </w:t>
      </w:r>
      <w:r>
        <w:t xml:space="preserve">(</w:t>
      </w:r>
      <w:hyperlink w:anchor="ref_CNMV2025RevisionCBG">
        <w:r>
          <w:rPr>
            <w:rStyle w:val="Hyperlink"/>
            <w:smallCaps/>
          </w:rPr>
          <w:t xml:space="preserve">Comisión Nacional del Mercado de Valores</w:t>
        </w:r>
        <w:r>
          <w:rPr>
            <w:rStyle w:val="Hyperlink"/>
          </w:rPr>
          <w:t xml:space="preserve">, 2025</w:t>
        </w:r>
      </w:hyperlink>
      <w:r>
        <w:t xml:space="preserve">)</w:t>
      </w:r>
      <w:r>
        <w:t xml:space="preserve">.</w:t>
      </w:r>
    </w:p>
    <w:p>
      <w:pPr>
        <w:numPr>
          <w:ilvl w:val="0"/>
          <w:numId w:val="1114"/>
        </w:numPr>
      </w:pPr>
      <w:r>
        <w:t xml:space="preserve">La ley ha incorporado parte de esas recomendaciones: la Ley 31/2014 modificó la Ley de Sociedades de Capital para mejorar el gobierno corporativo</w:t>
      </w:r>
      <w:r>
        <w:t xml:space="preserve"> </w:t>
      </w:r>
      <w:r>
        <w:t xml:space="preserve">(</w:t>
      </w:r>
      <w:hyperlink w:anchor="ref_Ley2014GobiernoCorporativo">
        <w:r>
          <w:rPr>
            <w:rStyle w:val="Hyperlink"/>
            <w:smallCaps/>
          </w:rPr>
          <w:t xml:space="preserve">Jefatura del Estado</w:t>
        </w:r>
        <w:r>
          <w:rPr>
            <w:rStyle w:val="Hyperlink"/>
          </w:rPr>
          <w:t xml:space="preserve">, 2014</w:t>
        </w:r>
      </w:hyperlink>
      <w:r>
        <w:t xml:space="preserve">)</w:t>
      </w:r>
      <w:r>
        <w:t xml:space="preserve">, y la Ley Orgánica 1/2015 reformó el Código Penal para castigar en su artículo 252 la administración desleal de cualquier patrimonio ajeno</w:t>
      </w:r>
      <w:r>
        <w:t xml:space="preserve"> </w:t>
      </w:r>
      <w:r>
        <w:t xml:space="preserve">(</w:t>
      </w:r>
      <w:hyperlink w:anchor="ref_BOE2015LO1">
        <w:r>
          <w:rPr>
            <w:rStyle w:val="Hyperlink"/>
            <w:smallCaps/>
          </w:rPr>
          <w:t xml:space="preserve">Jefatura del Estado</w:t>
        </w:r>
        <w:r>
          <w:rPr>
            <w:rStyle w:val="Hyperlink"/>
          </w:rPr>
          <w:t xml:space="preserve">, 2015</w:t>
        </w:r>
      </w:hyperlink>
      <w:r>
        <w:t xml:space="preserve">)</w:t>
      </w:r>
      <w:r>
        <w:t xml:space="preserve">.</w:t>
      </w:r>
    </w:p>
    <w:bookmarkEnd w:id="212"/>
    <w:bookmarkStart w:id="213" w:name="anexo_plataformas"/>
    <w:p>
      <w:pPr>
        <w:pStyle w:val="Heading1"/>
      </w:pPr>
      <w:r>
        <w:t xml:space="preserve">E. Anexo: plataformas digitales y barreras a la entrada</w:t>
      </w:r>
    </w:p>
    <w:p>
      <w:pPr>
        <w:numPr>
          <w:ilvl w:val="0"/>
          <w:numId w:val="1116"/>
        </w:numPr>
      </w:pPr>
      <w:r>
        <w:t xml:space="preserve">Una</w:t>
      </w:r>
      <w:r>
        <w:t xml:space="preserve"> </w:t>
      </w:r>
      <w:r>
        <w:rPr>
          <w:b/>
          <w:bCs/>
        </w:rPr>
        <w:t xml:space="preserve">plataforma de 2 lados</w:t>
      </w:r>
      <w:r>
        <w:t xml:space="preserve"> </w:t>
      </w:r>
      <w:r>
        <w:t xml:space="preserve">pone en contacto a 2 grupos de usuarios que se benefician de que el otro sea grande (compradores y vendedores, usuarios y anunciantes): hay</w:t>
      </w:r>
      <w:r>
        <w:t xml:space="preserve"> </w:t>
      </w:r>
      <w:r>
        <w:rPr>
          <w:i/>
          <w:iCs/>
        </w:rPr>
        <w:t xml:space="preserve">efectos de red cruzados</w:t>
      </w:r>
      <w:r>
        <w:t xml:space="preserve"> </w:t>
      </w:r>
      <w:r>
        <w:t xml:space="preserve">(</w:t>
      </w:r>
      <w:hyperlink w:anchor="ref_RochetTirole2003Platform">
        <w:r>
          <w:rPr>
            <w:rStyle w:val="Hyperlink"/>
            <w:smallCaps/>
          </w:rPr>
          <w:t xml:space="preserve">Rochet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2003</w:t>
        </w:r>
      </w:hyperlink>
      <w:r>
        <w:t xml:space="preserve">)</w:t>
      </w:r>
      <w:r>
        <w:t xml:space="preserve">. El precio óptimo de cada lado descuenta el valor que sus usuarios dan al otro: puede ser nulo o negativo en el lado que más atrae al otro, sin que sea depredación</w:t>
      </w:r>
      <w:r>
        <w:t xml:space="preserve"> </w:t>
      </w:r>
      <w:r>
        <w:t xml:space="preserve">(</w:t>
      </w:r>
      <w:hyperlink w:anchor="ref_Armstrong2006Competition">
        <w:r>
          <w:rPr>
            <w:rStyle w:val="Hyperlink"/>
            <w:smallCaps/>
          </w:rPr>
          <w:t xml:space="preserve">Armstrong</w:t>
        </w:r>
        <w:r>
          <w:rPr>
            <w:rStyle w:val="Hyperlink"/>
          </w:rPr>
          <w:t xml:space="preserve">, 2006</w:t>
        </w:r>
      </w:hyperlink>
      <w:r>
        <w:t xml:space="preserve">)</w:t>
      </w:r>
      <w:r>
        <w:t xml:space="preserve">. Es la lógica de</w:t>
      </w:r>
      <w:r>
        <w:t xml:space="preserve"> </w:t>
      </w:r>
      <w:r>
        <w:rPr>
          <w:smallCaps/>
        </w:rPr>
        <w:t xml:space="preserve">Coase</w:t>
      </w:r>
      <w:r>
        <w:t xml:space="preserve"> </w:t>
      </w:r>
      <w:r>
        <w:t xml:space="preserve">llevada al mercado: la plataforma existe porque reduce los costes de transacción de encontrar contraparte.</w:t>
      </w:r>
    </w:p>
    <w:p>
      <w:pPr>
        <w:numPr>
          <w:ilvl w:val="0"/>
          <w:numId w:val="1116"/>
        </w:numPr>
      </w:pPr>
      <w:r>
        <w:t xml:space="preserve">Las plataformas reúnen casi todas las barreras de</w:t>
      </w:r>
      <w:r>
        <w:t xml:space="preserve"> </w:t>
      </w:r>
      <w:hyperlink w:anchor="sec_barreras">
        <w:r>
          <w:rPr>
            <w:rStyle w:val="Hyperlink"/>
          </w:rPr>
          <w:t xml:space="preserve">III.2</w:t>
        </w:r>
      </w:hyperlink>
      <w:r>
        <w:t xml:space="preserve">: costes fijos altos y coste marginal casi nulo, efectos de red, costes de cambio y datos acumulados que mejoran el servicio. La competencia es</w:t>
      </w:r>
      <w:r>
        <w:t xml:space="preserve"> </w:t>
      </w:r>
      <w:r>
        <w:rPr>
          <w:i/>
          <w:iCs/>
        </w:rPr>
        <w:t xml:space="preserve">por</w:t>
      </w:r>
      <w:r>
        <w:t xml:space="preserve"> </w:t>
      </w:r>
      <w:r>
        <w:t xml:space="preserve">el mercado más que</w:t>
      </w:r>
      <w:r>
        <w:t xml:space="preserve"> </w:t>
      </w:r>
      <w:r>
        <w:rPr>
          <w:i/>
          <w:iCs/>
        </w:rPr>
        <w:t xml:space="preserve">en</w:t>
      </w:r>
      <w:r>
        <w:t xml:space="preserve"> </w:t>
      </w:r>
      <w:r>
        <w:t xml:space="preserve">el mercado, y el ganador se lleva la mayor parte: son lo contrario de un mercado impugnable.</w:t>
      </w:r>
    </w:p>
    <w:p>
      <w:pPr>
        <w:numPr>
          <w:ilvl w:val="0"/>
          <w:numId w:val="1116"/>
        </w:numPr>
      </w:pPr>
      <w:r>
        <w:rPr>
          <w:i/>
          <w:iCs/>
        </w:rPr>
        <w:t xml:space="preserve">Política</w:t>
      </w:r>
      <w:r>
        <w:t xml:space="preserve">: la defensa de la competencia</w:t>
      </w:r>
      <w:r>
        <w:t xml:space="preserve"> </w:t>
      </w:r>
      <w:r>
        <w:rPr>
          <w:i/>
          <w:iCs/>
        </w:rPr>
        <w:t xml:space="preserve">ex post</w:t>
      </w:r>
      <w:r>
        <w:t xml:space="preserve"> </w:t>
      </w:r>
      <w:r>
        <w:t xml:space="preserve">ha resultado lenta. El Tribunal de Justicia de la UE confirmó en 2024 la multa de 2.424 millones de euros a Google por favorecer su comparador de compras</w:t>
      </w:r>
      <w:r>
        <w:t xml:space="preserve"> </w:t>
      </w:r>
      <w:r>
        <w:t xml:space="preserve">(</w:t>
      </w:r>
      <w:hyperlink w:anchor="ref_TJUE2024GoogleShopping">
        <w:r>
          <w:rPr>
            <w:rStyle w:val="Hyperlink"/>
            <w:smallCaps/>
          </w:rPr>
          <w:t xml:space="preserve">Tribunal de Justicia de la Unión Europea</w:t>
        </w:r>
        <w:r>
          <w:rPr>
            <w:rStyle w:val="Hyperlink"/>
          </w:rPr>
          <w:t xml:space="preserve">, 2024</w:t>
        </w:r>
      </w:hyperlink>
      <w:r>
        <w:t xml:space="preserve">)</w:t>
      </w:r>
      <w:r>
        <w:t xml:space="preserve"> </w:t>
      </w:r>
      <w:r>
        <w:t xml:space="preserve">y en 2026 la de 4.125 millones por las condiciones impuestas a los fabricantes de móviles Android</w:t>
      </w:r>
      <w:r>
        <w:t xml:space="preserve"> </w:t>
      </w:r>
      <w:r>
        <w:t xml:space="preserve">(</w:t>
      </w:r>
      <w:hyperlink w:anchor="ref_TJUE2026GoogleAndroid">
        <w:r>
          <w:rPr>
            <w:rStyle w:val="Hyperlink"/>
            <w:smallCaps/>
          </w:rPr>
          <w:t xml:space="preserve">Tribunal de Justicia de la Unión Europea</w:t>
        </w:r>
        <w:r>
          <w:rPr>
            <w:rStyle w:val="Hyperlink"/>
          </w:rPr>
          <w:t xml:space="preserve">, 2026</w:t>
        </w:r>
      </w:hyperlink>
      <w:r>
        <w:t xml:space="preserve">)</w:t>
      </w:r>
      <w:r>
        <w:t xml:space="preserve">. La Unión Europea ha añadido la regulación</w:t>
      </w:r>
      <w:r>
        <w:t xml:space="preserve"> </w:t>
      </w:r>
      <w:r>
        <w:rPr>
          <w:i/>
          <w:iCs/>
        </w:rPr>
        <w:t xml:space="preserve">ex ante</w:t>
      </w:r>
      <w:r>
        <w:t xml:space="preserve"> </w:t>
      </w:r>
      <w:r>
        <w:t xml:space="preserve">del Reglamento de Mercados Digitales, «sobre mercados disputables y equitativos en el sector digital» (la impugnabilidad como objetivo), que desde 2023 obliga a los guardianes de acceso designados, hoy 7 (Alphabet, Amazon, Apple, Booking, ByteDance, Meta y Microsoft), a abrir 23 servicios básicos de plataforma: interoperabilidad, portabilidad de los datos y prohibición de favorecer los servicios propios</w:t>
      </w:r>
      <w:r>
        <w:t xml:space="preserve"> </w:t>
      </w:r>
      <w:r>
        <w:t xml:space="preserve">(</w:t>
      </w:r>
      <w:hyperlink w:anchor="ref_UE2022DMA">
        <w:r>
          <w:rPr>
            <w:rStyle w:val="Hyperlink"/>
            <w:smallCaps/>
          </w:rPr>
          <w:t xml:space="preserve">Parlamento Europeo</w:t>
        </w:r>
        <w:r>
          <w:rPr>
            <w:rStyle w:val="Hyperlink"/>
          </w:rPr>
          <w:t xml:space="preserve"> </w:t>
        </w:r>
        <w:r>
          <w:rPr>
            <w:rStyle w:val="Hyperlink"/>
          </w:rPr>
          <w:t xml:space="preserve">y</w:t>
        </w:r>
        <w:r>
          <w:rPr>
            <w:rStyle w:val="Hyperlink"/>
          </w:rPr>
          <w:t xml:space="preserve"> </w:t>
        </w:r>
        <w:r>
          <w:rPr>
            <w:rStyle w:val="Hyperlink"/>
            <w:smallCaps/>
          </w:rPr>
          <w:t xml:space="preserve">Consejo de la Unión Europea</w:t>
        </w:r>
        <w:r>
          <w:rPr>
            <w:rStyle w:val="Hyperlink"/>
          </w:rPr>
          <w:t xml:space="preserve">, 2022</w:t>
        </w:r>
      </w:hyperlink>
      <w:r>
        <w:t xml:space="preserve">;</w:t>
      </w:r>
      <w:r>
        <w:t xml:space="preserve"> </w:t>
      </w:r>
      <w:hyperlink w:anchor="ref_CE2026GuardianesDMA">
        <w:r>
          <w:rPr>
            <w:rStyle w:val="Hyperlink"/>
            <w:smallCaps/>
          </w:rPr>
          <w:t xml:space="preserve">Comisión Europea</w:t>
        </w:r>
        <w:r>
          <w:rPr>
            <w:rStyle w:val="Hyperlink"/>
          </w:rPr>
          <w:t xml:space="preserve">, 2026a</w:t>
        </w:r>
      </w:hyperlink>
      <w:r>
        <w:t xml:space="preserve">)</w:t>
      </w:r>
      <w:r>
        <w:t xml:space="preserve"> </w:t>
      </w:r>
      <w:hyperlink r:id="rId32">
        <w:r>
          <w:rPr>
            <w:rStyle w:val="Referenciaatema"/>
          </w:rPr>
          <w:t xml:space="preserve">[ver tema 3.B.39]</w:t>
        </w:r>
      </w:hyperlink>
      <w:r>
        <w:t xml:space="preserve">.</w:t>
      </w:r>
    </w:p>
    <w:bookmarkEnd w:id="213"/>
    <w:bookmarkStart w:id="215" w:name="anexo_test"/>
    <w:p>
      <w:pPr>
        <w:pStyle w:val="Heading1"/>
      </w:pPr>
      <w:r>
        <w:t xml:space="preserve">F. Anexo: para el test y el tribunal</w:t>
      </w:r>
    </w:p>
    <w:p>
      <w:pPr>
        <w:keepNext/>
        <w:numPr>
          <w:ilvl w:val="0"/>
          <w:numId w:val="1117"/>
        </w:numPr>
      </w:pPr>
      <w:r>
        <w:rPr>
          <w:i/>
          <w:iCs/>
        </w:rPr>
        <w:t xml:space="preserve">Preguntas de otros exámenes</w:t>
      </w:r>
      <w:r>
        <w:t xml:space="preserve">:</w:t>
      </w:r>
    </w:p>
    <w:p>
      <w:pPr>
        <w:numPr>
          <w:ilvl w:val="1"/>
          <w:numId w:val="1118"/>
        </w:numPr>
      </w:pPr>
      <w:r>
        <w:t xml:space="preserve">¿Cuál es la diferencia entre la teoría de</w:t>
      </w:r>
      <w:r>
        <w:t xml:space="preserve"> </w:t>
      </w:r>
      <w:r>
        <w:rPr>
          <w:smallCaps/>
        </w:rPr>
        <w:t xml:space="preserve">Coase</w:t>
      </w:r>
      <w:r>
        <w:t xml:space="preserve"> </w:t>
      </w:r>
      <w:r>
        <w:t xml:space="preserve">y la de los derechos de propiedad?</w:t>
      </w:r>
      <w:r>
        <w:t xml:space="preserve"> </w:t>
      </w:r>
      <w:r>
        <w:rPr>
          <w:smallCaps/>
        </w:rPr>
        <w:t xml:space="preserve">Coase</w:t>
      </w:r>
      <w:r>
        <w:t xml:space="preserve"> </w:t>
      </w:r>
      <w:r>
        <w:t xml:space="preserve">explica por qué existe la empresa (los costes de usar el mercado);</w:t>
      </w:r>
      <w:r>
        <w:t xml:space="preserve"> </w:t>
      </w:r>
      <w:r>
        <w:rPr>
          <w:smallCaps/>
        </w:rPr>
        <w:t xml:space="preserve">Grossman</w:t>
      </w:r>
      <w:r>
        <w:t xml:space="preserve">,</w:t>
      </w:r>
      <w:r>
        <w:t xml:space="preserve"> </w:t>
      </w:r>
      <w:r>
        <w:rPr>
          <w:smallCaps/>
        </w:rPr>
        <w:t xml:space="preserve">Hart</w:t>
      </w:r>
      <w:r>
        <w:t xml:space="preserve"> </w:t>
      </w:r>
      <w:r>
        <w:t xml:space="preserve">y</w:t>
      </w:r>
      <w:r>
        <w:t xml:space="preserve"> </w:t>
      </w:r>
      <w:r>
        <w:rPr>
          <w:smallCaps/>
        </w:rPr>
        <w:t xml:space="preserve">Moore</w:t>
      </w:r>
      <w:r>
        <w:t xml:space="preserve"> </w:t>
      </w:r>
      <w:r>
        <w:t xml:space="preserve">explican qué cambia al integrar: la propiedad de los activos y, con ella, los incentivos a invertir (</w:t>
      </w:r>
      <w:hyperlink w:anchor="sec_contratos_incompletos">
        <w:r>
          <w:rPr>
            <w:rStyle w:val="Hyperlink"/>
          </w:rPr>
          <w:t xml:space="preserve">II.3</w:t>
        </w:r>
      </w:hyperlink>
      <w:r>
        <w:t xml:space="preserve">).</w:t>
      </w:r>
    </w:p>
    <w:p>
      <w:pPr>
        <w:numPr>
          <w:ilvl w:val="1"/>
          <w:numId w:val="1118"/>
        </w:numPr>
      </w:pPr>
      <w:r>
        <w:t xml:space="preserve">¿Por qué recibió</w:t>
      </w:r>
      <w:r>
        <w:t xml:space="preserve"> </w:t>
      </w:r>
      <w:r>
        <w:rPr>
          <w:smallCaps/>
        </w:rPr>
        <w:t xml:space="preserve">Hart</w:t>
      </w:r>
      <w:r>
        <w:t xml:space="preserve"> </w:t>
      </w:r>
      <w:r>
        <w:t xml:space="preserve">el Nobel? ¿Le suena el concepto de contratos incompletos? Por los contratos incompletos: los derechos residuales de control y la frontera de la empresa (</w:t>
      </w:r>
      <w:hyperlink w:anchor="sec_contratos_incompletos">
        <w:r>
          <w:rPr>
            <w:rStyle w:val="Hyperlink"/>
          </w:rPr>
          <w:t xml:space="preserve">II.3</w:t>
        </w:r>
      </w:hyperlink>
      <w:r>
        <w:t xml:space="preserve">).</w:t>
      </w:r>
    </w:p>
    <w:p>
      <w:pPr>
        <w:numPr>
          <w:ilvl w:val="1"/>
          <w:numId w:val="1118"/>
        </w:numPr>
      </w:pPr>
      <w:r>
        <w:t xml:space="preserve">Defina riesgo moral y selección adversa: acción oculta después del contrato e información oculta antes del contrato</w:t>
      </w:r>
      <w:r>
        <w:t xml:space="preserve"> </w:t>
      </w:r>
      <w:hyperlink r:id="rId35">
        <w:r>
          <w:rPr>
            <w:rStyle w:val="Referenciaatema"/>
          </w:rPr>
          <w:t xml:space="preserve">[ver tema 3.A.13]</w:t>
        </w:r>
      </w:hyperlink>
      <w:r>
        <w:t xml:space="preserve">.</w:t>
      </w:r>
    </w:p>
    <w:p>
      <w:pPr>
        <w:numPr>
          <w:ilvl w:val="1"/>
          <w:numId w:val="1118"/>
        </w:numPr>
      </w:pPr>
      <w:r>
        <w:t xml:space="preserve">¿La saturación de un mercado implica siempre un aumento de la competencia? No: si entrar exige costes hundidos, la proliferación de marcas o de capacidad puede ser una barrera estratégica (</w:t>
      </w:r>
      <w:hyperlink w:anchor="sec_barreras">
        <w:r>
          <w:rPr>
            <w:rStyle w:val="Hyperlink"/>
          </w:rPr>
          <w:t xml:space="preserve">III.2</w:t>
        </w:r>
      </w:hyperlink>
      <w:r>
        <w:t xml:space="preserve">).</w:t>
      </w:r>
    </w:p>
    <w:p>
      <w:pPr>
        <w:numPr>
          <w:ilvl w:val="0"/>
          <w:numId w:val="1117"/>
        </w:numPr>
      </w:pPr>
      <w:r>
        <w:rPr>
          <w:i/>
          <w:iCs/>
        </w:rPr>
        <w:t xml:space="preserve">Trampas del test</w:t>
      </w:r>
      <w:r>
        <w:t xml:space="preserve">: los rendimientos constantes no son un supuesto de los mercados impugnables; en el monopolio impugnable,</w:t>
      </w:r>
      <w:r>
        <w:t xml:space="preserve"> </w:t>
      </w:r>
      <m:oMath>
        <m:r>
          <m:t>p</m:t>
        </m:r>
        <m:r>
          <m:rPr>
            <m:sty m:val="p"/>
          </m:rPr>
          <m:t>=</m:t>
        </m:r>
        <m:r>
          <m:rPr>
            <m:sty m:val="p"/>
          </m:rPr>
          <m:t>C</m:t>
        </m:r>
        <m:r>
          <m:rPr>
            <m:sty m:val="p"/>
          </m:rPr>
          <m:t>M</m:t>
        </m:r>
        <m:r>
          <m:rPr>
            <m:sty m:val="p"/>
          </m:rPr>
          <m:t>e</m:t>
        </m:r>
      </m:oMath>
      <w:r>
        <w:t xml:space="preserve">, no</w:t>
      </w:r>
      <w:r>
        <w:t xml:space="preserve"> </w:t>
      </w:r>
      <m:oMath>
        <m:r>
          <m:t>p</m:t>
        </m:r>
        <m:r>
          <m:rPr>
            <m:sty m:val="p"/>
          </m:rPr>
          <m:t>=</m:t>
        </m:r>
        <m:r>
          <m:rPr>
            <m:sty m:val="p"/>
          </m:rPr>
          <m:t>C</m:t>
        </m:r>
        <m:r>
          <m:rPr>
            <m:sty m:val="p"/>
          </m:rPr>
          <m:t>M</m:t>
        </m:r>
        <m:r>
          <m:rPr>
            <m:sty m:val="p"/>
          </m:rPr>
          <m:t>g</m:t>
        </m:r>
      </m:oMath>
      <w:r>
        <w:t xml:space="preserve">;</w:t>
      </w:r>
      <w:r>
        <w:t xml:space="preserve"> </w:t>
      </w:r>
      <w:r>
        <w:rPr>
          <w:smallCaps/>
        </w:rPr>
        <w:t xml:space="preserve">Grossman</w:t>
      </w:r>
      <w:r>
        <w:t xml:space="preserve"> </w:t>
      </w:r>
      <w:r>
        <w:t xml:space="preserve">y</w:t>
      </w:r>
      <w:r>
        <w:t xml:space="preserve"> </w:t>
      </w:r>
      <w:r>
        <w:rPr>
          <w:smallCaps/>
        </w:rPr>
        <w:t xml:space="preserve">Hart</w:t>
      </w:r>
      <w:r>
        <w:t xml:space="preserve"> </w:t>
      </w:r>
      <w:r>
        <w:t xml:space="preserve">es de 1986;</w:t>
      </w:r>
      <w:r>
        <w:t xml:space="preserve"> </w:t>
      </w:r>
      <w:r>
        <w:rPr>
          <w:smallCaps/>
        </w:rPr>
        <w:t xml:space="preserve">Williamson</w:t>
      </w:r>
      <w:r>
        <w:t xml:space="preserve"> </w:t>
      </w:r>
      <w:r>
        <w:t xml:space="preserve">no fue alumno de</w:t>
      </w:r>
      <w:r>
        <w:t xml:space="preserve"> </w:t>
      </w:r>
      <w:r>
        <w:rPr>
          <w:smallCaps/>
        </w:rPr>
        <w:t xml:space="preserve">Coase</w:t>
      </w:r>
      <w:r>
        <w:t xml:space="preserve">; General Motors compró el 60 % de Fisher Body en 1919 y el resto en 1926; el modelo de</w:t>
      </w:r>
      <w:r>
        <w:t xml:space="preserve"> </w:t>
      </w:r>
      <w:r>
        <w:rPr>
          <w:smallCaps/>
        </w:rPr>
        <w:t xml:space="preserve">Baumol</w:t>
      </w:r>
      <w:r>
        <w:t xml:space="preserve"> </w:t>
      </w:r>
      <w:r>
        <w:t xml:space="preserve">(1959) maximiza las ventas</w:t>
      </w:r>
      <w:r>
        <w:t xml:space="preserve"> </w:t>
      </w:r>
      <w:r>
        <w:rPr>
          <w:i/>
          <w:iCs/>
        </w:rPr>
        <w:t xml:space="preserve">sujeto a un beneficio mínimo</w:t>
      </w:r>
      <w:r>
        <w:t xml:space="preserve">; la frecuencia, en</w:t>
      </w:r>
      <w:r>
        <w:t xml:space="preserve"> </w:t>
      </w:r>
      <w:r>
        <w:rPr>
          <w:smallCaps/>
        </w:rPr>
        <w:t xml:space="preserve">Williamson</w:t>
      </w:r>
      <w:r>
        <w:t xml:space="preserve">, no encarece la transacción, sino que justifica una estructura de gobierno especializada.</w:t>
      </w:r>
    </w:p>
    <w:p>
      <w:pPr>
        <w:numPr>
          <w:ilvl w:val="0"/>
          <w:numId w:val="1117"/>
        </w:numPr>
      </w:pPr>
      <w:r>
        <w:t xml:space="preserve">Preguntas para practicar:</w:t>
      </w:r>
      <w:r>
        <w:t xml:space="preserve"> </w:t>
      </w:r>
      <w:hyperlink r:id="rId214">
        <w:r>
          <w:rPr>
            <w:rStyle w:val="Hyperlink"/>
          </w:rPr>
          <w:t xml:space="preserve">simulador de test</w:t>
        </w:r>
      </w:hyperlink>
      <w:r>
        <w:t xml:space="preserve">.</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15"/>
    <w:bookmarkStart w:id="482" w:name="bibliografia"/>
    <w:p>
      <w:pPr>
        <w:pStyle w:val="Heading1"/>
      </w:pPr>
      <w:r>
        <w:t xml:space="preserve">Bibliografía</w:t>
      </w:r>
    </w:p>
    <w:bookmarkStart w:id="481" w:name="refs"/>
    <w:bookmarkStart w:id="217" w:name="ref_AghionTirole1997Formal"/>
    <w:p>
      <w:pPr>
        <w:pStyle w:val="Bibliography"/>
      </w:pPr>
      <w:r>
        <w:t xml:space="preserve">Aghion, Philippe y Jean Tirole (1997).</w:t>
      </w:r>
      <w:r>
        <w:t xml:space="preserve"> </w:t>
      </w:r>
      <w:r>
        <w:t xml:space="preserve">«Formal and Real Authority in Organizations»</w:t>
      </w:r>
      <w:r>
        <w:t xml:space="preserve">.</w:t>
      </w:r>
      <w:r>
        <w:t xml:space="preserve"> </w:t>
      </w:r>
      <w:r>
        <w:rPr>
          <w:i/>
          <w:iCs/>
        </w:rPr>
        <w:t xml:space="preserve">Journal of Political Economy</w:t>
      </w:r>
      <w:r>
        <w:t xml:space="preserve"> </w:t>
      </w:r>
      <w:r>
        <w:t xml:space="preserve">105 (1): 1-29.</w:t>
      </w:r>
      <w:r>
        <w:t xml:space="preserve"> </w:t>
      </w:r>
      <w:hyperlink r:id="rId216">
        <w:r>
          <w:rPr>
            <w:rStyle w:val="Hyperlink"/>
          </w:rPr>
          <w:t xml:space="preserve">https://doi.org/10.1086/262063</w:t>
        </w:r>
      </w:hyperlink>
      <w:r>
        <w:t xml:space="preserve">.</w:t>
      </w:r>
    </w:p>
    <w:bookmarkEnd w:id="217"/>
    <w:bookmarkStart w:id="219" w:name="ref_AlchianDemsetz1972Production"/>
    <w:p>
      <w:pPr>
        <w:pStyle w:val="Bibliography"/>
      </w:pPr>
      <w:r>
        <w:t xml:space="preserve">Alchian, Armen A. y Harold Demsetz (1972).</w:t>
      </w:r>
      <w:r>
        <w:t xml:space="preserve"> </w:t>
      </w:r>
      <w:r>
        <w:t xml:space="preserve">«Production, Information Costs, and Economic Organization»</w:t>
      </w:r>
      <w:r>
        <w:t xml:space="preserve">.</w:t>
      </w:r>
      <w:r>
        <w:t xml:space="preserve"> </w:t>
      </w:r>
      <w:r>
        <w:rPr>
          <w:i/>
          <w:iCs/>
        </w:rPr>
        <w:t xml:space="preserve">American Economic Review</w:t>
      </w:r>
      <w:r>
        <w:t xml:space="preserve"> </w:t>
      </w:r>
      <w:r>
        <w:t xml:space="preserve">62 (5): 777-95.</w:t>
      </w:r>
      <w:r>
        <w:t xml:space="preserve"> </w:t>
      </w:r>
      <w:hyperlink r:id="rId218">
        <w:r>
          <w:rPr>
            <w:rStyle w:val="Hyperlink"/>
          </w:rPr>
          <w:t xml:space="preserve">https://ideas.repec.org/a/aea/aecrev/v62y1972i5p777-95.html</w:t>
        </w:r>
      </w:hyperlink>
      <w:r>
        <w:t xml:space="preserve">.</w:t>
      </w:r>
    </w:p>
    <w:bookmarkEnd w:id="219"/>
    <w:bookmarkStart w:id="221" w:name="ref_AreedaTurner1975Predatory"/>
    <w:p>
      <w:pPr>
        <w:pStyle w:val="Bibliography"/>
      </w:pPr>
      <w:r>
        <w:t xml:space="preserve">Areeda, Phillip y Donald F. Turner (1975).</w:t>
      </w:r>
      <w:r>
        <w:t xml:space="preserve"> </w:t>
      </w:r>
      <w:r>
        <w:t xml:space="preserve">«Predatory Pricing and Related Practices under Section 2 of the Sherman Act»</w:t>
      </w:r>
      <w:r>
        <w:t xml:space="preserve">.</w:t>
      </w:r>
      <w:r>
        <w:t xml:space="preserve"> </w:t>
      </w:r>
      <w:r>
        <w:rPr>
          <w:i/>
          <w:iCs/>
        </w:rPr>
        <w:t xml:space="preserve">Harvard Law Review</w:t>
      </w:r>
      <w:r>
        <w:t xml:space="preserve"> </w:t>
      </w:r>
      <w:r>
        <w:t xml:space="preserve">88 (4): 697-733.</w:t>
      </w:r>
      <w:r>
        <w:t xml:space="preserve"> </w:t>
      </w:r>
      <w:hyperlink r:id="rId220">
        <w:r>
          <w:rPr>
            <w:rStyle w:val="Hyperlink"/>
          </w:rPr>
          <w:t xml:space="preserve">https://doi.org/10.2307/1340237</w:t>
        </w:r>
      </w:hyperlink>
      <w:r>
        <w:t xml:space="preserve">.</w:t>
      </w:r>
    </w:p>
    <w:bookmarkEnd w:id="221"/>
    <w:bookmarkStart w:id="223" w:name="ref_Armstrong2006Competition"/>
    <w:p>
      <w:pPr>
        <w:pStyle w:val="Bibliography"/>
      </w:pPr>
      <w:r>
        <w:t xml:space="preserve">Armstrong, Mark (2006).</w:t>
      </w:r>
      <w:r>
        <w:t xml:space="preserve"> </w:t>
      </w:r>
      <w:r>
        <w:t xml:space="preserve">«Competition in Two-Sided Markets»</w:t>
      </w:r>
      <w:r>
        <w:t xml:space="preserve">.</w:t>
      </w:r>
      <w:r>
        <w:t xml:space="preserve"> </w:t>
      </w:r>
      <w:r>
        <w:rPr>
          <w:i/>
          <w:iCs/>
        </w:rPr>
        <w:t xml:space="preserve">RAND Journal of Economics</w:t>
      </w:r>
      <w:r>
        <w:t xml:space="preserve"> </w:t>
      </w:r>
      <w:r>
        <w:t xml:space="preserve">37 (3): 668-91.</w:t>
      </w:r>
      <w:r>
        <w:t xml:space="preserve"> </w:t>
      </w:r>
      <w:hyperlink r:id="rId222">
        <w:r>
          <w:rPr>
            <w:rStyle w:val="Hyperlink"/>
          </w:rPr>
          <w:t xml:space="preserve">https://doi.org/10.1111/j.1756-2171.2006.tb00037.x</w:t>
        </w:r>
      </w:hyperlink>
      <w:r>
        <w:t xml:space="preserve">.</w:t>
      </w:r>
    </w:p>
    <w:bookmarkEnd w:id="223"/>
    <w:bookmarkStart w:id="224" w:name="ref_Arrow1962Economic"/>
    <w:p>
      <w:pPr>
        <w:pStyle w:val="Bibliography"/>
      </w:pPr>
      <w:r>
        <w:t xml:space="preserve">Arrow, Kenneth J. (1962).</w:t>
      </w:r>
      <w:r>
        <w:t xml:space="preserve"> </w:t>
      </w:r>
      <w:r>
        <w:t xml:space="preserve">«Economic Welfare and the Allocation of Resources for Invention»</w:t>
      </w:r>
      <w:r>
        <w:t xml:space="preserve">. En</w:t>
      </w:r>
      <w:r>
        <w:t xml:space="preserve"> </w:t>
      </w:r>
      <w:r>
        <w:rPr>
          <w:i/>
          <w:iCs/>
        </w:rPr>
        <w:t xml:space="preserve">The Rate and Direction of Inventive Activity: Economic and Social Factors</w:t>
      </w:r>
      <w:r>
        <w:t xml:space="preserve">, 609-26. Princeton: Princeton University Press.</w:t>
      </w:r>
    </w:p>
    <w:bookmarkEnd w:id="224"/>
    <w:bookmarkStart w:id="226" w:name="ref_AutorEtAl2020Fall"/>
    <w:p>
      <w:pPr>
        <w:pStyle w:val="Bibliography"/>
      </w:pPr>
      <w:r>
        <w:t xml:space="preserve">Autor, David, David Dorn, Lawrence F. Katz, Christina Patterson y John Van Reenen (2020).</w:t>
      </w:r>
      <w:r>
        <w:t xml:space="preserve"> </w:t>
      </w:r>
      <w:r>
        <w:t xml:space="preserve">«The Fall of the Labor Share and the Rise of Superstar Firms»</w:t>
      </w:r>
      <w:r>
        <w:t xml:space="preserve">.</w:t>
      </w:r>
      <w:r>
        <w:t xml:space="preserve"> </w:t>
      </w:r>
      <w:r>
        <w:rPr>
          <w:i/>
          <w:iCs/>
        </w:rPr>
        <w:t xml:space="preserve">Quarterly Journal of Economics</w:t>
      </w:r>
      <w:r>
        <w:t xml:space="preserve"> </w:t>
      </w:r>
      <w:r>
        <w:t xml:space="preserve">135 (2): 645-709.</w:t>
      </w:r>
      <w:r>
        <w:t xml:space="preserve"> </w:t>
      </w:r>
      <w:hyperlink r:id="rId225">
        <w:r>
          <w:rPr>
            <w:rStyle w:val="Hyperlink"/>
          </w:rPr>
          <w:t xml:space="preserve">https://doi.org/10.1093/qje/qjaa004</w:t>
        </w:r>
      </w:hyperlink>
      <w:r>
        <w:t xml:space="preserve">.</w:t>
      </w:r>
    </w:p>
    <w:bookmarkEnd w:id="226"/>
    <w:bookmarkStart w:id="228" w:name="ref_Axtell2001Zipf"/>
    <w:p>
      <w:pPr>
        <w:pStyle w:val="Bibliography"/>
      </w:pPr>
      <w:r>
        <w:t xml:space="preserve">Axtell, Robert L. (2001).</w:t>
      </w:r>
      <w:r>
        <w:t xml:space="preserve"> </w:t>
      </w:r>
      <w:r>
        <w:t xml:space="preserve">«Zipf Distribution of U.S. Firm Sizes»</w:t>
      </w:r>
      <w:r>
        <w:t xml:space="preserve">.</w:t>
      </w:r>
      <w:r>
        <w:t xml:space="preserve"> </w:t>
      </w:r>
      <w:r>
        <w:rPr>
          <w:i/>
          <w:iCs/>
        </w:rPr>
        <w:t xml:space="preserve">Science</w:t>
      </w:r>
      <w:r>
        <w:t xml:space="preserve"> </w:t>
      </w:r>
      <w:r>
        <w:t xml:space="preserve">293 (5536): 1818-20.</w:t>
      </w:r>
      <w:r>
        <w:t xml:space="preserve"> </w:t>
      </w:r>
      <w:hyperlink r:id="rId227">
        <w:r>
          <w:rPr>
            <w:rStyle w:val="Hyperlink"/>
          </w:rPr>
          <w:t xml:space="preserve">https://doi.org/10.1126/science.1062081</w:t>
        </w:r>
      </w:hyperlink>
      <w:r>
        <w:t xml:space="preserve">.</w:t>
      </w:r>
    </w:p>
    <w:bookmarkEnd w:id="228"/>
    <w:bookmarkStart w:id="230" w:name="ref_BaileyBaumol1984Deregulation"/>
    <w:p>
      <w:pPr>
        <w:pStyle w:val="Bibliography"/>
      </w:pPr>
      <w:r>
        <w:t xml:space="preserve">Bailey, Elizabeth E. y William J. Baumol (1984).</w:t>
      </w:r>
      <w:r>
        <w:t xml:space="preserve"> </w:t>
      </w:r>
      <w:r>
        <w:t xml:space="preserve">«Deregulation and the Theory of Contestable Markets»</w:t>
      </w:r>
      <w:r>
        <w:t xml:space="preserve">.</w:t>
      </w:r>
      <w:r>
        <w:t xml:space="preserve"> </w:t>
      </w:r>
      <w:r>
        <w:rPr>
          <w:i/>
          <w:iCs/>
        </w:rPr>
        <w:t xml:space="preserve">Yale Journal on Regulation</w:t>
      </w:r>
      <w:r>
        <w:t xml:space="preserve"> </w:t>
      </w:r>
      <w:r>
        <w:t xml:space="preserve">1 (2): 111-37.</w:t>
      </w:r>
      <w:r>
        <w:t xml:space="preserve"> </w:t>
      </w:r>
      <w:hyperlink r:id="rId229">
        <w:r>
          <w:rPr>
            <w:rStyle w:val="Hyperlink"/>
          </w:rPr>
          <w:t xml:space="preserve">https://openyls.law.yale.edu/entities/publication/394c17da-e37b-4118-a8df-0cb60aebecba</w:t>
        </w:r>
      </w:hyperlink>
      <w:r>
        <w:t xml:space="preserve">.</w:t>
      </w:r>
    </w:p>
    <w:bookmarkEnd w:id="230"/>
    <w:bookmarkStart w:id="232" w:name="ref_BaileyPanzar1981Contestability"/>
    <w:p>
      <w:pPr>
        <w:pStyle w:val="Bibliography"/>
      </w:pPr>
      <w:r>
        <w:t xml:space="preserve">Bailey, Elizabeth E. y John C. Panzar (1981).</w:t>
      </w:r>
      <w:r>
        <w:t xml:space="preserve"> </w:t>
      </w:r>
      <w:r>
        <w:t xml:space="preserve">«The Contestability of Airline Markets during the Transition to Deregulation»</w:t>
      </w:r>
      <w:r>
        <w:t xml:space="preserve">.</w:t>
      </w:r>
      <w:r>
        <w:t xml:space="preserve"> </w:t>
      </w:r>
      <w:r>
        <w:rPr>
          <w:i/>
          <w:iCs/>
        </w:rPr>
        <w:t xml:space="preserve">Law and Contemporary Problems</w:t>
      </w:r>
      <w:r>
        <w:t xml:space="preserve"> </w:t>
      </w:r>
      <w:r>
        <w:t xml:space="preserve">44 (1): 125-45.</w:t>
      </w:r>
      <w:r>
        <w:t xml:space="preserve"> </w:t>
      </w:r>
      <w:hyperlink r:id="rId231">
        <w:r>
          <w:rPr>
            <w:rStyle w:val="Hyperlink"/>
          </w:rPr>
          <w:t xml:space="preserve">https://doi.org/10.2307/1191388</w:t>
        </w:r>
      </w:hyperlink>
      <w:r>
        <w:t xml:space="preserve">.</w:t>
      </w:r>
    </w:p>
    <w:bookmarkEnd w:id="232"/>
    <w:bookmarkStart w:id="233" w:name="ref_Bain1949Note"/>
    <w:p>
      <w:pPr>
        <w:pStyle w:val="Bibliography"/>
      </w:pPr>
      <w:r>
        <w:t xml:space="preserve">Bain, Joe S. (1949).</w:t>
      </w:r>
      <w:r>
        <w:t xml:space="preserve"> </w:t>
      </w:r>
      <w:r>
        <w:t xml:space="preserve">«A Note on Pricing in Monopoly and Oligopoly»</w:t>
      </w:r>
      <w:r>
        <w:t xml:space="preserve">.</w:t>
      </w:r>
      <w:r>
        <w:t xml:space="preserve"> </w:t>
      </w:r>
      <w:r>
        <w:rPr>
          <w:i/>
          <w:iCs/>
        </w:rPr>
        <w:t xml:space="preserve">American Economic Review</w:t>
      </w:r>
      <w:r>
        <w:t xml:space="preserve"> </w:t>
      </w:r>
      <w:r>
        <w:t xml:space="preserve">39 (2): 448-64.</w:t>
      </w:r>
    </w:p>
    <w:bookmarkEnd w:id="233"/>
    <w:bookmarkStart w:id="235" w:name="ref_Bain1951Relation"/>
    <w:p>
      <w:pPr>
        <w:pStyle w:val="Bibliography"/>
      </w:pPr>
      <w:r>
        <w:t xml:space="preserve">Bain, Joe S. (1951).</w:t>
      </w:r>
      <w:r>
        <w:t xml:space="preserve"> </w:t>
      </w:r>
      <w:r>
        <w:t xml:space="preserve">«Relation of Profit Rate to Industry Concentration: American Manufacturing, 1936–1940»</w:t>
      </w:r>
      <w:r>
        <w:t xml:space="preserve">.</w:t>
      </w:r>
      <w:r>
        <w:t xml:space="preserve"> </w:t>
      </w:r>
      <w:r>
        <w:rPr>
          <w:i/>
          <w:iCs/>
        </w:rPr>
        <w:t xml:space="preserve">Quarterly Journal of Economics</w:t>
      </w:r>
      <w:r>
        <w:t xml:space="preserve"> </w:t>
      </w:r>
      <w:r>
        <w:t xml:space="preserve">65 (3): 293-324.</w:t>
      </w:r>
      <w:r>
        <w:t xml:space="preserve"> </w:t>
      </w:r>
      <w:hyperlink r:id="rId234">
        <w:r>
          <w:rPr>
            <w:rStyle w:val="Hyperlink"/>
          </w:rPr>
          <w:t xml:space="preserve">https://doi.org/10.2307/1882217</w:t>
        </w:r>
      </w:hyperlink>
      <w:r>
        <w:t xml:space="preserve">.</w:t>
      </w:r>
    </w:p>
    <w:bookmarkEnd w:id="235"/>
    <w:bookmarkStart w:id="237" w:name="ref_Bain1956Barriers"/>
    <w:p>
      <w:pPr>
        <w:pStyle w:val="Bibliography"/>
      </w:pPr>
      <w:r>
        <w:t xml:space="preserve">Bain, Joe S. (1956).</w:t>
      </w:r>
      <w:r>
        <w:t xml:space="preserve"> </w:t>
      </w:r>
      <w:r>
        <w:rPr>
          <w:i/>
          <w:iCs/>
        </w:rPr>
        <w:t xml:space="preserve">Barriers to New Competition</w:t>
      </w:r>
      <w:r>
        <w:t xml:space="preserve">. Cambridge (Massachusetts): Harvard University Press.</w:t>
      </w:r>
      <w:r>
        <w:t xml:space="preserve"> </w:t>
      </w:r>
      <w:hyperlink r:id="rId236">
        <w:r>
          <w:rPr>
            <w:rStyle w:val="Hyperlink"/>
          </w:rPr>
          <w:t xml:space="preserve">https://doi.org/10.4159/harvard.9780674188037</w:t>
        </w:r>
      </w:hyperlink>
      <w:r>
        <w:t xml:space="preserve">.</w:t>
      </w:r>
    </w:p>
    <w:bookmarkEnd w:id="237"/>
    <w:bookmarkStart w:id="238" w:name="ref_Bain1959Industrial"/>
    <w:p>
      <w:pPr>
        <w:pStyle w:val="Bibliography"/>
      </w:pPr>
      <w:r>
        <w:t xml:space="preserve">Bain, Joe S. (1959).</w:t>
      </w:r>
      <w:r>
        <w:t xml:space="preserve"> </w:t>
      </w:r>
      <w:r>
        <w:rPr>
          <w:i/>
          <w:iCs/>
        </w:rPr>
        <w:t xml:space="preserve">Industrial Organization</w:t>
      </w:r>
      <w:r>
        <w:t xml:space="preserve">. Nueva York: Wiley.</w:t>
      </w:r>
    </w:p>
    <w:bookmarkEnd w:id="238"/>
    <w:bookmarkStart w:id="239" w:name="ref_BakerHubbard2003Make"/>
    <w:p>
      <w:pPr>
        <w:pStyle w:val="Bibliography"/>
      </w:pPr>
      <w:r>
        <w:t xml:space="preserve">Baker, George P. y Thomas N. Hubbard (2003).</w:t>
      </w:r>
      <w:r>
        <w:t xml:space="preserve"> </w:t>
      </w:r>
      <w:r>
        <w:t xml:space="preserve">«Make Versus Buy in Trucking: Asset Ownership, Job Design, and Information»</w:t>
      </w:r>
      <w:r>
        <w:t xml:space="preserve">.</w:t>
      </w:r>
      <w:r>
        <w:t xml:space="preserve"> </w:t>
      </w:r>
      <w:r>
        <w:rPr>
          <w:i/>
          <w:iCs/>
        </w:rPr>
        <w:t xml:space="preserve">American Economic Review</w:t>
      </w:r>
      <w:r>
        <w:t xml:space="preserve"> </w:t>
      </w:r>
      <w:r>
        <w:t xml:space="preserve">93 (3): 551-72.</w:t>
      </w:r>
    </w:p>
    <w:bookmarkEnd w:id="239"/>
    <w:bookmarkStart w:id="241" w:name="ref_Baumol1958Theory"/>
    <w:p>
      <w:pPr>
        <w:pStyle w:val="Bibliography"/>
      </w:pPr>
      <w:r>
        <w:t xml:space="preserve">Baumol, William J. (1958).</w:t>
      </w:r>
      <w:r>
        <w:t xml:space="preserve"> </w:t>
      </w:r>
      <w:r>
        <w:t xml:space="preserve">«On the Theory of Oligopoly»</w:t>
      </w:r>
      <w:r>
        <w:t xml:space="preserve">.</w:t>
      </w:r>
      <w:r>
        <w:t xml:space="preserve"> </w:t>
      </w:r>
      <w:r>
        <w:rPr>
          <w:i/>
          <w:iCs/>
        </w:rPr>
        <w:t xml:space="preserve">Economica</w:t>
      </w:r>
      <w:r>
        <w:t xml:space="preserve"> </w:t>
      </w:r>
      <w:r>
        <w:t xml:space="preserve">25 (99): 187-98.</w:t>
      </w:r>
      <w:r>
        <w:t xml:space="preserve"> </w:t>
      </w:r>
      <w:hyperlink r:id="rId240">
        <w:r>
          <w:rPr>
            <w:rStyle w:val="Hyperlink"/>
          </w:rPr>
          <w:t xml:space="preserve">https://doi.org/10.2307/2550723</w:t>
        </w:r>
      </w:hyperlink>
      <w:r>
        <w:t xml:space="preserve">.</w:t>
      </w:r>
    </w:p>
    <w:bookmarkEnd w:id="241"/>
    <w:bookmarkStart w:id="242" w:name="ref_Baumol1959Business"/>
    <w:p>
      <w:pPr>
        <w:pStyle w:val="Bibliography"/>
      </w:pPr>
      <w:r>
        <w:t xml:space="preserve">Baumol, William J. (1959).</w:t>
      </w:r>
      <w:r>
        <w:t xml:space="preserve"> </w:t>
      </w:r>
      <w:r>
        <w:rPr>
          <w:i/>
          <w:iCs/>
        </w:rPr>
        <w:t xml:space="preserve">Business Behavior, Value and Growth</w:t>
      </w:r>
      <w:r>
        <w:t xml:space="preserve">. Nueva York: Macmillan.</w:t>
      </w:r>
    </w:p>
    <w:bookmarkEnd w:id="242"/>
    <w:bookmarkStart w:id="243" w:name="ref_Baumol1977Proper"/>
    <w:p>
      <w:pPr>
        <w:pStyle w:val="Bibliography"/>
      </w:pPr>
      <w:r>
        <w:t xml:space="preserve">Baumol, William J. (1977).</w:t>
      </w:r>
      <w:r>
        <w:t xml:space="preserve"> </w:t>
      </w:r>
      <w:r>
        <w:t xml:space="preserve">«On the Proper Cost Tests for Natural Monopoly in a Multiproduct Industry»</w:t>
      </w:r>
      <w:r>
        <w:t xml:space="preserve">.</w:t>
      </w:r>
      <w:r>
        <w:t xml:space="preserve"> </w:t>
      </w:r>
      <w:r>
        <w:rPr>
          <w:i/>
          <w:iCs/>
        </w:rPr>
        <w:t xml:space="preserve">American Economic Review</w:t>
      </w:r>
      <w:r>
        <w:t xml:space="preserve"> </w:t>
      </w:r>
      <w:r>
        <w:t xml:space="preserve">67 (5): 809-22.</w:t>
      </w:r>
    </w:p>
    <w:bookmarkEnd w:id="243"/>
    <w:bookmarkStart w:id="245" w:name="ref_Baumol1982Contestable"/>
    <w:p>
      <w:pPr>
        <w:pStyle w:val="Bibliography"/>
      </w:pPr>
      <w:r>
        <w:t xml:space="preserve">Baumol, William J. (1982).</w:t>
      </w:r>
      <w:r>
        <w:t xml:space="preserve"> </w:t>
      </w:r>
      <w:r>
        <w:t xml:space="preserve">«Contestable Markets: An Uprising in the Theory of Industry Structure»</w:t>
      </w:r>
      <w:r>
        <w:t xml:space="preserve">.</w:t>
      </w:r>
      <w:r>
        <w:t xml:space="preserve"> </w:t>
      </w:r>
      <w:r>
        <w:rPr>
          <w:i/>
          <w:iCs/>
        </w:rPr>
        <w:t xml:space="preserve">American Economic Review</w:t>
      </w:r>
      <w:r>
        <w:t xml:space="preserve"> </w:t>
      </w:r>
      <w:r>
        <w:t xml:space="preserve">72 (1): 1-15.</w:t>
      </w:r>
      <w:r>
        <w:t xml:space="preserve"> </w:t>
      </w:r>
      <w:hyperlink r:id="rId244">
        <w:r>
          <w:rPr>
            <w:rStyle w:val="Hyperlink"/>
          </w:rPr>
          <w:t xml:space="preserve">https://ideas.repec.org/a/aea/aecrev/v72y1982i1p1-15.html</w:t>
        </w:r>
      </w:hyperlink>
      <w:r>
        <w:t xml:space="preserve">.</w:t>
      </w:r>
    </w:p>
    <w:bookmarkEnd w:id="245"/>
    <w:bookmarkStart w:id="246" w:name="ref_BaumolBaileyWillig1977Weak"/>
    <w:p>
      <w:pPr>
        <w:pStyle w:val="Bibliography"/>
      </w:pPr>
      <w:r>
        <w:t xml:space="preserve">Baumol, William J., Elizabeth E. Bailey y Robert D. Willig (1977).</w:t>
      </w:r>
      <w:r>
        <w:t xml:space="preserve"> </w:t>
      </w:r>
      <w:r>
        <w:t xml:space="preserve">«Weak Invisible Hand Theorems on the Sustainability of Multiproduct Natural Monopoly»</w:t>
      </w:r>
      <w:r>
        <w:t xml:space="preserve">.</w:t>
      </w:r>
      <w:r>
        <w:t xml:space="preserve"> </w:t>
      </w:r>
      <w:r>
        <w:rPr>
          <w:i/>
          <w:iCs/>
        </w:rPr>
        <w:t xml:space="preserve">American Economic Review</w:t>
      </w:r>
      <w:r>
        <w:t xml:space="preserve"> </w:t>
      </w:r>
      <w:r>
        <w:t xml:space="preserve">67 (3): 350-65.</w:t>
      </w:r>
    </w:p>
    <w:bookmarkEnd w:id="246"/>
    <w:bookmarkStart w:id="247" w:name="ref_BaumolPanzarWillig1982Contestable"/>
    <w:p>
      <w:pPr>
        <w:pStyle w:val="Bibliography"/>
      </w:pPr>
      <w:r>
        <w:t xml:space="preserve">Baumol, William J., John C. Panzar y Robert D. Willig (1982).</w:t>
      </w:r>
      <w:r>
        <w:t xml:space="preserve"> </w:t>
      </w:r>
      <w:r>
        <w:rPr>
          <w:i/>
          <w:iCs/>
        </w:rPr>
        <w:t xml:space="preserve">Contestable Markets and the Theory of Industry Structure</w:t>
      </w:r>
      <w:r>
        <w:t xml:space="preserve">. Nueva York: Harcourt Brace Jovanovich.</w:t>
      </w:r>
    </w:p>
    <w:bookmarkEnd w:id="247"/>
    <w:bookmarkStart w:id="249" w:name="ref_BaumolPanzarWillig1983Reply"/>
    <w:p>
      <w:pPr>
        <w:pStyle w:val="Bibliography"/>
      </w:pPr>
      <w:r>
        <w:t xml:space="preserve">Baumol, William J., John C. Panzar y Robert D. Willig (1983).</w:t>
      </w:r>
      <w:r>
        <w:t xml:space="preserve"> </w:t>
      </w:r>
      <w:r>
        <w:t xml:space="preserve">«Contestable Markets: An Uprising in the Theory of Industry Structure: Reply»</w:t>
      </w:r>
      <w:r>
        <w:t xml:space="preserve">.</w:t>
      </w:r>
      <w:r>
        <w:t xml:space="preserve"> </w:t>
      </w:r>
      <w:r>
        <w:rPr>
          <w:i/>
          <w:iCs/>
        </w:rPr>
        <w:t xml:space="preserve">American Economic Review</w:t>
      </w:r>
      <w:r>
        <w:t xml:space="preserve"> </w:t>
      </w:r>
      <w:r>
        <w:t xml:space="preserve">73 (3): 491-96.</w:t>
      </w:r>
      <w:r>
        <w:t xml:space="preserve"> </w:t>
      </w:r>
      <w:hyperlink r:id="rId248">
        <w:r>
          <w:rPr>
            <w:rStyle w:val="Hyperlink"/>
          </w:rPr>
          <w:t xml:space="preserve">https://ideas.repec.org/a/aea/aecrev/v73y1983i3p491-96.html</w:t>
        </w:r>
      </w:hyperlink>
      <w:r>
        <w:t xml:space="preserve">.</w:t>
      </w:r>
    </w:p>
    <w:bookmarkEnd w:id="249"/>
    <w:bookmarkStart w:id="250" w:name="ref_BerleMeans1932Modern"/>
    <w:p>
      <w:pPr>
        <w:pStyle w:val="Bibliography"/>
      </w:pPr>
      <w:r>
        <w:t xml:space="preserve">Berle, Adolf A. y Gardiner C. Means (1932).</w:t>
      </w:r>
      <w:r>
        <w:t xml:space="preserve"> </w:t>
      </w:r>
      <w:r>
        <w:rPr>
          <w:i/>
          <w:iCs/>
        </w:rPr>
        <w:t xml:space="preserve">The Modern Corporation and Private Property</w:t>
      </w:r>
      <w:r>
        <w:t xml:space="preserve">. Nueva York: Macmillan.</w:t>
      </w:r>
    </w:p>
    <w:bookmarkEnd w:id="250"/>
    <w:bookmarkStart w:id="252" w:name="ref_Bresnahan1982Oligopoly"/>
    <w:p>
      <w:pPr>
        <w:pStyle w:val="Bibliography"/>
      </w:pPr>
      <w:r>
        <w:t xml:space="preserve">Bresnahan, Timothy F. (1982).</w:t>
      </w:r>
      <w:r>
        <w:t xml:space="preserve"> </w:t>
      </w:r>
      <w:r>
        <w:t xml:space="preserve">«The Oligopoly Solution Concept Is Identified»</w:t>
      </w:r>
      <w:r>
        <w:t xml:space="preserve">.</w:t>
      </w:r>
      <w:r>
        <w:t xml:space="preserve"> </w:t>
      </w:r>
      <w:r>
        <w:rPr>
          <w:i/>
          <w:iCs/>
        </w:rPr>
        <w:t xml:space="preserve">Economics Letters</w:t>
      </w:r>
      <w:r>
        <w:t xml:space="preserve"> </w:t>
      </w:r>
      <w:r>
        <w:t xml:space="preserve">10 (1-2): 87-92.</w:t>
      </w:r>
      <w:r>
        <w:t xml:space="preserve"> </w:t>
      </w:r>
      <w:hyperlink r:id="rId251">
        <w:r>
          <w:rPr>
            <w:rStyle w:val="Hyperlink"/>
          </w:rPr>
          <w:t xml:space="preserve">https://doi.org/10.1016/0165-1765(82)90121-5</w:t>
        </w:r>
      </w:hyperlink>
      <w:r>
        <w:t xml:space="preserve">.</w:t>
      </w:r>
    </w:p>
    <w:bookmarkEnd w:id="252"/>
    <w:bookmarkStart w:id="254" w:name="ref_Bresnahan1989Empirical"/>
    <w:p>
      <w:pPr>
        <w:pStyle w:val="Bibliography"/>
      </w:pPr>
      <w:r>
        <w:t xml:space="preserve">Bresnahan, Timothy F. (1989).</w:t>
      </w:r>
      <w:r>
        <w:t xml:space="preserve"> </w:t>
      </w:r>
      <w:r>
        <w:t xml:space="preserve">«Empirical Studies of Industries with Market Power»</w:t>
      </w:r>
      <w:r>
        <w:t xml:space="preserve">. En</w:t>
      </w:r>
      <w:r>
        <w:t xml:space="preserve"> </w:t>
      </w:r>
      <w:r>
        <w:rPr>
          <w:i/>
          <w:iCs/>
        </w:rPr>
        <w:t xml:space="preserve">Handbook of Industrial Organization</w:t>
      </w:r>
      <w:r>
        <w:t xml:space="preserve">, editado por Richard Schmalensee y Robert D. Willig, 2:1011-57. Ámsterdam: North-Holland.</w:t>
      </w:r>
      <w:r>
        <w:t xml:space="preserve"> </w:t>
      </w:r>
      <w:hyperlink r:id="rId253">
        <w:r>
          <w:rPr>
            <w:rStyle w:val="Hyperlink"/>
          </w:rPr>
          <w:t xml:space="preserve">https://doi.org/10.1016/S1573-448X(89)02005-4</w:t>
        </w:r>
      </w:hyperlink>
      <w:r>
        <w:t xml:space="preserve">.</w:t>
      </w:r>
    </w:p>
    <w:bookmarkEnd w:id="254"/>
    <w:bookmarkStart w:id="256" w:name="ref_CasadesusMasanellSpulber2000Fable"/>
    <w:p>
      <w:pPr>
        <w:pStyle w:val="Bibliography"/>
      </w:pPr>
      <w:r>
        <w:t xml:space="preserve">Casadesus-Masanell, Ramon y Daniel F. Spulber (2000).</w:t>
      </w:r>
      <w:r>
        <w:t xml:space="preserve"> </w:t>
      </w:r>
      <w:r>
        <w:t xml:space="preserve">«The Fable of Fisher Body»</w:t>
      </w:r>
      <w:r>
        <w:t xml:space="preserve">.</w:t>
      </w:r>
      <w:r>
        <w:t xml:space="preserve"> </w:t>
      </w:r>
      <w:r>
        <w:rPr>
          <w:i/>
          <w:iCs/>
        </w:rPr>
        <w:t xml:space="preserve">Journal of Law and Economics</w:t>
      </w:r>
      <w:r>
        <w:t xml:space="preserve"> </w:t>
      </w:r>
      <w:r>
        <w:t xml:space="preserve">43 (1): 67-104.</w:t>
      </w:r>
      <w:r>
        <w:t xml:space="preserve"> </w:t>
      </w:r>
      <w:hyperlink r:id="rId255">
        <w:r>
          <w:rPr>
            <w:rStyle w:val="Hyperlink"/>
          </w:rPr>
          <w:t xml:space="preserve">https://doi.org/10.1086/467448</w:t>
        </w:r>
      </w:hyperlink>
      <w:r>
        <w:t xml:space="preserve">.</w:t>
      </w:r>
    </w:p>
    <w:bookmarkEnd w:id="256"/>
    <w:bookmarkStart w:id="257" w:name="ref_Chamberlin1933Theory"/>
    <w:p>
      <w:pPr>
        <w:pStyle w:val="Bibliography"/>
      </w:pPr>
      <w:r>
        <w:t xml:space="preserve">Chamberlin, Edward H. (1933).</w:t>
      </w:r>
      <w:r>
        <w:t xml:space="preserve"> </w:t>
      </w:r>
      <w:r>
        <w:rPr>
          <w:i/>
          <w:iCs/>
        </w:rPr>
        <w:t xml:space="preserve">The Theory of Monopolistic Competition</w:t>
      </w:r>
      <w:r>
        <w:t xml:space="preserve">. Cambridge (Massachusetts): Harvard University Press.</w:t>
      </w:r>
    </w:p>
    <w:bookmarkEnd w:id="257"/>
    <w:bookmarkStart w:id="259" w:name="ref_Coase1937Nature"/>
    <w:p>
      <w:pPr>
        <w:pStyle w:val="Bibliography"/>
      </w:pPr>
      <w:r>
        <w:t xml:space="preserve">Coase, Ronald H. (1937).</w:t>
      </w:r>
      <w:r>
        <w:t xml:space="preserve"> </w:t>
      </w:r>
      <w:r>
        <w:t xml:space="preserve">«The Nature of the Firm»</w:t>
      </w:r>
      <w:r>
        <w:t xml:space="preserve">.</w:t>
      </w:r>
      <w:r>
        <w:t xml:space="preserve"> </w:t>
      </w:r>
      <w:r>
        <w:rPr>
          <w:i/>
          <w:iCs/>
        </w:rPr>
        <w:t xml:space="preserve">Economica</w:t>
      </w:r>
      <w:r>
        <w:t xml:space="preserve"> </w:t>
      </w:r>
      <w:r>
        <w:t xml:space="preserve">4 (16): 386-405.</w:t>
      </w:r>
      <w:r>
        <w:t xml:space="preserve"> </w:t>
      </w:r>
      <w:hyperlink r:id="rId258">
        <w:r>
          <w:rPr>
            <w:rStyle w:val="Hyperlink"/>
          </w:rPr>
          <w:t xml:space="preserve">https://doi.org/10.1111/j.1468-0335.1937.tb00002.x</w:t>
        </w:r>
      </w:hyperlink>
      <w:r>
        <w:t xml:space="preserve">.</w:t>
      </w:r>
    </w:p>
    <w:bookmarkEnd w:id="259"/>
    <w:bookmarkStart w:id="261" w:name="ref_Coase1960Problem"/>
    <w:p>
      <w:pPr>
        <w:pStyle w:val="Bibliography"/>
      </w:pPr>
      <w:r>
        <w:t xml:space="preserve">Coase, Ronald H. (1960).</w:t>
      </w:r>
      <w:r>
        <w:t xml:space="preserve"> </w:t>
      </w:r>
      <w:r>
        <w:t xml:space="preserve">«The Problem of Social Cost»</w:t>
      </w:r>
      <w:r>
        <w:t xml:space="preserve">.</w:t>
      </w:r>
      <w:r>
        <w:t xml:space="preserve"> </w:t>
      </w:r>
      <w:r>
        <w:rPr>
          <w:i/>
          <w:iCs/>
        </w:rPr>
        <w:t xml:space="preserve">The Journal of Law and Economics</w:t>
      </w:r>
      <w:r>
        <w:t xml:space="preserve"> </w:t>
      </w:r>
      <w:r>
        <w:t xml:space="preserve">3: 1-44.</w:t>
      </w:r>
      <w:r>
        <w:t xml:space="preserve"> </w:t>
      </w:r>
      <w:hyperlink r:id="rId260">
        <w:r>
          <w:rPr>
            <w:rStyle w:val="Hyperlink"/>
          </w:rPr>
          <w:t xml:space="preserve">https://doi.org/10.1086/466560</w:t>
        </w:r>
      </w:hyperlink>
      <w:r>
        <w:t xml:space="preserve">.</w:t>
      </w:r>
    </w:p>
    <w:bookmarkEnd w:id="261"/>
    <w:bookmarkStart w:id="263" w:name="ref_Coase1991Institutional"/>
    <w:p>
      <w:pPr>
        <w:pStyle w:val="Bibliography"/>
      </w:pPr>
      <w:r>
        <w:t xml:space="preserve">Coase, Ronald H. (1991).</w:t>
      </w:r>
      <w:r>
        <w:t xml:space="preserve"> </w:t>
      </w:r>
      <w:r>
        <w:t xml:space="preserve">«The Institutional Structure of Production. Prize Lecture»</w:t>
      </w:r>
      <w:r>
        <w:t xml:space="preserve">. NobelPrize.org. 1991.</w:t>
      </w:r>
      <w:r>
        <w:t xml:space="preserve"> </w:t>
      </w:r>
      <w:hyperlink r:id="rId262">
        <w:r>
          <w:rPr>
            <w:rStyle w:val="Hyperlink"/>
          </w:rPr>
          <w:t xml:space="preserve">https://www.nobelprize.org/prizes/economic-sciences/1991/coase/lecture/</w:t>
        </w:r>
      </w:hyperlink>
      <w:r>
        <w:t xml:space="preserve">.</w:t>
      </w:r>
    </w:p>
    <w:bookmarkEnd w:id="263"/>
    <w:bookmarkStart w:id="265" w:name="ref_Coase2000Acquisition"/>
    <w:p>
      <w:pPr>
        <w:pStyle w:val="Bibliography"/>
      </w:pPr>
      <w:r>
        <w:t xml:space="preserve">Coase, Ronald H. (2000).</w:t>
      </w:r>
      <w:r>
        <w:t xml:space="preserve"> </w:t>
      </w:r>
      <w:r>
        <w:t xml:space="preserve">«The Acquisition of Fisher Body by General Motors»</w:t>
      </w:r>
      <w:r>
        <w:t xml:space="preserve">.</w:t>
      </w:r>
      <w:r>
        <w:t xml:space="preserve"> </w:t>
      </w:r>
      <w:r>
        <w:rPr>
          <w:i/>
          <w:iCs/>
        </w:rPr>
        <w:t xml:space="preserve">Journal of Law and Economics</w:t>
      </w:r>
      <w:r>
        <w:t xml:space="preserve"> </w:t>
      </w:r>
      <w:r>
        <w:t xml:space="preserve">43 (1): 15-31.</w:t>
      </w:r>
      <w:r>
        <w:t xml:space="preserve"> </w:t>
      </w:r>
      <w:hyperlink r:id="rId264">
        <w:r>
          <w:rPr>
            <w:rStyle w:val="Hyperlink"/>
          </w:rPr>
          <w:t xml:space="preserve">https://doi.org/10.1086/467446</w:t>
        </w:r>
      </w:hyperlink>
      <w:r>
        <w:t xml:space="preserve">.</w:t>
      </w:r>
    </w:p>
    <w:bookmarkEnd w:id="265"/>
    <w:bookmarkStart w:id="267" w:name="ref_CNMV1998Olivencia"/>
    <w:p>
      <w:pPr>
        <w:pStyle w:val="Bibliography"/>
      </w:pPr>
      <w:r>
        <w:t xml:space="preserve">Comisión Especial para el estudio de un Código Ético de los Consejos de Administración de las Sociedades (1998).</w:t>
      </w:r>
      <w:r>
        <w:t xml:space="preserve"> </w:t>
      </w:r>
      <w:r>
        <w:t xml:space="preserve">«El gobierno de las sociedades cotizadas (Informe Olivencia)»</w:t>
      </w:r>
      <w:r>
        <w:t xml:space="preserve">. 26 de febrero de 1998.</w:t>
      </w:r>
      <w:r>
        <w:t xml:space="preserve"> </w:t>
      </w:r>
      <w:hyperlink r:id="rId266">
        <w:r>
          <w:rPr>
            <w:rStyle w:val="Hyperlink"/>
          </w:rPr>
          <w:t xml:space="preserve">https://www.cnmv.es/DocPortal/Publicaciones/CodigoGov/govsocot.pdf</w:t>
        </w:r>
      </w:hyperlink>
      <w:r>
        <w:t xml:space="preserve">.</w:t>
      </w:r>
    </w:p>
    <w:bookmarkEnd w:id="267"/>
    <w:bookmarkStart w:id="269" w:name="ref_CNMV2003Aldama"/>
    <w:p>
      <w:pPr>
        <w:pStyle w:val="Bibliography"/>
      </w:pPr>
      <w:r>
        <w:t xml:space="preserve">Comisión Especial para el Fomento de la Transparencia y Seguridad en los Mercados y Sociedades Cotizadas (2003).</w:t>
      </w:r>
      <w:r>
        <w:t xml:space="preserve"> </w:t>
      </w:r>
      <w:r>
        <w:t xml:space="preserve">«Informe de la Comisión Especial para el Fomento de la Transparencia y Seguridad en los Mercados y Sociedades Cotizadas (Informe Aldama)»</w:t>
      </w:r>
      <w:r>
        <w:t xml:space="preserve">. 8 de enero de 2003.</w:t>
      </w:r>
      <w:r>
        <w:t xml:space="preserve"> </w:t>
      </w:r>
      <w:hyperlink r:id="rId268">
        <w:r>
          <w:rPr>
            <w:rStyle w:val="Hyperlink"/>
          </w:rPr>
          <w:t xml:space="preserve">https://www.cnmv.es/DocPortal/Publicaciones/CodigoGov/INFORMEFINAL.PDF</w:t>
        </w:r>
      </w:hyperlink>
      <w:r>
        <w:t xml:space="preserve">.</w:t>
      </w:r>
    </w:p>
    <w:bookmarkEnd w:id="269"/>
    <w:bookmarkStart w:id="271" w:name="ref_CE2004Horizontales"/>
    <w:p>
      <w:pPr>
        <w:pStyle w:val="Bibliography"/>
      </w:pPr>
      <w:r>
        <w:t xml:space="preserve">Comisión Europea (2004).</w:t>
      </w:r>
      <w:r>
        <w:t xml:space="preserve"> </w:t>
      </w:r>
      <w:r>
        <w:t xml:space="preserve">«Directrices sobre la evaluación de las concentraciones horizontales con arreglo al Reglamento del Consejo sobre el control de las concentraciones entre empresas (2004/C 31/03)»</w:t>
      </w:r>
      <w:r>
        <w:t xml:space="preserve">. 5 de febrero de 2004.</w:t>
      </w:r>
      <w:r>
        <w:t xml:space="preserve"> </w:t>
      </w:r>
      <w:hyperlink r:id="rId270">
        <w:r>
          <w:rPr>
            <w:rStyle w:val="Hyperlink"/>
          </w:rPr>
          <w:t xml:space="preserve">https://eur-lex.europa.eu/legal-content/ES/TXT/?uri=CELEX:52004XC0205(02)</w:t>
        </w:r>
      </w:hyperlink>
      <w:r>
        <w:t xml:space="preserve">.</w:t>
      </w:r>
    </w:p>
    <w:bookmarkEnd w:id="271"/>
    <w:bookmarkStart w:id="273" w:name="ref_CE2026GuardianesDMA"/>
    <w:p>
      <w:pPr>
        <w:pStyle w:val="Bibliography"/>
      </w:pPr>
      <w:r>
        <w:t xml:space="preserve">Comisión Europea (2026a).</w:t>
      </w:r>
      <w:r>
        <w:t xml:space="preserve"> </w:t>
      </w:r>
      <w:r>
        <w:t xml:space="preserve">«DMA Designated Gatekeepers»</w:t>
      </w:r>
      <w:r>
        <w:t xml:space="preserve">. 2026.</w:t>
      </w:r>
      <w:r>
        <w:t xml:space="preserve"> </w:t>
      </w:r>
      <w:hyperlink r:id="rId272">
        <w:r>
          <w:rPr>
            <w:rStyle w:val="Hyperlink"/>
          </w:rPr>
          <w:t xml:space="preserve">https://digital-markets-act.ec.europa.eu/gatekeepers-portal_en</w:t>
        </w:r>
      </w:hyperlink>
      <w:r>
        <w:t xml:space="preserve">.</w:t>
      </w:r>
    </w:p>
    <w:bookmarkEnd w:id="273"/>
    <w:bookmarkStart w:id="275" w:name="ref_CE2026BorradorMerger"/>
    <w:p>
      <w:pPr>
        <w:pStyle w:val="Bibliography"/>
      </w:pPr>
      <w:r>
        <w:t xml:space="preserve">Comisión Europea (2026b).</w:t>
      </w:r>
      <w:r>
        <w:t xml:space="preserve"> </w:t>
      </w:r>
      <w:r>
        <w:t xml:space="preserve">«Draft Merger Guidelines (texto para la consulta pública)»</w:t>
      </w:r>
      <w:r>
        <w:t xml:space="preserve">. 30 de abril de 2026.</w:t>
      </w:r>
      <w:r>
        <w:t xml:space="preserve"> </w:t>
      </w:r>
      <w:hyperlink r:id="rId274">
        <w:r>
          <w:rPr>
            <w:rStyle w:val="Hyperlink"/>
          </w:rPr>
          <w:t xml:space="preserve">https://competition-policy.ec.europa.eu/document/download/46dde10f-85c1-4590-a3f4-2b71f85685ef_en?filename=Merger%20Guidelines%20-%20final%20for%20public%20consultation.pdf</w:t>
        </w:r>
      </w:hyperlink>
      <w:r>
        <w:t xml:space="preserve">.</w:t>
      </w:r>
    </w:p>
    <w:bookmarkEnd w:id="275"/>
    <w:bookmarkStart w:id="277" w:name="ref_CNMV2006Unificado"/>
    <w:p>
      <w:pPr>
        <w:pStyle w:val="Bibliography"/>
      </w:pPr>
      <w:r>
        <w:t xml:space="preserve">Comisión Nacional del Mercado de Valores (2006).</w:t>
      </w:r>
      <w:r>
        <w:t xml:space="preserve"> </w:t>
      </w:r>
      <w:r>
        <w:t xml:space="preserve">«Código unificado de buen gobierno de las sociedades cotizadas»</w:t>
      </w:r>
      <w:r>
        <w:t xml:space="preserve">. 22 de mayo de 2006.</w:t>
      </w:r>
      <w:r>
        <w:t xml:space="preserve"> </w:t>
      </w:r>
      <w:hyperlink r:id="rId276">
        <w:r>
          <w:rPr>
            <w:rStyle w:val="Hyperlink"/>
          </w:rPr>
          <w:t xml:space="preserve">https://www.cnmv.es/Portal/Legislacion/COBG/COBG.aspx</w:t>
        </w:r>
      </w:hyperlink>
      <w:r>
        <w:t xml:space="preserve">.</w:t>
      </w:r>
    </w:p>
    <w:bookmarkEnd w:id="277"/>
    <w:bookmarkStart w:id="279" w:name="ref_CNMV2015CBG"/>
    <w:p>
      <w:pPr>
        <w:pStyle w:val="Bibliography"/>
      </w:pPr>
      <w:r>
        <w:t xml:space="preserve">Comisión Nacional del Mercado de Valores (2015).</w:t>
      </w:r>
      <w:r>
        <w:t xml:space="preserve"> </w:t>
      </w:r>
      <w:r>
        <w:t xml:space="preserve">«Código de buen gobierno de las sociedades cotizadas»</w:t>
      </w:r>
      <w:r>
        <w:t xml:space="preserve">. 18 de febrero de 2015.</w:t>
      </w:r>
      <w:r>
        <w:t xml:space="preserve"> </w:t>
      </w:r>
      <w:hyperlink r:id="rId278">
        <w:r>
          <w:rPr>
            <w:rStyle w:val="Hyperlink"/>
          </w:rPr>
          <w:t xml:space="preserve">https://www.cnmv.es/DocPortal/Publicaciones/CodigoGov/Codigo_buen_gobierno.pdf</w:t>
        </w:r>
      </w:hyperlink>
      <w:r>
        <w:t xml:space="preserve">.</w:t>
      </w:r>
    </w:p>
    <w:bookmarkEnd w:id="279"/>
    <w:bookmarkStart w:id="281" w:name="ref_CNMV2020CBG"/>
    <w:p>
      <w:pPr>
        <w:pStyle w:val="Bibliography"/>
      </w:pPr>
      <w:r>
        <w:t xml:space="preserve">Comisión Nacional del Mercado de Valores (2020).</w:t>
      </w:r>
      <w:r>
        <w:t xml:space="preserve"> </w:t>
      </w:r>
      <w:r>
        <w:t xml:space="preserve">«Código de buen gobierno de las sociedades cotizadas (revisado en junio de 2020)»</w:t>
      </w:r>
      <w:r>
        <w:t xml:space="preserve">. junio de 2020.</w:t>
      </w:r>
      <w:r>
        <w:t xml:space="preserve"> </w:t>
      </w:r>
      <w:hyperlink r:id="rId280">
        <w:r>
          <w:rPr>
            <w:rStyle w:val="Hyperlink"/>
          </w:rPr>
          <w:t xml:space="preserve">https://www.cnmv.es/DocPortal/Publicaciones/CodigoGov/CBG_2020.pdf</w:t>
        </w:r>
      </w:hyperlink>
      <w:r>
        <w:t xml:space="preserve">.</w:t>
      </w:r>
    </w:p>
    <w:bookmarkEnd w:id="281"/>
    <w:bookmarkStart w:id="283" w:name="ref_CNMV2025RevisionCBG"/>
    <w:p>
      <w:pPr>
        <w:pStyle w:val="Bibliography"/>
      </w:pPr>
      <w:r>
        <w:t xml:space="preserve">Comisión Nacional del Mercado de Valores (2025).</w:t>
      </w:r>
      <w:r>
        <w:t xml:space="preserve"> </w:t>
      </w:r>
      <w:r>
        <w:t xml:space="preserve">«La CNMV inicia el proceso de revisión del Código de Buen Gobierno de las sociedades cotizadas»</w:t>
      </w:r>
      <w:r>
        <w:t xml:space="preserve">. 18 de noviembre de 2025.</w:t>
      </w:r>
      <w:r>
        <w:t xml:space="preserve"> </w:t>
      </w:r>
      <w:hyperlink r:id="rId282">
        <w:r>
          <w:rPr>
            <w:rStyle w:val="Hyperlink"/>
          </w:rPr>
          <w:t xml:space="preserve">https://www.cnmv.es/webservices/verdocumento/ver?t=%7B3c556a68-47a3-4856-b3a4-0b9bdf98d695%7D</w:t>
        </w:r>
      </w:hyperlink>
      <w:r>
        <w:t xml:space="preserve">.</w:t>
      </w:r>
    </w:p>
    <w:bookmarkEnd w:id="283"/>
    <w:bookmarkStart w:id="285" w:name="ref_CowlingWaterson1976Price"/>
    <w:p>
      <w:pPr>
        <w:pStyle w:val="Bibliography"/>
      </w:pPr>
      <w:r>
        <w:t xml:space="preserve">Cowling, Keith y Michael Waterson (1976).</w:t>
      </w:r>
      <w:r>
        <w:t xml:space="preserve"> </w:t>
      </w:r>
      <w:r>
        <w:t xml:space="preserve">«Price-Cost Margins and Market Structure»</w:t>
      </w:r>
      <w:r>
        <w:t xml:space="preserve">.</w:t>
      </w:r>
      <w:r>
        <w:t xml:space="preserve"> </w:t>
      </w:r>
      <w:r>
        <w:rPr>
          <w:i/>
          <w:iCs/>
        </w:rPr>
        <w:t xml:space="preserve">Economica</w:t>
      </w:r>
      <w:r>
        <w:t xml:space="preserve"> </w:t>
      </w:r>
      <w:r>
        <w:t xml:space="preserve">43 (171): 267-74.</w:t>
      </w:r>
      <w:r>
        <w:t xml:space="preserve"> </w:t>
      </w:r>
      <w:hyperlink r:id="rId284">
        <w:r>
          <w:rPr>
            <w:rStyle w:val="Hyperlink"/>
          </w:rPr>
          <w:t xml:space="preserve">https://doi.org/10.2307/2553125</w:t>
        </w:r>
      </w:hyperlink>
      <w:r>
        <w:t xml:space="preserve">.</w:t>
      </w:r>
    </w:p>
    <w:bookmarkEnd w:id="285"/>
    <w:bookmarkStart w:id="286" w:name="ref_CyertMarch1963Behavioral"/>
    <w:p>
      <w:pPr>
        <w:pStyle w:val="Bibliography"/>
      </w:pPr>
      <w:r>
        <w:t xml:space="preserve">Cyert, Richard M. y James G. March (1963).</w:t>
      </w:r>
      <w:r>
        <w:t xml:space="preserve"> </w:t>
      </w:r>
      <w:r>
        <w:rPr>
          <w:i/>
          <w:iCs/>
        </w:rPr>
        <w:t xml:space="preserve">A Behavioral Theory of the Firm</w:t>
      </w:r>
      <w:r>
        <w:t xml:space="preserve">. Englewood Cliffs (Nueva Jersey): Prentice-Hall.</w:t>
      </w:r>
    </w:p>
    <w:bookmarkEnd w:id="286"/>
    <w:bookmarkStart w:id="288" w:name="ref_DeLoeckerEeckhoutUnger2020Rise"/>
    <w:p>
      <w:pPr>
        <w:pStyle w:val="Bibliography"/>
      </w:pPr>
      <w:r>
        <w:t xml:space="preserve">De Loecker, Jan, Jan Eeckhout y Gabriel Unger (2020).</w:t>
      </w:r>
      <w:r>
        <w:t xml:space="preserve"> </w:t>
      </w:r>
      <w:r>
        <w:t xml:space="preserve">«The Rise of Market Power and the Macroeconomic Implications»</w:t>
      </w:r>
      <w:r>
        <w:t xml:space="preserve">.</w:t>
      </w:r>
      <w:r>
        <w:t xml:space="preserve"> </w:t>
      </w:r>
      <w:r>
        <w:rPr>
          <w:i/>
          <w:iCs/>
        </w:rPr>
        <w:t xml:space="preserve">Quarterly Journal of Economics</w:t>
      </w:r>
      <w:r>
        <w:t xml:space="preserve"> </w:t>
      </w:r>
      <w:r>
        <w:t xml:space="preserve">135 (2): 561-644.</w:t>
      </w:r>
      <w:r>
        <w:t xml:space="preserve"> </w:t>
      </w:r>
      <w:hyperlink r:id="rId287">
        <w:r>
          <w:rPr>
            <w:rStyle w:val="Hyperlink"/>
          </w:rPr>
          <w:t xml:space="preserve">https://doi.org/10.1093/qje/qjz041</w:t>
        </w:r>
      </w:hyperlink>
      <w:r>
        <w:t xml:space="preserve">.</w:t>
      </w:r>
    </w:p>
    <w:bookmarkEnd w:id="288"/>
    <w:bookmarkStart w:id="290" w:name="ref_Demsetz1968Why"/>
    <w:p>
      <w:pPr>
        <w:pStyle w:val="Bibliography"/>
      </w:pPr>
      <w:r>
        <w:t xml:space="preserve">Demsetz, Harold (1968).</w:t>
      </w:r>
      <w:r>
        <w:t xml:space="preserve"> </w:t>
      </w:r>
      <w:r>
        <w:t xml:space="preserve">«Why Regulate Utilities?»</w:t>
      </w:r>
      <w:r>
        <w:t xml:space="preserve"> </w:t>
      </w:r>
      <w:r>
        <w:rPr>
          <w:i/>
          <w:iCs/>
        </w:rPr>
        <w:t xml:space="preserve">Journal of Law and Economics</w:t>
      </w:r>
      <w:r>
        <w:t xml:space="preserve"> </w:t>
      </w:r>
      <w:r>
        <w:t xml:space="preserve">11 (1): 55-65.</w:t>
      </w:r>
      <w:r>
        <w:t xml:space="preserve"> </w:t>
      </w:r>
      <w:hyperlink r:id="rId289">
        <w:r>
          <w:rPr>
            <w:rStyle w:val="Hyperlink"/>
          </w:rPr>
          <w:t xml:space="preserve">https://doi.org/10.1086/466643</w:t>
        </w:r>
      </w:hyperlink>
      <w:r>
        <w:t xml:space="preserve">.</w:t>
      </w:r>
    </w:p>
    <w:bookmarkEnd w:id="290"/>
    <w:bookmarkStart w:id="292" w:name="ref_Demsetz1973Industry"/>
    <w:p>
      <w:pPr>
        <w:pStyle w:val="Bibliography"/>
      </w:pPr>
      <w:r>
        <w:t xml:space="preserve">Demsetz, Harold (1973).</w:t>
      </w:r>
      <w:r>
        <w:t xml:space="preserve"> </w:t>
      </w:r>
      <w:r>
        <w:t xml:space="preserve">«Industry Structure, Market Rivalry, and Public Policy»</w:t>
      </w:r>
      <w:r>
        <w:t xml:space="preserve">.</w:t>
      </w:r>
      <w:r>
        <w:t xml:space="preserve"> </w:t>
      </w:r>
      <w:r>
        <w:rPr>
          <w:i/>
          <w:iCs/>
        </w:rPr>
        <w:t xml:space="preserve">Journal of Law and Economics</w:t>
      </w:r>
      <w:r>
        <w:t xml:space="preserve"> </w:t>
      </w:r>
      <w:r>
        <w:t xml:space="preserve">16 (1): 1-9.</w:t>
      </w:r>
      <w:r>
        <w:t xml:space="preserve"> </w:t>
      </w:r>
      <w:hyperlink r:id="rId291">
        <w:r>
          <w:rPr>
            <w:rStyle w:val="Hyperlink"/>
          </w:rPr>
          <w:t xml:space="preserve">https://doi.org/10.1086/466752</w:t>
        </w:r>
      </w:hyperlink>
      <w:r>
        <w:t xml:space="preserve">.</w:t>
      </w:r>
    </w:p>
    <w:bookmarkEnd w:id="292"/>
    <w:bookmarkStart w:id="294" w:name="ref_Dixit1980Role"/>
    <w:p>
      <w:pPr>
        <w:pStyle w:val="Bibliography"/>
      </w:pPr>
      <w:r>
        <w:t xml:space="preserve">Dixit, Avinash (1980).</w:t>
      </w:r>
      <w:r>
        <w:t xml:space="preserve"> </w:t>
      </w:r>
      <w:r>
        <w:t xml:space="preserve">«The Role of Investment in Entry-Deterrence»</w:t>
      </w:r>
      <w:r>
        <w:t xml:space="preserve">.</w:t>
      </w:r>
      <w:r>
        <w:t xml:space="preserve"> </w:t>
      </w:r>
      <w:r>
        <w:rPr>
          <w:i/>
          <w:iCs/>
        </w:rPr>
        <w:t xml:space="preserve">Economic Journal</w:t>
      </w:r>
      <w:r>
        <w:t xml:space="preserve"> </w:t>
      </w:r>
      <w:r>
        <w:t xml:space="preserve">90 (357): 95-106.</w:t>
      </w:r>
      <w:r>
        <w:t xml:space="preserve"> </w:t>
      </w:r>
      <w:hyperlink r:id="rId293">
        <w:r>
          <w:rPr>
            <w:rStyle w:val="Hyperlink"/>
          </w:rPr>
          <w:t xml:space="preserve">https://doi.org/10.2307/2231658</w:t>
        </w:r>
      </w:hyperlink>
      <w:r>
        <w:t xml:space="preserve">.</w:t>
      </w:r>
    </w:p>
    <w:bookmarkEnd w:id="294"/>
    <w:bookmarkStart w:id="296" w:name="ref_Nobel2014TiroleBackground"/>
    <w:p>
      <w:pPr>
        <w:pStyle w:val="Bibliography"/>
      </w:pPr>
      <w:r>
        <w:t xml:space="preserve">Economic Sciences Prize Committee of the Royal Swedish Academy of Sciences (2014).</w:t>
      </w:r>
      <w:r>
        <w:t xml:space="preserve"> </w:t>
      </w:r>
      <w:r>
        <w:t xml:space="preserve">«Jean Tirole: Market Power and Regulation. Scientific Background on the Sveriges Riksbank Prize in Economic Sciences in Memory of Alfred Nobel 2014»</w:t>
      </w:r>
      <w:r>
        <w:t xml:space="preserve">. Estocolmo: Royal Swedish Academy of Sciences.</w:t>
      </w:r>
      <w:r>
        <w:t xml:space="preserve"> </w:t>
      </w:r>
      <w:hyperlink r:id="rId295">
        <w:r>
          <w:rPr>
            <w:rStyle w:val="Hyperlink"/>
          </w:rPr>
          <w:t xml:space="preserve">https://www.nobelprize.org/uploads/2018/06/advanced-economicsciences2014.pdf</w:t>
        </w:r>
      </w:hyperlink>
      <w:r>
        <w:t xml:space="preserve">.</w:t>
      </w:r>
    </w:p>
    <w:bookmarkEnd w:id="296"/>
    <w:bookmarkStart w:id="297" w:name="ref_EkelundHebert2013History"/>
    <w:p>
      <w:pPr>
        <w:pStyle w:val="Bibliography"/>
      </w:pPr>
      <w:r>
        <w:t xml:space="preserve">Ekelund, Robert B. y Robert F. Hébert (2014).</w:t>
      </w:r>
      <w:r>
        <w:t xml:space="preserve"> </w:t>
      </w:r>
      <w:r>
        <w:rPr>
          <w:i/>
          <w:iCs/>
        </w:rPr>
        <w:t xml:space="preserve">A History of Economic Theory and Method</w:t>
      </w:r>
      <w:r>
        <w:t xml:space="preserve">. 6.ª ed. Long Grove (Illinois): Waveland Press.</w:t>
      </w:r>
    </w:p>
    <w:bookmarkEnd w:id="297"/>
    <w:bookmarkStart w:id="299" w:name="ref_ESMA2025CRA"/>
    <w:p>
      <w:pPr>
        <w:pStyle w:val="Bibliography"/>
      </w:pPr>
      <w:r>
        <w:t xml:space="preserve">European Securities and Markets Authority (2025).</w:t>
      </w:r>
      <w:r>
        <w:t xml:space="preserve"> </w:t>
      </w:r>
      <w:r>
        <w:t xml:space="preserve">«Report on CRA Market Share Calculation 2025»</w:t>
      </w:r>
      <w:r>
        <w:t xml:space="preserve">. 18 de diciembre de 2025.</w:t>
      </w:r>
      <w:r>
        <w:t xml:space="preserve"> </w:t>
      </w:r>
      <w:hyperlink r:id="rId298">
        <w:r>
          <w:rPr>
            <w:rStyle w:val="Hyperlink"/>
          </w:rPr>
          <w:t xml:space="preserve">https://www.esma.europa.eu/sites/default/files/2025-12/ESMA84-900617762-2652_CRA_Market_Share_Calculation_2025.pdf</w:t>
        </w:r>
      </w:hyperlink>
      <w:r>
        <w:t xml:space="preserve">.</w:t>
      </w:r>
    </w:p>
    <w:bookmarkEnd w:id="299"/>
    <w:bookmarkStart w:id="301" w:name="ref_Eurostat2026SBS"/>
    <w:p>
      <w:pPr>
        <w:pStyle w:val="Bibliography"/>
      </w:pPr>
      <w:r>
        <w:t xml:space="preserve">Eurostat (2026).</w:t>
      </w:r>
      <w:r>
        <w:t xml:space="preserve"> </w:t>
      </w:r>
      <w:r>
        <w:t xml:space="preserve">«Enterprise statistics by size class and NACE Rev. 2 activity (from 2021 onwards) (sbs_sc_ovw)»</w:t>
      </w:r>
      <w:r>
        <w:t xml:space="preserve">. 2026.</w:t>
      </w:r>
      <w:r>
        <w:t xml:space="preserve"> </w:t>
      </w:r>
      <w:hyperlink r:id="rId300">
        <w:r>
          <w:rPr>
            <w:rStyle w:val="Hyperlink"/>
          </w:rPr>
          <w:t xml:space="preserve">https://doi.org/10.2908/SBS_SC_OVW</w:t>
        </w:r>
      </w:hyperlink>
      <w:r>
        <w:t xml:space="preserve">.</w:t>
      </w:r>
    </w:p>
    <w:bookmarkEnd w:id="301"/>
    <w:bookmarkStart w:id="303" w:name="ref_Fama1980Agency"/>
    <w:p>
      <w:pPr>
        <w:pStyle w:val="Bibliography"/>
      </w:pPr>
      <w:r>
        <w:t xml:space="preserve">Fama, Eugene F. (1980).</w:t>
      </w:r>
      <w:r>
        <w:t xml:space="preserve"> </w:t>
      </w:r>
      <w:r>
        <w:t xml:space="preserve">«Agency Problems and the Theory of the Firm»</w:t>
      </w:r>
      <w:r>
        <w:t xml:space="preserve">.</w:t>
      </w:r>
      <w:r>
        <w:t xml:space="preserve"> </w:t>
      </w:r>
      <w:r>
        <w:rPr>
          <w:i/>
          <w:iCs/>
        </w:rPr>
        <w:t xml:space="preserve">Journal of Political Economy</w:t>
      </w:r>
      <w:r>
        <w:t xml:space="preserve"> </w:t>
      </w:r>
      <w:r>
        <w:t xml:space="preserve">88 (2): 288-307.</w:t>
      </w:r>
      <w:r>
        <w:t xml:space="preserve"> </w:t>
      </w:r>
      <w:hyperlink r:id="rId302">
        <w:r>
          <w:rPr>
            <w:rStyle w:val="Hyperlink"/>
          </w:rPr>
          <w:t xml:space="preserve">https://doi.org/10.1086/260866</w:t>
        </w:r>
      </w:hyperlink>
      <w:r>
        <w:t xml:space="preserve">.</w:t>
      </w:r>
    </w:p>
    <w:bookmarkEnd w:id="303"/>
    <w:bookmarkStart w:id="305" w:name="ref_FTC2025Ferguson"/>
    <w:p>
      <w:pPr>
        <w:pStyle w:val="Bibliography"/>
      </w:pPr>
      <w:r>
        <w:t xml:space="preserve">Federal Trade Commission (2025).</w:t>
      </w:r>
      <w:r>
        <w:t xml:space="preserve"> </w:t>
      </w:r>
      <w:r>
        <w:t xml:space="preserve">«FTC Chairman Andrew N. Ferguson Announces that FTC-DOJ’s Joint 2023 Merger Guidelines Are in Effect»</w:t>
      </w:r>
      <w:r>
        <w:t xml:space="preserve">. 18 de febrero de 2025.</w:t>
      </w:r>
      <w:r>
        <w:t xml:space="preserve"> </w:t>
      </w:r>
      <w:hyperlink r:id="rId304">
        <w:r>
          <w:rPr>
            <w:rStyle w:val="Hyperlink"/>
          </w:rPr>
          <w:t xml:space="preserve">https://www.ftc.gov/news-events/news/press-releases/2025/02/ftc-chairman-andrew-n-ferguson-announces-ftc-dojs-joint-2023-merger-guidelines-are-effect</w:t>
        </w:r>
      </w:hyperlink>
      <w:r>
        <w:t xml:space="preserve">.</w:t>
      </w:r>
    </w:p>
    <w:bookmarkEnd w:id="305"/>
    <w:bookmarkStart w:id="307" w:name="ref_FTC2026AntitrustLaws"/>
    <w:p>
      <w:pPr>
        <w:pStyle w:val="Bibliography"/>
      </w:pPr>
      <w:r>
        <w:t xml:space="preserve">Federal Trade Commission (2026).</w:t>
      </w:r>
      <w:r>
        <w:t xml:space="preserve"> </w:t>
      </w:r>
      <w:r>
        <w:t xml:space="preserve">«The Antitrust Laws»</w:t>
      </w:r>
      <w:r>
        <w:t xml:space="preserve">. 2026.</w:t>
      </w:r>
      <w:r>
        <w:t xml:space="preserve"> </w:t>
      </w:r>
      <w:hyperlink r:id="rId306">
        <w:r>
          <w:rPr>
            <w:rStyle w:val="Hyperlink"/>
          </w:rPr>
          <w:t xml:space="preserve">https://www.ftc.gov/advice-guidance/competition-guidance/guide-antitrust-laws/antitrust-laws</w:t>
        </w:r>
      </w:hyperlink>
      <w:r>
        <w:t xml:space="preserve">.</w:t>
      </w:r>
    </w:p>
    <w:bookmarkEnd w:id="307"/>
    <w:bookmarkStart w:id="309" w:name="ref_FMI2019WEO"/>
    <w:p>
      <w:pPr>
        <w:pStyle w:val="Bibliography"/>
      </w:pPr>
      <w:r>
        <w:t xml:space="preserve">Fondo Monetario Internacional (2019).</w:t>
      </w:r>
      <w:r>
        <w:t xml:space="preserve"> </w:t>
      </w:r>
      <w:r>
        <w:t xml:space="preserve">«The Rise of Corporate Market Power and Its Macroeconomic Effects»</w:t>
      </w:r>
      <w:r>
        <w:t xml:space="preserve">. En</w:t>
      </w:r>
      <w:r>
        <w:t xml:space="preserve"> </w:t>
      </w:r>
      <w:r>
        <w:rPr>
          <w:i/>
          <w:iCs/>
        </w:rPr>
        <w:t xml:space="preserve">World Economic Outlook, April 2019: Growth Slowdown, Precarious Recovery</w:t>
      </w:r>
      <w:r>
        <w:t xml:space="preserve">. Washington: FMI.</w:t>
      </w:r>
      <w:r>
        <w:t xml:space="preserve"> </w:t>
      </w:r>
      <w:hyperlink r:id="rId308">
        <w:r>
          <w:rPr>
            <w:rStyle w:val="Hyperlink"/>
          </w:rPr>
          <w:t xml:space="preserve">https://www.imf.org/en/Publications/WEO/Issues/2019/03/28/world-economic-outlook-april-2019</w:t>
        </w:r>
      </w:hyperlink>
      <w:r>
        <w:t xml:space="preserve">.</w:t>
      </w:r>
    </w:p>
    <w:bookmarkEnd w:id="309"/>
    <w:bookmarkStart w:id="311" w:name="ref_Freeland2000Creating"/>
    <w:p>
      <w:pPr>
        <w:pStyle w:val="Bibliography"/>
      </w:pPr>
      <w:r>
        <w:t xml:space="preserve">Freeland, Robert F. (2000).</w:t>
      </w:r>
      <w:r>
        <w:t xml:space="preserve"> </w:t>
      </w:r>
      <w:r>
        <w:t xml:space="preserve">«Creating Holdup through Vertical Integration: Fisher Body Revisited»</w:t>
      </w:r>
      <w:r>
        <w:t xml:space="preserve">.</w:t>
      </w:r>
      <w:r>
        <w:t xml:space="preserve"> </w:t>
      </w:r>
      <w:r>
        <w:rPr>
          <w:i/>
          <w:iCs/>
        </w:rPr>
        <w:t xml:space="preserve">Journal of Law and Economics</w:t>
      </w:r>
      <w:r>
        <w:t xml:space="preserve"> </w:t>
      </w:r>
      <w:r>
        <w:t xml:space="preserve">43 (1): 33-66.</w:t>
      </w:r>
      <w:r>
        <w:t xml:space="preserve"> </w:t>
      </w:r>
      <w:hyperlink r:id="rId310">
        <w:r>
          <w:rPr>
            <w:rStyle w:val="Hyperlink"/>
          </w:rPr>
          <w:t xml:space="preserve">https://doi.org/10.1086/467447</w:t>
        </w:r>
      </w:hyperlink>
      <w:r>
        <w:t xml:space="preserve">.</w:t>
      </w:r>
    </w:p>
    <w:bookmarkEnd w:id="311"/>
    <w:bookmarkStart w:id="312" w:name="ref_FudenbergTirole1984Fat"/>
    <w:p>
      <w:pPr>
        <w:pStyle w:val="Bibliography"/>
      </w:pPr>
      <w:r>
        <w:t xml:space="preserve">Fudenberg, Drew y Jean Tirole (1984).</w:t>
      </w:r>
      <w:r>
        <w:t xml:space="preserve"> </w:t>
      </w:r>
      <w:r>
        <w:t xml:space="preserve">«The Fat-Cat Effect, the Puppy-Dog Ploy, and the Lean and Hungry Look»</w:t>
      </w:r>
      <w:r>
        <w:t xml:space="preserve">.</w:t>
      </w:r>
      <w:r>
        <w:t xml:space="preserve"> </w:t>
      </w:r>
      <w:r>
        <w:rPr>
          <w:i/>
          <w:iCs/>
        </w:rPr>
        <w:t xml:space="preserve">American Economic Review</w:t>
      </w:r>
      <w:r>
        <w:t xml:space="preserve"> </w:t>
      </w:r>
      <w:r>
        <w:t xml:space="preserve">74 (2): 361-66.</w:t>
      </w:r>
    </w:p>
    <w:bookmarkEnd w:id="312"/>
    <w:bookmarkStart w:id="314" w:name="ref_GasmiLaffontVuong1992Econometric"/>
    <w:p>
      <w:pPr>
        <w:pStyle w:val="Bibliography"/>
      </w:pPr>
      <w:r>
        <w:t xml:space="preserve">Gasmi, Farid, Jean-Jacques Laffont y Quang Vuong (1992).</w:t>
      </w:r>
      <w:r>
        <w:t xml:space="preserve"> </w:t>
      </w:r>
      <w:r>
        <w:t xml:space="preserve">«Econometric Analysis of Collusive Behavior in a Soft-Drink Market»</w:t>
      </w:r>
      <w:r>
        <w:t xml:space="preserve">.</w:t>
      </w:r>
      <w:r>
        <w:t xml:space="preserve"> </w:t>
      </w:r>
      <w:r>
        <w:rPr>
          <w:i/>
          <w:iCs/>
        </w:rPr>
        <w:t xml:space="preserve">Journal of Economics and Management Strategy</w:t>
      </w:r>
      <w:r>
        <w:t xml:space="preserve"> </w:t>
      </w:r>
      <w:r>
        <w:t xml:space="preserve">1 (2): 277-311.</w:t>
      </w:r>
      <w:r>
        <w:t xml:space="preserve"> </w:t>
      </w:r>
      <w:hyperlink r:id="rId313">
        <w:r>
          <w:rPr>
            <w:rStyle w:val="Hyperlink"/>
          </w:rPr>
          <w:t xml:space="preserve">https://doi.org/10.1111/j.1430-9134.1992.00277.x</w:t>
        </w:r>
      </w:hyperlink>
      <w:r>
        <w:t xml:space="preserve">.</w:t>
      </w:r>
    </w:p>
    <w:bookmarkEnd w:id="314"/>
    <w:bookmarkStart w:id="315" w:name="ref_Gibrat1931Inegalites"/>
    <w:p>
      <w:pPr>
        <w:pStyle w:val="Bibliography"/>
      </w:pPr>
      <w:r>
        <w:t xml:space="preserve">Gibrat, Robert (1931).</w:t>
      </w:r>
      <w:r>
        <w:t xml:space="preserve"> </w:t>
      </w:r>
      <w:r>
        <w:rPr>
          <w:i/>
          <w:iCs/>
        </w:rPr>
        <w:t xml:space="preserve">Les inégalités économiques</w:t>
      </w:r>
      <w:r>
        <w:t xml:space="preserve">. París: Sirey.</w:t>
      </w:r>
    </w:p>
    <w:bookmarkEnd w:id="315"/>
    <w:bookmarkStart w:id="317" w:name="ref_GrossmanHart1986Costs"/>
    <w:p>
      <w:pPr>
        <w:pStyle w:val="Bibliography"/>
      </w:pPr>
      <w:r>
        <w:t xml:space="preserve">Grossman, Sanford J. y Oliver D. Hart (1986).</w:t>
      </w:r>
      <w:r>
        <w:t xml:space="preserve"> </w:t>
      </w:r>
      <w:r>
        <w:t xml:space="preserve">«The Costs and Benefits of Ownership: A Theory of Vertical and Lateral Integration»</w:t>
      </w:r>
      <w:r>
        <w:t xml:space="preserve">.</w:t>
      </w:r>
      <w:r>
        <w:t xml:space="preserve"> </w:t>
      </w:r>
      <w:r>
        <w:rPr>
          <w:i/>
          <w:iCs/>
        </w:rPr>
        <w:t xml:space="preserve">Journal of Political Economy</w:t>
      </w:r>
      <w:r>
        <w:t xml:space="preserve"> </w:t>
      </w:r>
      <w:r>
        <w:t xml:space="preserve">94 (4): 691-719.</w:t>
      </w:r>
      <w:r>
        <w:t xml:space="preserve"> </w:t>
      </w:r>
      <w:hyperlink r:id="rId316">
        <w:r>
          <w:rPr>
            <w:rStyle w:val="Hyperlink"/>
          </w:rPr>
          <w:t xml:space="preserve">https://doi.org/10.1086/261404</w:t>
        </w:r>
      </w:hyperlink>
      <w:r>
        <w:t xml:space="preserve">.</w:t>
      </w:r>
    </w:p>
    <w:bookmarkEnd w:id="317"/>
    <w:bookmarkStart w:id="318" w:name="ref_Hart1995Firms"/>
    <w:p>
      <w:pPr>
        <w:pStyle w:val="Bibliography"/>
      </w:pPr>
      <w:r>
        <w:t xml:space="preserve">Hart, Oliver (1995).</w:t>
      </w:r>
      <w:r>
        <w:t xml:space="preserve"> </w:t>
      </w:r>
      <w:r>
        <w:rPr>
          <w:i/>
          <w:iCs/>
        </w:rPr>
        <w:t xml:space="preserve">Firms, Contracts, and Financial Structure</w:t>
      </w:r>
      <w:r>
        <w:t xml:space="preserve">. Oxford: Clarendon Press.</w:t>
      </w:r>
    </w:p>
    <w:bookmarkEnd w:id="318"/>
    <w:bookmarkStart w:id="320" w:name="ref_Hart2017Incomplete"/>
    <w:p>
      <w:pPr>
        <w:pStyle w:val="Bibliography"/>
      </w:pPr>
      <w:r>
        <w:t xml:space="preserve">Hart, Oliver (2017).</w:t>
      </w:r>
      <w:r>
        <w:t xml:space="preserve"> </w:t>
      </w:r>
      <w:r>
        <w:t xml:space="preserve">«Incomplete Contracts and Control»</w:t>
      </w:r>
      <w:r>
        <w:t xml:space="preserve">.</w:t>
      </w:r>
      <w:r>
        <w:t xml:space="preserve"> </w:t>
      </w:r>
      <w:r>
        <w:rPr>
          <w:i/>
          <w:iCs/>
        </w:rPr>
        <w:t xml:space="preserve">American Economic Review</w:t>
      </w:r>
      <w:r>
        <w:t xml:space="preserve"> </w:t>
      </w:r>
      <w:r>
        <w:t xml:space="preserve">107 (7): 1731-52.</w:t>
      </w:r>
      <w:r>
        <w:t xml:space="preserve"> </w:t>
      </w:r>
      <w:hyperlink r:id="rId319">
        <w:r>
          <w:rPr>
            <w:rStyle w:val="Hyperlink"/>
          </w:rPr>
          <w:t xml:space="preserve">https://doi.org/10.1257/aer.107.7.1731</w:t>
        </w:r>
      </w:hyperlink>
      <w:r>
        <w:t xml:space="preserve">.</w:t>
      </w:r>
    </w:p>
    <w:bookmarkEnd w:id="320"/>
    <w:bookmarkStart w:id="322" w:name="ref_HartMoore1990Property"/>
    <w:p>
      <w:pPr>
        <w:pStyle w:val="Bibliography"/>
      </w:pPr>
      <w:r>
        <w:t xml:space="preserve">Hart, Oliver y John Moore (1990).</w:t>
      </w:r>
      <w:r>
        <w:t xml:space="preserve"> </w:t>
      </w:r>
      <w:r>
        <w:t xml:space="preserve">«Property Rights and the Nature of the Firm»</w:t>
      </w:r>
      <w:r>
        <w:t xml:space="preserve">.</w:t>
      </w:r>
      <w:r>
        <w:t xml:space="preserve"> </w:t>
      </w:r>
      <w:r>
        <w:rPr>
          <w:i/>
          <w:iCs/>
        </w:rPr>
        <w:t xml:space="preserve">Journal of Political Economy</w:t>
      </w:r>
      <w:r>
        <w:t xml:space="preserve"> </w:t>
      </w:r>
      <w:r>
        <w:t xml:space="preserve">98 (6): 1119-58.</w:t>
      </w:r>
      <w:r>
        <w:t xml:space="preserve"> </w:t>
      </w:r>
      <w:hyperlink r:id="rId321">
        <w:r>
          <w:rPr>
            <w:rStyle w:val="Hyperlink"/>
          </w:rPr>
          <w:t xml:space="preserve">https://doi.org/10.1086/261729</w:t>
        </w:r>
      </w:hyperlink>
      <w:r>
        <w:t xml:space="preserve">.</w:t>
      </w:r>
    </w:p>
    <w:bookmarkEnd w:id="322"/>
    <w:bookmarkStart w:id="324" w:name="ref_HartShleiferVishny1997Proper"/>
    <w:p>
      <w:pPr>
        <w:pStyle w:val="Bibliography"/>
      </w:pPr>
      <w:r>
        <w:t xml:space="preserve">Hart, Oliver, Andrei Shleifer y Robert W. Vishny (1997).</w:t>
      </w:r>
      <w:r>
        <w:t xml:space="preserve"> </w:t>
      </w:r>
      <w:r>
        <w:t xml:space="preserve">«The Proper Scope of Government: Theory and an Application to Prisons»</w:t>
      </w:r>
      <w:r>
        <w:t xml:space="preserve">.</w:t>
      </w:r>
      <w:r>
        <w:t xml:space="preserve"> </w:t>
      </w:r>
      <w:r>
        <w:rPr>
          <w:i/>
          <w:iCs/>
        </w:rPr>
        <w:t xml:space="preserve">Quarterly Journal of Economics</w:t>
      </w:r>
      <w:r>
        <w:t xml:space="preserve"> </w:t>
      </w:r>
      <w:r>
        <w:t xml:space="preserve">112 (4): 1127-61.</w:t>
      </w:r>
      <w:r>
        <w:t xml:space="preserve"> </w:t>
      </w:r>
      <w:hyperlink r:id="rId323">
        <w:r>
          <w:rPr>
            <w:rStyle w:val="Hyperlink"/>
          </w:rPr>
          <w:t xml:space="preserve">https://doi.org/10.1162/003355300555448</w:t>
        </w:r>
      </w:hyperlink>
      <w:r>
        <w:t xml:space="preserve">.</w:t>
      </w:r>
    </w:p>
    <w:bookmarkEnd w:id="324"/>
    <w:bookmarkStart w:id="326" w:name="ref_HartTirole1990Vertical"/>
    <w:p>
      <w:pPr>
        <w:pStyle w:val="Bibliography"/>
      </w:pPr>
      <w:r>
        <w:t xml:space="preserve">Hart, Oliver y Jean Tirole (1990).</w:t>
      </w:r>
      <w:r>
        <w:t xml:space="preserve"> </w:t>
      </w:r>
      <w:r>
        <w:t xml:space="preserve">«Vertical Integration and Market Foreclosure»</w:t>
      </w:r>
      <w:r>
        <w:t xml:space="preserve">.</w:t>
      </w:r>
      <w:r>
        <w:t xml:space="preserve"> </w:t>
      </w:r>
      <w:r>
        <w:rPr>
          <w:i/>
          <w:iCs/>
        </w:rPr>
        <w:t xml:space="preserve">Brookings Papers on Economic Activity. Microeconomics</w:t>
      </w:r>
      <w:r>
        <w:t xml:space="preserve">, 205-86.</w:t>
      </w:r>
      <w:r>
        <w:t xml:space="preserve"> </w:t>
      </w:r>
      <w:hyperlink r:id="rId325">
        <w:r>
          <w:rPr>
            <w:rStyle w:val="Hyperlink"/>
          </w:rPr>
          <w:t xml:space="preserve">https://doi.org/10.2307/2534783</w:t>
        </w:r>
      </w:hyperlink>
      <w:r>
        <w:t xml:space="preserve">.</w:t>
      </w:r>
    </w:p>
    <w:bookmarkEnd w:id="326"/>
    <w:bookmarkStart w:id="327" w:name="ref_Hayek1945Use"/>
    <w:p>
      <w:pPr>
        <w:pStyle w:val="Bibliography"/>
      </w:pPr>
      <w:r>
        <w:t xml:space="preserve">Hayek, Friedrich A. (1945).</w:t>
      </w:r>
      <w:r>
        <w:t xml:space="preserve"> </w:t>
      </w:r>
      <w:r>
        <w:t xml:space="preserve">«The Use of Knowledge in Society»</w:t>
      </w:r>
      <w:r>
        <w:t xml:space="preserve">.</w:t>
      </w:r>
      <w:r>
        <w:t xml:space="preserve"> </w:t>
      </w:r>
      <w:r>
        <w:rPr>
          <w:i/>
          <w:iCs/>
        </w:rPr>
        <w:t xml:space="preserve">American Economic Review</w:t>
      </w:r>
      <w:r>
        <w:t xml:space="preserve"> </w:t>
      </w:r>
      <w:r>
        <w:t xml:space="preserve">35 (4): 519-30.</w:t>
      </w:r>
    </w:p>
    <w:bookmarkEnd w:id="327"/>
    <w:bookmarkStart w:id="329" w:name="ref_HealyPalepu2003Fall"/>
    <w:p>
      <w:pPr>
        <w:pStyle w:val="Bibliography"/>
      </w:pPr>
      <w:r>
        <w:t xml:space="preserve">Healy, Paul M. y Krishna G. Palepu (2003).</w:t>
      </w:r>
      <w:r>
        <w:t xml:space="preserve"> </w:t>
      </w:r>
      <w:r>
        <w:t xml:space="preserve">«The Fall of Enron»</w:t>
      </w:r>
      <w:r>
        <w:t xml:space="preserve">.</w:t>
      </w:r>
      <w:r>
        <w:t xml:space="preserve"> </w:t>
      </w:r>
      <w:r>
        <w:rPr>
          <w:i/>
          <w:iCs/>
        </w:rPr>
        <w:t xml:space="preserve">Journal of Economic Perspectives</w:t>
      </w:r>
      <w:r>
        <w:t xml:space="preserve"> </w:t>
      </w:r>
      <w:r>
        <w:t xml:space="preserve">17 (2): 3-26.</w:t>
      </w:r>
      <w:r>
        <w:t xml:space="preserve"> </w:t>
      </w:r>
      <w:hyperlink r:id="rId328">
        <w:r>
          <w:rPr>
            <w:rStyle w:val="Hyperlink"/>
          </w:rPr>
          <w:t xml:space="preserve">https://doi.org/10.1257/089533003765888403</w:t>
        </w:r>
      </w:hyperlink>
      <w:r>
        <w:t xml:space="preserve">.</w:t>
      </w:r>
    </w:p>
    <w:bookmarkEnd w:id="329"/>
    <w:bookmarkStart w:id="331" w:name="ref_Hicks1935Annual"/>
    <w:p>
      <w:pPr>
        <w:pStyle w:val="Bibliography"/>
      </w:pPr>
      <w:r>
        <w:t xml:space="preserve">Hicks, John R. (1935).</w:t>
      </w:r>
      <w:r>
        <w:t xml:space="preserve"> </w:t>
      </w:r>
      <w:r>
        <w:t xml:space="preserve">«Annual Survey of Economic Theory: The Theory of Monopoly»</w:t>
      </w:r>
      <w:r>
        <w:t xml:space="preserve">.</w:t>
      </w:r>
      <w:r>
        <w:t xml:space="preserve"> </w:t>
      </w:r>
      <w:r>
        <w:rPr>
          <w:i/>
          <w:iCs/>
        </w:rPr>
        <w:t xml:space="preserve">Econometrica</w:t>
      </w:r>
      <w:r>
        <w:t xml:space="preserve"> </w:t>
      </w:r>
      <w:r>
        <w:t xml:space="preserve">3 (1): 1-20.</w:t>
      </w:r>
      <w:r>
        <w:t xml:space="preserve"> </w:t>
      </w:r>
      <w:hyperlink r:id="rId330">
        <w:r>
          <w:rPr>
            <w:rStyle w:val="Hyperlink"/>
          </w:rPr>
          <w:t xml:space="preserve">https://doi.org/10.2307/1907343</w:t>
        </w:r>
      </w:hyperlink>
      <w:r>
        <w:t xml:space="preserve">.</w:t>
      </w:r>
    </w:p>
    <w:bookmarkEnd w:id="331"/>
    <w:bookmarkStart w:id="333" w:name="ref_Holmstrom1979Moral"/>
    <w:p>
      <w:pPr>
        <w:pStyle w:val="Bibliography"/>
      </w:pPr>
      <w:r>
        <w:t xml:space="preserve">Holmström, Bengt (1979).</w:t>
      </w:r>
      <w:r>
        <w:t xml:space="preserve"> </w:t>
      </w:r>
      <w:r>
        <w:t xml:space="preserve">«Moral Hazard and Observability»</w:t>
      </w:r>
      <w:r>
        <w:t xml:space="preserve">.</w:t>
      </w:r>
      <w:r>
        <w:t xml:space="preserve"> </w:t>
      </w:r>
      <w:r>
        <w:rPr>
          <w:i/>
          <w:iCs/>
        </w:rPr>
        <w:t xml:space="preserve">Bell Journal of Economics</w:t>
      </w:r>
      <w:r>
        <w:t xml:space="preserve"> </w:t>
      </w:r>
      <w:r>
        <w:t xml:space="preserve">10 (1): 74-91.</w:t>
      </w:r>
      <w:r>
        <w:t xml:space="preserve"> </w:t>
      </w:r>
      <w:hyperlink r:id="rId332">
        <w:r>
          <w:rPr>
            <w:rStyle w:val="Hyperlink"/>
          </w:rPr>
          <w:t xml:space="preserve">https://doi.org/10.2307/3003320</w:t>
        </w:r>
      </w:hyperlink>
      <w:r>
        <w:t xml:space="preserve">.</w:t>
      </w:r>
    </w:p>
    <w:bookmarkEnd w:id="333"/>
    <w:bookmarkStart w:id="334" w:name="ref_Holmstrom1999Managerial"/>
    <w:p>
      <w:pPr>
        <w:pStyle w:val="Bibliography"/>
      </w:pPr>
      <w:r>
        <w:t xml:space="preserve">Holmström, Bengt (1999).</w:t>
      </w:r>
      <w:r>
        <w:t xml:space="preserve"> </w:t>
      </w:r>
      <w:r>
        <w:t xml:space="preserve">«Managerial Incentive Problems: A Dynamic Perspective»</w:t>
      </w:r>
      <w:r>
        <w:t xml:space="preserve">.</w:t>
      </w:r>
      <w:r>
        <w:t xml:space="preserve"> </w:t>
      </w:r>
      <w:r>
        <w:rPr>
          <w:i/>
          <w:iCs/>
        </w:rPr>
        <w:t xml:space="preserve">Review of Economic Studies</w:t>
      </w:r>
      <w:r>
        <w:t xml:space="preserve"> </w:t>
      </w:r>
      <w:r>
        <w:t xml:space="preserve">66 (1): 169-82.</w:t>
      </w:r>
    </w:p>
    <w:bookmarkEnd w:id="334"/>
    <w:bookmarkStart w:id="335" w:name="ref_HolmstromMilgrom1994Firm"/>
    <w:p>
      <w:pPr>
        <w:pStyle w:val="Bibliography"/>
      </w:pPr>
      <w:r>
        <w:t xml:space="preserve">Holmström, Bengt y Paul Milgrom (1994).</w:t>
      </w:r>
      <w:r>
        <w:t xml:space="preserve"> </w:t>
      </w:r>
      <w:r>
        <w:t xml:space="preserve">«The Firm as an Incentive System»</w:t>
      </w:r>
      <w:r>
        <w:t xml:space="preserve">.</w:t>
      </w:r>
      <w:r>
        <w:t xml:space="preserve"> </w:t>
      </w:r>
      <w:r>
        <w:rPr>
          <w:i/>
          <w:iCs/>
        </w:rPr>
        <w:t xml:space="preserve">American Economic Review</w:t>
      </w:r>
      <w:r>
        <w:t xml:space="preserve"> </w:t>
      </w:r>
      <w:r>
        <w:t xml:space="preserve">84 (4): 972-91.</w:t>
      </w:r>
    </w:p>
    <w:bookmarkEnd w:id="335"/>
    <w:bookmarkStart w:id="337" w:name="ref_INE2025DIRCE"/>
    <w:p>
      <w:pPr>
        <w:pStyle w:val="Bibliography"/>
      </w:pPr>
      <w:r>
        <w:t xml:space="preserve">Instituto Nacional de Estadística (2025).</w:t>
      </w:r>
      <w:r>
        <w:t xml:space="preserve"> </w:t>
      </w:r>
      <w:r>
        <w:t xml:space="preserve">«Directorio Central de Empresas (DIRCE). 1 de enero de 2025»</w:t>
      </w:r>
      <w:r>
        <w:t xml:space="preserve">. 11 de diciembre de 2025.</w:t>
      </w:r>
      <w:r>
        <w:t xml:space="preserve"> </w:t>
      </w:r>
      <w:hyperlink r:id="rId336">
        <w:r>
          <w:rPr>
            <w:rStyle w:val="Hyperlink"/>
          </w:rPr>
          <w:t xml:space="preserve">https://www.ine.es/dyngs/Prensa/DIRCE2025.htm</w:t>
        </w:r>
      </w:hyperlink>
      <w:r>
        <w:t xml:space="preserve">.</w:t>
      </w:r>
    </w:p>
    <w:bookmarkEnd w:id="337"/>
    <w:bookmarkStart w:id="339" w:name="ref_BOE2007LDC"/>
    <w:p>
      <w:pPr>
        <w:pStyle w:val="Bibliography"/>
      </w:pPr>
      <w:r>
        <w:t xml:space="preserve">Jefatura del Estado (2007).</w:t>
      </w:r>
      <w:r>
        <w:t xml:space="preserve"> </w:t>
      </w:r>
      <w:r>
        <w:t xml:space="preserve">«Ley 15/2007, de 3 de julio, de Defensa de la Competencia (texto consolidado)»</w:t>
      </w:r>
      <w:r>
        <w:t xml:space="preserve">. 4 de julio de 2007.</w:t>
      </w:r>
      <w:r>
        <w:t xml:space="preserve"> </w:t>
      </w:r>
      <w:hyperlink r:id="rId338">
        <w:r>
          <w:rPr>
            <w:rStyle w:val="Hyperlink"/>
          </w:rPr>
          <w:t xml:space="preserve">https://www.boe.es/buscar/act.php?id=BOE-A-2007-12946</w:t>
        </w:r>
      </w:hyperlink>
      <w:r>
        <w:t xml:space="preserve">.</w:t>
      </w:r>
    </w:p>
    <w:bookmarkEnd w:id="339"/>
    <w:bookmarkStart w:id="341" w:name="ref_Ley2014GobiernoCorporativo"/>
    <w:p>
      <w:pPr>
        <w:pStyle w:val="Bibliography"/>
      </w:pPr>
      <w:r>
        <w:t xml:space="preserve">Jefatura del Estado (2014).</w:t>
      </w:r>
      <w:r>
        <w:t xml:space="preserve"> </w:t>
      </w:r>
      <w:r>
        <w:t xml:space="preserve">«Ley 31/2014, de 3 de diciembre, por la que se modifica la Ley de Sociedades de Capital para la mejora del gobierno corporativo»</w:t>
      </w:r>
      <w:r>
        <w:t xml:space="preserve">. 2014.</w:t>
      </w:r>
      <w:r>
        <w:t xml:space="preserve"> </w:t>
      </w:r>
      <w:hyperlink r:id="rId340">
        <w:r>
          <w:rPr>
            <w:rStyle w:val="Hyperlink"/>
          </w:rPr>
          <w:t xml:space="preserve">https://www.boe.es/buscar/doc.php?id=BOE-A-2014-12589</w:t>
        </w:r>
      </w:hyperlink>
      <w:r>
        <w:t xml:space="preserve">.</w:t>
      </w:r>
    </w:p>
    <w:bookmarkEnd w:id="341"/>
    <w:bookmarkStart w:id="343" w:name="ref_BOE2015LO1"/>
    <w:p>
      <w:pPr>
        <w:pStyle w:val="Bibliography"/>
      </w:pPr>
      <w:r>
        <w:t xml:space="preserve">Jefatura del Estado (2015).</w:t>
      </w:r>
      <w:r>
        <w:t xml:space="preserve"> </w:t>
      </w:r>
      <w:r>
        <w:t xml:space="preserve">«Ley Orgánica 1/2015, de 30 de marzo, por la que se modifica la Ley Orgánica 10/1995, de 23 de noviembre, del Código Penal»</w:t>
      </w:r>
      <w:r>
        <w:t xml:space="preserve">. 31 de marzo de 2015.</w:t>
      </w:r>
      <w:r>
        <w:t xml:space="preserve"> </w:t>
      </w:r>
      <w:hyperlink r:id="rId342">
        <w:r>
          <w:rPr>
            <w:rStyle w:val="Hyperlink"/>
          </w:rPr>
          <w:t xml:space="preserve">https://www.boe.es/buscar/act.php?id=BOE-A-2015-3439</w:t>
        </w:r>
      </w:hyperlink>
      <w:r>
        <w:t xml:space="preserve">.</w:t>
      </w:r>
    </w:p>
    <w:bookmarkEnd w:id="343"/>
    <w:bookmarkStart w:id="345" w:name="ref_JensenMeckling1976Theory"/>
    <w:p>
      <w:pPr>
        <w:pStyle w:val="Bibliography"/>
      </w:pPr>
      <w:r>
        <w:t xml:space="preserve">Jensen, Michael C. y William H. Meckling (1976).</w:t>
      </w:r>
      <w:r>
        <w:t xml:space="preserve"> </w:t>
      </w:r>
      <w:r>
        <w:t xml:space="preserve">«Theory of the Firm: Managerial Behavior, Agency Costs and Ownership Structure»</w:t>
      </w:r>
      <w:r>
        <w:t xml:space="preserve">.</w:t>
      </w:r>
      <w:r>
        <w:t xml:space="preserve"> </w:t>
      </w:r>
      <w:r>
        <w:rPr>
          <w:i/>
          <w:iCs/>
        </w:rPr>
        <w:t xml:space="preserve">Journal of Financial Economics</w:t>
      </w:r>
      <w:r>
        <w:t xml:space="preserve"> </w:t>
      </w:r>
      <w:r>
        <w:t xml:space="preserve">3 (4): 305-60.</w:t>
      </w:r>
      <w:r>
        <w:t xml:space="preserve"> </w:t>
      </w:r>
      <w:hyperlink r:id="rId344">
        <w:r>
          <w:rPr>
            <w:rStyle w:val="Hyperlink"/>
          </w:rPr>
          <w:t xml:space="preserve">https://doi.org/10.1016/0304-405X(76)90026-X</w:t>
        </w:r>
      </w:hyperlink>
      <w:r>
        <w:t xml:space="preserve">.</w:t>
      </w:r>
    </w:p>
    <w:bookmarkEnd w:id="345"/>
    <w:bookmarkStart w:id="346" w:name="ref_Joskow1987Contract"/>
    <w:p>
      <w:pPr>
        <w:pStyle w:val="Bibliography"/>
      </w:pPr>
      <w:r>
        <w:t xml:space="preserve">Joskow, Paul L. (1987).</w:t>
      </w:r>
      <w:r>
        <w:t xml:space="preserve"> </w:t>
      </w:r>
      <w:r>
        <w:t xml:space="preserve">«Contract Duration and Relationship-Specific Investments: Empirical Evidence from Coal Markets»</w:t>
      </w:r>
      <w:r>
        <w:t xml:space="preserve">.</w:t>
      </w:r>
      <w:r>
        <w:t xml:space="preserve"> </w:t>
      </w:r>
      <w:r>
        <w:rPr>
          <w:i/>
          <w:iCs/>
        </w:rPr>
        <w:t xml:space="preserve">American Economic Review</w:t>
      </w:r>
      <w:r>
        <w:t xml:space="preserve"> </w:t>
      </w:r>
      <w:r>
        <w:t xml:space="preserve">77 (1): 168-85.</w:t>
      </w:r>
    </w:p>
    <w:bookmarkEnd w:id="346"/>
    <w:bookmarkStart w:id="348" w:name="ref_Judd1985Credible"/>
    <w:p>
      <w:pPr>
        <w:pStyle w:val="Bibliography"/>
      </w:pPr>
      <w:r>
        <w:t xml:space="preserve">Judd, Kenneth L. (1985).</w:t>
      </w:r>
      <w:r>
        <w:t xml:space="preserve"> </w:t>
      </w:r>
      <w:r>
        <w:t xml:space="preserve">«Credible Spatial Preemption»</w:t>
      </w:r>
      <w:r>
        <w:t xml:space="preserve">.</w:t>
      </w:r>
      <w:r>
        <w:t xml:space="preserve"> </w:t>
      </w:r>
      <w:r>
        <w:rPr>
          <w:i/>
          <w:iCs/>
        </w:rPr>
        <w:t xml:space="preserve">RAND Journal of Economics</w:t>
      </w:r>
      <w:r>
        <w:t xml:space="preserve"> </w:t>
      </w:r>
      <w:r>
        <w:t xml:space="preserve">16 (2): 153-66.</w:t>
      </w:r>
      <w:r>
        <w:t xml:space="preserve"> </w:t>
      </w:r>
      <w:hyperlink r:id="rId347">
        <w:r>
          <w:rPr>
            <w:rStyle w:val="Hyperlink"/>
          </w:rPr>
          <w:t xml:space="preserve">https://doi.org/10.2307/2555407</w:t>
        </w:r>
      </w:hyperlink>
      <w:r>
        <w:t xml:space="preserve">.</w:t>
      </w:r>
    </w:p>
    <w:bookmarkEnd w:id="348"/>
    <w:bookmarkStart w:id="350" w:name="ref_Kaldor1934Equilibrium"/>
    <w:p>
      <w:pPr>
        <w:pStyle w:val="Bibliography"/>
      </w:pPr>
      <w:r>
        <w:t xml:space="preserve">Kaldor, Nicholas (1934).</w:t>
      </w:r>
      <w:r>
        <w:t xml:space="preserve"> </w:t>
      </w:r>
      <w:r>
        <w:t xml:space="preserve">«The Equilibrium of the Firm»</w:t>
      </w:r>
      <w:r>
        <w:t xml:space="preserve">.</w:t>
      </w:r>
      <w:r>
        <w:t xml:space="preserve"> </w:t>
      </w:r>
      <w:r>
        <w:rPr>
          <w:i/>
          <w:iCs/>
        </w:rPr>
        <w:t xml:space="preserve">Economic Journal</w:t>
      </w:r>
      <w:r>
        <w:t xml:space="preserve"> </w:t>
      </w:r>
      <w:r>
        <w:t xml:space="preserve">44 (173): 60-76.</w:t>
      </w:r>
      <w:r>
        <w:t xml:space="preserve"> </w:t>
      </w:r>
      <w:hyperlink r:id="rId349">
        <w:r>
          <w:rPr>
            <w:rStyle w:val="Hyperlink"/>
          </w:rPr>
          <w:t xml:space="preserve">https://doi.org/10.2307/2224727</w:t>
        </w:r>
      </w:hyperlink>
      <w:r>
        <w:t xml:space="preserve">.</w:t>
      </w:r>
    </w:p>
    <w:bookmarkEnd w:id="350"/>
    <w:bookmarkStart w:id="351" w:name="ref_Kirzner1973Competition"/>
    <w:p>
      <w:pPr>
        <w:pStyle w:val="Bibliography"/>
      </w:pPr>
      <w:r>
        <w:t xml:space="preserve">Kirzner, Israel M. (1973).</w:t>
      </w:r>
      <w:r>
        <w:t xml:space="preserve"> </w:t>
      </w:r>
      <w:r>
        <w:rPr>
          <w:i/>
          <w:iCs/>
        </w:rPr>
        <w:t xml:space="preserve">Competition and Entrepreneurship</w:t>
      </w:r>
      <w:r>
        <w:t xml:space="preserve">. Chicago: University of Chicago Press.</w:t>
      </w:r>
    </w:p>
    <w:bookmarkEnd w:id="351"/>
    <w:bookmarkStart w:id="353" w:name="ref_Klein2000Fisher"/>
    <w:p>
      <w:pPr>
        <w:pStyle w:val="Bibliography"/>
      </w:pPr>
      <w:r>
        <w:t xml:space="preserve">Klein, Benjamin (2000).</w:t>
      </w:r>
      <w:r>
        <w:t xml:space="preserve"> </w:t>
      </w:r>
      <w:r>
        <w:t xml:space="preserve">«Fisher–General Motors and the Nature of the Firm»</w:t>
      </w:r>
      <w:r>
        <w:t xml:space="preserve">.</w:t>
      </w:r>
      <w:r>
        <w:t xml:space="preserve"> </w:t>
      </w:r>
      <w:r>
        <w:rPr>
          <w:i/>
          <w:iCs/>
        </w:rPr>
        <w:t xml:space="preserve">Journal of Law and Economics</w:t>
      </w:r>
      <w:r>
        <w:t xml:space="preserve"> </w:t>
      </w:r>
      <w:r>
        <w:t xml:space="preserve">43 (1): 105-42.</w:t>
      </w:r>
      <w:r>
        <w:t xml:space="preserve"> </w:t>
      </w:r>
      <w:hyperlink r:id="rId352">
        <w:r>
          <w:rPr>
            <w:rStyle w:val="Hyperlink"/>
          </w:rPr>
          <w:t xml:space="preserve">https://doi.org/10.1086/467449</w:t>
        </w:r>
      </w:hyperlink>
      <w:r>
        <w:t xml:space="preserve">.</w:t>
      </w:r>
    </w:p>
    <w:bookmarkEnd w:id="353"/>
    <w:bookmarkStart w:id="355" w:name="ref_KleinCrawfordAlchian1978Vertical"/>
    <w:p>
      <w:pPr>
        <w:pStyle w:val="Bibliography"/>
      </w:pPr>
      <w:r>
        <w:t xml:space="preserve">Klein, Benjamin, Robert G. Crawford y Armen A. Alchian (1978).</w:t>
      </w:r>
      <w:r>
        <w:t xml:space="preserve"> </w:t>
      </w:r>
      <w:r>
        <w:t xml:space="preserve">«Vertical Integration, Appropriable Rents, and the Competitive Contracting Process»</w:t>
      </w:r>
      <w:r>
        <w:t xml:space="preserve">.</w:t>
      </w:r>
      <w:r>
        <w:t xml:space="preserve"> </w:t>
      </w:r>
      <w:r>
        <w:rPr>
          <w:i/>
          <w:iCs/>
        </w:rPr>
        <w:t xml:space="preserve">Journal of Law and Economics</w:t>
      </w:r>
      <w:r>
        <w:t xml:space="preserve"> </w:t>
      </w:r>
      <w:r>
        <w:t xml:space="preserve">21 (2): 297-326.</w:t>
      </w:r>
      <w:r>
        <w:t xml:space="preserve"> </w:t>
      </w:r>
      <w:hyperlink r:id="rId354">
        <w:r>
          <w:rPr>
            <w:rStyle w:val="Hyperlink"/>
          </w:rPr>
          <w:t xml:space="preserve">https://doi.org/10.1086/466922</w:t>
        </w:r>
      </w:hyperlink>
      <w:r>
        <w:t xml:space="preserve">.</w:t>
      </w:r>
    </w:p>
    <w:bookmarkEnd w:id="355"/>
    <w:bookmarkStart w:id="357" w:name="ref_KrepsWilson1982Reputation"/>
    <w:p>
      <w:pPr>
        <w:pStyle w:val="Bibliography"/>
      </w:pPr>
      <w:r>
        <w:t xml:space="preserve">Kreps, David M. y Robert B. Wilson (1982).</w:t>
      </w:r>
      <w:r>
        <w:t xml:space="preserve"> </w:t>
      </w:r>
      <w:r>
        <w:t xml:space="preserve">«Reputation and Imperfect Information»</w:t>
      </w:r>
      <w:r>
        <w:t xml:space="preserve">.</w:t>
      </w:r>
      <w:r>
        <w:t xml:space="preserve"> </w:t>
      </w:r>
      <w:r>
        <w:rPr>
          <w:i/>
          <w:iCs/>
        </w:rPr>
        <w:t xml:space="preserve">Journal of Economic Theory</w:t>
      </w:r>
      <w:r>
        <w:t xml:space="preserve"> </w:t>
      </w:r>
      <w:r>
        <w:t xml:space="preserve">27 (2): 253-79.</w:t>
      </w:r>
      <w:r>
        <w:t xml:space="preserve"> </w:t>
      </w:r>
      <w:hyperlink r:id="rId356">
        <w:r>
          <w:rPr>
            <w:rStyle w:val="Hyperlink"/>
          </w:rPr>
          <w:t xml:space="preserve">https://doi.org/10.1016/0022-0531(82)90030-8</w:t>
        </w:r>
      </w:hyperlink>
      <w:r>
        <w:t xml:space="preserve">.</w:t>
      </w:r>
    </w:p>
    <w:bookmarkEnd w:id="357"/>
    <w:bookmarkStart w:id="359" w:name="ref_LaffontReyTirole1998NetworkI"/>
    <w:p>
      <w:pPr>
        <w:pStyle w:val="Bibliography"/>
      </w:pPr>
      <w:r>
        <w:t xml:space="preserve">Laffont, Jean-Jacques, Patrick Rey y Jean Tirole (1998).</w:t>
      </w:r>
      <w:r>
        <w:t xml:space="preserve"> </w:t>
      </w:r>
      <w:r>
        <w:t xml:space="preserve">«Network Competition: I. Overview and Nondiscriminatory Pricing»</w:t>
      </w:r>
      <w:r>
        <w:t xml:space="preserve">.</w:t>
      </w:r>
      <w:r>
        <w:t xml:space="preserve"> </w:t>
      </w:r>
      <w:r>
        <w:rPr>
          <w:i/>
          <w:iCs/>
        </w:rPr>
        <w:t xml:space="preserve">RAND Journal of Economics</w:t>
      </w:r>
      <w:r>
        <w:t xml:space="preserve"> </w:t>
      </w:r>
      <w:r>
        <w:t xml:space="preserve">29 (1): 1-37.</w:t>
      </w:r>
      <w:r>
        <w:t xml:space="preserve"> </w:t>
      </w:r>
      <w:hyperlink r:id="rId358">
        <w:r>
          <w:rPr>
            <w:rStyle w:val="Hyperlink"/>
          </w:rPr>
          <w:t xml:space="preserve">https://doi.org/10.2307/2555814</w:t>
        </w:r>
      </w:hyperlink>
      <w:r>
        <w:t xml:space="preserve">.</w:t>
      </w:r>
    </w:p>
    <w:bookmarkEnd w:id="359"/>
    <w:bookmarkStart w:id="361" w:name="ref_LaffontTirole1986Using"/>
    <w:p>
      <w:pPr>
        <w:pStyle w:val="Bibliography"/>
      </w:pPr>
      <w:r>
        <w:t xml:space="preserve">Laffont, Jean-Jacques y Jean Tirole (1986).</w:t>
      </w:r>
      <w:r>
        <w:t xml:space="preserve"> </w:t>
      </w:r>
      <w:r>
        <w:t xml:space="preserve">«Using Cost Observation to Regulate Firms»</w:t>
      </w:r>
      <w:r>
        <w:t xml:space="preserve">.</w:t>
      </w:r>
      <w:r>
        <w:t xml:space="preserve"> </w:t>
      </w:r>
      <w:r>
        <w:rPr>
          <w:i/>
          <w:iCs/>
        </w:rPr>
        <w:t xml:space="preserve">Journal of Political Economy</w:t>
      </w:r>
      <w:r>
        <w:t xml:space="preserve"> </w:t>
      </w:r>
      <w:r>
        <w:t xml:space="preserve">94 (3): 614-41.</w:t>
      </w:r>
      <w:r>
        <w:t xml:space="preserve"> </w:t>
      </w:r>
      <w:hyperlink r:id="rId360">
        <w:r>
          <w:rPr>
            <w:rStyle w:val="Hyperlink"/>
          </w:rPr>
          <w:t xml:space="preserve">https://doi.org/10.1086/261392</w:t>
        </w:r>
      </w:hyperlink>
      <w:r>
        <w:t xml:space="preserve">.</w:t>
      </w:r>
    </w:p>
    <w:bookmarkEnd w:id="361"/>
    <w:bookmarkStart w:id="362" w:name="ref_LaffontTirole1993Theory"/>
    <w:p>
      <w:pPr>
        <w:pStyle w:val="Bibliography"/>
      </w:pPr>
      <w:r>
        <w:t xml:space="preserve">Laffont, Jean-Jacques y Jean Tirole (1993).</w:t>
      </w:r>
      <w:r>
        <w:t xml:space="preserve"> </w:t>
      </w:r>
      <w:r>
        <w:rPr>
          <w:i/>
          <w:iCs/>
        </w:rPr>
        <w:t xml:space="preserve">A Theory of Incentives in Procurement and Regulation</w:t>
      </w:r>
      <w:r>
        <w:t xml:space="preserve">. Cambridge (Massachusetts): MIT Press.</w:t>
      </w:r>
    </w:p>
    <w:bookmarkEnd w:id="362"/>
    <w:bookmarkStart w:id="363" w:name="ref_LaffontTirole2000Competition"/>
    <w:p>
      <w:pPr>
        <w:pStyle w:val="Bibliography"/>
      </w:pPr>
      <w:r>
        <w:t xml:space="preserve">Laffont, Jean-Jacques y Jean Tirole (2000).</w:t>
      </w:r>
      <w:r>
        <w:t xml:space="preserve"> </w:t>
      </w:r>
      <w:r>
        <w:rPr>
          <w:i/>
          <w:iCs/>
        </w:rPr>
        <w:t xml:space="preserve">Competition in Telecommunications</w:t>
      </w:r>
      <w:r>
        <w:t xml:space="preserve">. Cambridge (Massachusetts): MIT Press.</w:t>
      </w:r>
    </w:p>
    <w:bookmarkEnd w:id="363"/>
    <w:bookmarkStart w:id="365" w:name="ref_LafontaineSlade2007Vertical"/>
    <w:p>
      <w:pPr>
        <w:pStyle w:val="Bibliography"/>
      </w:pPr>
      <w:r>
        <w:t xml:space="preserve">Lafontaine, Francine y Margaret Slade (2007).</w:t>
      </w:r>
      <w:r>
        <w:t xml:space="preserve"> </w:t>
      </w:r>
      <w:r>
        <w:t xml:space="preserve">«Vertical Integration and Firm Boundaries: The Evidence»</w:t>
      </w:r>
      <w:r>
        <w:t xml:space="preserve">.</w:t>
      </w:r>
      <w:r>
        <w:t xml:space="preserve"> </w:t>
      </w:r>
      <w:r>
        <w:rPr>
          <w:i/>
          <w:iCs/>
        </w:rPr>
        <w:t xml:space="preserve">Journal of Economic Literature</w:t>
      </w:r>
      <w:r>
        <w:t xml:space="preserve"> </w:t>
      </w:r>
      <w:r>
        <w:t xml:space="preserve">45 (3): 629-85.</w:t>
      </w:r>
      <w:r>
        <w:t xml:space="preserve"> </w:t>
      </w:r>
      <w:hyperlink r:id="rId364">
        <w:r>
          <w:rPr>
            <w:rStyle w:val="Hyperlink"/>
          </w:rPr>
          <w:t xml:space="preserve">https://doi.org/10.1257/jel.45.3.629</w:t>
        </w:r>
      </w:hyperlink>
      <w:r>
        <w:t xml:space="preserve">.</w:t>
      </w:r>
    </w:p>
    <w:bookmarkEnd w:id="365"/>
    <w:bookmarkStart w:id="367" w:name="ref_Leibenstein1966Allocative"/>
    <w:p>
      <w:pPr>
        <w:pStyle w:val="Bibliography"/>
      </w:pPr>
      <w:r>
        <w:t xml:space="preserve">Leibenstein, Harvey (1966).</w:t>
      </w:r>
      <w:r>
        <w:t xml:space="preserve"> </w:t>
      </w:r>
      <w:r>
        <w:t xml:space="preserve">«Allocative Efficiency vs.</w:t>
      </w:r>
      <w:r>
        <w:t xml:space="preserve"> </w:t>
      </w:r>
      <w:r>
        <w:t xml:space="preserve">“X-Efficiency”</w:t>
      </w:r>
      <w:r>
        <w:t xml:space="preserve">»</w:t>
      </w:r>
      <w:r>
        <w:t xml:space="preserve">.</w:t>
      </w:r>
      <w:r>
        <w:t xml:space="preserve"> </w:t>
      </w:r>
      <w:r>
        <w:rPr>
          <w:i/>
          <w:iCs/>
        </w:rPr>
        <w:t xml:space="preserve">American Economic Review</w:t>
      </w:r>
      <w:r>
        <w:t xml:space="preserve"> </w:t>
      </w:r>
      <w:r>
        <w:t xml:space="preserve">56 (3): 392-415.</w:t>
      </w:r>
      <w:r>
        <w:t xml:space="preserve"> </w:t>
      </w:r>
      <w:hyperlink r:id="rId366">
        <w:r>
          <w:rPr>
            <w:rStyle w:val="Hyperlink"/>
          </w:rPr>
          <w:t xml:space="preserve">https://www.jstor.org/stable/1823775</w:t>
        </w:r>
      </w:hyperlink>
      <w:r>
        <w:t xml:space="preserve">.</w:t>
      </w:r>
    </w:p>
    <w:bookmarkEnd w:id="367"/>
    <w:bookmarkStart w:id="368" w:name="ref_LipczynskiWilsonGoddard2017Ind_37140"/>
    <w:p>
      <w:pPr>
        <w:pStyle w:val="Bibliography"/>
      </w:pPr>
      <w:r>
        <w:t xml:space="preserve">Lipczynski, John, John O. S. Wilson y John Goddard (2017).</w:t>
      </w:r>
      <w:r>
        <w:t xml:space="preserve"> </w:t>
      </w:r>
      <w:r>
        <w:rPr>
          <w:i/>
          <w:iCs/>
        </w:rPr>
        <w:t xml:space="preserve">Industrial Organization: Competition, Strategy and Policy</w:t>
      </w:r>
      <w:r>
        <w:t xml:space="preserve">. 5.ª ed. Harlow: Pearson.</w:t>
      </w:r>
    </w:p>
    <w:bookmarkEnd w:id="368"/>
    <w:bookmarkStart w:id="369" w:name="ref_Littlechild1983Regulation"/>
    <w:p>
      <w:pPr>
        <w:pStyle w:val="Bibliography"/>
      </w:pPr>
      <w:r>
        <w:t xml:space="preserve">Littlechild, Stephen C. (1983).</w:t>
      </w:r>
      <w:r>
        <w:t xml:space="preserve"> </w:t>
      </w:r>
      <w:r>
        <w:t xml:space="preserve">«Regulation of British Telecommunications’ Profitability»</w:t>
      </w:r>
      <w:r>
        <w:t xml:space="preserve">. London: Department of Industry.</w:t>
      </w:r>
    </w:p>
    <w:bookmarkEnd w:id="369"/>
    <w:bookmarkStart w:id="371" w:name="ref_Manne1965Mergers"/>
    <w:p>
      <w:pPr>
        <w:pStyle w:val="Bibliography"/>
      </w:pPr>
      <w:r>
        <w:t xml:space="preserve">Manne, Henry G. (1965).</w:t>
      </w:r>
      <w:r>
        <w:t xml:space="preserve"> </w:t>
      </w:r>
      <w:r>
        <w:t xml:space="preserve">«Mergers and the Market for Corporate Control»</w:t>
      </w:r>
      <w:r>
        <w:t xml:space="preserve">.</w:t>
      </w:r>
      <w:r>
        <w:t xml:space="preserve"> </w:t>
      </w:r>
      <w:r>
        <w:rPr>
          <w:i/>
          <w:iCs/>
        </w:rPr>
        <w:t xml:space="preserve">Journal of Political Economy</w:t>
      </w:r>
      <w:r>
        <w:t xml:space="preserve"> </w:t>
      </w:r>
      <w:r>
        <w:t xml:space="preserve">73 (2): 110-20.</w:t>
      </w:r>
      <w:r>
        <w:t xml:space="preserve"> </w:t>
      </w:r>
      <w:hyperlink r:id="rId370">
        <w:r>
          <w:rPr>
            <w:rStyle w:val="Hyperlink"/>
          </w:rPr>
          <w:t xml:space="preserve">https://doi.org/10.1086/259000</w:t>
        </w:r>
      </w:hyperlink>
      <w:r>
        <w:t xml:space="preserve">.</w:t>
      </w:r>
    </w:p>
    <w:bookmarkEnd w:id="371"/>
    <w:bookmarkStart w:id="373" w:name="ref_Marris1963Model"/>
    <w:p>
      <w:pPr>
        <w:pStyle w:val="Bibliography"/>
      </w:pPr>
      <w:r>
        <w:t xml:space="preserve">Marris, Robin (1963).</w:t>
      </w:r>
      <w:r>
        <w:t xml:space="preserve"> </w:t>
      </w:r>
      <w:r>
        <w:t xml:space="preserve">«A Model of the «Managerial» Enterprise»</w:t>
      </w:r>
      <w:r>
        <w:t xml:space="preserve">.</w:t>
      </w:r>
      <w:r>
        <w:t xml:space="preserve"> </w:t>
      </w:r>
      <w:r>
        <w:rPr>
          <w:i/>
          <w:iCs/>
        </w:rPr>
        <w:t xml:space="preserve">Quarterly Journal of Economics</w:t>
      </w:r>
      <w:r>
        <w:t xml:space="preserve"> </w:t>
      </w:r>
      <w:r>
        <w:t xml:space="preserve">77 (2): 185-209.</w:t>
      </w:r>
      <w:r>
        <w:t xml:space="preserve"> </w:t>
      </w:r>
      <w:hyperlink r:id="rId372">
        <w:r>
          <w:rPr>
            <w:rStyle w:val="Hyperlink"/>
          </w:rPr>
          <w:t xml:space="preserve">https://doi.org/10.2307/1884399</w:t>
        </w:r>
      </w:hyperlink>
      <w:r>
        <w:t xml:space="preserve">.</w:t>
      </w:r>
    </w:p>
    <w:bookmarkEnd w:id="373"/>
    <w:bookmarkStart w:id="374" w:name="ref_Marris1964Economic"/>
    <w:p>
      <w:pPr>
        <w:pStyle w:val="Bibliography"/>
      </w:pPr>
      <w:r>
        <w:t xml:space="preserve">Marris, Robin (1964).</w:t>
      </w:r>
      <w:r>
        <w:t xml:space="preserve"> </w:t>
      </w:r>
      <w:r>
        <w:rPr>
          <w:i/>
          <w:iCs/>
        </w:rPr>
        <w:t xml:space="preserve">The Economic Theory of «Managerial» Capitalism</w:t>
      </w:r>
      <w:r>
        <w:t xml:space="preserve">. Londres: Macmillan.</w:t>
      </w:r>
    </w:p>
    <w:bookmarkEnd w:id="374"/>
    <w:bookmarkStart w:id="375" w:name="ref_Mason1939Price"/>
    <w:p>
      <w:pPr>
        <w:pStyle w:val="Bibliography"/>
      </w:pPr>
      <w:r>
        <w:t xml:space="preserve">Mason, Edward S. (1939).</w:t>
      </w:r>
      <w:r>
        <w:t xml:space="preserve"> </w:t>
      </w:r>
      <w:r>
        <w:t xml:space="preserve">«Price and Production Policies of Large-Scale Enterprise»</w:t>
      </w:r>
      <w:r>
        <w:t xml:space="preserve">.</w:t>
      </w:r>
      <w:r>
        <w:t xml:space="preserve"> </w:t>
      </w:r>
      <w:r>
        <w:rPr>
          <w:i/>
          <w:iCs/>
        </w:rPr>
        <w:t xml:space="preserve">American Economic Review</w:t>
      </w:r>
      <w:r>
        <w:t xml:space="preserve"> </w:t>
      </w:r>
      <w:r>
        <w:t xml:space="preserve">29 (1): 61-74.</w:t>
      </w:r>
    </w:p>
    <w:bookmarkEnd w:id="375"/>
    <w:bookmarkStart w:id="376" w:name="ref_McAfeeMialonWilliams2004What"/>
    <w:p>
      <w:pPr>
        <w:pStyle w:val="Bibliography"/>
      </w:pPr>
      <w:r>
        <w:t xml:space="preserve">McAfee, R. Preston, Hugo M. Mialon y Michael A. Williams (2004).</w:t>
      </w:r>
      <w:r>
        <w:t xml:space="preserve"> </w:t>
      </w:r>
      <w:r>
        <w:t xml:space="preserve">«What Is a Barrier to Entry?»</w:t>
      </w:r>
      <w:r>
        <w:t xml:space="preserve"> </w:t>
      </w:r>
      <w:r>
        <w:rPr>
          <w:i/>
          <w:iCs/>
        </w:rPr>
        <w:t xml:space="preserve">American Economic Review</w:t>
      </w:r>
      <w:r>
        <w:t xml:space="preserve"> </w:t>
      </w:r>
      <w:r>
        <w:t xml:space="preserve">94 (2): 461-65.</w:t>
      </w:r>
    </w:p>
    <w:bookmarkEnd w:id="376"/>
    <w:bookmarkStart w:id="378" w:name="ref_McGee1958Predatory"/>
    <w:p>
      <w:pPr>
        <w:pStyle w:val="Bibliography"/>
      </w:pPr>
      <w:r>
        <w:t xml:space="preserve">McGee, John S. (1958).</w:t>
      </w:r>
      <w:r>
        <w:t xml:space="preserve"> </w:t>
      </w:r>
      <w:r>
        <w:t xml:space="preserve">«Predatory Price Cutting: The Standard Oil (N. J.) Case»</w:t>
      </w:r>
      <w:r>
        <w:t xml:space="preserve">.</w:t>
      </w:r>
      <w:r>
        <w:t xml:space="preserve"> </w:t>
      </w:r>
      <w:r>
        <w:rPr>
          <w:i/>
          <w:iCs/>
        </w:rPr>
        <w:t xml:space="preserve">Journal of Law and Economics</w:t>
      </w:r>
      <w:r>
        <w:t xml:space="preserve"> </w:t>
      </w:r>
      <w:r>
        <w:t xml:space="preserve">1: 137-69.</w:t>
      </w:r>
      <w:r>
        <w:t xml:space="preserve"> </w:t>
      </w:r>
      <w:hyperlink r:id="rId377">
        <w:r>
          <w:rPr>
            <w:rStyle w:val="Hyperlink"/>
          </w:rPr>
          <w:t xml:space="preserve">https://doi.org/10.1086/466547</w:t>
        </w:r>
      </w:hyperlink>
      <w:r>
        <w:t xml:space="preserve">.</w:t>
      </w:r>
    </w:p>
    <w:bookmarkEnd w:id="378"/>
    <w:bookmarkStart w:id="380" w:name="ref_MilgromRoberts1982Limit"/>
    <w:p>
      <w:pPr>
        <w:pStyle w:val="Bibliography"/>
      </w:pPr>
      <w:r>
        <w:t xml:space="preserve">Milgrom, Paul y John Roberts (1982a).</w:t>
      </w:r>
      <w:r>
        <w:t xml:space="preserve"> </w:t>
      </w:r>
      <w:r>
        <w:t xml:space="preserve">«Limit Pricing and Entry under Incomplete Information: An Equilibrium Analysis»</w:t>
      </w:r>
      <w:r>
        <w:t xml:space="preserve">.</w:t>
      </w:r>
      <w:r>
        <w:t xml:space="preserve"> </w:t>
      </w:r>
      <w:r>
        <w:rPr>
          <w:i/>
          <w:iCs/>
        </w:rPr>
        <w:t xml:space="preserve">Econometrica</w:t>
      </w:r>
      <w:r>
        <w:t xml:space="preserve"> </w:t>
      </w:r>
      <w:r>
        <w:t xml:space="preserve">50 (2): 443-59.</w:t>
      </w:r>
      <w:r>
        <w:t xml:space="preserve"> </w:t>
      </w:r>
      <w:hyperlink r:id="rId379">
        <w:r>
          <w:rPr>
            <w:rStyle w:val="Hyperlink"/>
          </w:rPr>
          <w:t xml:space="preserve">https://doi.org/10.2307/1912637</w:t>
        </w:r>
      </w:hyperlink>
      <w:r>
        <w:t xml:space="preserve">.</w:t>
      </w:r>
    </w:p>
    <w:bookmarkEnd w:id="380"/>
    <w:bookmarkStart w:id="382" w:name="ref_MilgromRoberts1982Predation"/>
    <w:p>
      <w:pPr>
        <w:pStyle w:val="Bibliography"/>
      </w:pPr>
      <w:r>
        <w:t xml:space="preserve">Milgrom, Paul y John Roberts (1982b).</w:t>
      </w:r>
      <w:r>
        <w:t xml:space="preserve"> </w:t>
      </w:r>
      <w:r>
        <w:t xml:space="preserve">«Predation, Reputation, and Entry Deterrence»</w:t>
      </w:r>
      <w:r>
        <w:t xml:space="preserve">.</w:t>
      </w:r>
      <w:r>
        <w:t xml:space="preserve"> </w:t>
      </w:r>
      <w:r>
        <w:rPr>
          <w:i/>
          <w:iCs/>
        </w:rPr>
        <w:t xml:space="preserve">Journal of Economic Theory</w:t>
      </w:r>
      <w:r>
        <w:t xml:space="preserve"> </w:t>
      </w:r>
      <w:r>
        <w:t xml:space="preserve">27 (2): 280-312.</w:t>
      </w:r>
      <w:r>
        <w:t xml:space="preserve"> </w:t>
      </w:r>
      <w:hyperlink r:id="rId381">
        <w:r>
          <w:rPr>
            <w:rStyle w:val="Hyperlink"/>
          </w:rPr>
          <w:t xml:space="preserve">https://doi.org/10.1016/0022-0531(82)90031-X</w:t>
        </w:r>
      </w:hyperlink>
      <w:r>
        <w:t xml:space="preserve">.</w:t>
      </w:r>
    </w:p>
    <w:bookmarkEnd w:id="382"/>
    <w:bookmarkStart w:id="384" w:name="ref_Modigliani1958New"/>
    <w:p>
      <w:pPr>
        <w:pStyle w:val="Bibliography"/>
      </w:pPr>
      <w:r>
        <w:t xml:space="preserve">Modigliani, Franco (1958).</w:t>
      </w:r>
      <w:r>
        <w:t xml:space="preserve"> </w:t>
      </w:r>
      <w:r>
        <w:t xml:space="preserve">«New Developments on the Oligopoly Front»</w:t>
      </w:r>
      <w:r>
        <w:t xml:space="preserve">.</w:t>
      </w:r>
      <w:r>
        <w:t xml:space="preserve"> </w:t>
      </w:r>
      <w:r>
        <w:rPr>
          <w:i/>
          <w:iCs/>
        </w:rPr>
        <w:t xml:space="preserve">Journal of Political Economy</w:t>
      </w:r>
      <w:r>
        <w:t xml:space="preserve"> </w:t>
      </w:r>
      <w:r>
        <w:t xml:space="preserve">66 (3): 215-32.</w:t>
      </w:r>
      <w:r>
        <w:t xml:space="preserve"> </w:t>
      </w:r>
      <w:hyperlink r:id="rId383">
        <w:r>
          <w:rPr>
            <w:rStyle w:val="Hyperlink"/>
          </w:rPr>
          <w:t xml:space="preserve">https://doi.org/10.1086/258035</w:t>
        </w:r>
      </w:hyperlink>
      <w:r>
        <w:t xml:space="preserve">.</w:t>
      </w:r>
    </w:p>
    <w:bookmarkEnd w:id="384"/>
    <w:bookmarkStart w:id="386" w:name="ref_MonteverdeTeece1982Supplier"/>
    <w:p>
      <w:pPr>
        <w:pStyle w:val="Bibliography"/>
      </w:pPr>
      <w:r>
        <w:t xml:space="preserve">Monteverde, Kirk y David J. Teece (1982).</w:t>
      </w:r>
      <w:r>
        <w:t xml:space="preserve"> </w:t>
      </w:r>
      <w:r>
        <w:t xml:space="preserve">«Supplier Switching Costs and Vertical Integration in the Automobile Industry»</w:t>
      </w:r>
      <w:r>
        <w:t xml:space="preserve">.</w:t>
      </w:r>
      <w:r>
        <w:t xml:space="preserve"> </w:t>
      </w:r>
      <w:r>
        <w:rPr>
          <w:i/>
          <w:iCs/>
        </w:rPr>
        <w:t xml:space="preserve">Bell Journal of Economics</w:t>
      </w:r>
      <w:r>
        <w:t xml:space="preserve"> </w:t>
      </w:r>
      <w:r>
        <w:t xml:space="preserve">13 (1): 206-13.</w:t>
      </w:r>
      <w:r>
        <w:t xml:space="preserve"> </w:t>
      </w:r>
      <w:hyperlink r:id="rId385">
        <w:r>
          <w:rPr>
            <w:rStyle w:val="Hyperlink"/>
          </w:rPr>
          <w:t xml:space="preserve">https://doi.org/10.2307/3003441</w:t>
        </w:r>
      </w:hyperlink>
      <w:r>
        <w:t xml:space="preserve">.</w:t>
      </w:r>
    </w:p>
    <w:bookmarkEnd w:id="386"/>
    <w:bookmarkStart w:id="388" w:name="ref_MorrisonWinston1987Empirical"/>
    <w:p>
      <w:pPr>
        <w:pStyle w:val="Bibliography"/>
      </w:pPr>
      <w:r>
        <w:t xml:space="preserve">Morrison, Steven A. y Clifford Winston (1987).</w:t>
      </w:r>
      <w:r>
        <w:t xml:space="preserve"> </w:t>
      </w:r>
      <w:r>
        <w:t xml:space="preserve">«Empirical Implications and Tests of the Contestability Hypothesis»</w:t>
      </w:r>
      <w:r>
        <w:t xml:space="preserve">.</w:t>
      </w:r>
      <w:r>
        <w:t xml:space="preserve"> </w:t>
      </w:r>
      <w:r>
        <w:rPr>
          <w:i/>
          <w:iCs/>
        </w:rPr>
        <w:t xml:space="preserve">Journal of Law and Economics</w:t>
      </w:r>
      <w:r>
        <w:t xml:space="preserve"> </w:t>
      </w:r>
      <w:r>
        <w:t xml:space="preserve">30 (1): 53-66.</w:t>
      </w:r>
      <w:r>
        <w:t xml:space="preserve"> </w:t>
      </w:r>
      <w:hyperlink r:id="rId387">
        <w:r>
          <w:rPr>
            <w:rStyle w:val="Hyperlink"/>
          </w:rPr>
          <w:t xml:space="preserve">https://doi.org/10.1086/467129</w:t>
        </w:r>
      </w:hyperlink>
      <w:r>
        <w:t xml:space="preserve">.</w:t>
      </w:r>
    </w:p>
    <w:bookmarkEnd w:id="388"/>
    <w:bookmarkStart w:id="390" w:name="ref_Nash1950Bargaining"/>
    <w:p>
      <w:pPr>
        <w:pStyle w:val="Bibliography"/>
      </w:pPr>
      <w:r>
        <w:t xml:space="preserve">Nash, John F. (1950).</w:t>
      </w:r>
      <w:r>
        <w:t xml:space="preserve"> </w:t>
      </w:r>
      <w:r>
        <w:t xml:space="preserve">«The Bargaining Problem»</w:t>
      </w:r>
      <w:r>
        <w:t xml:space="preserve">.</w:t>
      </w:r>
      <w:r>
        <w:t xml:space="preserve"> </w:t>
      </w:r>
      <w:r>
        <w:rPr>
          <w:i/>
          <w:iCs/>
        </w:rPr>
        <w:t xml:space="preserve">Econometrica</w:t>
      </w:r>
      <w:r>
        <w:t xml:space="preserve"> </w:t>
      </w:r>
      <w:r>
        <w:t xml:space="preserve">18 (2): 155-62.</w:t>
      </w:r>
      <w:r>
        <w:t xml:space="preserve"> </w:t>
      </w:r>
      <w:hyperlink r:id="rId389">
        <w:r>
          <w:rPr>
            <w:rStyle w:val="Hyperlink"/>
          </w:rPr>
          <w:t xml:space="preserve">https://doi.org/10.2307/1907266</w:t>
        </w:r>
      </w:hyperlink>
      <w:r>
        <w:t xml:space="preserve">.</w:t>
      </w:r>
    </w:p>
    <w:bookmarkEnd w:id="390"/>
    <w:bookmarkStart w:id="391" w:name="ref_Niskanen1971Bureaucracy"/>
    <w:p>
      <w:pPr>
        <w:pStyle w:val="Bibliography"/>
      </w:pPr>
      <w:r>
        <w:t xml:space="preserve">Niskanen, William A. (1971).</w:t>
      </w:r>
      <w:r>
        <w:t xml:space="preserve"> </w:t>
      </w:r>
      <w:r>
        <w:rPr>
          <w:i/>
          <w:iCs/>
        </w:rPr>
        <w:t xml:space="preserve">Bureaucracy and Representative Government</w:t>
      </w:r>
      <w:r>
        <w:t xml:space="preserve">. Chicago: Aldine-Atherton.</w:t>
      </w:r>
    </w:p>
    <w:bookmarkEnd w:id="391"/>
    <w:bookmarkStart w:id="392" w:name="ref_PanzarWillig1981Economies"/>
    <w:p>
      <w:pPr>
        <w:pStyle w:val="Bibliography"/>
      </w:pPr>
      <w:r>
        <w:t xml:space="preserve">Panzar, John C. y Robert D. Willig (1981).</w:t>
      </w:r>
      <w:r>
        <w:t xml:space="preserve"> </w:t>
      </w:r>
      <w:r>
        <w:t xml:space="preserve">«Economies of Scope»</w:t>
      </w:r>
      <w:r>
        <w:t xml:space="preserve">.</w:t>
      </w:r>
      <w:r>
        <w:t xml:space="preserve"> </w:t>
      </w:r>
      <w:r>
        <w:rPr>
          <w:i/>
          <w:iCs/>
        </w:rPr>
        <w:t xml:space="preserve">American Economic Review</w:t>
      </w:r>
      <w:r>
        <w:t xml:space="preserve"> </w:t>
      </w:r>
      <w:r>
        <w:t xml:space="preserve">71 (2): 268-72.</w:t>
      </w:r>
    </w:p>
    <w:bookmarkEnd w:id="392"/>
    <w:bookmarkStart w:id="394" w:name="ref_UE2022DMA"/>
    <w:p>
      <w:pPr>
        <w:pStyle w:val="Bibliography"/>
      </w:pPr>
      <w:r>
        <w:t xml:space="preserve">Parlamento Europeo y Consejo de la Unión Europea (2022).</w:t>
      </w:r>
      <w:r>
        <w:t xml:space="preserve"> </w:t>
      </w:r>
      <w:r>
        <w:t xml:space="preserve">«Reglamento (UE) 2022/1925 del Parlamento Europeo y del Consejo, de 14 de septiembre de 2022, sobre mercados disputables y equitativos en el sector digital (Reglamento de Mercados Digitales)»</w:t>
      </w:r>
      <w:r>
        <w:t xml:space="preserve">. 2022.</w:t>
      </w:r>
      <w:r>
        <w:t xml:space="preserve"> </w:t>
      </w:r>
      <w:hyperlink r:id="rId393">
        <w:r>
          <w:rPr>
            <w:rStyle w:val="Hyperlink"/>
          </w:rPr>
          <w:t xml:space="preserve">https://eur-lex.europa.eu/eli/reg/2022/1925/oj</w:t>
        </w:r>
      </w:hyperlink>
      <w:r>
        <w:t xml:space="preserve">.</w:t>
      </w:r>
    </w:p>
    <w:bookmarkEnd w:id="394"/>
    <w:bookmarkStart w:id="395" w:name="ref_Penrose1959Theory"/>
    <w:p>
      <w:pPr>
        <w:pStyle w:val="Bibliography"/>
      </w:pPr>
      <w:r>
        <w:t xml:space="preserve">Penrose, Edith T. (1959).</w:t>
      </w:r>
      <w:r>
        <w:t xml:space="preserve"> </w:t>
      </w:r>
      <w:r>
        <w:rPr>
          <w:i/>
          <w:iCs/>
        </w:rPr>
        <w:t xml:space="preserve">The Theory of the Growth of the Firm</w:t>
      </w:r>
      <w:r>
        <w:t xml:space="preserve">. Oxford: Basil Blackwell.</w:t>
      </w:r>
    </w:p>
    <w:bookmarkEnd w:id="395"/>
    <w:bookmarkStart w:id="396" w:name="ref_Philippon2019Great"/>
    <w:p>
      <w:pPr>
        <w:pStyle w:val="Bibliography"/>
      </w:pPr>
      <w:r>
        <w:t xml:space="preserve">Philippon, Thomas (2019).</w:t>
      </w:r>
      <w:r>
        <w:t xml:space="preserve"> </w:t>
      </w:r>
      <w:r>
        <w:rPr>
          <w:i/>
          <w:iCs/>
        </w:rPr>
        <w:t xml:space="preserve">The Great Reversal: How America Gave Up on Free Markets</w:t>
      </w:r>
      <w:r>
        <w:t xml:space="preserve">. Cambridge (Massachusetts): Belknap Press of Harvard University Press.</w:t>
      </w:r>
    </w:p>
    <w:bookmarkEnd w:id="396"/>
    <w:bookmarkStart w:id="398" w:name="ref_RiordanWilliamson1985Asset"/>
    <w:p>
      <w:pPr>
        <w:pStyle w:val="Bibliography"/>
      </w:pPr>
      <w:r>
        <w:t xml:space="preserve">Riordan, Michael H. y Oliver E. Williamson (1985).</w:t>
      </w:r>
      <w:r>
        <w:t xml:space="preserve"> </w:t>
      </w:r>
      <w:r>
        <w:t xml:space="preserve">«Asset Specificity and Economic Organization»</w:t>
      </w:r>
      <w:r>
        <w:t xml:space="preserve">.</w:t>
      </w:r>
      <w:r>
        <w:t xml:space="preserve"> </w:t>
      </w:r>
      <w:r>
        <w:rPr>
          <w:i/>
          <w:iCs/>
        </w:rPr>
        <w:t xml:space="preserve">International Journal of Industrial Organization</w:t>
      </w:r>
      <w:r>
        <w:t xml:space="preserve"> </w:t>
      </w:r>
      <w:r>
        <w:t xml:space="preserve">3 (4): 365-78.</w:t>
      </w:r>
      <w:r>
        <w:t xml:space="preserve"> </w:t>
      </w:r>
      <w:hyperlink r:id="rId397">
        <w:r>
          <w:rPr>
            <w:rStyle w:val="Hyperlink"/>
          </w:rPr>
          <w:t xml:space="preserve">https://doi.org/10.1016/0167-7187(85)90030-X</w:t>
        </w:r>
      </w:hyperlink>
      <w:r>
        <w:t xml:space="preserve">.</w:t>
      </w:r>
    </w:p>
    <w:bookmarkEnd w:id="398"/>
    <w:bookmarkStart w:id="400" w:name="ref_Robinson1934Problem"/>
    <w:p>
      <w:pPr>
        <w:pStyle w:val="Bibliography"/>
      </w:pPr>
      <w:r>
        <w:t xml:space="preserve">Robinson, E. A. G. (1934).</w:t>
      </w:r>
      <w:r>
        <w:t xml:space="preserve"> </w:t>
      </w:r>
      <w:r>
        <w:t xml:space="preserve">«The Problem of Management and the Size of Firms»</w:t>
      </w:r>
      <w:r>
        <w:t xml:space="preserve">.</w:t>
      </w:r>
      <w:r>
        <w:t xml:space="preserve"> </w:t>
      </w:r>
      <w:r>
        <w:rPr>
          <w:i/>
          <w:iCs/>
        </w:rPr>
        <w:t xml:space="preserve">Economic Journal</w:t>
      </w:r>
      <w:r>
        <w:t xml:space="preserve"> </w:t>
      </w:r>
      <w:r>
        <w:t xml:space="preserve">44 (174): 242-57.</w:t>
      </w:r>
      <w:r>
        <w:t xml:space="preserve"> </w:t>
      </w:r>
      <w:hyperlink r:id="rId399">
        <w:r>
          <w:rPr>
            <w:rStyle w:val="Hyperlink"/>
          </w:rPr>
          <w:t xml:space="preserve">https://doi.org/10.2307/2224765</w:t>
        </w:r>
      </w:hyperlink>
      <w:r>
        <w:t xml:space="preserve">.</w:t>
      </w:r>
    </w:p>
    <w:bookmarkEnd w:id="400"/>
    <w:bookmarkStart w:id="401" w:name="ref_Robinson1933Economics"/>
    <w:p>
      <w:pPr>
        <w:pStyle w:val="Bibliography"/>
      </w:pPr>
      <w:r>
        <w:t xml:space="preserve">Robinson, Joan (1933).</w:t>
      </w:r>
      <w:r>
        <w:t xml:space="preserve"> </w:t>
      </w:r>
      <w:r>
        <w:rPr>
          <w:i/>
          <w:iCs/>
        </w:rPr>
        <w:t xml:space="preserve">The Economics of Imperfect Competition</w:t>
      </w:r>
      <w:r>
        <w:t xml:space="preserve">. Londres: Macmillan.</w:t>
      </w:r>
    </w:p>
    <w:bookmarkEnd w:id="401"/>
    <w:bookmarkStart w:id="403" w:name="ref_RochetTirole2003Platform"/>
    <w:p>
      <w:pPr>
        <w:pStyle w:val="Bibliography"/>
      </w:pPr>
      <w:r>
        <w:t xml:space="preserve">Rochet, Jean-Charles y Jean Tirole (2003).</w:t>
      </w:r>
      <w:r>
        <w:t xml:space="preserve"> </w:t>
      </w:r>
      <w:r>
        <w:t xml:space="preserve">«Platform Competition in Two-Sided Markets»</w:t>
      </w:r>
      <w:r>
        <w:t xml:space="preserve">.</w:t>
      </w:r>
      <w:r>
        <w:t xml:space="preserve"> </w:t>
      </w:r>
      <w:r>
        <w:rPr>
          <w:i/>
          <w:iCs/>
        </w:rPr>
        <w:t xml:space="preserve">Journal of the European Economic Association</w:t>
      </w:r>
      <w:r>
        <w:t xml:space="preserve"> </w:t>
      </w:r>
      <w:r>
        <w:t xml:space="preserve">1 (4): 990-1029.</w:t>
      </w:r>
      <w:r>
        <w:t xml:space="preserve"> </w:t>
      </w:r>
      <w:hyperlink r:id="rId402">
        <w:r>
          <w:rPr>
            <w:rStyle w:val="Hyperlink"/>
          </w:rPr>
          <w:t xml:space="preserve">https://doi.org/10.1162/154247603322493212</w:t>
        </w:r>
      </w:hyperlink>
      <w:r>
        <w:t xml:space="preserve">.</w:t>
      </w:r>
    </w:p>
    <w:bookmarkEnd w:id="403"/>
    <w:bookmarkStart w:id="404" w:name="ref_SalopScheffman1983Raising"/>
    <w:p>
      <w:pPr>
        <w:pStyle w:val="Bibliography"/>
      </w:pPr>
      <w:r>
        <w:t xml:space="preserve">Salop, Steven C. y David T. Scheffman (1983).</w:t>
      </w:r>
      <w:r>
        <w:t xml:space="preserve"> </w:t>
      </w:r>
      <w:r>
        <w:t xml:space="preserve">«Raising Rivals’ Costs»</w:t>
      </w:r>
      <w:r>
        <w:t xml:space="preserve">.</w:t>
      </w:r>
      <w:r>
        <w:t xml:space="preserve"> </w:t>
      </w:r>
      <w:r>
        <w:rPr>
          <w:i/>
          <w:iCs/>
        </w:rPr>
        <w:t xml:space="preserve">American Economic Review</w:t>
      </w:r>
      <w:r>
        <w:t xml:space="preserve"> </w:t>
      </w:r>
      <w:r>
        <w:t xml:space="preserve">73 (2): 267-71.</w:t>
      </w:r>
    </w:p>
    <w:bookmarkEnd w:id="404"/>
    <w:bookmarkStart w:id="405" w:name="ref_Schelling1960Strategy"/>
    <w:p>
      <w:pPr>
        <w:pStyle w:val="Bibliography"/>
      </w:pPr>
      <w:r>
        <w:t xml:space="preserve">Schelling, Thomas C. (1960).</w:t>
      </w:r>
      <w:r>
        <w:t xml:space="preserve"> </w:t>
      </w:r>
      <w:r>
        <w:rPr>
          <w:i/>
          <w:iCs/>
        </w:rPr>
        <w:t xml:space="preserve">The Strategy of Conflict</w:t>
      </w:r>
      <w:r>
        <w:t xml:space="preserve">. Cambridge (Massachusetts): Harvard University Press.</w:t>
      </w:r>
    </w:p>
    <w:bookmarkEnd w:id="405"/>
    <w:bookmarkStart w:id="407" w:name="ref_Schmalensee1978Entry"/>
    <w:p>
      <w:pPr>
        <w:pStyle w:val="Bibliography"/>
      </w:pPr>
      <w:r>
        <w:t xml:space="preserve">Schmalensee, Richard (1978).</w:t>
      </w:r>
      <w:r>
        <w:t xml:space="preserve"> </w:t>
      </w:r>
      <w:r>
        <w:t xml:space="preserve">«Entry Deterrence in the Ready-to-Eat Breakfast Cereal Industry»</w:t>
      </w:r>
      <w:r>
        <w:t xml:space="preserve">.</w:t>
      </w:r>
      <w:r>
        <w:t xml:space="preserve"> </w:t>
      </w:r>
      <w:r>
        <w:rPr>
          <w:i/>
          <w:iCs/>
        </w:rPr>
        <w:t xml:space="preserve">Bell Journal of Economics</w:t>
      </w:r>
      <w:r>
        <w:t xml:space="preserve"> </w:t>
      </w:r>
      <w:r>
        <w:t xml:space="preserve">9 (2): 305-27.</w:t>
      </w:r>
      <w:r>
        <w:t xml:space="preserve"> </w:t>
      </w:r>
      <w:hyperlink r:id="rId406">
        <w:r>
          <w:rPr>
            <w:rStyle w:val="Hyperlink"/>
          </w:rPr>
          <w:t xml:space="preserve">https://doi.org/10.2307/3003584</w:t>
        </w:r>
      </w:hyperlink>
      <w:r>
        <w:t xml:space="preserve">.</w:t>
      </w:r>
    </w:p>
    <w:bookmarkEnd w:id="407"/>
    <w:bookmarkStart w:id="409" w:name="ref_Schmalensee1989Inter"/>
    <w:p>
      <w:pPr>
        <w:pStyle w:val="Bibliography"/>
      </w:pPr>
      <w:r>
        <w:t xml:space="preserve">Schmalensee, Richard (1989).</w:t>
      </w:r>
      <w:r>
        <w:t xml:space="preserve"> </w:t>
      </w:r>
      <w:r>
        <w:t xml:space="preserve">«Inter-Industry Studies of Structure and Performance»</w:t>
      </w:r>
      <w:r>
        <w:t xml:space="preserve">. En</w:t>
      </w:r>
      <w:r>
        <w:t xml:space="preserve"> </w:t>
      </w:r>
      <w:r>
        <w:rPr>
          <w:i/>
          <w:iCs/>
        </w:rPr>
        <w:t xml:space="preserve">Handbook of Industrial Organization</w:t>
      </w:r>
      <w:r>
        <w:t xml:space="preserve">, editado por Richard Schmalensee y Robert D. Willig, 2:951-1009. Ámsterdam: North-Holland.</w:t>
      </w:r>
      <w:r>
        <w:t xml:space="preserve"> </w:t>
      </w:r>
      <w:hyperlink r:id="rId408">
        <w:r>
          <w:rPr>
            <w:rStyle w:val="Hyperlink"/>
          </w:rPr>
          <w:t xml:space="preserve">https://doi.org/10.1016/S1573-448X(89)02004-2</w:t>
        </w:r>
      </w:hyperlink>
      <w:r>
        <w:t xml:space="preserve">.</w:t>
      </w:r>
    </w:p>
    <w:bookmarkEnd w:id="409"/>
    <w:bookmarkStart w:id="410" w:name="ref_Schumpeter1942Capitalism"/>
    <w:p>
      <w:pPr>
        <w:pStyle w:val="Bibliography"/>
      </w:pPr>
      <w:r>
        <w:t xml:space="preserve">Schumpeter, Joseph A. (1942).</w:t>
      </w:r>
      <w:r>
        <w:t xml:space="preserve"> </w:t>
      </w:r>
      <w:r>
        <w:rPr>
          <w:i/>
          <w:iCs/>
        </w:rPr>
        <w:t xml:space="preserve">Capitalism, Socialism and Democracy</w:t>
      </w:r>
      <w:r>
        <w:t xml:space="preserve">. Nueva York: Harper &amp; Brothers.</w:t>
      </w:r>
    </w:p>
    <w:bookmarkEnd w:id="410"/>
    <w:bookmarkStart w:id="411" w:name="ref_SchwartzReynolds1983Contestable"/>
    <w:p>
      <w:pPr>
        <w:pStyle w:val="Bibliography"/>
      </w:pPr>
      <w:r>
        <w:t xml:space="preserve">Schwartz, Marius y Robert J. Reynolds (1983).</w:t>
      </w:r>
      <w:r>
        <w:t xml:space="preserve"> </w:t>
      </w:r>
      <w:r>
        <w:t xml:space="preserve">«Contestable Markets: An Uprising in the Theory of Industry Structure: Comment»</w:t>
      </w:r>
      <w:r>
        <w:t xml:space="preserve">.</w:t>
      </w:r>
      <w:r>
        <w:t xml:space="preserve"> </w:t>
      </w:r>
      <w:r>
        <w:rPr>
          <w:i/>
          <w:iCs/>
        </w:rPr>
        <w:t xml:space="preserve">American Economic Review</w:t>
      </w:r>
      <w:r>
        <w:t xml:space="preserve"> </w:t>
      </w:r>
      <w:r>
        <w:t xml:space="preserve">73 (3): 488-90.</w:t>
      </w:r>
    </w:p>
    <w:bookmarkEnd w:id="411"/>
    <w:bookmarkStart w:id="413" w:name="ref_Selten1978Chain"/>
    <w:p>
      <w:pPr>
        <w:pStyle w:val="Bibliography"/>
      </w:pPr>
      <w:r>
        <w:t xml:space="preserve">Selten, Reinhard (1978).</w:t>
      </w:r>
      <w:r>
        <w:t xml:space="preserve"> </w:t>
      </w:r>
      <w:r>
        <w:t xml:space="preserve">«The Chain Store Paradox»</w:t>
      </w:r>
      <w:r>
        <w:t xml:space="preserve">.</w:t>
      </w:r>
      <w:r>
        <w:t xml:space="preserve"> </w:t>
      </w:r>
      <w:r>
        <w:rPr>
          <w:i/>
          <w:iCs/>
        </w:rPr>
        <w:t xml:space="preserve">Theory and Decision</w:t>
      </w:r>
      <w:r>
        <w:t xml:space="preserve"> </w:t>
      </w:r>
      <w:r>
        <w:t xml:space="preserve">9 (2): 127-59.</w:t>
      </w:r>
      <w:r>
        <w:t xml:space="preserve"> </w:t>
      </w:r>
      <w:hyperlink r:id="rId412">
        <w:r>
          <w:rPr>
            <w:rStyle w:val="Hyperlink"/>
          </w:rPr>
          <w:t xml:space="preserve">https://doi.org/10.1007/BF00131770</w:t>
        </w:r>
      </w:hyperlink>
      <w:r>
        <w:t xml:space="preserve">.</w:t>
      </w:r>
    </w:p>
    <w:bookmarkEnd w:id="413"/>
    <w:bookmarkStart w:id="415" w:name="ref_Shepherd1984Contestability"/>
    <w:p>
      <w:pPr>
        <w:pStyle w:val="Bibliography"/>
      </w:pPr>
      <w:r>
        <w:t xml:space="preserve">Shepherd, William G. (1984).</w:t>
      </w:r>
      <w:r>
        <w:t xml:space="preserve"> </w:t>
      </w:r>
      <w:r>
        <w:t xml:space="preserve">«</w:t>
      </w:r>
      <w:r>
        <w:t xml:space="preserve">“Contestability”</w:t>
      </w:r>
      <w:r>
        <w:t xml:space="preserve"> </w:t>
      </w:r>
      <w:r>
        <w:t xml:space="preserve">vs. Competition»</w:t>
      </w:r>
      <w:r>
        <w:t xml:space="preserve">.</w:t>
      </w:r>
      <w:r>
        <w:t xml:space="preserve"> </w:t>
      </w:r>
      <w:r>
        <w:rPr>
          <w:i/>
          <w:iCs/>
        </w:rPr>
        <w:t xml:space="preserve">American Economic Review</w:t>
      </w:r>
      <w:r>
        <w:t xml:space="preserve"> </w:t>
      </w:r>
      <w:r>
        <w:t xml:space="preserve">74 (4): 572-87.</w:t>
      </w:r>
      <w:r>
        <w:t xml:space="preserve"> </w:t>
      </w:r>
      <w:hyperlink r:id="rId414">
        <w:r>
          <w:rPr>
            <w:rStyle w:val="Hyperlink"/>
          </w:rPr>
          <w:t xml:space="preserve">https://ideas.repec.org/a/aea/aecrev/v74y1984i4p572-87.html</w:t>
        </w:r>
      </w:hyperlink>
      <w:r>
        <w:t xml:space="preserve">.</w:t>
      </w:r>
    </w:p>
    <w:bookmarkEnd w:id="415"/>
    <w:bookmarkStart w:id="417" w:name="ref_Simon1955Behavioral"/>
    <w:p>
      <w:pPr>
        <w:pStyle w:val="Bibliography"/>
      </w:pPr>
      <w:r>
        <w:t xml:space="preserve">Simon, Herbert A. (1955).</w:t>
      </w:r>
      <w:r>
        <w:t xml:space="preserve"> </w:t>
      </w:r>
      <w:r>
        <w:t xml:space="preserve">«A Behavioral Model of Rational Choice»</w:t>
      </w:r>
      <w:r>
        <w:t xml:space="preserve">.</w:t>
      </w:r>
      <w:r>
        <w:t xml:space="preserve"> </w:t>
      </w:r>
      <w:r>
        <w:rPr>
          <w:i/>
          <w:iCs/>
        </w:rPr>
        <w:t xml:space="preserve">Quarterly Journal of Economics</w:t>
      </w:r>
      <w:r>
        <w:t xml:space="preserve"> </w:t>
      </w:r>
      <w:r>
        <w:t xml:space="preserve">69 (1): 99-118.</w:t>
      </w:r>
      <w:r>
        <w:t xml:space="preserve"> </w:t>
      </w:r>
      <w:hyperlink r:id="rId416">
        <w:r>
          <w:rPr>
            <w:rStyle w:val="Hyperlink"/>
          </w:rPr>
          <w:t xml:space="preserve">https://doi.org/10.2307/1884852</w:t>
        </w:r>
      </w:hyperlink>
      <w:r>
        <w:t xml:space="preserve">.</w:t>
      </w:r>
    </w:p>
    <w:bookmarkEnd w:id="417"/>
    <w:bookmarkStart w:id="419" w:name="ref_Simon1991Organizations"/>
    <w:p>
      <w:pPr>
        <w:pStyle w:val="Bibliography"/>
      </w:pPr>
      <w:r>
        <w:t xml:space="preserve">Simon, Herbert A. (1991).</w:t>
      </w:r>
      <w:r>
        <w:t xml:space="preserve"> </w:t>
      </w:r>
      <w:r>
        <w:t xml:space="preserve">«Organizations and Markets»</w:t>
      </w:r>
      <w:r>
        <w:t xml:space="preserve">.</w:t>
      </w:r>
      <w:r>
        <w:t xml:space="preserve"> </w:t>
      </w:r>
      <w:r>
        <w:rPr>
          <w:i/>
          <w:iCs/>
        </w:rPr>
        <w:t xml:space="preserve">Journal of Economic Perspectives</w:t>
      </w:r>
      <w:r>
        <w:t xml:space="preserve"> </w:t>
      </w:r>
      <w:r>
        <w:t xml:space="preserve">5 (2): 25-44.</w:t>
      </w:r>
      <w:r>
        <w:t xml:space="preserve"> </w:t>
      </w:r>
      <w:hyperlink r:id="rId418">
        <w:r>
          <w:rPr>
            <w:rStyle w:val="Hyperlink"/>
          </w:rPr>
          <w:t xml:space="preserve">https://doi.org/10.1257/jep.5.2.25</w:t>
        </w:r>
      </w:hyperlink>
      <w:r>
        <w:t xml:space="preserve">.</w:t>
      </w:r>
    </w:p>
    <w:bookmarkEnd w:id="419"/>
    <w:bookmarkStart w:id="421" w:name="ref_Spence1977Entry"/>
    <w:p>
      <w:pPr>
        <w:pStyle w:val="Bibliography"/>
      </w:pPr>
      <w:r>
        <w:t xml:space="preserve">Spence, A. Michael (1977).</w:t>
      </w:r>
      <w:r>
        <w:t xml:space="preserve"> </w:t>
      </w:r>
      <w:r>
        <w:t xml:space="preserve">«Entry, Capacity, Investment and Oligopolistic Pricing»</w:t>
      </w:r>
      <w:r>
        <w:t xml:space="preserve">.</w:t>
      </w:r>
      <w:r>
        <w:t xml:space="preserve"> </w:t>
      </w:r>
      <w:r>
        <w:rPr>
          <w:i/>
          <w:iCs/>
        </w:rPr>
        <w:t xml:space="preserve">Bell Journal of Economics</w:t>
      </w:r>
      <w:r>
        <w:t xml:space="preserve"> </w:t>
      </w:r>
      <w:r>
        <w:t xml:space="preserve">8 (2): 534-44.</w:t>
      </w:r>
      <w:r>
        <w:t xml:space="preserve"> </w:t>
      </w:r>
      <w:hyperlink r:id="rId420">
        <w:r>
          <w:rPr>
            <w:rStyle w:val="Hyperlink"/>
          </w:rPr>
          <w:t xml:space="preserve">https://doi.org/10.2307/3003302</w:t>
        </w:r>
      </w:hyperlink>
      <w:r>
        <w:t xml:space="preserve">.</w:t>
      </w:r>
    </w:p>
    <w:bookmarkEnd w:id="421"/>
    <w:bookmarkStart w:id="422" w:name="ref_Spence1983Contestable"/>
    <w:p>
      <w:pPr>
        <w:pStyle w:val="Bibliography"/>
      </w:pPr>
      <w:r>
        <w:t xml:space="preserve">Spence, Michael (1983).</w:t>
      </w:r>
      <w:r>
        <w:t xml:space="preserve"> </w:t>
      </w:r>
      <w:r>
        <w:t xml:space="preserve">«Contestable Markets and the Theory of Industry Structure: A Review Article»</w:t>
      </w:r>
      <w:r>
        <w:t xml:space="preserve">.</w:t>
      </w:r>
      <w:r>
        <w:t xml:space="preserve"> </w:t>
      </w:r>
      <w:r>
        <w:rPr>
          <w:i/>
          <w:iCs/>
        </w:rPr>
        <w:t xml:space="preserve">Journal of Economic Literature</w:t>
      </w:r>
      <w:r>
        <w:t xml:space="preserve"> </w:t>
      </w:r>
      <w:r>
        <w:t xml:space="preserve">21 (3): 981-90.</w:t>
      </w:r>
    </w:p>
    <w:bookmarkEnd w:id="422"/>
    <w:bookmarkStart w:id="424" w:name="ref_Spengler1950Vertical"/>
    <w:p>
      <w:pPr>
        <w:pStyle w:val="Bibliography"/>
      </w:pPr>
      <w:r>
        <w:t xml:space="preserve">Spengler, Joseph J. (1950).</w:t>
      </w:r>
      <w:r>
        <w:t xml:space="preserve"> </w:t>
      </w:r>
      <w:r>
        <w:t xml:space="preserve">«Vertical Integration and Antitrust Policy»</w:t>
      </w:r>
      <w:r>
        <w:t xml:space="preserve">.</w:t>
      </w:r>
      <w:r>
        <w:t xml:space="preserve"> </w:t>
      </w:r>
      <w:r>
        <w:rPr>
          <w:i/>
          <w:iCs/>
        </w:rPr>
        <w:t xml:space="preserve">Journal of Political Economy</w:t>
      </w:r>
      <w:r>
        <w:t xml:space="preserve"> </w:t>
      </w:r>
      <w:r>
        <w:t xml:space="preserve">58 (4): 347-52.</w:t>
      </w:r>
      <w:r>
        <w:t xml:space="preserve"> </w:t>
      </w:r>
      <w:hyperlink r:id="rId423">
        <w:r>
          <w:rPr>
            <w:rStyle w:val="Hyperlink"/>
          </w:rPr>
          <w:t xml:space="preserve">https://doi.org/10.1086/256964</w:t>
        </w:r>
      </w:hyperlink>
      <w:r>
        <w:t xml:space="preserve">.</w:t>
      </w:r>
    </w:p>
    <w:bookmarkEnd w:id="424"/>
    <w:bookmarkStart w:id="426" w:name="ref_Stigler1939Production"/>
    <w:p>
      <w:pPr>
        <w:pStyle w:val="Bibliography"/>
      </w:pPr>
      <w:r>
        <w:t xml:space="preserve">Stigler, George J. (1939).</w:t>
      </w:r>
      <w:r>
        <w:t xml:space="preserve"> </w:t>
      </w:r>
      <w:r>
        <w:t xml:space="preserve">«Production and Distribution in the Short Run»</w:t>
      </w:r>
      <w:r>
        <w:t xml:space="preserve">.</w:t>
      </w:r>
      <w:r>
        <w:t xml:space="preserve"> </w:t>
      </w:r>
      <w:r>
        <w:rPr>
          <w:i/>
          <w:iCs/>
        </w:rPr>
        <w:t xml:space="preserve">Journal of Political Economy</w:t>
      </w:r>
      <w:r>
        <w:t xml:space="preserve"> </w:t>
      </w:r>
      <w:r>
        <w:t xml:space="preserve">47 (3): 305-27.</w:t>
      </w:r>
      <w:r>
        <w:t xml:space="preserve"> </w:t>
      </w:r>
      <w:hyperlink r:id="rId425">
        <w:r>
          <w:rPr>
            <w:rStyle w:val="Hyperlink"/>
          </w:rPr>
          <w:t xml:space="preserve">https://doi.org/10.1086/255387</w:t>
        </w:r>
      </w:hyperlink>
      <w:r>
        <w:t xml:space="preserve">.</w:t>
      </w:r>
    </w:p>
    <w:bookmarkEnd w:id="426"/>
    <w:bookmarkStart w:id="428" w:name="ref_Stigler1958Economies"/>
    <w:p>
      <w:pPr>
        <w:pStyle w:val="Bibliography"/>
      </w:pPr>
      <w:r>
        <w:t xml:space="preserve">Stigler, George J. (1958).</w:t>
      </w:r>
      <w:r>
        <w:t xml:space="preserve"> </w:t>
      </w:r>
      <w:r>
        <w:t xml:space="preserve">«The Economies of Scale»</w:t>
      </w:r>
      <w:r>
        <w:t xml:space="preserve">.</w:t>
      </w:r>
      <w:r>
        <w:t xml:space="preserve"> </w:t>
      </w:r>
      <w:r>
        <w:rPr>
          <w:i/>
          <w:iCs/>
        </w:rPr>
        <w:t xml:space="preserve">Journal of Law and Economics</w:t>
      </w:r>
      <w:r>
        <w:t xml:space="preserve"> </w:t>
      </w:r>
      <w:r>
        <w:t xml:space="preserve">1: 54-71.</w:t>
      </w:r>
      <w:r>
        <w:t xml:space="preserve"> </w:t>
      </w:r>
      <w:hyperlink r:id="rId427">
        <w:r>
          <w:rPr>
            <w:rStyle w:val="Hyperlink"/>
          </w:rPr>
          <w:t xml:space="preserve">https://doi.org/10.1086/466541</w:t>
        </w:r>
      </w:hyperlink>
      <w:r>
        <w:t xml:space="preserve">.</w:t>
      </w:r>
    </w:p>
    <w:bookmarkEnd w:id="428"/>
    <w:bookmarkStart w:id="430" w:name="ref_Stigler1964Theory"/>
    <w:p>
      <w:pPr>
        <w:pStyle w:val="Bibliography"/>
      </w:pPr>
      <w:r>
        <w:t xml:space="preserve">Stigler, George J. (1964).</w:t>
      </w:r>
      <w:r>
        <w:t xml:space="preserve"> </w:t>
      </w:r>
      <w:r>
        <w:t xml:space="preserve">«A Theory of Oligopoly»</w:t>
      </w:r>
      <w:r>
        <w:t xml:space="preserve">.</w:t>
      </w:r>
      <w:r>
        <w:t xml:space="preserve"> </w:t>
      </w:r>
      <w:r>
        <w:rPr>
          <w:i/>
          <w:iCs/>
        </w:rPr>
        <w:t xml:space="preserve">Journal of Political Economy</w:t>
      </w:r>
      <w:r>
        <w:t xml:space="preserve"> </w:t>
      </w:r>
      <w:r>
        <w:t xml:space="preserve">72 (1): 44-61.</w:t>
      </w:r>
      <w:r>
        <w:t xml:space="preserve"> </w:t>
      </w:r>
      <w:hyperlink r:id="rId429">
        <w:r>
          <w:rPr>
            <w:rStyle w:val="Hyperlink"/>
          </w:rPr>
          <w:t xml:space="preserve">https://doi.org/10.1086/258853</w:t>
        </w:r>
      </w:hyperlink>
      <w:r>
        <w:t xml:space="preserve">.</w:t>
      </w:r>
    </w:p>
    <w:bookmarkEnd w:id="430"/>
    <w:bookmarkStart w:id="431" w:name="ref_Stigler1968Organization"/>
    <w:p>
      <w:pPr>
        <w:pStyle w:val="Bibliography"/>
      </w:pPr>
      <w:r>
        <w:t xml:space="preserve">Stigler, George J. (1968).</w:t>
      </w:r>
      <w:r>
        <w:t xml:space="preserve"> </w:t>
      </w:r>
      <w:r>
        <w:rPr>
          <w:i/>
          <w:iCs/>
        </w:rPr>
        <w:t xml:space="preserve">The Organization of Industry</w:t>
      </w:r>
      <w:r>
        <w:t xml:space="preserve">. Homewood (Illinois): Richard D. Irwin.</w:t>
      </w:r>
    </w:p>
    <w:bookmarkEnd w:id="431"/>
    <w:bookmarkStart w:id="432" w:name="ref_Stigler1976Xistence"/>
    <w:p>
      <w:pPr>
        <w:pStyle w:val="Bibliography"/>
      </w:pPr>
      <w:r>
        <w:t xml:space="preserve">Stigler, George J. (1976).</w:t>
      </w:r>
      <w:r>
        <w:t xml:space="preserve"> </w:t>
      </w:r>
      <w:r>
        <w:t xml:space="preserve">«The Xistence of</w:t>
      </w:r>
      <w:r>
        <w:t xml:space="preserve"> </w:t>
      </w:r>
      <w:r>
        <w:t xml:space="preserve">X</w:t>
      </w:r>
      <w:r>
        <w:t xml:space="preserve">-Efficiency»</w:t>
      </w:r>
      <w:r>
        <w:t xml:space="preserve">.</w:t>
      </w:r>
      <w:r>
        <w:t xml:space="preserve"> </w:t>
      </w:r>
      <w:r>
        <w:rPr>
          <w:i/>
          <w:iCs/>
        </w:rPr>
        <w:t xml:space="preserve">American Economic Review</w:t>
      </w:r>
      <w:r>
        <w:t xml:space="preserve"> </w:t>
      </w:r>
      <w:r>
        <w:t xml:space="preserve">66 (1): 213-16.</w:t>
      </w:r>
    </w:p>
    <w:bookmarkEnd w:id="432"/>
    <w:bookmarkStart w:id="434" w:name="ref_Stiglitz1987Technological"/>
    <w:p>
      <w:pPr>
        <w:pStyle w:val="Bibliography"/>
      </w:pPr>
      <w:r>
        <w:t xml:space="preserve">Stiglitz, Joseph E. (1987).</w:t>
      </w:r>
      <w:r>
        <w:t xml:space="preserve"> </w:t>
      </w:r>
      <w:r>
        <w:t xml:space="preserve">«Technological Change, Sunk Costs, and Competition»</w:t>
      </w:r>
      <w:r>
        <w:t xml:space="preserve">.</w:t>
      </w:r>
      <w:r>
        <w:t xml:space="preserve"> </w:t>
      </w:r>
      <w:r>
        <w:rPr>
          <w:i/>
          <w:iCs/>
        </w:rPr>
        <w:t xml:space="preserve">Brookings Papers on Economic Activity</w:t>
      </w:r>
      <w:r>
        <w:t xml:space="preserve"> </w:t>
      </w:r>
      <w:r>
        <w:t xml:space="preserve">1987 (3): 883-947.</w:t>
      </w:r>
      <w:r>
        <w:t xml:space="preserve"> </w:t>
      </w:r>
      <w:hyperlink r:id="rId433">
        <w:r>
          <w:rPr>
            <w:rStyle w:val="Hyperlink"/>
          </w:rPr>
          <w:t xml:space="preserve">https://doi.org/10.2307/2534456</w:t>
        </w:r>
      </w:hyperlink>
      <w:r>
        <w:t xml:space="preserve">.</w:t>
      </w:r>
    </w:p>
    <w:bookmarkEnd w:id="434"/>
    <w:bookmarkStart w:id="435" w:name="ref_Sutton1997Gibrat"/>
    <w:p>
      <w:pPr>
        <w:pStyle w:val="Bibliography"/>
      </w:pPr>
      <w:r>
        <w:t xml:space="preserve">Sutton, John (1997).</w:t>
      </w:r>
      <w:r>
        <w:t xml:space="preserve"> </w:t>
      </w:r>
      <w:r>
        <w:t xml:space="preserve">«Gibrat’s Legacy»</w:t>
      </w:r>
      <w:r>
        <w:t xml:space="preserve">.</w:t>
      </w:r>
      <w:r>
        <w:t xml:space="preserve"> </w:t>
      </w:r>
      <w:r>
        <w:rPr>
          <w:i/>
          <w:iCs/>
        </w:rPr>
        <w:t xml:space="preserve">Journal of Economic Literature</w:t>
      </w:r>
      <w:r>
        <w:t xml:space="preserve"> </w:t>
      </w:r>
      <w:r>
        <w:t xml:space="preserve">35 (1): 40-59.</w:t>
      </w:r>
    </w:p>
    <w:bookmarkEnd w:id="435"/>
    <w:bookmarkStart w:id="436" w:name="ref_SylosLabini1957Oligopolio"/>
    <w:p>
      <w:pPr>
        <w:pStyle w:val="Bibliography"/>
      </w:pPr>
      <w:r>
        <w:t xml:space="preserve">Sylos-Labini, Paolo (1957).</w:t>
      </w:r>
      <w:r>
        <w:t xml:space="preserve"> </w:t>
      </w:r>
      <w:r>
        <w:rPr>
          <w:i/>
          <w:iCs/>
        </w:rPr>
        <w:t xml:space="preserve">Oligopolio e progresso tecnico</w:t>
      </w:r>
      <w:r>
        <w:t xml:space="preserve">. Milán: Giuffrè.</w:t>
      </w:r>
    </w:p>
    <w:bookmarkEnd w:id="436"/>
    <w:bookmarkStart w:id="437" w:name="ref_Teece1980Economies"/>
    <w:p>
      <w:pPr>
        <w:pStyle w:val="Bibliography"/>
      </w:pPr>
      <w:r>
        <w:t xml:space="preserve">Teece, David J. (1980).</w:t>
      </w:r>
      <w:r>
        <w:t xml:space="preserve"> </w:t>
      </w:r>
      <w:r>
        <w:t xml:space="preserve">«Economies of Scope and the Scope of the Enterprise»</w:t>
      </w:r>
      <w:r>
        <w:t xml:space="preserve">.</w:t>
      </w:r>
      <w:r>
        <w:t xml:space="preserve"> </w:t>
      </w:r>
      <w:r>
        <w:rPr>
          <w:i/>
          <w:iCs/>
        </w:rPr>
        <w:t xml:space="preserve">Journal of Economic Behavior and Organization</w:t>
      </w:r>
      <w:r>
        <w:t xml:space="preserve"> </w:t>
      </w:r>
      <w:r>
        <w:t xml:space="preserve">1 (3): 223-47.</w:t>
      </w:r>
    </w:p>
    <w:bookmarkEnd w:id="437"/>
    <w:bookmarkStart w:id="439" w:name="ref_Nobel1978Simon"/>
    <w:p>
      <w:pPr>
        <w:pStyle w:val="Bibliography"/>
      </w:pPr>
      <w:r>
        <w:t xml:space="preserve">The Nobel Prize (1978).</w:t>
      </w:r>
      <w:r>
        <w:t xml:space="preserve"> </w:t>
      </w:r>
      <w:r>
        <w:t xml:space="preserve">«The Sveriges Riksbank Prize in Economic Sciences in Memory of Alfred Nobel 1978: Herbert A. Simon»</w:t>
      </w:r>
      <w:r>
        <w:t xml:space="preserve">. 1978.</w:t>
      </w:r>
      <w:r>
        <w:t xml:space="preserve"> </w:t>
      </w:r>
      <w:hyperlink r:id="rId438">
        <w:r>
          <w:rPr>
            <w:rStyle w:val="Hyperlink"/>
          </w:rPr>
          <w:t xml:space="preserve">https://www.nobelprize.org/prizes/economic-sciences/1978/summary/</w:t>
        </w:r>
      </w:hyperlink>
      <w:r>
        <w:t xml:space="preserve">.</w:t>
      </w:r>
    </w:p>
    <w:bookmarkEnd w:id="439"/>
    <w:bookmarkStart w:id="441" w:name="ref_Nobel1982Stigler"/>
    <w:p>
      <w:pPr>
        <w:pStyle w:val="Bibliography"/>
      </w:pPr>
      <w:r>
        <w:t xml:space="preserve">The Nobel Prize (1982).</w:t>
      </w:r>
      <w:r>
        <w:t xml:space="preserve"> </w:t>
      </w:r>
      <w:r>
        <w:t xml:space="preserve">«The Sveriges Riksbank Prize in Economic Sciences in Memory of Alfred Nobel 1982: George J. Stigler»</w:t>
      </w:r>
      <w:r>
        <w:t xml:space="preserve">. 1982.</w:t>
      </w:r>
      <w:r>
        <w:t xml:space="preserve"> </w:t>
      </w:r>
      <w:hyperlink r:id="rId440">
        <w:r>
          <w:rPr>
            <w:rStyle w:val="Hyperlink"/>
          </w:rPr>
          <w:t xml:space="preserve">https://www.nobelprize.org/prizes/economic-sciences/1982/summary/</w:t>
        </w:r>
      </w:hyperlink>
      <w:r>
        <w:t xml:space="preserve">.</w:t>
      </w:r>
    </w:p>
    <w:bookmarkEnd w:id="441"/>
    <w:bookmarkStart w:id="443" w:name="ref_Nobel1991Coase"/>
    <w:p>
      <w:pPr>
        <w:pStyle w:val="Bibliography"/>
      </w:pPr>
      <w:r>
        <w:t xml:space="preserve">The Nobel Prize (1991).</w:t>
      </w:r>
      <w:r>
        <w:t xml:space="preserve"> </w:t>
      </w:r>
      <w:r>
        <w:t xml:space="preserve">«The Sveriges Riksbank Prize in Economic Sciences in Memory of Alfred Nobel 1991: Ronald H. Coase»</w:t>
      </w:r>
      <w:r>
        <w:t xml:space="preserve">. 1991.</w:t>
      </w:r>
      <w:r>
        <w:t xml:space="preserve"> </w:t>
      </w:r>
      <w:hyperlink r:id="rId442">
        <w:r>
          <w:rPr>
            <w:rStyle w:val="Hyperlink"/>
          </w:rPr>
          <w:t xml:space="preserve">https://www.nobelprize.org/prizes/economic-sciences/1991/summary/</w:t>
        </w:r>
      </w:hyperlink>
      <w:r>
        <w:t xml:space="preserve">.</w:t>
      </w:r>
    </w:p>
    <w:bookmarkEnd w:id="443"/>
    <w:bookmarkStart w:id="445" w:name="ref_Nobel2009OstromWilliamson"/>
    <w:p>
      <w:pPr>
        <w:pStyle w:val="Bibliography"/>
      </w:pPr>
      <w:r>
        <w:t xml:space="preserve">The Nobel Prize (2009).</w:t>
      </w:r>
      <w:r>
        <w:t xml:space="preserve"> </w:t>
      </w:r>
      <w:r>
        <w:t xml:space="preserve">«The Sveriges Riksbank Prize in Economic Sciences in Memory of Alfred Nobel 2009: Elinor Ostrom and Oliver E. Williamson»</w:t>
      </w:r>
      <w:r>
        <w:t xml:space="preserve">. 2009.</w:t>
      </w:r>
      <w:r>
        <w:t xml:space="preserve"> </w:t>
      </w:r>
      <w:hyperlink r:id="rId444">
        <w:r>
          <w:rPr>
            <w:rStyle w:val="Hyperlink"/>
          </w:rPr>
          <w:t xml:space="preserve">https://www.nobelprize.org/prizes/economic-sciences/2009/summary/</w:t>
        </w:r>
      </w:hyperlink>
      <w:r>
        <w:t xml:space="preserve">.</w:t>
      </w:r>
    </w:p>
    <w:bookmarkEnd w:id="445"/>
    <w:bookmarkStart w:id="447" w:name="ref_Nobel2014Tirole"/>
    <w:p>
      <w:pPr>
        <w:pStyle w:val="Bibliography"/>
      </w:pPr>
      <w:r>
        <w:t xml:space="preserve">The Nobel Prize (2014).</w:t>
      </w:r>
      <w:r>
        <w:t xml:space="preserve"> </w:t>
      </w:r>
      <w:r>
        <w:t xml:space="preserve">«The Prize in Economic Sciences 2014: Jean Tirole»</w:t>
      </w:r>
      <w:r>
        <w:t xml:space="preserve">. 2014.</w:t>
      </w:r>
      <w:r>
        <w:t xml:space="preserve"> </w:t>
      </w:r>
      <w:hyperlink r:id="rId446">
        <w:r>
          <w:rPr>
            <w:rStyle w:val="Hyperlink"/>
          </w:rPr>
          <w:t xml:space="preserve">https://www.nobelprize.org/prizes/economic-sciences/2014/summary/</w:t>
        </w:r>
      </w:hyperlink>
      <w:r>
        <w:t xml:space="preserve">.</w:t>
      </w:r>
    </w:p>
    <w:bookmarkEnd w:id="447"/>
    <w:bookmarkStart w:id="449" w:name="ref_Nobel2016HartHolmstrom"/>
    <w:p>
      <w:pPr>
        <w:pStyle w:val="Bibliography"/>
      </w:pPr>
      <w:r>
        <w:t xml:space="preserve">The Nobel Prize (2016).</w:t>
      </w:r>
      <w:r>
        <w:t xml:space="preserve"> </w:t>
      </w:r>
      <w:r>
        <w:t xml:space="preserve">«The Sveriges Riksbank Prize in Economic Sciences in Memory of Alfred Nobel 2016: Oliver Hart and Bengt Holmström»</w:t>
      </w:r>
      <w:r>
        <w:t xml:space="preserve">. 2016.</w:t>
      </w:r>
      <w:r>
        <w:t xml:space="preserve"> </w:t>
      </w:r>
      <w:hyperlink r:id="rId448">
        <w:r>
          <w:rPr>
            <w:rStyle w:val="Hyperlink"/>
          </w:rPr>
          <w:t xml:space="preserve">https://www.nobelprize.org/prizes/economic-sciences/2016/summary/</w:t>
        </w:r>
      </w:hyperlink>
      <w:r>
        <w:t xml:space="preserve">.</w:t>
      </w:r>
    </w:p>
    <w:bookmarkEnd w:id="449"/>
    <w:bookmarkStart w:id="450" w:name="ref_Tirole1988Theory"/>
    <w:p>
      <w:pPr>
        <w:pStyle w:val="Bibliography"/>
      </w:pPr>
      <w:r>
        <w:t xml:space="preserve">Tirole, Jean (1988).</w:t>
      </w:r>
      <w:r>
        <w:t xml:space="preserve"> </w:t>
      </w:r>
      <w:r>
        <w:rPr>
          <w:i/>
          <w:iCs/>
        </w:rPr>
        <w:t xml:space="preserve">The Theory of Industrial Organization</w:t>
      </w:r>
      <w:r>
        <w:t xml:space="preserve">. Cambridge (Massachusetts): MIT Press.</w:t>
      </w:r>
    </w:p>
    <w:bookmarkEnd w:id="450"/>
    <w:bookmarkStart w:id="452" w:name="ref_Tirole2014Nobel"/>
    <w:p>
      <w:pPr>
        <w:pStyle w:val="Bibliography"/>
      </w:pPr>
      <w:r>
        <w:t xml:space="preserve">Tirole, Jean (2014).</w:t>
      </w:r>
      <w:r>
        <w:t xml:space="preserve"> </w:t>
      </w:r>
      <w:r>
        <w:t xml:space="preserve">«Market Failures and Public Policy. Prize Lecture»</w:t>
      </w:r>
      <w:r>
        <w:t xml:space="preserve">. NobelPrize.org. 2014.</w:t>
      </w:r>
      <w:r>
        <w:t xml:space="preserve"> </w:t>
      </w:r>
      <w:hyperlink r:id="rId451">
        <w:r>
          <w:rPr>
            <w:rStyle w:val="Hyperlink"/>
          </w:rPr>
          <w:t xml:space="preserve">https://www.nobelprize.org/prizes/economic-sciences/2014/tirole/lecture/</w:t>
        </w:r>
      </w:hyperlink>
      <w:r>
        <w:t xml:space="preserve">.</w:t>
      </w:r>
    </w:p>
    <w:bookmarkEnd w:id="452"/>
    <w:bookmarkStart w:id="454" w:name="ref_TJUE2023PrestigeLimousine"/>
    <w:p>
      <w:pPr>
        <w:pStyle w:val="Bibliography"/>
      </w:pPr>
      <w:r>
        <w:t xml:space="preserve">Tribunal de Justicia de la Unión Europea (2023).</w:t>
      </w:r>
      <w:r>
        <w:t xml:space="preserve"> </w:t>
      </w:r>
      <w:r>
        <w:t xml:space="preserve">«Sentencia de 8 de junio de 2023, Prestige and Limousine, C-50/21»</w:t>
      </w:r>
      <w:r>
        <w:t xml:space="preserve">. 8 de junio de 2023.</w:t>
      </w:r>
      <w:r>
        <w:t xml:space="preserve"> </w:t>
      </w:r>
      <w:hyperlink r:id="rId453">
        <w:r>
          <w:rPr>
            <w:rStyle w:val="Hyperlink"/>
          </w:rPr>
          <w:t xml:space="preserve">https://curia.europa.eu/juris/liste.jsf?num=C-50/21</w:t>
        </w:r>
      </w:hyperlink>
      <w:r>
        <w:t xml:space="preserve">.</w:t>
      </w:r>
    </w:p>
    <w:bookmarkEnd w:id="454"/>
    <w:bookmarkStart w:id="456" w:name="ref_TJUE2024GoogleShopping"/>
    <w:p>
      <w:pPr>
        <w:pStyle w:val="Bibliography"/>
      </w:pPr>
      <w:r>
        <w:t xml:space="preserve">Tribunal de Justicia de la Unión Europea (2024).</w:t>
      </w:r>
      <w:r>
        <w:t xml:space="preserve"> </w:t>
      </w:r>
      <w:r>
        <w:t xml:space="preserve">«Sentencia de 10 de septiembre de 2024, Google y Alphabet/Comisión (Google Shopping), C-48/22 P»</w:t>
      </w:r>
      <w:r>
        <w:t xml:space="preserve">. 10 de septiembre de 2024.</w:t>
      </w:r>
      <w:r>
        <w:t xml:space="preserve"> </w:t>
      </w:r>
      <w:hyperlink r:id="rId455">
        <w:r>
          <w:rPr>
            <w:rStyle w:val="Hyperlink"/>
          </w:rPr>
          <w:t xml:space="preserve">https://curia.europa.eu/juris/liste.jsf?num=C-48/22</w:t>
        </w:r>
      </w:hyperlink>
      <w:r>
        <w:t xml:space="preserve">.</w:t>
      </w:r>
    </w:p>
    <w:bookmarkEnd w:id="456"/>
    <w:bookmarkStart w:id="458" w:name="ref_TJUE2026GoogleAndroid"/>
    <w:p>
      <w:pPr>
        <w:pStyle w:val="Bibliography"/>
      </w:pPr>
      <w:r>
        <w:t xml:space="preserve">Tribunal de Justicia de la Unión Europea (2026).</w:t>
      </w:r>
      <w:r>
        <w:t xml:space="preserve"> </w:t>
      </w:r>
      <w:r>
        <w:t xml:space="preserve">«Sentencia de 2 de julio de 2026, Google y Alphabet/Comisión (Google Android), C-738/22 P»</w:t>
      </w:r>
      <w:r>
        <w:t xml:space="preserve">. 2 de julio de 2026.</w:t>
      </w:r>
      <w:r>
        <w:t xml:space="preserve"> </w:t>
      </w:r>
      <w:hyperlink r:id="rId457">
        <w:r>
          <w:rPr>
            <w:rStyle w:val="Hyperlink"/>
          </w:rPr>
          <w:t xml:space="preserve">https://curia.europa.eu/site/upload/docs/application/pdf/2026-07/cp260093en.pdf</w:t>
        </w:r>
      </w:hyperlink>
      <w:r>
        <w:t xml:space="preserve">.</w:t>
      </w:r>
    </w:p>
    <w:bookmarkEnd w:id="458"/>
    <w:bookmarkStart w:id="460" w:name="ref_DOJ1982Merger"/>
    <w:p>
      <w:pPr>
        <w:pStyle w:val="Bibliography"/>
      </w:pPr>
      <w:r>
        <w:t xml:space="preserve">U.S. Department of Justice (1982).</w:t>
      </w:r>
      <w:r>
        <w:t xml:space="preserve"> </w:t>
      </w:r>
      <w:r>
        <w:t xml:space="preserve">«1982 Merger Guidelines»</w:t>
      </w:r>
      <w:r>
        <w:t xml:space="preserve">. 1982.</w:t>
      </w:r>
      <w:r>
        <w:t xml:space="preserve"> </w:t>
      </w:r>
      <w:hyperlink r:id="rId459">
        <w:r>
          <w:rPr>
            <w:rStyle w:val="Hyperlink"/>
          </w:rPr>
          <w:t xml:space="preserve">https://www.justice.gov/sites/default/files/atr/legacy/2007/07/11/11248.pdf</w:t>
        </w:r>
      </w:hyperlink>
      <w:r>
        <w:t xml:space="preserve">.</w:t>
      </w:r>
    </w:p>
    <w:bookmarkEnd w:id="460"/>
    <w:bookmarkStart w:id="462" w:name="ref_DOJFTC2010Horizontal"/>
    <w:p>
      <w:pPr>
        <w:pStyle w:val="Bibliography"/>
      </w:pPr>
      <w:r>
        <w:t xml:space="preserve">U.S. Department of Justice y Federal Trade Commission (2010).</w:t>
      </w:r>
      <w:r>
        <w:t xml:space="preserve"> </w:t>
      </w:r>
      <w:r>
        <w:t xml:space="preserve">«Horizontal Merger Guidelines»</w:t>
      </w:r>
      <w:r>
        <w:t xml:space="preserve">. 19 de agosto de 2010.</w:t>
      </w:r>
      <w:r>
        <w:t xml:space="preserve"> </w:t>
      </w:r>
      <w:hyperlink r:id="rId461">
        <w:r>
          <w:rPr>
            <w:rStyle w:val="Hyperlink"/>
          </w:rPr>
          <w:t xml:space="preserve">https://www.justice.gov/sites/default/files/atr/legacy/2010/08/19/hmg-2010.pdf</w:t>
        </w:r>
      </w:hyperlink>
      <w:r>
        <w:t xml:space="preserve">.</w:t>
      </w:r>
    </w:p>
    <w:bookmarkEnd w:id="462"/>
    <w:bookmarkStart w:id="464" w:name="ref_DOJFTC2023Merger"/>
    <w:p>
      <w:pPr>
        <w:pStyle w:val="Bibliography"/>
      </w:pPr>
      <w:r>
        <w:t xml:space="preserve">U.S. Department of Justice y Federal Trade Commission (2023).</w:t>
      </w:r>
      <w:r>
        <w:t xml:space="preserve"> </w:t>
      </w:r>
      <w:r>
        <w:t xml:space="preserve">«Merger Guidelines»</w:t>
      </w:r>
      <w:r>
        <w:t xml:space="preserve">. 18 de diciembre de 2023.</w:t>
      </w:r>
      <w:r>
        <w:t xml:space="preserve"> </w:t>
      </w:r>
      <w:hyperlink r:id="rId463">
        <w:r>
          <w:rPr>
            <w:rStyle w:val="Hyperlink"/>
          </w:rPr>
          <w:t xml:space="preserve">https://www.justice.gov/d9/2023-12/2023%20Merger%20Guidelines.pdf</w:t>
        </w:r>
      </w:hyperlink>
      <w:r>
        <w:t xml:space="preserve">.</w:t>
      </w:r>
    </w:p>
    <w:bookmarkEnd w:id="464"/>
    <w:bookmarkStart w:id="465" w:name="ref_Weitzman1983Contestable"/>
    <w:p>
      <w:pPr>
        <w:pStyle w:val="Bibliography"/>
      </w:pPr>
      <w:r>
        <w:t xml:space="preserve">Weitzman, Martin L. (1983).</w:t>
      </w:r>
      <w:r>
        <w:t xml:space="preserve"> </w:t>
      </w:r>
      <w:r>
        <w:t xml:space="preserve">«Contestable Markets: An Uprising in the Theory of Industry Structure: Comment»</w:t>
      </w:r>
      <w:r>
        <w:t xml:space="preserve">.</w:t>
      </w:r>
      <w:r>
        <w:t xml:space="preserve"> </w:t>
      </w:r>
      <w:r>
        <w:rPr>
          <w:i/>
          <w:iCs/>
        </w:rPr>
        <w:t xml:space="preserve">American Economic Review</w:t>
      </w:r>
      <w:r>
        <w:t xml:space="preserve"> </w:t>
      </w:r>
      <w:r>
        <w:t xml:space="preserve">73 (3): 486-87.</w:t>
      </w:r>
    </w:p>
    <w:bookmarkEnd w:id="465"/>
    <w:bookmarkStart w:id="467" w:name="ref_Weizsacker1980Welfare"/>
    <w:p>
      <w:pPr>
        <w:pStyle w:val="Bibliography"/>
      </w:pPr>
      <w:r>
        <w:t xml:space="preserve">Weizsäcker, C. Christian von (1980).</w:t>
      </w:r>
      <w:r>
        <w:t xml:space="preserve"> </w:t>
      </w:r>
      <w:r>
        <w:t xml:space="preserve">«A Welfare Analysis of Barriers to Entry»</w:t>
      </w:r>
      <w:r>
        <w:t xml:space="preserve">.</w:t>
      </w:r>
      <w:r>
        <w:t xml:space="preserve"> </w:t>
      </w:r>
      <w:r>
        <w:rPr>
          <w:i/>
          <w:iCs/>
        </w:rPr>
        <w:t xml:space="preserve">Bell Journal of Economics</w:t>
      </w:r>
      <w:r>
        <w:t xml:space="preserve"> </w:t>
      </w:r>
      <w:r>
        <w:t xml:space="preserve">11 (2): 399-420.</w:t>
      </w:r>
      <w:r>
        <w:t xml:space="preserve"> </w:t>
      </w:r>
      <w:hyperlink r:id="rId466">
        <w:r>
          <w:rPr>
            <w:rStyle w:val="Hyperlink"/>
          </w:rPr>
          <w:t xml:space="preserve">https://doi.org/10.2307/3003371</w:t>
        </w:r>
      </w:hyperlink>
      <w:r>
        <w:t xml:space="preserve">.</w:t>
      </w:r>
    </w:p>
    <w:bookmarkEnd w:id="467"/>
    <w:bookmarkStart w:id="469" w:name="ref_Wernerfelt1984Resource"/>
    <w:p>
      <w:pPr>
        <w:pStyle w:val="Bibliography"/>
      </w:pPr>
      <w:r>
        <w:t xml:space="preserve">Wernerfelt, Birger (1984).</w:t>
      </w:r>
      <w:r>
        <w:t xml:space="preserve"> </w:t>
      </w:r>
      <w:r>
        <w:t xml:space="preserve">«A Resource-Based View of the Firm»</w:t>
      </w:r>
      <w:r>
        <w:t xml:space="preserve">.</w:t>
      </w:r>
      <w:r>
        <w:t xml:space="preserve"> </w:t>
      </w:r>
      <w:r>
        <w:rPr>
          <w:i/>
          <w:iCs/>
        </w:rPr>
        <w:t xml:space="preserve">Strategic Management Journal</w:t>
      </w:r>
      <w:r>
        <w:t xml:space="preserve"> </w:t>
      </w:r>
      <w:r>
        <w:t xml:space="preserve">5 (2): 171-80.</w:t>
      </w:r>
      <w:r>
        <w:t xml:space="preserve"> </w:t>
      </w:r>
      <w:hyperlink r:id="rId468">
        <w:r>
          <w:rPr>
            <w:rStyle w:val="Hyperlink"/>
          </w:rPr>
          <w:t xml:space="preserve">https://doi.org/10.1002/smj.4250050207</w:t>
        </w:r>
      </w:hyperlink>
      <w:r>
        <w:t xml:space="preserve">.</w:t>
      </w:r>
    </w:p>
    <w:bookmarkEnd w:id="469"/>
    <w:bookmarkStart w:id="470" w:name="ref_Williamson1964Economics"/>
    <w:p>
      <w:pPr>
        <w:pStyle w:val="Bibliography"/>
      </w:pPr>
      <w:r>
        <w:t xml:space="preserve">Williamson, Oliver E. (1964).</w:t>
      </w:r>
      <w:r>
        <w:t xml:space="preserve"> </w:t>
      </w:r>
      <w:r>
        <w:rPr>
          <w:i/>
          <w:iCs/>
        </w:rPr>
        <w:t xml:space="preserve">The Economics of Discretionary Behavior: Managerial Objectives in a Theory of the Firm</w:t>
      </w:r>
      <w:r>
        <w:t xml:space="preserve">. Englewood Cliffs (Nueva Jersey): Prentice-Hall.</w:t>
      </w:r>
    </w:p>
    <w:bookmarkEnd w:id="470"/>
    <w:bookmarkStart w:id="472" w:name="ref_Williamson1967Hierarchical"/>
    <w:p>
      <w:pPr>
        <w:pStyle w:val="Bibliography"/>
      </w:pPr>
      <w:r>
        <w:t xml:space="preserve">Williamson, Oliver E. (1967).</w:t>
      </w:r>
      <w:r>
        <w:t xml:space="preserve"> </w:t>
      </w:r>
      <w:r>
        <w:t xml:space="preserve">«Hierarchical Control and Optimum Firm Size»</w:t>
      </w:r>
      <w:r>
        <w:t xml:space="preserve">.</w:t>
      </w:r>
      <w:r>
        <w:t xml:space="preserve"> </w:t>
      </w:r>
      <w:r>
        <w:rPr>
          <w:i/>
          <w:iCs/>
        </w:rPr>
        <w:t xml:space="preserve">Journal of Political Economy</w:t>
      </w:r>
      <w:r>
        <w:t xml:space="preserve"> </w:t>
      </w:r>
      <w:r>
        <w:t xml:space="preserve">75 (2): 123-38.</w:t>
      </w:r>
      <w:r>
        <w:t xml:space="preserve"> </w:t>
      </w:r>
      <w:hyperlink r:id="rId471">
        <w:r>
          <w:rPr>
            <w:rStyle w:val="Hyperlink"/>
          </w:rPr>
          <w:t xml:space="preserve">https://doi.org/10.1086/259258</w:t>
        </w:r>
      </w:hyperlink>
      <w:r>
        <w:t xml:space="preserve">.</w:t>
      </w:r>
    </w:p>
    <w:bookmarkEnd w:id="472"/>
    <w:bookmarkStart w:id="473" w:name="ref_Williamson1975Markets"/>
    <w:p>
      <w:pPr>
        <w:pStyle w:val="Bibliography"/>
      </w:pPr>
      <w:r>
        <w:t xml:space="preserve">Williamson, Oliver E. (1975).</w:t>
      </w:r>
      <w:r>
        <w:t xml:space="preserve"> </w:t>
      </w:r>
      <w:r>
        <w:rPr>
          <w:i/>
          <w:iCs/>
        </w:rPr>
        <w:t xml:space="preserve">Markets and Hierarchies: Analysis and Antitrust Implications</w:t>
      </w:r>
      <w:r>
        <w:t xml:space="preserve">. Nueva York: Free Press.</w:t>
      </w:r>
    </w:p>
    <w:bookmarkEnd w:id="473"/>
    <w:bookmarkStart w:id="475" w:name="ref_Williamson1979Transaction"/>
    <w:p>
      <w:pPr>
        <w:pStyle w:val="Bibliography"/>
      </w:pPr>
      <w:r>
        <w:t xml:space="preserve">Williamson, Oliver E. (1979).</w:t>
      </w:r>
      <w:r>
        <w:t xml:space="preserve"> </w:t>
      </w:r>
      <w:r>
        <w:t xml:space="preserve">«Transaction-Cost Economics: The Governance of Contractual Relations»</w:t>
      </w:r>
      <w:r>
        <w:t xml:space="preserve">.</w:t>
      </w:r>
      <w:r>
        <w:t xml:space="preserve"> </w:t>
      </w:r>
      <w:r>
        <w:rPr>
          <w:i/>
          <w:iCs/>
        </w:rPr>
        <w:t xml:space="preserve">Journal of Law and Economics</w:t>
      </w:r>
      <w:r>
        <w:t xml:space="preserve"> </w:t>
      </w:r>
      <w:r>
        <w:t xml:space="preserve">22 (2): 233-61.</w:t>
      </w:r>
      <w:r>
        <w:t xml:space="preserve"> </w:t>
      </w:r>
      <w:hyperlink r:id="rId474">
        <w:r>
          <w:rPr>
            <w:rStyle w:val="Hyperlink"/>
          </w:rPr>
          <w:t xml:space="preserve">https://doi.org/10.1086/466942</w:t>
        </w:r>
      </w:hyperlink>
      <w:r>
        <w:t xml:space="preserve">.</w:t>
      </w:r>
    </w:p>
    <w:bookmarkEnd w:id="475"/>
    <w:bookmarkStart w:id="476" w:name="ref_Williamson1985Economic"/>
    <w:p>
      <w:pPr>
        <w:pStyle w:val="Bibliography"/>
      </w:pPr>
      <w:r>
        <w:t xml:space="preserve">Williamson, Oliver E. (1985).</w:t>
      </w:r>
      <w:r>
        <w:t xml:space="preserve"> </w:t>
      </w:r>
      <w:r>
        <w:rPr>
          <w:i/>
          <w:iCs/>
        </w:rPr>
        <w:t xml:space="preserve">The Economic Institutions of Capitalism: Firms, Markets, Relational Contracting</w:t>
      </w:r>
      <w:r>
        <w:t xml:space="preserve">. Nueva York: Free Press.</w:t>
      </w:r>
    </w:p>
    <w:bookmarkEnd w:id="476"/>
    <w:bookmarkStart w:id="478" w:name="ref_Williamson1991Comparative"/>
    <w:p>
      <w:pPr>
        <w:pStyle w:val="Bibliography"/>
      </w:pPr>
      <w:r>
        <w:t xml:space="preserve">Williamson, Oliver E. (1991).</w:t>
      </w:r>
      <w:r>
        <w:t xml:space="preserve"> </w:t>
      </w:r>
      <w:r>
        <w:t xml:space="preserve">«Comparative Economic Organization: The Analysis of Discrete Structural Alternatives»</w:t>
      </w:r>
      <w:r>
        <w:t xml:space="preserve">.</w:t>
      </w:r>
      <w:r>
        <w:t xml:space="preserve"> </w:t>
      </w:r>
      <w:r>
        <w:rPr>
          <w:i/>
          <w:iCs/>
        </w:rPr>
        <w:t xml:space="preserve">Administrative Science Quarterly</w:t>
      </w:r>
      <w:r>
        <w:t xml:space="preserve"> </w:t>
      </w:r>
      <w:r>
        <w:t xml:space="preserve">36 (2): 269-96.</w:t>
      </w:r>
      <w:r>
        <w:t xml:space="preserve"> </w:t>
      </w:r>
      <w:hyperlink r:id="rId477">
        <w:r>
          <w:rPr>
            <w:rStyle w:val="Hyperlink"/>
          </w:rPr>
          <w:t xml:space="preserve">https://doi.org/10.2307/2393356</w:t>
        </w:r>
      </w:hyperlink>
      <w:r>
        <w:t xml:space="preserve">.</w:t>
      </w:r>
    </w:p>
    <w:bookmarkEnd w:id="478"/>
    <w:bookmarkStart w:id="480" w:name="ref_Nobel2009WilliamsonBio"/>
    <w:p>
      <w:pPr>
        <w:pStyle w:val="Bibliography"/>
      </w:pPr>
      <w:r>
        <w:t xml:space="preserve">Williamson, Oliver E. (2009).</w:t>
      </w:r>
      <w:r>
        <w:t xml:space="preserve"> </w:t>
      </w:r>
      <w:r>
        <w:t xml:space="preserve">«Oliver E. Williamson: Biographical»</w:t>
      </w:r>
      <w:r>
        <w:t xml:space="preserve">. 2009.</w:t>
      </w:r>
      <w:r>
        <w:t xml:space="preserve"> </w:t>
      </w:r>
      <w:hyperlink r:id="rId479">
        <w:r>
          <w:rPr>
            <w:rStyle w:val="Hyperlink"/>
          </w:rPr>
          <w:t xml:space="preserve">https://www.nobelprize.org/prizes/economic-sciences/2009/williamson/biographical/</w:t>
        </w:r>
      </w:hyperlink>
      <w:r>
        <w:t xml:space="preserve">.</w:t>
      </w:r>
    </w:p>
    <w:bookmarkEnd w:id="480"/>
    <w:bookmarkEnd w:id="481"/>
    <w:bookmarkEnd w:id="482"/>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Es un método muy extendido en las ciencias sociales: sostiene que los fenómenos sociales, su estructura y sus cambios, se explican en principio a partir de los individuos, de sus metas, sus creencias y sus acciones, y ve la evolución de la sociedad como el agregado de las decisiones de los particulares. Es, por tanto, un reduccionismo: explica las entidades grandes a partir de las pequeñas.</w:t>
      </w:r>
    </w:p>
  </w:footnote>
  <w:footnote w:id="22">
    <w:p>
      <w:pPr>
        <w:pStyle w:val="FootnoteText"/>
      </w:pPr>
      <w:r>
        <w:rPr>
          <w:rStyle w:val="FootnoteReference"/>
        </w:rPr>
        <w:footnoteRef/>
      </w:r>
      <w:r>
        <w:t xml:space="preserve"> </w:t>
      </w:r>
      <w:r>
        <w:t xml:space="preserve">La microeconomía contemporánea considera esta separación estricta entre consumidores y productores una simplificación excesiva</w:t>
      </w:r>
      <w:r>
        <w:t xml:space="preserve"> </w:t>
      </w:r>
      <w:r>
        <w:t xml:space="preserve">(</w:t>
      </w:r>
      <w:hyperlink w:anchor="ref_EkelundHebert2013History">
        <w:r>
          <w:rPr>
            <w:rStyle w:val="Hyperlink"/>
            <w:smallCaps/>
          </w:rPr>
          <w:t xml:space="preserve">Ekelund</w:t>
        </w:r>
        <w:r>
          <w:rPr>
            <w:rStyle w:val="Hyperlink"/>
          </w:rPr>
          <w:t xml:space="preserve"> </w:t>
        </w:r>
        <w:r>
          <w:rPr>
            <w:rStyle w:val="Hyperlink"/>
          </w:rPr>
          <w:t xml:space="preserve">y</w:t>
        </w:r>
        <w:r>
          <w:rPr>
            <w:rStyle w:val="Hyperlink"/>
          </w:rPr>
          <w:t xml:space="preserve"> </w:t>
        </w:r>
        <w:r>
          <w:rPr>
            <w:rStyle w:val="Hyperlink"/>
            <w:smallCaps/>
          </w:rPr>
          <w:t xml:space="preserve">Hébert</w:t>
        </w:r>
        <w:r>
          <w:rPr>
            <w:rStyle w:val="Hyperlink"/>
          </w:rPr>
          <w:t xml:space="preserve">, 2014, cap. 26</w:t>
        </w:r>
      </w:hyperlink>
      <w:r>
        <w:t xml:space="preserve">)</w:t>
      </w:r>
      <w:r>
        <w:t xml:space="preserve">: lo muestran las «tecnologías del consumo», como el enfoque de características de</w:t>
      </w:r>
      <w:r>
        <w:t xml:space="preserve"> </w:t>
      </w:r>
      <w:r>
        <w:rPr>
          <w:smallCaps/>
        </w:rPr>
        <w:t xml:space="preserve">Lancaster</w:t>
      </w:r>
      <w:r>
        <w:t xml:space="preserve">, la economía doméstica de</w:t>
      </w:r>
      <w:r>
        <w:t xml:space="preserve"> </w:t>
      </w:r>
      <w:r>
        <w:rPr>
          <w:smallCaps/>
        </w:rPr>
        <w:t xml:space="preserve">Becker</w:t>
      </w:r>
      <w:r>
        <w:t xml:space="preserve">, la producción doméstica de</w:t>
      </w:r>
      <w:r>
        <w:t xml:space="preserve"> </w:t>
      </w:r>
      <w:r>
        <w:rPr>
          <w:smallCaps/>
        </w:rPr>
        <w:t xml:space="preserve">Gronau</w:t>
      </w:r>
      <w:r>
        <w:t xml:space="preserve"> </w:t>
      </w:r>
      <w:r>
        <w:t xml:space="preserve">o la economía de la información de</w:t>
      </w:r>
      <w:r>
        <w:t xml:space="preserve"> </w:t>
      </w:r>
      <w:r>
        <w:rPr>
          <w:smallCaps/>
        </w:rPr>
        <w:t xml:space="preserve">Stigler</w:t>
      </w:r>
      <w:r>
        <w:t xml:space="preserve">, en la que conocer los precios y las calidades exige una búsqueda costosa que se combina con el bien físico. La microeconomía estudia también otros agentes, como el sector público o las instituciones financieras.</w:t>
      </w:r>
    </w:p>
  </w:footnote>
  <w:footnote w:id="29">
    <w:p>
      <w:pPr>
        <w:pStyle w:val="FootnoteText"/>
      </w:pPr>
      <w:r>
        <w:rPr>
          <w:rStyle w:val="FootnoteReference"/>
        </w:rPr>
        <w:footnoteRef/>
      </w:r>
      <w:r>
        <w:t xml:space="preserve"> </w:t>
      </w:r>
      <w:r>
        <w:t xml:space="preserve">Compartió el premio con Elinor</w:t>
      </w:r>
      <w:r>
        <w:t xml:space="preserve"> </w:t>
      </w:r>
      <w:r>
        <w:rPr>
          <w:smallCaps/>
        </w:rPr>
        <w:t xml:space="preserve">Ostrom</w:t>
      </w:r>
      <w:r>
        <w:t xml:space="preserve">, «por su análisis de la gobernanza económica, en especial de los bienes comunes»: las comunidades de usuarios pueden gobernar recursos de uso común (pesquerías, pastos, regadíos) con reglas propias, sin Estado ni mercado</w:t>
      </w:r>
      <w:r>
        <w:t xml:space="preserve"> </w:t>
      </w:r>
      <w:hyperlink r:id="rId30">
        <w:r>
          <w:rPr>
            <w:rStyle w:val="Referenciaatema"/>
          </w:rPr>
          <w:t xml:space="preserve">[ver tema 3.A.23]</w:t>
        </w:r>
      </w:hyperlink>
      <w:r>
        <w:t xml:space="preserve">.</w:t>
      </w:r>
    </w:p>
  </w:footnote>
  <w:footnote w:id="37">
    <w:p>
      <w:pPr>
        <w:pStyle w:val="FootnoteText"/>
      </w:pPr>
      <w:r>
        <w:rPr>
          <w:rStyle w:val="FootnoteReference"/>
        </w:rPr>
        <w:footnoteRef/>
      </w:r>
      <w:r>
        <w:t xml:space="preserve"> </w:t>
      </w:r>
      <w:r>
        <w:t xml:space="preserve">En Estados Unidos se dice</w:t>
      </w:r>
      <w:r>
        <w:t xml:space="preserve"> </w:t>
      </w:r>
      <w:r>
        <w:rPr>
          <w:i/>
          <w:iCs/>
        </w:rPr>
        <w:t xml:space="preserve">industrial organization</w:t>
      </w:r>
      <w:r>
        <w:t xml:space="preserve">; en Europa es frecuente</w:t>
      </w:r>
      <w:r>
        <w:t xml:space="preserve"> </w:t>
      </w:r>
      <w:r>
        <w:rPr>
          <w:i/>
          <w:iCs/>
        </w:rPr>
        <w:t xml:space="preserve">economía industrial</w:t>
      </w:r>
      <w:r>
        <w:t xml:space="preserve">. Sus fronteras son difusas: abarca desde la organización interna de las empresas hasta la estructura de los mercados y la política de competencia</w:t>
      </w:r>
      <w:r>
        <w:t xml:space="preserve"> </w:t>
      </w:r>
      <w:r>
        <w:t xml:space="preserve">(</w:t>
      </w:r>
      <w:hyperlink w:anchor="ref_Tirole1988Theory">
        <w:r>
          <w:rPr>
            <w:rStyle w:val="Hyperlink"/>
            <w:smallCaps/>
          </w:rPr>
          <w:t xml:space="preserve">Tirole</w:t>
        </w:r>
        <w:r>
          <w:rPr>
            <w:rStyle w:val="Hyperlink"/>
          </w:rPr>
          <w:t xml:space="preserve">, 1988</w:t>
        </w:r>
      </w:hyperlink>
      <w:r>
        <w:t xml:space="preserve">, introducción)</w:t>
      </w:r>
      <w:r>
        <w:t xml:space="preserve">.</w:t>
      </w:r>
    </w:p>
  </w:footnote>
  <w:footnote w:id="43">
    <w:p>
      <w:pPr>
        <w:pStyle w:val="FootnoteText"/>
      </w:pPr>
      <w:r>
        <w:rPr>
          <w:rStyle w:val="FootnoteReference"/>
        </w:rPr>
        <w:footnoteRef/>
      </w:r>
      <w:r>
        <w:t xml:space="preserve"> </w:t>
      </w:r>
      <w:r>
        <w:rPr>
          <w:smallCaps/>
        </w:rPr>
        <w:t xml:space="preserve">Stigler</w:t>
      </w:r>
      <w:r>
        <w:t xml:space="preserve"> </w:t>
      </w:r>
      <w:r>
        <w:t xml:space="preserve">(</w:t>
      </w:r>
      <w:hyperlink w:anchor="ref_Stigler1939Production">
        <w:r>
          <w:rPr>
            <w:rStyle w:val="Hyperlink"/>
          </w:rPr>
          <w:t xml:space="preserve">1939</w:t>
        </w:r>
      </w:hyperlink>
      <w:r>
        <w:t xml:space="preserve">)</w:t>
      </w:r>
      <w:r>
        <w:t xml:space="preserve"> </w:t>
      </w:r>
      <w:r>
        <w:t xml:space="preserve">añade un argumento teórico: como hay factores que no son perfectamente divisibles y la demanda es incierta, a la empresa le conviene una planta flexible, con costes medios y marginales constantes en un tramo amplio (la</w:t>
      </w:r>
      <w:r>
        <w:t xml:space="preserve"> </w:t>
      </w:r>
      <w:r>
        <w:rPr>
          <w:i/>
          <w:iCs/>
        </w:rPr>
        <w:t xml:space="preserve">reserva de capacidad</w:t>
      </w:r>
      <w:r>
        <w:t xml:space="preserve">), aunque su mínimo sea algo mayor; no habría un tamaño óptimo, sino una horquilla de tamaños óptimos</w:t>
      </w:r>
      <w:r>
        <w:t xml:space="preserve"> </w:t>
      </w:r>
      <w:hyperlink r:id="rId24">
        <w:r>
          <w:rPr>
            <w:rStyle w:val="Referenciaatema"/>
          </w:rPr>
          <w:t xml:space="preserve">[ver tema 3.A.12]</w:t>
        </w:r>
      </w:hyperlink>
      <w:r>
        <w:t xml:space="preserve">.</w:t>
      </w:r>
    </w:p>
    <w:p>
      <w:pPr>
        <w:pStyle w:val="Graficonota"/>
      </w:pPr>
      <w:r>
        <w:drawing>
          <wp:inline>
            <wp:extent cx="2686050" cy="2074403"/>
            <wp:effectExtent b="0" l="0" r="0" t="0"/>
            <wp:docPr descr="" title="" id="45" name="Picture"/>
            <a:graphic>
              <a:graphicData uri="http://schemas.openxmlformats.org/drawingml/2006/picture">
                <pic:pic>
                  <pic:nvPicPr>
                    <pic:cNvPr descr="C:\Users\vgutierrez\Documents\src\victorgutierrezmarcos.github.io-revision\oposicion\temario\fuentes\3A15\graficos/stigler.png" id="46" name="Picture"/>
                    <pic:cNvPicPr>
                      <a:picLocks noChangeArrowheads="1" noChangeAspect="1"/>
                    </pic:cNvPicPr>
                  </pic:nvPicPr>
                  <pic:blipFill>
                    <a:blip r:embed="rId44"/>
                    <a:stretch>
                      <a:fillRect/>
                    </a:stretch>
                  </pic:blipFill>
                  <pic:spPr bwMode="auto">
                    <a:xfrm>
                      <a:off x="0" y="0"/>
                      <a:ext cx="2686050" cy="2074403"/>
                    </a:xfrm>
                    <a:prstGeom prst="rect">
                      <a:avLst/>
                    </a:prstGeom>
                    <a:noFill/>
                    <a:ln w="9525">
                      <a:noFill/>
                      <a:headEnd/>
                      <a:tailEnd/>
                    </a:ln>
                  </pic:spPr>
                </pic:pic>
              </a:graphicData>
            </a:graphic>
          </wp:inline>
        </w:drawing>
      </w:r>
    </w:p>
  </w:footnote>
  <w:footnote w:id="67">
    <w:p>
      <w:pPr>
        <w:pStyle w:val="FootnoteText"/>
      </w:pPr>
      <w:r>
        <w:rPr>
          <w:rStyle w:val="FootnoteReference"/>
        </w:rPr>
        <w:footnoteRef/>
      </w:r>
      <w:r>
        <w:t xml:space="preserve"> </w:t>
      </w:r>
      <w:r>
        <w:rPr>
          <w:smallCaps/>
        </w:rPr>
        <w:t xml:space="preserve">Simon</w:t>
      </w:r>
      <w:r>
        <w:t xml:space="preserve"> </w:t>
      </w:r>
      <w:r>
        <w:t xml:space="preserve">(</w:t>
      </w:r>
      <w:hyperlink w:anchor="ref_Simon1955Behavioral">
        <w:r>
          <w:rPr>
            <w:rStyle w:val="Hyperlink"/>
          </w:rPr>
          <w:t xml:space="preserve">1955</w:t>
        </w:r>
      </w:hyperlink>
      <w:r>
        <w:t xml:space="preserve">)</w:t>
      </w:r>
      <w:r>
        <w:t xml:space="preserve"> </w:t>
      </w:r>
      <w:r>
        <w:t xml:space="preserve">va más lejos: con racionalidad limitada (conocimiento parcial de cada situación y objetivos y valores propios, que no coinciden con los de la organización), los directivos no maximizan nada, sino que buscan resultados</w:t>
      </w:r>
      <w:r>
        <w:t xml:space="preserve"> </w:t>
      </w:r>
      <w:r>
        <w:rPr>
          <w:i/>
          <w:iCs/>
        </w:rPr>
        <w:t xml:space="preserve">satisfactorios</w:t>
      </w:r>
      <w:r>
        <w:t xml:space="preserve">, y las decisiones de la empresa salen de la negociación entre grupos con objetivos distintos</w:t>
      </w:r>
      <w:r>
        <w:t xml:space="preserve"> </w:t>
      </w:r>
      <w:r>
        <w:t xml:space="preserve">(</w:t>
      </w:r>
      <w:hyperlink w:anchor="ref_CyertMarch1963Behavioral">
        <w:r>
          <w:rPr>
            <w:rStyle w:val="Hyperlink"/>
            <w:smallCaps/>
          </w:rPr>
          <w:t xml:space="preserve">Cyert</w:t>
        </w:r>
        <w:r>
          <w:rPr>
            <w:rStyle w:val="Hyperlink"/>
          </w:rPr>
          <w:t xml:space="preserve"> </w:t>
        </w:r>
        <w:r>
          <w:rPr>
            <w:rStyle w:val="Hyperlink"/>
          </w:rPr>
          <w:t xml:space="preserve">y</w:t>
        </w:r>
        <w:r>
          <w:rPr>
            <w:rStyle w:val="Hyperlink"/>
          </w:rPr>
          <w:t xml:space="preserve"> </w:t>
        </w:r>
        <w:r>
          <w:rPr>
            <w:rStyle w:val="Hyperlink"/>
            <w:smallCaps/>
          </w:rPr>
          <w:t xml:space="preserve">March</w:t>
        </w:r>
        <w:r>
          <w:rPr>
            <w:rStyle w:val="Hyperlink"/>
          </w:rPr>
          <w:t xml:space="preserve">, 1963</w:t>
        </w:r>
      </w:hyperlink>
      <w:r>
        <w:t xml:space="preserve">)</w:t>
      </w:r>
      <w:r>
        <w:t xml:space="preserve">.</w:t>
      </w:r>
    </w:p>
  </w:footnote>
  <w:footnote w:id="85">
    <w:p>
      <w:pPr>
        <w:pStyle w:val="FootnoteText"/>
      </w:pPr>
      <w:r>
        <w:rPr>
          <w:rStyle w:val="FootnoteReference"/>
        </w:rPr>
        <w:footnoteRef/>
      </w:r>
      <w:r>
        <w:t xml:space="preserve"> </w:t>
      </w:r>
      <w:r>
        <w:t xml:space="preserve">La información asimétrica puede dar lugar a</w:t>
      </w:r>
      <w:r>
        <w:t xml:space="preserve"> </w:t>
      </w:r>
      <w:r>
        <w:rPr>
          <w:i/>
          <w:iCs/>
        </w:rPr>
        <w:t xml:space="preserve">selección adversa</w:t>
      </w:r>
      <w:r>
        <w:t xml:space="preserve"> </w:t>
      </w:r>
      <w:r>
        <w:t xml:space="preserve">(información oculta antes del contrato, como en el mercado de coches de segunda mano) o a</w:t>
      </w:r>
      <w:r>
        <w:t xml:space="preserve"> </w:t>
      </w:r>
      <w:r>
        <w:rPr>
          <w:i/>
          <w:iCs/>
        </w:rPr>
        <w:t xml:space="preserve">riesgo moral</w:t>
      </w:r>
      <w:r>
        <w:t xml:space="preserve"> </w:t>
      </w:r>
      <w:r>
        <w:t xml:space="preserve">(acción oculta después del contrato, como el asegurado imprudente). La relación entre propietarios y directivos es sobre todo de riesgo moral</w:t>
      </w:r>
      <w:r>
        <w:t xml:space="preserve"> </w:t>
      </w:r>
      <w:hyperlink r:id="rId35">
        <w:r>
          <w:rPr>
            <w:rStyle w:val="Referenciaatema"/>
          </w:rPr>
          <w:t xml:space="preserve">[ver tema 3.A.13]</w:t>
        </w:r>
      </w:hyperlink>
      <w:r>
        <w:t xml:space="preserve">.</w:t>
      </w:r>
    </w:p>
  </w:footnote>
  <w:footnote w:id="97">
    <w:p>
      <w:pPr>
        <w:pStyle w:val="FootnoteText"/>
      </w:pPr>
      <w:r>
        <w:rPr>
          <w:rStyle w:val="FootnoteReference"/>
        </w:rPr>
        <w:footnoteRef/>
      </w:r>
      <w:r>
        <w:t xml:space="preserve"> </w:t>
      </w:r>
      <w:r>
        <w:t xml:space="preserve">Sin empresa, el producto más sencillo exigiría una red de contratos entre productores independientes: si un bien requiere 5 procesos y cada productor contrata con los otros 4, hacen falta 10 contratos; si uno de ellos se convierte en empresa y emplea a los demás, bastan 4, y cada uno es un contrato de empleo, abierto, en el que el trabajador acepta la autoridad del empresario dentro de ciertos límites.</w:t>
      </w:r>
    </w:p>
    <w:p>
      <w:pPr>
        <w:pStyle w:val="Graficonota"/>
      </w:pPr>
      <w:r>
        <w:drawing>
          <wp:inline>
            <wp:extent cx="2686050" cy="1512558"/>
            <wp:effectExtent b="0" l="0" r="0" t="0"/>
            <wp:docPr descr="" title="" id="99" name="Picture"/>
            <a:graphic>
              <a:graphicData uri="http://schemas.openxmlformats.org/drawingml/2006/picture">
                <pic:pic>
                  <pic:nvPicPr>
                    <pic:cNvPr descr="C:\Users\vgutierrez\Documents\src\victorgutierrezmarcos.github.io-revision\oposicion\temario\fuentes\3A15\graficos/contratos-red.png" id="100" name="Picture"/>
                    <pic:cNvPicPr>
                      <a:picLocks noChangeArrowheads="1" noChangeAspect="1"/>
                    </pic:cNvPicPr>
                  </pic:nvPicPr>
                  <pic:blipFill>
                    <a:blip r:embed="rId98"/>
                    <a:stretch>
                      <a:fillRect/>
                    </a:stretch>
                  </pic:blipFill>
                  <pic:spPr bwMode="auto">
                    <a:xfrm>
                      <a:off x="0" y="0"/>
                      <a:ext cx="2686050" cy="1512558"/>
                    </a:xfrm>
                    <a:prstGeom prst="rect">
                      <a:avLst/>
                    </a:prstGeom>
                    <a:noFill/>
                    <a:ln w="9525">
                      <a:noFill/>
                      <a:headEnd/>
                      <a:tailEnd/>
                    </a:ln>
                  </pic:spPr>
                </pic:pic>
              </a:graphicData>
            </a:graphic>
          </wp:inline>
        </w:drawing>
      </w:r>
    </w:p>
  </w:footnote>
  <w:footnote w:id="113">
    <w:p>
      <w:pPr>
        <w:pStyle w:val="FootnoteText"/>
      </w:pPr>
      <w:r>
        <w:rPr>
          <w:rStyle w:val="FootnoteReference"/>
        </w:rPr>
        <w:footnoteRef/>
      </w:r>
      <w:r>
        <w:t xml:space="preserve"> </w:t>
      </w:r>
      <w:r>
        <w:rPr>
          <w:smallCaps/>
        </w:rPr>
        <w:t xml:space="preserve">Williamson</w:t>
      </w:r>
      <w:r>
        <w:t xml:space="preserve"> </w:t>
      </w:r>
      <w:r>
        <w:t xml:space="preserve">se doctoró en 1963 en el Carnegie Institute of Technology, con</w:t>
      </w:r>
      <w:r>
        <w:t xml:space="preserve"> </w:t>
      </w:r>
      <w:r>
        <w:rPr>
          <w:smallCaps/>
        </w:rPr>
        <w:t xml:space="preserve">Simon</w:t>
      </w:r>
      <w:r>
        <w:t xml:space="preserve">,</w:t>
      </w:r>
      <w:r>
        <w:t xml:space="preserve"> </w:t>
      </w:r>
      <w:r>
        <w:rPr>
          <w:smallCaps/>
        </w:rPr>
        <w:t xml:space="preserve">Cyert</w:t>
      </w:r>
      <w:r>
        <w:t xml:space="preserve"> </w:t>
      </w:r>
      <w:r>
        <w:t xml:space="preserve">y</w:t>
      </w:r>
      <w:r>
        <w:t xml:space="preserve"> </w:t>
      </w:r>
      <w:r>
        <w:rPr>
          <w:smallCaps/>
        </w:rPr>
        <w:t xml:space="preserve">March</w:t>
      </w:r>
      <w:r>
        <w:t xml:space="preserve">, de quienes toma la racionalidad limitada y el estudio de las organizaciones</w:t>
      </w:r>
      <w:r>
        <w:t xml:space="preserve"> </w:t>
      </w:r>
      <w:r>
        <w:t xml:space="preserve">(</w:t>
      </w:r>
      <w:hyperlink w:anchor="ref_Nobel2009WilliamsonBio">
        <w:r>
          <w:rPr>
            <w:rStyle w:val="Hyperlink"/>
            <w:smallCaps/>
          </w:rPr>
          <w:t xml:space="preserve">Williamson</w:t>
        </w:r>
        <w:r>
          <w:rPr>
            <w:rStyle w:val="Hyperlink"/>
          </w:rPr>
          <w:t xml:space="preserve">, 2009</w:t>
        </w:r>
      </w:hyperlink>
      <w:r>
        <w:t xml:space="preserve">)</w:t>
      </w:r>
      <w:r>
        <w:t xml:space="preserve">; de</w:t>
      </w:r>
      <w:r>
        <w:t xml:space="preserve"> </w:t>
      </w:r>
      <w:r>
        <w:rPr>
          <w:smallCaps/>
        </w:rPr>
        <w:t xml:space="preserve">Coase</w:t>
      </w:r>
      <w:r>
        <w:t xml:space="preserve"> </w:t>
      </w:r>
      <w:r>
        <w:t xml:space="preserve">hereda la pregunta, pero no fue alumno suyo.</w:t>
      </w:r>
    </w:p>
  </w:footnote>
  <w:footnote w:id="116">
    <w:p>
      <w:pPr>
        <w:pStyle w:val="FootnoteText"/>
      </w:pPr>
      <w:r>
        <w:rPr>
          <w:rStyle w:val="FootnoteReference"/>
        </w:rPr>
        <w:footnoteRef/>
      </w:r>
      <w:r>
        <w:t xml:space="preserve"> </w:t>
      </w:r>
      <w:r>
        <w:t xml:space="preserve">La integración vertical tiene además un motivo de precios, la</w:t>
      </w:r>
      <w:r>
        <w:t xml:space="preserve"> </w:t>
      </w:r>
      <w:r>
        <w:rPr>
          <w:i/>
          <w:iCs/>
        </w:rPr>
        <w:t xml:space="preserve">doble marginalización</w:t>
      </w:r>
      <w:r>
        <w:t xml:space="preserve"> </w:t>
      </w:r>
      <w:r>
        <w:t xml:space="preserve">(</w:t>
      </w:r>
      <w:hyperlink w:anchor="ref_Spengler1950Vertical">
        <w:r>
          <w:rPr>
            <w:rStyle w:val="Hyperlink"/>
            <w:smallCaps/>
          </w:rPr>
          <w:t xml:space="preserve">Spengler</w:t>
        </w:r>
        <w:r>
          <w:rPr>
            <w:rStyle w:val="Hyperlink"/>
          </w:rPr>
          <w:t xml:space="preserve">, 1950</w:t>
        </w:r>
      </w:hyperlink>
      <w:r>
        <w:t xml:space="preserve">)</w:t>
      </w:r>
      <w:r>
        <w:t xml:space="preserve">: integrados, venderían la cantidad de monopolio; separados, la cadena produce menos, cobra más y gana menos</w:t>
      </w:r>
      <w:r>
        <w:t xml:space="preserve"> </w:t>
      </w:r>
      <w:hyperlink r:id="rId26">
        <w:r>
          <w:rPr>
            <w:rStyle w:val="Referenciaatema"/>
          </w:rPr>
          <w:t xml:space="preserve">[ver tema 3.A.17]</w:t>
        </w:r>
      </w:hyperlink>
      <w:r>
        <w:t xml:space="preserve">.</w:t>
      </w:r>
    </w:p>
  </w:footnote>
  <w:footnote w:id="142">
    <w:p>
      <w:pPr>
        <w:pStyle w:val="FootnoteText"/>
      </w:pPr>
      <w:r>
        <w:rPr>
          <w:rStyle w:val="FootnoteReference"/>
        </w:rPr>
        <w:footnoteRef/>
      </w:r>
      <w:r>
        <w:t xml:space="preserve"> </w:t>
      </w:r>
      <w:r>
        <w:t xml:space="preserve">El HHI es mejor en teoría, porque usa todas las cuotas y pesa más las grandes; la ratio de concentración se usa más en la práctica porque solo exige conocer las cuotas de las mayores empresas. Las autoridades usan el HHI para filtrar las concentraciones. En Estados Unidos, las directrices de 2023 presumen que una fusión reduce sustancialmente la competencia si deja un mercado muy concentrado (HHI superior a 1.800) y eleva el índice en más de 100 puntos, o si crea una empresa con más del 30 % de cuota y eleva el índice en más de 100 puntos</w:t>
      </w:r>
      <w:r>
        <w:t xml:space="preserve"> </w:t>
      </w:r>
      <w:r>
        <w:t xml:space="preserve">(</w:t>
      </w:r>
      <w:hyperlink w:anchor="ref_DOJFTC2023Merger">
        <w:r>
          <w:rPr>
            <w:rStyle w:val="Hyperlink"/>
            <w:smallCaps/>
          </w:rPr>
          <w:t xml:space="preserve">U.S. Department of Justice</w:t>
        </w:r>
        <w:r>
          <w:rPr>
            <w:rStyle w:val="Hyperlink"/>
          </w:rPr>
          <w:t xml:space="preserve"> </w:t>
        </w:r>
        <w:r>
          <w:rPr>
            <w:rStyle w:val="Hyperlink"/>
          </w:rPr>
          <w:t xml:space="preserve">y</w:t>
        </w:r>
        <w:r>
          <w:rPr>
            <w:rStyle w:val="Hyperlink"/>
          </w:rPr>
          <w:t xml:space="preserve"> </w:t>
        </w:r>
        <w:r>
          <w:rPr>
            <w:rStyle w:val="Hyperlink"/>
            <w:smallCaps/>
          </w:rPr>
          <w:t xml:space="preserve">Federal Trade Commission</w:t>
        </w:r>
        <w:r>
          <w:rPr>
            <w:rStyle w:val="Hyperlink"/>
          </w:rPr>
          <w:t xml:space="preserve">, 2023</w:t>
        </w:r>
      </w:hyperlink>
      <w:r>
        <w:t xml:space="preserve">)</w:t>
      </w:r>
      <w:r>
        <w:t xml:space="preserve">; son los umbrales de 1982, que las directrices de 2010 habían subido a 2.500 y 200</w:t>
      </w:r>
      <w:r>
        <w:t xml:space="preserve"> </w:t>
      </w:r>
      <w:r>
        <w:t xml:space="preserve">(</w:t>
      </w:r>
      <w:hyperlink w:anchor="ref_DOJ1982Merger">
        <w:r>
          <w:rPr>
            <w:rStyle w:val="Hyperlink"/>
            <w:smallCaps/>
          </w:rPr>
          <w:t xml:space="preserve">U.S. Department of Justice</w:t>
        </w:r>
        <w:r>
          <w:rPr>
            <w:rStyle w:val="Hyperlink"/>
          </w:rPr>
          <w:t xml:space="preserve">, 1982</w:t>
        </w:r>
      </w:hyperlink>
      <w:r>
        <w:t xml:space="preserve">;</w:t>
      </w:r>
      <w:r>
        <w:t xml:space="preserve"> </w:t>
      </w:r>
      <w:hyperlink w:anchor="ref_DOJFTC2010Horizontal">
        <w:r>
          <w:rPr>
            <w:rStyle w:val="Hyperlink"/>
            <w:smallCaps/>
          </w:rPr>
          <w:t xml:space="preserve">U.S. Department of Justice</w:t>
        </w:r>
        <w:r>
          <w:rPr>
            <w:rStyle w:val="Hyperlink"/>
          </w:rPr>
          <w:t xml:space="preserve"> </w:t>
        </w:r>
        <w:r>
          <w:rPr>
            <w:rStyle w:val="Hyperlink"/>
          </w:rPr>
          <w:t xml:space="preserve">y</w:t>
        </w:r>
        <w:r>
          <w:rPr>
            <w:rStyle w:val="Hyperlink"/>
          </w:rPr>
          <w:t xml:space="preserve"> </w:t>
        </w:r>
        <w:r>
          <w:rPr>
            <w:rStyle w:val="Hyperlink"/>
            <w:smallCaps/>
          </w:rPr>
          <w:t xml:space="preserve">Federal Trade Commission</w:t>
        </w:r>
        <w:r>
          <w:rPr>
            <w:rStyle w:val="Hyperlink"/>
          </w:rPr>
          <w:t xml:space="preserve">, 2010</w:t>
        </w:r>
      </w:hyperlink>
      <w:r>
        <w:t xml:space="preserve">)</w:t>
      </w:r>
      <w:r>
        <w:t xml:space="preserve">, y la FTC confirmó en 2025 que las de 2023 siguen en vigor</w:t>
      </w:r>
      <w:r>
        <w:t xml:space="preserve"> </w:t>
      </w:r>
      <w:r>
        <w:t xml:space="preserve">(</w:t>
      </w:r>
      <w:hyperlink w:anchor="ref_FTC2025Ferguson">
        <w:r>
          <w:rPr>
            <w:rStyle w:val="Hyperlink"/>
            <w:smallCaps/>
          </w:rPr>
          <w:t xml:space="preserve">Federal Trade Commission</w:t>
        </w:r>
        <w:r>
          <w:rPr>
            <w:rStyle w:val="Hyperlink"/>
          </w:rPr>
          <w:t xml:space="preserve">, 2025</w:t>
        </w:r>
      </w:hyperlink>
      <w:r>
        <w:t xml:space="preserve">)</w:t>
      </w:r>
      <w:r>
        <w:t xml:space="preserve">. En la Unión Europea, las directrices de 2004 consideran improbables los problemas si el HHI tras la fusión no llega a 1.000, si está entre 1.000 y 2.000 y sube menos de 250 puntos, o si supera 2.000 y sube menos de 150</w:t>
      </w:r>
      <w:r>
        <w:t xml:space="preserve"> </w:t>
      </w:r>
      <w:r>
        <w:t xml:space="preserve">(</w:t>
      </w:r>
      <w:hyperlink w:anchor="ref_CE2004Horizontales">
        <w:r>
          <w:rPr>
            <w:rStyle w:val="Hyperlink"/>
            <w:smallCaps/>
          </w:rPr>
          <w:t xml:space="preserve">Comisión Europea</w:t>
        </w:r>
        <w:r>
          <w:rPr>
            <w:rStyle w:val="Hyperlink"/>
          </w:rPr>
          <w:t xml:space="preserve">, 2004</w:t>
        </w:r>
      </w:hyperlink>
      <w:r>
        <w:t xml:space="preserve">)</w:t>
      </w:r>
      <w:r>
        <w:t xml:space="preserve">; el borrador de 2026, que la Comisión prevé aprobar a finales de año, mantiene esos umbrales</w:t>
      </w:r>
      <w:r>
        <w:t xml:space="preserve"> </w:t>
      </w:r>
      <w:r>
        <w:t xml:space="preserve">(</w:t>
      </w:r>
      <w:hyperlink w:anchor="ref_CE2026BorradorMerger">
        <w:r>
          <w:rPr>
            <w:rStyle w:val="Hyperlink"/>
            <w:smallCaps/>
          </w:rPr>
          <w:t xml:space="preserve">Comisión Europea</w:t>
        </w:r>
        <w:r>
          <w:rPr>
            <w:rStyle w:val="Hyperlink"/>
          </w:rPr>
          <w:t xml:space="preserve">, 2026b</w:t>
        </w:r>
      </w:hyperlink>
      <w:r>
        <w:t xml:space="preserve">)</w:t>
      </w:r>
      <w:r>
        <w:t xml:space="preserve">.</w:t>
      </w:r>
    </w:p>
  </w:footnote>
  <w:footnote w:id="148">
    <w:p>
      <w:pPr>
        <w:pStyle w:val="FootnoteText"/>
      </w:pPr>
      <w:r>
        <w:rPr>
          <w:rStyle w:val="FootnoteReference"/>
        </w:rPr>
        <w:footnoteRef/>
      </w:r>
      <w:r>
        <w:t xml:space="preserve"> </w:t>
      </w:r>
      <w:r>
        <w:t xml:space="preserve">Ejemplos: el oligopolio de las agencias de calificación, al que las exigencias regulatorias dan una ventaja difícil de igualar (S&amp;P, Moody’s y Fitch tienen el 92 % del mercado de la Unión Europea, con un HHI de unos 3.600, según</w:t>
      </w:r>
      <w:r>
        <w:t xml:space="preserve"> </w:t>
      </w:r>
      <w:r>
        <w:rPr>
          <w:smallCaps/>
        </w:rPr>
        <w:t xml:space="preserve">European Securities and Markets Authority</w:t>
      </w:r>
      <w:r>
        <w:t xml:space="preserve"> </w:t>
      </w:r>
      <w:r>
        <w:t xml:space="preserve">(</w:t>
      </w:r>
      <w:hyperlink w:anchor="ref_ESMA2025CRA">
        <w:r>
          <w:rPr>
            <w:rStyle w:val="Hyperlink"/>
          </w:rPr>
          <w:t xml:space="preserve">2025</w:t>
        </w:r>
      </w:hyperlink>
      <w:r>
        <w:t xml:space="preserve">)</w:t>
      </w:r>
      <w:r>
        <w:t xml:space="preserve">); o la limitación de las licencias de vehículos de alquiler con conductor a 1 por cada 30 de taxi, que según el Tribunal de Justicia de la UE restringe la libertad de establecimiento y solo cabe si es adecuada y proporcionada a fines de interés general</w:t>
      </w:r>
      <w:r>
        <w:t xml:space="preserve"> </w:t>
      </w:r>
      <w:r>
        <w:t xml:space="preserve">(</w:t>
      </w:r>
      <w:hyperlink w:anchor="ref_TJUE2023PrestigeLimousine">
        <w:r>
          <w:rPr>
            <w:rStyle w:val="Hyperlink"/>
            <w:smallCaps/>
          </w:rPr>
          <w:t xml:space="preserve">Tribunal de Justicia de la Unión Europea</w:t>
        </w:r>
        <w:r>
          <w:rPr>
            <w:rStyle w:val="Hyperlink"/>
          </w:rPr>
          <w:t xml:space="preserve">, 2023</w:t>
        </w:r>
      </w:hyperlink>
      <w:r>
        <w:t xml:space="preserve">)</w:t>
      </w:r>
      <w:r>
        <w:t xml:space="preserve">.</w:t>
      </w:r>
    </w:p>
  </w:footnote>
  <w:footnote w:id="149">
    <w:p>
      <w:pPr>
        <w:pStyle w:val="FootnoteText"/>
      </w:pPr>
      <w:r>
        <w:rPr>
          <w:rStyle w:val="FootnoteReference"/>
        </w:rPr>
        <w:footnoteRef/>
      </w:r>
      <w:r>
        <w:t xml:space="preserve"> </w:t>
      </w:r>
      <w:r>
        <w:t xml:space="preserve">Para la escuela austriaca y para</w:t>
      </w:r>
      <w:r>
        <w:t xml:space="preserve"> </w:t>
      </w:r>
      <w:r>
        <w:rPr>
          <w:smallCaps/>
        </w:rPr>
        <w:t xml:space="preserve">Schumpeter</w:t>
      </w:r>
      <w:r>
        <w:t xml:space="preserve">, el poder de mercado temporal es el premio de la innovación (anexo </w:t>
      </w:r>
      <w:hyperlink w:anchor="anexo_austriaca">
        <w:r>
          <w:rPr>
            <w:rStyle w:val="Hyperlink"/>
          </w:rPr>
          <w:t xml:space="preserve">A</w:t>
        </w:r>
      </w:hyperlink>
      <w:r>
        <w:t xml:space="preserve">)</w:t>
      </w:r>
      <w:r>
        <w:t xml:space="preserve"> </w:t>
      </w:r>
      <w:hyperlink r:id="rId150">
        <w:r>
          <w:rPr>
            <w:rStyle w:val="Referenciaatema"/>
          </w:rPr>
          <w:t xml:space="preserve">[ver tema 3.A.44]</w:t>
        </w:r>
      </w:hyperlink>
      <w:r>
        <w:t xml:space="preserve">.</w:t>
      </w:r>
    </w:p>
  </w:footnote>
  <w:footnote w:id="153">
    <w:p>
      <w:pPr>
        <w:pStyle w:val="FootnoteText"/>
      </w:pPr>
      <w:r>
        <w:rPr>
          <w:rStyle w:val="FootnoteReference"/>
        </w:rPr>
        <w:footnoteRef/>
      </w:r>
      <w:r>
        <w:t xml:space="preserve"> </w:t>
      </w:r>
      <w:r>
        <w:t xml:space="preserve">Una síntesis de las definiciones, en</w:t>
      </w:r>
      <w:r>
        <w:t xml:space="preserve"> </w:t>
      </w:r>
      <w:r>
        <w:rPr>
          <w:smallCaps/>
        </w:rPr>
        <w:t xml:space="preserve">McAfee</w:t>
      </w:r>
      <w:r>
        <w:t xml:space="preserve">,</w:t>
      </w:r>
      <w:r>
        <w:t xml:space="preserve"> </w:t>
      </w:r>
      <w:r>
        <w:rPr>
          <w:smallCaps/>
        </w:rPr>
        <w:t xml:space="preserve">Mialon</w:t>
      </w:r>
      <w:r>
        <w:t xml:space="preserve"> </w:t>
      </w:r>
      <w:r>
        <w:t xml:space="preserve">y</w:t>
      </w:r>
      <w:r>
        <w:t xml:space="preserve"> </w:t>
      </w:r>
      <w:r>
        <w:rPr>
          <w:smallCaps/>
        </w:rPr>
        <w:t xml:space="preserve">Williams</w:t>
      </w:r>
      <w:r>
        <w:t xml:space="preserve"> </w:t>
      </w:r>
      <w:r>
        <w:t xml:space="preserve">(</w:t>
      </w:r>
      <w:hyperlink w:anchor="ref_McAfeeMialonWilliams2004What">
        <w:r>
          <w:rPr>
            <w:rStyle w:val="Hyperlink"/>
          </w:rPr>
          <w:t xml:space="preserve">2004</w:t>
        </w:r>
      </w:hyperlink>
      <w:r>
        <w:t xml:space="preserve">)</w:t>
      </w:r>
      <w:r>
        <w:t xml:space="preserve">.</w:t>
      </w:r>
    </w:p>
  </w:footnote>
  <w:footnote w:id="157">
    <w:p>
      <w:pPr>
        <w:pStyle w:val="FootnoteText"/>
      </w:pPr>
      <w:r>
        <w:rPr>
          <w:rStyle w:val="FootnoteReference"/>
        </w:rPr>
        <w:footnoteRef/>
      </w:r>
      <w:r>
        <w:t xml:space="preserve"> </w:t>
      </w:r>
      <w:r>
        <w:t xml:space="preserve">Con demanda lineal,</w:t>
      </w:r>
      <w:r>
        <w:t xml:space="preserve"> </w:t>
      </w:r>
      <m:oMath>
        <m:r>
          <m:t>p</m:t>
        </m:r>
        <m:d>
          <m:dPr>
            <m:begChr m:val="("/>
            <m:sepChr m:val=""/>
            <m:endChr m:val=")"/>
            <m:grow/>
          </m:dPr>
          <m:e>
            <m:r>
              <m:t>Q</m:t>
            </m:r>
          </m:e>
        </m:d>
        <m:r>
          <m:rPr>
            <m:sty m:val="p"/>
          </m:rPr>
          <m:t>=</m:t>
        </m:r>
        <m:sSub>
          <m:e>
            <m:r>
              <m:t>α</m:t>
            </m:r>
          </m:e>
          <m:sub>
            <m:r>
              <m:t>0</m:t>
            </m:r>
          </m:sub>
        </m:sSub>
        <m:r>
          <m:rPr>
            <m:sty m:val="p"/>
          </m:rPr>
          <m:t>−</m:t>
        </m:r>
        <m:r>
          <m:t>b</m:t>
        </m:r>
        <m:r>
          <m:t>Q</m:t>
        </m:r>
      </m:oMath>
      <w:r>
        <w:t xml:space="preserve">, y costes</w:t>
      </w:r>
      <w:r>
        <w:t xml:space="preserve"> </w:t>
      </w:r>
      <m:oMath>
        <m:r>
          <m:t>C</m:t>
        </m:r>
        <m:d>
          <m:dPr>
            <m:begChr m:val="("/>
            <m:sepChr m:val=""/>
            <m:endChr m:val=")"/>
            <m:grow/>
          </m:dPr>
          <m:e>
            <m:r>
              <m:t>q</m:t>
            </m:r>
          </m:e>
        </m:d>
        <m:r>
          <m:rPr>
            <m:sty m:val="p"/>
          </m:rPr>
          <m:t>=</m:t>
        </m:r>
        <m:r>
          <m:rPr>
            <m:sty m:val="p"/>
          </m:rPr>
          <m:t>C</m:t>
        </m:r>
        <m:r>
          <m:rPr>
            <m:sty m:val="p"/>
          </m:rPr>
          <m:t>F</m:t>
        </m:r>
        <m:r>
          <m:rPr>
            <m:sty m:val="p"/>
          </m:rPr>
          <m:t>+</m:t>
        </m:r>
        <m:r>
          <m:t>c</m:t>
        </m:r>
        <m:r>
          <m:t> </m:t>
        </m:r>
        <m:r>
          <m:t>q</m:t>
        </m:r>
      </m:oMath>
      <w:r>
        <w:t xml:space="preserve">, el entrante elegiría su producción frente a la demanda residual</w:t>
      </w:r>
      <w:r>
        <w:t xml:space="preserve"> </w:t>
      </w:r>
      <m:oMath>
        <m:sSub>
          <m:e>
            <m:r>
              <m:t>α</m:t>
            </m:r>
          </m:e>
          <m:sub>
            <m:r>
              <m:t>0</m:t>
            </m:r>
          </m:sub>
        </m:sSub>
        <m:r>
          <m:rPr>
            <m:sty m:val="p"/>
          </m:rPr>
          <m:t>−</m:t>
        </m:r>
        <m:r>
          <m:t>b</m:t>
        </m:r>
        <m:sSub>
          <m:e>
            <m:r>
              <m:t>q</m:t>
            </m:r>
          </m:e>
          <m:sub>
            <m:r>
              <m:rPr>
                <m:sty m:val="p"/>
              </m:rPr>
              <m:t>I</m:t>
            </m:r>
          </m:sub>
        </m:sSub>
        <m:r>
          <m:rPr>
            <m:sty m:val="p"/>
          </m:rPr>
          <m:t>−</m:t>
        </m:r>
        <m:r>
          <m:t>b</m:t>
        </m:r>
        <m:sSub>
          <m:e>
            <m:r>
              <m:t>q</m:t>
            </m:r>
          </m:e>
          <m:sub>
            <m:r>
              <m:rPr>
                <m:sty m:val="p"/>
              </m:rPr>
              <m:t>E</m:t>
            </m:r>
          </m:sub>
        </m:sSub>
      </m:oMath>
      <w:r>
        <w:t xml:space="preserve"> </w:t>
      </w:r>
      <w:r>
        <w:t xml:space="preserve">y ganaría</w:t>
      </w:r>
      <w:r>
        <w:t xml:space="preserve"> </w:t>
      </w:r>
      <m:oMath>
        <m:sSup>
          <m:e>
            <m:d>
              <m:dPr>
                <m:begChr m:val="("/>
                <m:sepChr m:val=""/>
                <m:endChr m:val=")"/>
                <m:grow/>
              </m:dPr>
              <m:e>
                <m:sSub>
                  <m:e>
                    <m:r>
                      <m:t>α</m:t>
                    </m:r>
                  </m:e>
                  <m:sub>
                    <m:r>
                      <m:t>0</m:t>
                    </m:r>
                  </m:sub>
                </m:sSub>
                <m:r>
                  <m:rPr>
                    <m:sty m:val="p"/>
                  </m:rPr>
                  <m:t>−</m:t>
                </m:r>
                <m:r>
                  <m:t>c</m:t>
                </m:r>
                <m:r>
                  <m:rPr>
                    <m:sty m:val="p"/>
                  </m:rPr>
                  <m:t>−</m:t>
                </m:r>
                <m:r>
                  <m:t>b</m:t>
                </m:r>
                <m:sSub>
                  <m:e>
                    <m:r>
                      <m:t>q</m:t>
                    </m:r>
                  </m:e>
                  <m:sub>
                    <m:r>
                      <m:rPr>
                        <m:sty m:val="p"/>
                      </m:rPr>
                      <m:t>I</m:t>
                    </m:r>
                  </m:sub>
                </m:sSub>
              </m:e>
            </m:d>
          </m:e>
          <m:sup>
            <m:r>
              <m:t>2</m:t>
            </m:r>
          </m:sup>
        </m:sSup>
        <m:r>
          <m:rPr>
            <m:sty m:val="p"/>
          </m:rPr>
          <m:t>/</m:t>
        </m:r>
        <m:r>
          <m:t>4</m:t>
        </m:r>
        <m:r>
          <m:t>b</m:t>
        </m:r>
        <m:r>
          <m:rPr>
            <m:sty m:val="p"/>
          </m:rPr>
          <m:t>−</m:t>
        </m:r>
        <m:r>
          <m:rPr>
            <m:sty m:val="p"/>
          </m:rPr>
          <m:t>C</m:t>
        </m:r>
        <m:r>
          <m:rPr>
            <m:sty m:val="p"/>
          </m:rPr>
          <m:t>F</m:t>
        </m:r>
      </m:oMath>
      <w:r>
        <w:t xml:space="preserve">; no entra si</w:t>
      </w:r>
      <w:r>
        <w:t xml:space="preserve"> </w:t>
      </w:r>
      <m:oMath>
        <m:sSub>
          <m:e>
            <m:r>
              <m:t>q</m:t>
            </m:r>
          </m:e>
          <m:sub>
            <m:r>
              <m:rPr>
                <m:sty m:val="p"/>
              </m:rPr>
              <m:t>I</m:t>
            </m:r>
          </m:sub>
        </m:sSub>
        <m:r>
          <m:rPr>
            <m:sty m:val="p"/>
          </m:rPr>
          <m:t>≥</m:t>
        </m:r>
        <m:d>
          <m:dPr>
            <m:begChr m:val="["/>
            <m:sepChr m:val=""/>
            <m:endChr m:val="]"/>
            <m:grow/>
          </m:dPr>
          <m:e>
            <m:sSub>
              <m:e>
                <m:r>
                  <m:t>α</m:t>
                </m:r>
              </m:e>
              <m:sub>
                <m:r>
                  <m:t>0</m:t>
                </m:r>
              </m:sub>
            </m:sSub>
            <m:r>
              <m:rPr>
                <m:sty m:val="p"/>
              </m:rPr>
              <m:t>−</m:t>
            </m:r>
            <m:r>
              <m:t>c</m:t>
            </m:r>
            <m:r>
              <m:rPr>
                <m:sty m:val="p"/>
              </m:rPr>
              <m:t>−</m:t>
            </m:r>
            <m:r>
              <m:t>2</m:t>
            </m:r>
            <m:rad>
              <m:radPr>
                <m:degHide m:val="on"/>
              </m:radPr>
              <m:deg/>
              <m:e>
                <m:r>
                  <m:t>b</m:t>
                </m:r>
                <m:r>
                  <m:t> </m:t>
                </m:r>
                <m:r>
                  <m:rPr>
                    <m:sty m:val="p"/>
                  </m:rPr>
                  <m:t>C</m:t>
                </m:r>
                <m:r>
                  <m:rPr>
                    <m:sty m:val="p"/>
                  </m:rPr>
                  <m:t>F</m:t>
                </m:r>
              </m:e>
            </m:rad>
          </m:e>
        </m:d>
        <m:r>
          <m:rPr>
            <m:sty m:val="p"/>
          </m:rPr>
          <m:t>/</m:t>
        </m:r>
        <m:r>
          <m:t>b</m:t>
        </m:r>
      </m:oMath>
      <w:r>
        <w:t xml:space="preserve">, y el precio límite es</w:t>
      </w:r>
      <w:r>
        <w:t xml:space="preserve"> </w:t>
      </w:r>
      <m:oMath>
        <m:sSup>
          <m:e>
            <m:r>
              <m:t>p</m:t>
            </m:r>
          </m:e>
          <m:sup>
            <m:r>
              <m:t>L</m:t>
            </m:r>
          </m:sup>
        </m:sSup>
        <m:r>
          <m:rPr>
            <m:sty m:val="p"/>
          </m:rPr>
          <m:t>=</m:t>
        </m:r>
        <m:r>
          <m:t>c</m:t>
        </m:r>
        <m:r>
          <m:rPr>
            <m:sty m:val="p"/>
          </m:rPr>
          <m:t>+</m:t>
        </m:r>
        <m:r>
          <m:t>2</m:t>
        </m:r>
        <m:rad>
          <m:radPr>
            <m:degHide m:val="on"/>
          </m:radPr>
          <m:deg/>
          <m:e>
            <m:r>
              <m:t>b</m:t>
            </m:r>
            <m:r>
              <m:t> </m:t>
            </m:r>
            <m:r>
              <m:rPr>
                <m:sty m:val="p"/>
              </m:rPr>
              <m:t>C</m:t>
            </m:r>
            <m:r>
              <m:rPr>
                <m:sty m:val="p"/>
              </m:rPr>
              <m:t>F</m:t>
            </m:r>
          </m:e>
        </m:rad>
      </m:oMath>
      <w:r>
        <w:t xml:space="preserve">: el margen que se puede sostener crece con el coste fijo y con la pendiente de la demanda. En ese punto, la demanda residual del entrante es tangente a su coste medio,</w:t>
      </w:r>
      <w:r>
        <w:t xml:space="preserve"> </w:t>
      </w:r>
      <m:oMath>
        <m:r>
          <m:t>c</m:t>
        </m:r>
        <m:r>
          <m:rPr>
            <m:sty m:val="p"/>
          </m:rPr>
          <m:t>+</m:t>
        </m:r>
        <m:r>
          <m:rPr>
            <m:sty m:val="p"/>
          </m:rPr>
          <m:t>C</m:t>
        </m:r>
        <m:r>
          <m:rPr>
            <m:sty m:val="p"/>
          </m:rPr>
          <m:t>F</m:t>
        </m:r>
        <m:r>
          <m:rPr>
            <m:sty m:val="p"/>
          </m:rPr>
          <m:t>/</m:t>
        </m:r>
        <m:sSub>
          <m:e>
            <m:r>
              <m:t>q</m:t>
            </m:r>
          </m:e>
          <m:sub>
            <m:r>
              <m:rPr>
                <m:sty m:val="p"/>
              </m:rPr>
              <m:t>E</m:t>
            </m:r>
          </m:sub>
        </m:sSub>
      </m:oMath>
      <w:r>
        <w:t xml:space="preserve">.</w:t>
      </w:r>
    </w:p>
  </w:footnote>
  <w:footnote w:id="198">
    <w:p>
      <w:pPr>
        <w:pStyle w:val="FootnoteText"/>
      </w:pPr>
      <w:r>
        <w:rPr>
          <w:rStyle w:val="FootnoteReference"/>
        </w:rPr>
        <w:footnoteRef/>
      </w:r>
      <w:r>
        <w:t xml:space="preserve"> </w:t>
      </w:r>
      <m:oMath>
        <m:r>
          <m:t>θ</m:t>
        </m:r>
      </m:oMath>
      <w:r>
        <w:t xml:space="preserve"> </w:t>
      </w:r>
      <w:r>
        <w:t xml:space="preserve">es aquí un parámetro local, no el coeficiente de aversión al riesgo. En el duopolio con variación conjetural</w:t>
      </w:r>
      <w:r>
        <w:t xml:space="preserve"> </w:t>
      </w:r>
      <m:oMath>
        <m:r>
          <m:t>v</m:t>
        </m:r>
        <m:r>
          <m:rPr>
            <m:sty m:val="p"/>
          </m:rPr>
          <m:t>=</m:t>
        </m:r>
        <m:r>
          <m:rPr>
            <m:sty m:val="p"/>
          </m:rPr>
          <m:t>∂</m:t>
        </m:r>
        <m:sSub>
          <m:e>
            <m:r>
              <m:t>q</m:t>
            </m:r>
          </m:e>
          <m:sub>
            <m:r>
              <m:t>j</m:t>
            </m:r>
          </m:sub>
        </m:sSub>
        <m:r>
          <m:rPr>
            <m:sty m:val="p"/>
          </m:rPr>
          <m:t>/</m:t>
        </m:r>
        <m:r>
          <m:rPr>
            <m:sty m:val="p"/>
          </m:rPr>
          <m:t>∂</m:t>
        </m:r>
        <m:sSub>
          <m:e>
            <m:r>
              <m:t>q</m:t>
            </m:r>
          </m:e>
          <m:sub>
            <m:r>
              <m:t>i</m:t>
            </m:r>
          </m:sub>
        </m:sSub>
      </m:oMath>
      <w:r>
        <w:t xml:space="preserve">, la condición de cada empresa es</w:t>
      </w:r>
      <w:r>
        <w:t xml:space="preserve"> </w:t>
      </w:r>
      <m:oMath>
        <m:r>
          <m:t>p</m:t>
        </m:r>
        <m:r>
          <m:rPr>
            <m:sty m:val="p"/>
          </m:rPr>
          <m:t>+</m:t>
        </m:r>
        <m:sSub>
          <m:e>
            <m:r>
              <m:t>q</m:t>
            </m:r>
          </m:e>
          <m:sub>
            <m:r>
              <m:t>i</m:t>
            </m:r>
          </m:sub>
        </m:sSub>
        <m:r>
          <m:t> </m:t>
        </m:r>
        <m:r>
          <m:t>p</m:t>
        </m:r>
        <m:r>
          <m:rPr>
            <m:sty m:val="p"/>
          </m:rPr>
          <m:t>′</m:t>
        </m:r>
        <m:d>
          <m:dPr>
            <m:begChr m:val="("/>
            <m:sepChr m:val=""/>
            <m:endChr m:val=")"/>
            <m:grow/>
          </m:dPr>
          <m:e>
            <m:r>
              <m:t>Q</m:t>
            </m:r>
          </m:e>
        </m:d>
        <m:d>
          <m:dPr>
            <m:begChr m:val="("/>
            <m:sepChr m:val=""/>
            <m:endChr m:val=")"/>
            <m:grow/>
          </m:dPr>
          <m:e>
            <m:r>
              <m:t>1</m:t>
            </m:r>
            <m:r>
              <m:rPr>
                <m:sty m:val="p"/>
              </m:rPr>
              <m:t>+</m:t>
            </m:r>
            <m:r>
              <m:t>v</m:t>
            </m:r>
          </m:e>
        </m:d>
        <m:r>
          <m:rPr>
            <m:sty m:val="p"/>
          </m:rPr>
          <m:t>=</m:t>
        </m:r>
        <m:sSub>
          <m:e>
            <m:r>
              <m:rPr>
                <m:sty m:val="p"/>
              </m:rPr>
              <m:t>C</m:t>
            </m:r>
            <m:r>
              <m:rPr>
                <m:sty m:val="p"/>
              </m:rPr>
              <m:t>M</m:t>
            </m:r>
            <m:r>
              <m:rPr>
                <m:sty m:val="p"/>
              </m:rPr>
              <m:t>g</m:t>
            </m:r>
          </m:e>
          <m:sub>
            <m:r>
              <m:t>i</m:t>
            </m:r>
          </m:sub>
        </m:sSub>
      </m:oMath>
      <w:r>
        <w:t xml:space="preserve"> </w:t>
      </w:r>
      <w:r>
        <w:t xml:space="preserve">y, con simetría,</w:t>
      </w:r>
      <w:r>
        <w:t xml:space="preserve"> </w:t>
      </w:r>
      <m:oMath>
        <m:r>
          <m:t>θ</m:t>
        </m:r>
        <m:r>
          <m:rPr>
            <m:sty m:val="p"/>
          </m:rPr>
          <m:t>=</m:t>
        </m:r>
        <m:d>
          <m:dPr>
            <m:begChr m:val="("/>
            <m:sepChr m:val=""/>
            <m:endChr m:val=")"/>
            <m:grow/>
          </m:dPr>
          <m:e>
            <m:r>
              <m:t>1</m:t>
            </m:r>
            <m:r>
              <m:rPr>
                <m:sty m:val="p"/>
              </m:rPr>
              <m:t>+</m:t>
            </m:r>
            <m:r>
              <m:t>v</m:t>
            </m:r>
          </m:e>
        </m:d>
        <m:r>
          <m:rPr>
            <m:sty m:val="p"/>
          </m:rPr>
          <m:t>/</m:t>
        </m:r>
        <m:r>
          <m:t>2</m:t>
        </m:r>
      </m:oMath>
      <w:r>
        <w:t xml:space="preserve">:</w:t>
      </w:r>
      <w:r>
        <w:t xml:space="preserve"> </w:t>
      </w:r>
      <m:oMath>
        <m:r>
          <m:t>v</m:t>
        </m:r>
        <m:r>
          <m:rPr>
            <m:sty m:val="p"/>
          </m:rPr>
          <m:t>=</m:t>
        </m:r>
        <m:r>
          <m:t>0</m:t>
        </m:r>
      </m:oMath>
      <w:r>
        <w:t xml:space="preserve"> </w:t>
      </w:r>
      <w:r>
        <w:t xml:space="preserve">es</w:t>
      </w:r>
      <w:r>
        <w:t xml:space="preserve"> </w:t>
      </w:r>
      <w:r>
        <w:rPr>
          <w:smallCaps/>
        </w:rPr>
        <w:t xml:space="preserve">Cournot</w:t>
      </w:r>
      <w:r>
        <w:t xml:space="preserve">,</w:t>
      </w:r>
      <w:r>
        <w:t xml:space="preserve"> </w:t>
      </w:r>
      <m:oMath>
        <m:r>
          <m:t>v</m:t>
        </m:r>
        <m:r>
          <m:rPr>
            <m:sty m:val="p"/>
          </m:rPr>
          <m:t>=</m:t>
        </m:r>
        <m:r>
          <m:rPr>
            <m:sty m:val="p"/>
          </m:rPr>
          <m:t>−</m:t>
        </m:r>
        <m:r>
          <m:t>1</m:t>
        </m:r>
      </m:oMath>
      <w:r>
        <w:t xml:space="preserve"> </w:t>
      </w:r>
      <w:r>
        <w:t xml:space="preserve">competencia y</w:t>
      </w:r>
      <w:r>
        <w:t xml:space="preserve"> </w:t>
      </w:r>
      <m:oMath>
        <m:r>
          <m:t>v</m:t>
        </m:r>
        <m:r>
          <m:rPr>
            <m:sty m:val="p"/>
          </m:rPr>
          <m:t>=</m:t>
        </m:r>
        <m:r>
          <m:t>1</m:t>
        </m:r>
      </m:oMath>
      <w:r>
        <w:t xml:space="preserve"> </w:t>
      </w:r>
      <w:r>
        <w:t xml:space="preserve">colusión.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0"/>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0"/>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0"/>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0"/>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0"/>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0"/>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0"/>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0"/>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0"/>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0"/>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0"/>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0"/>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71" Target="media/rId71.png" /><Relationship Type="http://schemas.openxmlformats.org/officeDocument/2006/relationships/image" Id="rId103" Target="media/rId103.png" /><Relationship Type="http://schemas.openxmlformats.org/officeDocument/2006/relationships/image" Id="rId98" Target="media/rId98.png" /><Relationship Type="http://schemas.openxmlformats.org/officeDocument/2006/relationships/image" Id="rId48" Target="media/rId48.png" /><Relationship Type="http://schemas.openxmlformats.org/officeDocument/2006/relationships/image" Id="rId170" Target="media/rId170.png" /><Relationship Type="http://schemas.openxmlformats.org/officeDocument/2006/relationships/image" Id="rId143" Target="media/rId143.png" /><Relationship Type="http://schemas.openxmlformats.org/officeDocument/2006/relationships/image" Id="rId118" Target="media/rId118.png" /><Relationship Type="http://schemas.openxmlformats.org/officeDocument/2006/relationships/image" Id="rId187" Target="media/rId187.png" /><Relationship Type="http://schemas.openxmlformats.org/officeDocument/2006/relationships/image" Id="rId159" Target="media/rId159.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75" Target="media/rId75.png" /><Relationship Type="http://schemas.openxmlformats.org/officeDocument/2006/relationships/hyperlink" Id="rId274" Target="https://competition-policy.ec.europa.eu/document/download/46dde10f-85c1-4590-a3f4-2b71f85685ef_en?filename=Merger%20Guidelines%20-%20final%20for%20public%20consultation.pdf" TargetMode="External" /><Relationship Type="http://schemas.openxmlformats.org/officeDocument/2006/relationships/hyperlink" Id="rId455" Target="https://curia.europa.eu/juris/liste.jsf?num=C-48/22" TargetMode="External" /><Relationship Type="http://schemas.openxmlformats.org/officeDocument/2006/relationships/hyperlink" Id="rId453" Target="https://curia.europa.eu/juris/liste.jsf?num=C-50/21" TargetMode="External" /><Relationship Type="http://schemas.openxmlformats.org/officeDocument/2006/relationships/hyperlink" Id="rId457" Target="https://curia.europa.eu/site/upload/docs/application/pdf/2026-07/cp260093en.pdf" TargetMode="External" /><Relationship Type="http://schemas.openxmlformats.org/officeDocument/2006/relationships/hyperlink" Id="rId129" Target="https://derechomercantilespana.blogspot.com/2017/06/contratos-incompletos-oliver-hart-2.html" TargetMode="External" /><Relationship Type="http://schemas.openxmlformats.org/officeDocument/2006/relationships/hyperlink" Id="rId272" Target="https://digital-markets-act.ec.europa.eu/gatekeepers-portal_en" TargetMode="External" /><Relationship Type="http://schemas.openxmlformats.org/officeDocument/2006/relationships/hyperlink" Id="rId468" Target="https://doi.org/10.1002/smj.4250050207" TargetMode="External" /><Relationship Type="http://schemas.openxmlformats.org/officeDocument/2006/relationships/hyperlink" Id="rId412" Target="https://doi.org/10.1007/BF00131770" TargetMode="External" /><Relationship Type="http://schemas.openxmlformats.org/officeDocument/2006/relationships/hyperlink" Id="rId356" Target="https://doi.org/10.1016/0022-0531(82)90030-8" TargetMode="External" /><Relationship Type="http://schemas.openxmlformats.org/officeDocument/2006/relationships/hyperlink" Id="rId381" Target="https://doi.org/10.1016/0022-0531(82)90031-X" TargetMode="External" /><Relationship Type="http://schemas.openxmlformats.org/officeDocument/2006/relationships/hyperlink" Id="rId251" Target="https://doi.org/10.1016/0165-1765(82)90121-5" TargetMode="External" /><Relationship Type="http://schemas.openxmlformats.org/officeDocument/2006/relationships/hyperlink" Id="rId397" Target="https://doi.org/10.1016/0167-7187(85)90030-X" TargetMode="External" /><Relationship Type="http://schemas.openxmlformats.org/officeDocument/2006/relationships/hyperlink" Id="rId344" Target="https://doi.org/10.1016/0304-405X(76)90026-X" TargetMode="External" /><Relationship Type="http://schemas.openxmlformats.org/officeDocument/2006/relationships/hyperlink" Id="rId408" Target="https://doi.org/10.1016/S1573-448X(89)02004-2" TargetMode="External" /><Relationship Type="http://schemas.openxmlformats.org/officeDocument/2006/relationships/hyperlink" Id="rId253" Target="https://doi.org/10.1016/S1573-448X(89)02005-4" TargetMode="External" /><Relationship Type="http://schemas.openxmlformats.org/officeDocument/2006/relationships/hyperlink" Id="rId425" Target="https://doi.org/10.1086/255387" TargetMode="External" /><Relationship Type="http://schemas.openxmlformats.org/officeDocument/2006/relationships/hyperlink" Id="rId423" Target="https://doi.org/10.1086/256964" TargetMode="External" /><Relationship Type="http://schemas.openxmlformats.org/officeDocument/2006/relationships/hyperlink" Id="rId383" Target="https://doi.org/10.1086/258035" TargetMode="External" /><Relationship Type="http://schemas.openxmlformats.org/officeDocument/2006/relationships/hyperlink" Id="rId429" Target="https://doi.org/10.1086/258853" TargetMode="External" /><Relationship Type="http://schemas.openxmlformats.org/officeDocument/2006/relationships/hyperlink" Id="rId370" Target="https://doi.org/10.1086/259000" TargetMode="External" /><Relationship Type="http://schemas.openxmlformats.org/officeDocument/2006/relationships/hyperlink" Id="rId471" Target="https://doi.org/10.1086/259258" TargetMode="External" /><Relationship Type="http://schemas.openxmlformats.org/officeDocument/2006/relationships/hyperlink" Id="rId302" Target="https://doi.org/10.1086/260866" TargetMode="External" /><Relationship Type="http://schemas.openxmlformats.org/officeDocument/2006/relationships/hyperlink" Id="rId360" Target="https://doi.org/10.1086/261392" TargetMode="External" /><Relationship Type="http://schemas.openxmlformats.org/officeDocument/2006/relationships/hyperlink" Id="rId316" Target="https://doi.org/10.1086/261404" TargetMode="External" /><Relationship Type="http://schemas.openxmlformats.org/officeDocument/2006/relationships/hyperlink" Id="rId321" Target="https://doi.org/10.1086/261729" TargetMode="External" /><Relationship Type="http://schemas.openxmlformats.org/officeDocument/2006/relationships/hyperlink" Id="rId216" Target="https://doi.org/10.1086/262063" TargetMode="External" /><Relationship Type="http://schemas.openxmlformats.org/officeDocument/2006/relationships/hyperlink" Id="rId427" Target="https://doi.org/10.1086/466541" TargetMode="External" /><Relationship Type="http://schemas.openxmlformats.org/officeDocument/2006/relationships/hyperlink" Id="rId377" Target="https://doi.org/10.1086/466547" TargetMode="External" /><Relationship Type="http://schemas.openxmlformats.org/officeDocument/2006/relationships/hyperlink" Id="rId260" Target="https://doi.org/10.1086/466560" TargetMode="External" /><Relationship Type="http://schemas.openxmlformats.org/officeDocument/2006/relationships/hyperlink" Id="rId289" Target="https://doi.org/10.1086/466643" TargetMode="External" /><Relationship Type="http://schemas.openxmlformats.org/officeDocument/2006/relationships/hyperlink" Id="rId291" Target="https://doi.org/10.1086/466752" TargetMode="External" /><Relationship Type="http://schemas.openxmlformats.org/officeDocument/2006/relationships/hyperlink" Id="rId354" Target="https://doi.org/10.1086/466922" TargetMode="External" /><Relationship Type="http://schemas.openxmlformats.org/officeDocument/2006/relationships/hyperlink" Id="rId474" Target="https://doi.org/10.1086/466942" TargetMode="External" /><Relationship Type="http://schemas.openxmlformats.org/officeDocument/2006/relationships/hyperlink" Id="rId387" Target="https://doi.org/10.1086/467129" TargetMode="External" /><Relationship Type="http://schemas.openxmlformats.org/officeDocument/2006/relationships/hyperlink" Id="rId264" Target="https://doi.org/10.1086/467446" TargetMode="External" /><Relationship Type="http://schemas.openxmlformats.org/officeDocument/2006/relationships/hyperlink" Id="rId310" Target="https://doi.org/10.1086/467447" TargetMode="External" /><Relationship Type="http://schemas.openxmlformats.org/officeDocument/2006/relationships/hyperlink" Id="rId255" Target="https://doi.org/10.1086/467448" TargetMode="External" /><Relationship Type="http://schemas.openxmlformats.org/officeDocument/2006/relationships/hyperlink" Id="rId352" Target="https://doi.org/10.1086/467449" TargetMode="External" /><Relationship Type="http://schemas.openxmlformats.org/officeDocument/2006/relationships/hyperlink" Id="rId225" Target="https://doi.org/10.1093/qje/qjaa004" TargetMode="External" /><Relationship Type="http://schemas.openxmlformats.org/officeDocument/2006/relationships/hyperlink" Id="rId287" Target="https://doi.org/10.1093/qje/qjz041" TargetMode="External" /><Relationship Type="http://schemas.openxmlformats.org/officeDocument/2006/relationships/hyperlink" Id="rId313" Target="https://doi.org/10.1111/j.1430-9134.1992.00277.x" TargetMode="External" /><Relationship Type="http://schemas.openxmlformats.org/officeDocument/2006/relationships/hyperlink" Id="rId258" Target="https://doi.org/10.1111/j.1468-0335.1937.tb00002.x" TargetMode="External" /><Relationship Type="http://schemas.openxmlformats.org/officeDocument/2006/relationships/hyperlink" Id="rId222" Target="https://doi.org/10.1111/j.1756-2171.2006.tb00037.x" TargetMode="External" /><Relationship Type="http://schemas.openxmlformats.org/officeDocument/2006/relationships/hyperlink" Id="rId227" Target="https://doi.org/10.1126/science.1062081" TargetMode="External" /><Relationship Type="http://schemas.openxmlformats.org/officeDocument/2006/relationships/hyperlink" Id="rId323" Target="https://doi.org/10.1162/003355300555448" TargetMode="External" /><Relationship Type="http://schemas.openxmlformats.org/officeDocument/2006/relationships/hyperlink" Id="rId402" Target="https://doi.org/10.1162/154247603322493212" TargetMode="External" /><Relationship Type="http://schemas.openxmlformats.org/officeDocument/2006/relationships/hyperlink" Id="rId328" Target="https://doi.org/10.1257/089533003765888403" TargetMode="External" /><Relationship Type="http://schemas.openxmlformats.org/officeDocument/2006/relationships/hyperlink" Id="rId319" Target="https://doi.org/10.1257/aer.107.7.1731" TargetMode="External" /><Relationship Type="http://schemas.openxmlformats.org/officeDocument/2006/relationships/hyperlink" Id="rId364" Target="https://doi.org/10.1257/jel.45.3.629" TargetMode="External" /><Relationship Type="http://schemas.openxmlformats.org/officeDocument/2006/relationships/hyperlink" Id="rId418" Target="https://doi.org/10.1257/jep.5.2.25" TargetMode="External" /><Relationship Type="http://schemas.openxmlformats.org/officeDocument/2006/relationships/hyperlink" Id="rId231" Target="https://doi.org/10.2307/1191388" TargetMode="External" /><Relationship Type="http://schemas.openxmlformats.org/officeDocument/2006/relationships/hyperlink" Id="rId220" Target="https://doi.org/10.2307/1340237" TargetMode="External" /><Relationship Type="http://schemas.openxmlformats.org/officeDocument/2006/relationships/hyperlink" Id="rId234" Target="https://doi.org/10.2307/1882217" TargetMode="External" /><Relationship Type="http://schemas.openxmlformats.org/officeDocument/2006/relationships/hyperlink" Id="rId372" Target="https://doi.org/10.2307/1884399" TargetMode="External" /><Relationship Type="http://schemas.openxmlformats.org/officeDocument/2006/relationships/hyperlink" Id="rId416" Target="https://doi.org/10.2307/1884852" TargetMode="External" /><Relationship Type="http://schemas.openxmlformats.org/officeDocument/2006/relationships/hyperlink" Id="rId389" Target="https://doi.org/10.2307/1907266" TargetMode="External" /><Relationship Type="http://schemas.openxmlformats.org/officeDocument/2006/relationships/hyperlink" Id="rId330" Target="https://doi.org/10.2307/1907343" TargetMode="External" /><Relationship Type="http://schemas.openxmlformats.org/officeDocument/2006/relationships/hyperlink" Id="rId379" Target="https://doi.org/10.2307/1912637" TargetMode="External" /><Relationship Type="http://schemas.openxmlformats.org/officeDocument/2006/relationships/hyperlink" Id="rId349" Target="https://doi.org/10.2307/2224727" TargetMode="External" /><Relationship Type="http://schemas.openxmlformats.org/officeDocument/2006/relationships/hyperlink" Id="rId399" Target="https://doi.org/10.2307/2224765" TargetMode="External" /><Relationship Type="http://schemas.openxmlformats.org/officeDocument/2006/relationships/hyperlink" Id="rId293" Target="https://doi.org/10.2307/2231658" TargetMode="External" /><Relationship Type="http://schemas.openxmlformats.org/officeDocument/2006/relationships/hyperlink" Id="rId477" Target="https://doi.org/10.2307/2393356" TargetMode="External" /><Relationship Type="http://schemas.openxmlformats.org/officeDocument/2006/relationships/hyperlink" Id="rId433" Target="https://doi.org/10.2307/2534456" TargetMode="External" /><Relationship Type="http://schemas.openxmlformats.org/officeDocument/2006/relationships/hyperlink" Id="rId325" Target="https://doi.org/10.2307/2534783" TargetMode="External" /><Relationship Type="http://schemas.openxmlformats.org/officeDocument/2006/relationships/hyperlink" Id="rId240" Target="https://doi.org/10.2307/2550723" TargetMode="External" /><Relationship Type="http://schemas.openxmlformats.org/officeDocument/2006/relationships/hyperlink" Id="rId284" Target="https://doi.org/10.2307/2553125" TargetMode="External" /><Relationship Type="http://schemas.openxmlformats.org/officeDocument/2006/relationships/hyperlink" Id="rId347" Target="https://doi.org/10.2307/2555407" TargetMode="External" /><Relationship Type="http://schemas.openxmlformats.org/officeDocument/2006/relationships/hyperlink" Id="rId358" Target="https://doi.org/10.2307/2555814" TargetMode="External" /><Relationship Type="http://schemas.openxmlformats.org/officeDocument/2006/relationships/hyperlink" Id="rId420" Target="https://doi.org/10.2307/3003302" TargetMode="External" /><Relationship Type="http://schemas.openxmlformats.org/officeDocument/2006/relationships/hyperlink" Id="rId332" Target="https://doi.org/10.2307/3003320" TargetMode="External" /><Relationship Type="http://schemas.openxmlformats.org/officeDocument/2006/relationships/hyperlink" Id="rId466" Target="https://doi.org/10.2307/3003371" TargetMode="External" /><Relationship Type="http://schemas.openxmlformats.org/officeDocument/2006/relationships/hyperlink" Id="rId385" Target="https://doi.org/10.2307/3003441" TargetMode="External" /><Relationship Type="http://schemas.openxmlformats.org/officeDocument/2006/relationships/hyperlink" Id="rId406" Target="https://doi.org/10.2307/3003584" TargetMode="External" /><Relationship Type="http://schemas.openxmlformats.org/officeDocument/2006/relationships/hyperlink" Id="rId300" Target="https://doi.org/10.2908/SBS_SC_OVW" TargetMode="External" /><Relationship Type="http://schemas.openxmlformats.org/officeDocument/2006/relationships/hyperlink" Id="rId236" Target="https://doi.org/10.4159/harvard.9780674188037" TargetMode="External" /><Relationship Type="http://schemas.openxmlformats.org/officeDocument/2006/relationships/hyperlink" Id="rId393" Target="https://eur-lex.europa.eu/eli/reg/2022/1925/oj" TargetMode="External" /><Relationship Type="http://schemas.openxmlformats.org/officeDocument/2006/relationships/hyperlink" Id="rId270" Target="https://eur-lex.europa.eu/legal-content/ES/TXT/?uri=CELEX:52004XC0205(02)" TargetMode="External" /><Relationship Type="http://schemas.openxmlformats.org/officeDocument/2006/relationships/hyperlink" Id="rId218" Target="https://ideas.repec.org/a/aea/aecrev/v62y1972i5p777-95.html" TargetMode="External" /><Relationship Type="http://schemas.openxmlformats.org/officeDocument/2006/relationships/hyperlink" Id="rId244" Target="https://ideas.repec.org/a/aea/aecrev/v72y1982i1p1-15.html" TargetMode="External" /><Relationship Type="http://schemas.openxmlformats.org/officeDocument/2006/relationships/hyperlink" Id="rId248" Target="https://ideas.repec.org/a/aea/aecrev/v73y1983i3p491-96.html" TargetMode="External" /><Relationship Type="http://schemas.openxmlformats.org/officeDocument/2006/relationships/hyperlink" Id="rId414" Target="https://ideas.repec.org/a/aea/aecrev/v74y1984i4p572-87.html" TargetMode="External" /><Relationship Type="http://schemas.openxmlformats.org/officeDocument/2006/relationships/hyperlink" Id="rId128" Target="https://nadaesgratis.es/admin/un-nobel-para-la-teoria-de-contratos-hart-y-holmstrom" TargetMode="External" /><Relationship Type="http://schemas.openxmlformats.org/officeDocument/2006/relationships/hyperlink" Id="rId229" Target="https://openyls.law.yale.edu/entities/publication/394c17da-e37b-4118-a8df-0cb60aebecba" TargetMode="External" /><Relationship Type="http://schemas.openxmlformats.org/officeDocument/2006/relationships/hyperlink" Id="rId338" Target="https://www.boe.es/buscar/act.php?id=BOE-A-2007-12946" TargetMode="External" /><Relationship Type="http://schemas.openxmlformats.org/officeDocument/2006/relationships/hyperlink" Id="rId342" Target="https://www.boe.es/buscar/act.php?id=BOE-A-2015-3439" TargetMode="External" /><Relationship Type="http://schemas.openxmlformats.org/officeDocument/2006/relationships/hyperlink" Id="rId340" Target="https://www.boe.es/buscar/doc.php?id=BOE-A-2014-12589" TargetMode="External" /><Relationship Type="http://schemas.openxmlformats.org/officeDocument/2006/relationships/hyperlink" Id="rId280" Target="https://www.cnmv.es/DocPortal/Publicaciones/CodigoGov/CBG_2020.pdf" TargetMode="External" /><Relationship Type="http://schemas.openxmlformats.org/officeDocument/2006/relationships/hyperlink" Id="rId278" Target="https://www.cnmv.es/DocPortal/Publicaciones/CodigoGov/Codigo_buen_gobierno.pdf" TargetMode="External" /><Relationship Type="http://schemas.openxmlformats.org/officeDocument/2006/relationships/hyperlink" Id="rId268" Target="https://www.cnmv.es/DocPortal/Publicaciones/CodigoGov/INFORMEFINAL.PDF" TargetMode="External" /><Relationship Type="http://schemas.openxmlformats.org/officeDocument/2006/relationships/hyperlink" Id="rId266" Target="https://www.cnmv.es/DocPortal/Publicaciones/CodigoGov/govsocot.pdf" TargetMode="External" /><Relationship Type="http://schemas.openxmlformats.org/officeDocument/2006/relationships/hyperlink" Id="rId276" Target="https://www.cnmv.es/Portal/Legislacion/COBG/COBG.aspx" TargetMode="External" /><Relationship Type="http://schemas.openxmlformats.org/officeDocument/2006/relationships/hyperlink" Id="rId282" Target="https://www.cnmv.es/webservices/verdocumento/ver?t=%7B3c556a68-47a3-4856-b3a4-0b9bdf98d695%7D" TargetMode="External" /><Relationship Type="http://schemas.openxmlformats.org/officeDocument/2006/relationships/hyperlink" Id="rId39" Target="https://www.economist.com/finance-and-economics/2023/04/04/why-economics-does-not-understand-business" TargetMode="External" /><Relationship Type="http://schemas.openxmlformats.org/officeDocument/2006/relationships/hyperlink" Id="rId298" Target="https://www.esma.europa.eu/sites/default/files/2025-12/ESMA84-900617762-2652_CRA_Market_Share_Calculation_2025.pdf" TargetMode="External" /><Relationship Type="http://schemas.openxmlformats.org/officeDocument/2006/relationships/hyperlink" Id="rId306" Target="https://www.ftc.gov/advice-guidance/competition-guidance/guide-antitrust-laws/antitrust-laws" TargetMode="External" /><Relationship Type="http://schemas.openxmlformats.org/officeDocument/2006/relationships/hyperlink" Id="rId304" Target="https://www.ftc.gov/news-events/news/press-releases/2025/02/ftc-chairman-andrew-n-ferguson-announces-ftc-dojs-joint-2023-merger-guidelines-are-effect" TargetMode="External" /><Relationship Type="http://schemas.openxmlformats.org/officeDocument/2006/relationships/hyperlink" Id="rId308" Target="https://www.imf.org/en/Publications/WEO/Issues/2019/03/28/world-economic-outlook-april-2019" TargetMode="External" /><Relationship Type="http://schemas.openxmlformats.org/officeDocument/2006/relationships/hyperlink" Id="rId336" Target="https://www.ine.es/dyngs/Prensa/DIRCE2025.htm" TargetMode="External" /><Relationship Type="http://schemas.openxmlformats.org/officeDocument/2006/relationships/hyperlink" Id="rId366" Target="https://www.jstor.org/stable/1823775" TargetMode="External" /><Relationship Type="http://schemas.openxmlformats.org/officeDocument/2006/relationships/hyperlink" Id="rId463" Target="https://www.justice.gov/d9/2023-12/2023%20Merger%20Guidelines.pdf" TargetMode="External" /><Relationship Type="http://schemas.openxmlformats.org/officeDocument/2006/relationships/hyperlink" Id="rId459" Target="https://www.justice.gov/sites/default/files/atr/legacy/2007/07/11/11248.pdf" TargetMode="External" /><Relationship Type="http://schemas.openxmlformats.org/officeDocument/2006/relationships/hyperlink" Id="rId461" Target="https://www.justice.gov/sites/default/files/atr/legacy/2010/08/19/hmg-2010.pdf" TargetMode="External" /><Relationship Type="http://schemas.openxmlformats.org/officeDocument/2006/relationships/hyperlink" Id="rId438" Target="https://www.nobelprize.org/prizes/economic-sciences/1978/summary/" TargetMode="External" /><Relationship Type="http://schemas.openxmlformats.org/officeDocument/2006/relationships/hyperlink" Id="rId440" Target="https://www.nobelprize.org/prizes/economic-sciences/1982/summary/" TargetMode="External" /><Relationship Type="http://schemas.openxmlformats.org/officeDocument/2006/relationships/hyperlink" Id="rId262" Target="https://www.nobelprize.org/prizes/economic-sciences/1991/coase/lecture/" TargetMode="External" /><Relationship Type="http://schemas.openxmlformats.org/officeDocument/2006/relationships/hyperlink" Id="rId442" Target="https://www.nobelprize.org/prizes/economic-sciences/1991/summary/" TargetMode="External" /><Relationship Type="http://schemas.openxmlformats.org/officeDocument/2006/relationships/hyperlink" Id="rId444" Target="https://www.nobelprize.org/prizes/economic-sciences/2009/summary/" TargetMode="External" /><Relationship Type="http://schemas.openxmlformats.org/officeDocument/2006/relationships/hyperlink" Id="rId479" Target="https://www.nobelprize.org/prizes/economic-sciences/2009/williamson/biographical/" TargetMode="External" /><Relationship Type="http://schemas.openxmlformats.org/officeDocument/2006/relationships/hyperlink" Id="rId446" Target="https://www.nobelprize.org/prizes/economic-sciences/2014/summary/" TargetMode="External" /><Relationship Type="http://schemas.openxmlformats.org/officeDocument/2006/relationships/hyperlink" Id="rId451" Target="https://www.nobelprize.org/prizes/economic-sciences/2014/tirole/lecture/" TargetMode="External" /><Relationship Type="http://schemas.openxmlformats.org/officeDocument/2006/relationships/hyperlink" Id="rId448" Target="https://www.nobelprize.org/prizes/economic-sciences/2016/summary/" TargetMode="External" /><Relationship Type="http://schemas.openxmlformats.org/officeDocument/2006/relationships/hyperlink" Id="rId295" Target="https://www.nobelprize.org/uploads/2018/06/advanced-economicsciences2014.pdf" TargetMode="External" /><Relationship Type="http://schemas.openxmlformats.org/officeDocument/2006/relationships/hyperlink" Id="rId192" Target="https://www.victorgutierrezmarcos.es/oposicion/temario/cuarto-ejercicio/4A12.pdf" TargetMode="External" /><Relationship Type="http://schemas.openxmlformats.org/officeDocument/2006/relationships/hyperlink" Id="rId33" Target="https://www.victorgutierrezmarcos.es/oposicion/temario/cuarto-ejercicio/4A15.pdf" TargetMode="External" /><Relationship Type="http://schemas.openxmlformats.org/officeDocument/2006/relationships/hyperlink" Id="rId90" Target="https://www.victorgutierrezmarcos.es/oposicion/temario/cuarto-ejercicio/4B02.pdf" TargetMode="External" /><Relationship Type="http://schemas.openxmlformats.org/officeDocument/2006/relationships/hyperlink" Id="rId91" Target="https://www.victorgutierrezmarcos.es/oposicion/temario/cuarto-ejercicio/4B15.pdf" TargetMode="External" /><Relationship Type="http://schemas.openxmlformats.org/officeDocument/2006/relationships/hyperlink" Id="rId214" Target="https://www.victorgutierrezmarcos.es/oposicion/temario/primer-ejercicio/test/simulador.html" TargetMode="External" /><Relationship Type="http://schemas.openxmlformats.org/officeDocument/2006/relationships/hyperlink" Id="rId31" Target="https://www.victorgutierrezmarcos.es/oposicion/temario/tema-no-disponible.html?tema=3.A.20" TargetMode="External" /><Relationship Type="http://schemas.openxmlformats.org/officeDocument/2006/relationships/hyperlink" Id="rId201" Target="https://www.victorgutierrezmarcos.es/oposicion/temario/tema-no-disponible.html?tema=3.B.18" TargetMode="External" /><Relationship Type="http://schemas.openxmlformats.org/officeDocument/2006/relationships/hyperlink" Id="rId34" Target="https://www.victorgutierrezmarcos.es/oposicion/temario/tercer-ejercicio/3A01.pdf" TargetMode="External" /><Relationship Type="http://schemas.openxmlformats.org/officeDocument/2006/relationships/hyperlink" Id="rId21" Target="https://www.victorgutierrezmarcos.es/oposicion/temario/tercer-ejercicio/3A08.pdf" TargetMode="External" /><Relationship Type="http://schemas.openxmlformats.org/officeDocument/2006/relationships/hyperlink" Id="rId23" Target="https://www.victorgutierrezmarcos.es/oposicion/temario/tercer-ejercicio/3A11.pdf" TargetMode="External" /><Relationship Type="http://schemas.openxmlformats.org/officeDocument/2006/relationships/hyperlink" Id="rId24" Target="https://www.victorgutierrezmarcos.es/oposicion/temario/tercer-ejercicio/3A12.pdf" TargetMode="External" /><Relationship Type="http://schemas.openxmlformats.org/officeDocument/2006/relationships/hyperlink" Id="rId35" Target="https://www.victorgutierrezmarcos.es/oposicion/temario/tercer-ejercicio/3A13.pdf" TargetMode="External" /><Relationship Type="http://schemas.openxmlformats.org/officeDocument/2006/relationships/hyperlink" Id="rId36" Target="https://www.victorgutierrezmarcos.es/oposicion/temario/tercer-ejercicio/3A14.pdf" TargetMode="External" /><Relationship Type="http://schemas.openxmlformats.org/officeDocument/2006/relationships/hyperlink" Id="rId25" Target="https://www.victorgutierrezmarcos.es/oposicion/temario/tercer-ejercicio/3A16.pdf" TargetMode="External" /><Relationship Type="http://schemas.openxmlformats.org/officeDocument/2006/relationships/hyperlink" Id="rId26" Target="https://www.victorgutierrezmarcos.es/oposicion/temario/tercer-ejercicio/3A17.pdf" TargetMode="External" /><Relationship Type="http://schemas.openxmlformats.org/officeDocument/2006/relationships/hyperlink" Id="rId27" Target="https://www.victorgutierrezmarcos.es/oposicion/temario/tercer-ejercicio/3A18.pdf" TargetMode="External" /><Relationship Type="http://schemas.openxmlformats.org/officeDocument/2006/relationships/hyperlink" Id="rId28" Target="https://www.victorgutierrezmarcos.es/oposicion/temario/tercer-ejercicio/3A19.pdf" TargetMode="External" /><Relationship Type="http://schemas.openxmlformats.org/officeDocument/2006/relationships/hyperlink" Id="rId186" Target="https://www.victorgutierrezmarcos.es/oposicion/temario/tercer-ejercicio/3A22.pdf" TargetMode="External" /><Relationship Type="http://schemas.openxmlformats.org/officeDocument/2006/relationships/hyperlink" Id="rId30" Target="https://www.victorgutierrezmarcos.es/oposicion/temario/tercer-ejercicio/3A23.pdf" TargetMode="External" /><Relationship Type="http://schemas.openxmlformats.org/officeDocument/2006/relationships/hyperlink" Id="rId150" Target="https://www.victorgutierrezmarcos.es/oposicion/temario/tercer-ejercicio/3A44.pdf" TargetMode="External" /><Relationship Type="http://schemas.openxmlformats.org/officeDocument/2006/relationships/hyperlink" Id="rId135" Target="https://www.victorgutierrezmarcos.es/oposicion/temario/tercer-ejercicio/3B03.pdf" TargetMode="External" /><Relationship Type="http://schemas.openxmlformats.org/officeDocument/2006/relationships/hyperlink" Id="rId63" Target="https://www.victorgutierrezmarcos.es/oposicion/temario/tercer-ejercicio/3B04.pdf" TargetMode="External" /><Relationship Type="http://schemas.openxmlformats.org/officeDocument/2006/relationships/hyperlink" Id="rId32" Target="https://www.victorgutierrezmarcos.es/oposicion/temario/tercer-ejercicio/3B39.pdf" TargetMode="External" /><Relationship Type="http://schemas.openxmlformats.org/officeDocument/2006/relationships/hyperlink" Id="rId38" Target="https://youtu.be/8iHeh0iRykw?list=PLmtuEaMvhDZbNVIDHA-MTVH0sLb5HP7Pn"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274" Target="https://competition-policy.ec.europa.eu/document/download/46dde10f-85c1-4590-a3f4-2b71f85685ef_en?filename=Merger%20Guidelines%20-%20final%20for%20public%20consultation.pdf" TargetMode="External" /><Relationship Type="http://schemas.openxmlformats.org/officeDocument/2006/relationships/hyperlink" Id="rId455" Target="https://curia.europa.eu/juris/liste.jsf?num=C-48/22" TargetMode="External" /><Relationship Type="http://schemas.openxmlformats.org/officeDocument/2006/relationships/hyperlink" Id="rId453" Target="https://curia.europa.eu/juris/liste.jsf?num=C-50/21" TargetMode="External" /><Relationship Type="http://schemas.openxmlformats.org/officeDocument/2006/relationships/hyperlink" Id="rId457" Target="https://curia.europa.eu/site/upload/docs/application/pdf/2026-07/cp260093en.pdf" TargetMode="External" /><Relationship Type="http://schemas.openxmlformats.org/officeDocument/2006/relationships/hyperlink" Id="rId129" Target="https://derechomercantilespana.blogspot.com/2017/06/contratos-incompletos-oliver-hart-2.html" TargetMode="External" /><Relationship Type="http://schemas.openxmlformats.org/officeDocument/2006/relationships/hyperlink" Id="rId272" Target="https://digital-markets-act.ec.europa.eu/gatekeepers-portal_en" TargetMode="External" /><Relationship Type="http://schemas.openxmlformats.org/officeDocument/2006/relationships/hyperlink" Id="rId468" Target="https://doi.org/10.1002/smj.4250050207" TargetMode="External" /><Relationship Type="http://schemas.openxmlformats.org/officeDocument/2006/relationships/hyperlink" Id="rId412" Target="https://doi.org/10.1007/BF00131770" TargetMode="External" /><Relationship Type="http://schemas.openxmlformats.org/officeDocument/2006/relationships/hyperlink" Id="rId356" Target="https://doi.org/10.1016/0022-0531(82)90030-8" TargetMode="External" /><Relationship Type="http://schemas.openxmlformats.org/officeDocument/2006/relationships/hyperlink" Id="rId381" Target="https://doi.org/10.1016/0022-0531(82)90031-X" TargetMode="External" /><Relationship Type="http://schemas.openxmlformats.org/officeDocument/2006/relationships/hyperlink" Id="rId251" Target="https://doi.org/10.1016/0165-1765(82)90121-5" TargetMode="External" /><Relationship Type="http://schemas.openxmlformats.org/officeDocument/2006/relationships/hyperlink" Id="rId397" Target="https://doi.org/10.1016/0167-7187(85)90030-X" TargetMode="External" /><Relationship Type="http://schemas.openxmlformats.org/officeDocument/2006/relationships/hyperlink" Id="rId344" Target="https://doi.org/10.1016/0304-405X(76)90026-X" TargetMode="External" /><Relationship Type="http://schemas.openxmlformats.org/officeDocument/2006/relationships/hyperlink" Id="rId408" Target="https://doi.org/10.1016/S1573-448X(89)02004-2" TargetMode="External" /><Relationship Type="http://schemas.openxmlformats.org/officeDocument/2006/relationships/hyperlink" Id="rId253" Target="https://doi.org/10.1016/S1573-448X(89)02005-4" TargetMode="External" /><Relationship Type="http://schemas.openxmlformats.org/officeDocument/2006/relationships/hyperlink" Id="rId425" Target="https://doi.org/10.1086/255387" TargetMode="External" /><Relationship Type="http://schemas.openxmlformats.org/officeDocument/2006/relationships/hyperlink" Id="rId423" Target="https://doi.org/10.1086/256964" TargetMode="External" /><Relationship Type="http://schemas.openxmlformats.org/officeDocument/2006/relationships/hyperlink" Id="rId383" Target="https://doi.org/10.1086/258035" TargetMode="External" /><Relationship Type="http://schemas.openxmlformats.org/officeDocument/2006/relationships/hyperlink" Id="rId429" Target="https://doi.org/10.1086/258853" TargetMode="External" /><Relationship Type="http://schemas.openxmlformats.org/officeDocument/2006/relationships/hyperlink" Id="rId370" Target="https://doi.org/10.1086/259000" TargetMode="External" /><Relationship Type="http://schemas.openxmlformats.org/officeDocument/2006/relationships/hyperlink" Id="rId471" Target="https://doi.org/10.1086/259258" TargetMode="External" /><Relationship Type="http://schemas.openxmlformats.org/officeDocument/2006/relationships/hyperlink" Id="rId302" Target="https://doi.org/10.1086/260866" TargetMode="External" /><Relationship Type="http://schemas.openxmlformats.org/officeDocument/2006/relationships/hyperlink" Id="rId360" Target="https://doi.org/10.1086/261392" TargetMode="External" /><Relationship Type="http://schemas.openxmlformats.org/officeDocument/2006/relationships/hyperlink" Id="rId316" Target="https://doi.org/10.1086/261404" TargetMode="External" /><Relationship Type="http://schemas.openxmlformats.org/officeDocument/2006/relationships/hyperlink" Id="rId321" Target="https://doi.org/10.1086/261729" TargetMode="External" /><Relationship Type="http://schemas.openxmlformats.org/officeDocument/2006/relationships/hyperlink" Id="rId216" Target="https://doi.org/10.1086/262063" TargetMode="External" /><Relationship Type="http://schemas.openxmlformats.org/officeDocument/2006/relationships/hyperlink" Id="rId427" Target="https://doi.org/10.1086/466541" TargetMode="External" /><Relationship Type="http://schemas.openxmlformats.org/officeDocument/2006/relationships/hyperlink" Id="rId377" Target="https://doi.org/10.1086/466547" TargetMode="External" /><Relationship Type="http://schemas.openxmlformats.org/officeDocument/2006/relationships/hyperlink" Id="rId260" Target="https://doi.org/10.1086/466560" TargetMode="External" /><Relationship Type="http://schemas.openxmlformats.org/officeDocument/2006/relationships/hyperlink" Id="rId289" Target="https://doi.org/10.1086/466643" TargetMode="External" /><Relationship Type="http://schemas.openxmlformats.org/officeDocument/2006/relationships/hyperlink" Id="rId291" Target="https://doi.org/10.1086/466752" TargetMode="External" /><Relationship Type="http://schemas.openxmlformats.org/officeDocument/2006/relationships/hyperlink" Id="rId354" Target="https://doi.org/10.1086/466922" TargetMode="External" /><Relationship Type="http://schemas.openxmlformats.org/officeDocument/2006/relationships/hyperlink" Id="rId474" Target="https://doi.org/10.1086/466942" TargetMode="External" /><Relationship Type="http://schemas.openxmlformats.org/officeDocument/2006/relationships/hyperlink" Id="rId387" Target="https://doi.org/10.1086/467129" TargetMode="External" /><Relationship Type="http://schemas.openxmlformats.org/officeDocument/2006/relationships/hyperlink" Id="rId264" Target="https://doi.org/10.1086/467446" TargetMode="External" /><Relationship Type="http://schemas.openxmlformats.org/officeDocument/2006/relationships/hyperlink" Id="rId310" Target="https://doi.org/10.1086/467447" TargetMode="External" /><Relationship Type="http://schemas.openxmlformats.org/officeDocument/2006/relationships/hyperlink" Id="rId255" Target="https://doi.org/10.1086/467448" TargetMode="External" /><Relationship Type="http://schemas.openxmlformats.org/officeDocument/2006/relationships/hyperlink" Id="rId352" Target="https://doi.org/10.1086/467449" TargetMode="External" /><Relationship Type="http://schemas.openxmlformats.org/officeDocument/2006/relationships/hyperlink" Id="rId225" Target="https://doi.org/10.1093/qje/qjaa004" TargetMode="External" /><Relationship Type="http://schemas.openxmlformats.org/officeDocument/2006/relationships/hyperlink" Id="rId287" Target="https://doi.org/10.1093/qje/qjz041" TargetMode="External" /><Relationship Type="http://schemas.openxmlformats.org/officeDocument/2006/relationships/hyperlink" Id="rId313" Target="https://doi.org/10.1111/j.1430-9134.1992.00277.x" TargetMode="External" /><Relationship Type="http://schemas.openxmlformats.org/officeDocument/2006/relationships/hyperlink" Id="rId258" Target="https://doi.org/10.1111/j.1468-0335.1937.tb00002.x" TargetMode="External" /><Relationship Type="http://schemas.openxmlformats.org/officeDocument/2006/relationships/hyperlink" Id="rId222" Target="https://doi.org/10.1111/j.1756-2171.2006.tb00037.x" TargetMode="External" /><Relationship Type="http://schemas.openxmlformats.org/officeDocument/2006/relationships/hyperlink" Id="rId227" Target="https://doi.org/10.1126/science.1062081" TargetMode="External" /><Relationship Type="http://schemas.openxmlformats.org/officeDocument/2006/relationships/hyperlink" Id="rId323" Target="https://doi.org/10.1162/003355300555448" TargetMode="External" /><Relationship Type="http://schemas.openxmlformats.org/officeDocument/2006/relationships/hyperlink" Id="rId402" Target="https://doi.org/10.1162/154247603322493212" TargetMode="External" /><Relationship Type="http://schemas.openxmlformats.org/officeDocument/2006/relationships/hyperlink" Id="rId328" Target="https://doi.org/10.1257/089533003765888403" TargetMode="External" /><Relationship Type="http://schemas.openxmlformats.org/officeDocument/2006/relationships/hyperlink" Id="rId319" Target="https://doi.org/10.1257/aer.107.7.1731" TargetMode="External" /><Relationship Type="http://schemas.openxmlformats.org/officeDocument/2006/relationships/hyperlink" Id="rId364" Target="https://doi.org/10.1257/jel.45.3.629" TargetMode="External" /><Relationship Type="http://schemas.openxmlformats.org/officeDocument/2006/relationships/hyperlink" Id="rId418" Target="https://doi.org/10.1257/jep.5.2.25" TargetMode="External" /><Relationship Type="http://schemas.openxmlformats.org/officeDocument/2006/relationships/hyperlink" Id="rId231" Target="https://doi.org/10.2307/1191388" TargetMode="External" /><Relationship Type="http://schemas.openxmlformats.org/officeDocument/2006/relationships/hyperlink" Id="rId220" Target="https://doi.org/10.2307/1340237" TargetMode="External" /><Relationship Type="http://schemas.openxmlformats.org/officeDocument/2006/relationships/hyperlink" Id="rId234" Target="https://doi.org/10.2307/1882217" TargetMode="External" /><Relationship Type="http://schemas.openxmlformats.org/officeDocument/2006/relationships/hyperlink" Id="rId372" Target="https://doi.org/10.2307/1884399" TargetMode="External" /><Relationship Type="http://schemas.openxmlformats.org/officeDocument/2006/relationships/hyperlink" Id="rId416" Target="https://doi.org/10.2307/1884852" TargetMode="External" /><Relationship Type="http://schemas.openxmlformats.org/officeDocument/2006/relationships/hyperlink" Id="rId389" Target="https://doi.org/10.2307/1907266" TargetMode="External" /><Relationship Type="http://schemas.openxmlformats.org/officeDocument/2006/relationships/hyperlink" Id="rId330" Target="https://doi.org/10.2307/1907343" TargetMode="External" /><Relationship Type="http://schemas.openxmlformats.org/officeDocument/2006/relationships/hyperlink" Id="rId379" Target="https://doi.org/10.2307/1912637" TargetMode="External" /><Relationship Type="http://schemas.openxmlformats.org/officeDocument/2006/relationships/hyperlink" Id="rId349" Target="https://doi.org/10.2307/2224727" TargetMode="External" /><Relationship Type="http://schemas.openxmlformats.org/officeDocument/2006/relationships/hyperlink" Id="rId399" Target="https://doi.org/10.2307/2224765" TargetMode="External" /><Relationship Type="http://schemas.openxmlformats.org/officeDocument/2006/relationships/hyperlink" Id="rId293" Target="https://doi.org/10.2307/2231658" TargetMode="External" /><Relationship Type="http://schemas.openxmlformats.org/officeDocument/2006/relationships/hyperlink" Id="rId477" Target="https://doi.org/10.2307/2393356" TargetMode="External" /><Relationship Type="http://schemas.openxmlformats.org/officeDocument/2006/relationships/hyperlink" Id="rId433" Target="https://doi.org/10.2307/2534456" TargetMode="External" /><Relationship Type="http://schemas.openxmlformats.org/officeDocument/2006/relationships/hyperlink" Id="rId325" Target="https://doi.org/10.2307/2534783" TargetMode="External" /><Relationship Type="http://schemas.openxmlformats.org/officeDocument/2006/relationships/hyperlink" Id="rId240" Target="https://doi.org/10.2307/2550723" TargetMode="External" /><Relationship Type="http://schemas.openxmlformats.org/officeDocument/2006/relationships/hyperlink" Id="rId284" Target="https://doi.org/10.2307/2553125" TargetMode="External" /><Relationship Type="http://schemas.openxmlformats.org/officeDocument/2006/relationships/hyperlink" Id="rId347" Target="https://doi.org/10.2307/2555407" TargetMode="External" /><Relationship Type="http://schemas.openxmlformats.org/officeDocument/2006/relationships/hyperlink" Id="rId358" Target="https://doi.org/10.2307/2555814" TargetMode="External" /><Relationship Type="http://schemas.openxmlformats.org/officeDocument/2006/relationships/hyperlink" Id="rId420" Target="https://doi.org/10.2307/3003302" TargetMode="External" /><Relationship Type="http://schemas.openxmlformats.org/officeDocument/2006/relationships/hyperlink" Id="rId332" Target="https://doi.org/10.2307/3003320" TargetMode="External" /><Relationship Type="http://schemas.openxmlformats.org/officeDocument/2006/relationships/hyperlink" Id="rId466" Target="https://doi.org/10.2307/3003371" TargetMode="External" /><Relationship Type="http://schemas.openxmlformats.org/officeDocument/2006/relationships/hyperlink" Id="rId385" Target="https://doi.org/10.2307/3003441" TargetMode="External" /><Relationship Type="http://schemas.openxmlformats.org/officeDocument/2006/relationships/hyperlink" Id="rId406" Target="https://doi.org/10.2307/3003584" TargetMode="External" /><Relationship Type="http://schemas.openxmlformats.org/officeDocument/2006/relationships/hyperlink" Id="rId300" Target="https://doi.org/10.2908/SBS_SC_OVW" TargetMode="External" /><Relationship Type="http://schemas.openxmlformats.org/officeDocument/2006/relationships/hyperlink" Id="rId236" Target="https://doi.org/10.4159/harvard.9780674188037" TargetMode="External" /><Relationship Type="http://schemas.openxmlformats.org/officeDocument/2006/relationships/hyperlink" Id="rId393" Target="https://eur-lex.europa.eu/eli/reg/2022/1925/oj" TargetMode="External" /><Relationship Type="http://schemas.openxmlformats.org/officeDocument/2006/relationships/hyperlink" Id="rId270" Target="https://eur-lex.europa.eu/legal-content/ES/TXT/?uri=CELEX:52004XC0205(02)" TargetMode="External" /><Relationship Type="http://schemas.openxmlformats.org/officeDocument/2006/relationships/hyperlink" Id="rId218" Target="https://ideas.repec.org/a/aea/aecrev/v62y1972i5p777-95.html" TargetMode="External" /><Relationship Type="http://schemas.openxmlformats.org/officeDocument/2006/relationships/hyperlink" Id="rId244" Target="https://ideas.repec.org/a/aea/aecrev/v72y1982i1p1-15.html" TargetMode="External" /><Relationship Type="http://schemas.openxmlformats.org/officeDocument/2006/relationships/hyperlink" Id="rId248" Target="https://ideas.repec.org/a/aea/aecrev/v73y1983i3p491-96.html" TargetMode="External" /><Relationship Type="http://schemas.openxmlformats.org/officeDocument/2006/relationships/hyperlink" Id="rId414" Target="https://ideas.repec.org/a/aea/aecrev/v74y1984i4p572-87.html" TargetMode="External" /><Relationship Type="http://schemas.openxmlformats.org/officeDocument/2006/relationships/hyperlink" Id="rId128" Target="https://nadaesgratis.es/admin/un-nobel-para-la-teoria-de-contratos-hart-y-holmstrom" TargetMode="External" /><Relationship Type="http://schemas.openxmlformats.org/officeDocument/2006/relationships/hyperlink" Id="rId229" Target="https://openyls.law.yale.edu/entities/publication/394c17da-e37b-4118-a8df-0cb60aebecba" TargetMode="External" /><Relationship Type="http://schemas.openxmlformats.org/officeDocument/2006/relationships/hyperlink" Id="rId338" Target="https://www.boe.es/buscar/act.php?id=BOE-A-2007-12946" TargetMode="External" /><Relationship Type="http://schemas.openxmlformats.org/officeDocument/2006/relationships/hyperlink" Id="rId342" Target="https://www.boe.es/buscar/act.php?id=BOE-A-2015-3439" TargetMode="External" /><Relationship Type="http://schemas.openxmlformats.org/officeDocument/2006/relationships/hyperlink" Id="rId340" Target="https://www.boe.es/buscar/doc.php?id=BOE-A-2014-12589" TargetMode="External" /><Relationship Type="http://schemas.openxmlformats.org/officeDocument/2006/relationships/hyperlink" Id="rId280" Target="https://www.cnmv.es/DocPortal/Publicaciones/CodigoGov/CBG_2020.pdf" TargetMode="External" /><Relationship Type="http://schemas.openxmlformats.org/officeDocument/2006/relationships/hyperlink" Id="rId278" Target="https://www.cnmv.es/DocPortal/Publicaciones/CodigoGov/Codigo_buen_gobierno.pdf" TargetMode="External" /><Relationship Type="http://schemas.openxmlformats.org/officeDocument/2006/relationships/hyperlink" Id="rId268" Target="https://www.cnmv.es/DocPortal/Publicaciones/CodigoGov/INFORMEFINAL.PDF" TargetMode="External" /><Relationship Type="http://schemas.openxmlformats.org/officeDocument/2006/relationships/hyperlink" Id="rId266" Target="https://www.cnmv.es/DocPortal/Publicaciones/CodigoGov/govsocot.pdf" TargetMode="External" /><Relationship Type="http://schemas.openxmlformats.org/officeDocument/2006/relationships/hyperlink" Id="rId276" Target="https://www.cnmv.es/Portal/Legislacion/COBG/COBG.aspx" TargetMode="External" /><Relationship Type="http://schemas.openxmlformats.org/officeDocument/2006/relationships/hyperlink" Id="rId282" Target="https://www.cnmv.es/webservices/verdocumento/ver?t=%7B3c556a68-47a3-4856-b3a4-0b9bdf98d695%7D" TargetMode="External" /><Relationship Type="http://schemas.openxmlformats.org/officeDocument/2006/relationships/hyperlink" Id="rId39" Target="https://www.economist.com/finance-and-economics/2023/04/04/why-economics-does-not-understand-business" TargetMode="External" /><Relationship Type="http://schemas.openxmlformats.org/officeDocument/2006/relationships/hyperlink" Id="rId298" Target="https://www.esma.europa.eu/sites/default/files/2025-12/ESMA84-900617762-2652_CRA_Market_Share_Calculation_2025.pdf" TargetMode="External" /><Relationship Type="http://schemas.openxmlformats.org/officeDocument/2006/relationships/hyperlink" Id="rId306" Target="https://www.ftc.gov/advice-guidance/competition-guidance/guide-antitrust-laws/antitrust-laws" TargetMode="External" /><Relationship Type="http://schemas.openxmlformats.org/officeDocument/2006/relationships/hyperlink" Id="rId304" Target="https://www.ftc.gov/news-events/news/press-releases/2025/02/ftc-chairman-andrew-n-ferguson-announces-ftc-dojs-joint-2023-merger-guidelines-are-effect" TargetMode="External" /><Relationship Type="http://schemas.openxmlformats.org/officeDocument/2006/relationships/hyperlink" Id="rId308" Target="https://www.imf.org/en/Publications/WEO/Issues/2019/03/28/world-economic-outlook-april-2019" TargetMode="External" /><Relationship Type="http://schemas.openxmlformats.org/officeDocument/2006/relationships/hyperlink" Id="rId336" Target="https://www.ine.es/dyngs/Prensa/DIRCE2025.htm" TargetMode="External" /><Relationship Type="http://schemas.openxmlformats.org/officeDocument/2006/relationships/hyperlink" Id="rId366" Target="https://www.jstor.org/stable/1823775" TargetMode="External" /><Relationship Type="http://schemas.openxmlformats.org/officeDocument/2006/relationships/hyperlink" Id="rId463" Target="https://www.justice.gov/d9/2023-12/2023%20Merger%20Guidelines.pdf" TargetMode="External" /><Relationship Type="http://schemas.openxmlformats.org/officeDocument/2006/relationships/hyperlink" Id="rId459" Target="https://www.justice.gov/sites/default/files/atr/legacy/2007/07/11/11248.pdf" TargetMode="External" /><Relationship Type="http://schemas.openxmlformats.org/officeDocument/2006/relationships/hyperlink" Id="rId461" Target="https://www.justice.gov/sites/default/files/atr/legacy/2010/08/19/hmg-2010.pdf" TargetMode="External" /><Relationship Type="http://schemas.openxmlformats.org/officeDocument/2006/relationships/hyperlink" Id="rId438" Target="https://www.nobelprize.org/prizes/economic-sciences/1978/summary/" TargetMode="External" /><Relationship Type="http://schemas.openxmlformats.org/officeDocument/2006/relationships/hyperlink" Id="rId440" Target="https://www.nobelprize.org/prizes/economic-sciences/1982/summary/" TargetMode="External" /><Relationship Type="http://schemas.openxmlformats.org/officeDocument/2006/relationships/hyperlink" Id="rId262" Target="https://www.nobelprize.org/prizes/economic-sciences/1991/coase/lecture/" TargetMode="External" /><Relationship Type="http://schemas.openxmlformats.org/officeDocument/2006/relationships/hyperlink" Id="rId442" Target="https://www.nobelprize.org/prizes/economic-sciences/1991/summary/" TargetMode="External" /><Relationship Type="http://schemas.openxmlformats.org/officeDocument/2006/relationships/hyperlink" Id="rId444" Target="https://www.nobelprize.org/prizes/economic-sciences/2009/summary/" TargetMode="External" /><Relationship Type="http://schemas.openxmlformats.org/officeDocument/2006/relationships/hyperlink" Id="rId479" Target="https://www.nobelprize.org/prizes/economic-sciences/2009/williamson/biographical/" TargetMode="External" /><Relationship Type="http://schemas.openxmlformats.org/officeDocument/2006/relationships/hyperlink" Id="rId446" Target="https://www.nobelprize.org/prizes/economic-sciences/2014/summary/" TargetMode="External" /><Relationship Type="http://schemas.openxmlformats.org/officeDocument/2006/relationships/hyperlink" Id="rId451" Target="https://www.nobelprize.org/prizes/economic-sciences/2014/tirole/lecture/" TargetMode="External" /><Relationship Type="http://schemas.openxmlformats.org/officeDocument/2006/relationships/hyperlink" Id="rId448" Target="https://www.nobelprize.org/prizes/economic-sciences/2016/summary/" TargetMode="External" /><Relationship Type="http://schemas.openxmlformats.org/officeDocument/2006/relationships/hyperlink" Id="rId295" Target="https://www.nobelprize.org/uploads/2018/06/advanced-economicsciences2014.pdf" TargetMode="External" /><Relationship Type="http://schemas.openxmlformats.org/officeDocument/2006/relationships/hyperlink" Id="rId192" Target="https://www.victorgutierrezmarcos.es/oposicion/temario/cuarto-ejercicio/4A12.pdf" TargetMode="External" /><Relationship Type="http://schemas.openxmlformats.org/officeDocument/2006/relationships/hyperlink" Id="rId33" Target="https://www.victorgutierrezmarcos.es/oposicion/temario/cuarto-ejercicio/4A15.pdf" TargetMode="External" /><Relationship Type="http://schemas.openxmlformats.org/officeDocument/2006/relationships/hyperlink" Id="rId90" Target="https://www.victorgutierrezmarcos.es/oposicion/temario/cuarto-ejercicio/4B02.pdf" TargetMode="External" /><Relationship Type="http://schemas.openxmlformats.org/officeDocument/2006/relationships/hyperlink" Id="rId91" Target="https://www.victorgutierrezmarcos.es/oposicion/temario/cuarto-ejercicio/4B15.pdf" TargetMode="External" /><Relationship Type="http://schemas.openxmlformats.org/officeDocument/2006/relationships/hyperlink" Id="rId214" Target="https://www.victorgutierrezmarcos.es/oposicion/temario/primer-ejercicio/test/simulador.html" TargetMode="External" /><Relationship Type="http://schemas.openxmlformats.org/officeDocument/2006/relationships/hyperlink" Id="rId31" Target="https://www.victorgutierrezmarcos.es/oposicion/temario/tema-no-disponible.html?tema=3.A.20" TargetMode="External" /><Relationship Type="http://schemas.openxmlformats.org/officeDocument/2006/relationships/hyperlink" Id="rId201" Target="https://www.victorgutierrezmarcos.es/oposicion/temario/tema-no-disponible.html?tema=3.B.18" TargetMode="External" /><Relationship Type="http://schemas.openxmlformats.org/officeDocument/2006/relationships/hyperlink" Id="rId34" Target="https://www.victorgutierrezmarcos.es/oposicion/temario/tercer-ejercicio/3A01.pdf" TargetMode="External" /><Relationship Type="http://schemas.openxmlformats.org/officeDocument/2006/relationships/hyperlink" Id="rId21" Target="https://www.victorgutierrezmarcos.es/oposicion/temario/tercer-ejercicio/3A08.pdf" TargetMode="External" /><Relationship Type="http://schemas.openxmlformats.org/officeDocument/2006/relationships/hyperlink" Id="rId23" Target="https://www.victorgutierrezmarcos.es/oposicion/temario/tercer-ejercicio/3A11.pdf" TargetMode="External" /><Relationship Type="http://schemas.openxmlformats.org/officeDocument/2006/relationships/hyperlink" Id="rId24" Target="https://www.victorgutierrezmarcos.es/oposicion/temario/tercer-ejercicio/3A12.pdf" TargetMode="External" /><Relationship Type="http://schemas.openxmlformats.org/officeDocument/2006/relationships/hyperlink" Id="rId35" Target="https://www.victorgutierrezmarcos.es/oposicion/temario/tercer-ejercicio/3A13.pdf" TargetMode="External" /><Relationship Type="http://schemas.openxmlformats.org/officeDocument/2006/relationships/hyperlink" Id="rId36" Target="https://www.victorgutierrezmarcos.es/oposicion/temario/tercer-ejercicio/3A14.pdf" TargetMode="External" /><Relationship Type="http://schemas.openxmlformats.org/officeDocument/2006/relationships/hyperlink" Id="rId25" Target="https://www.victorgutierrezmarcos.es/oposicion/temario/tercer-ejercicio/3A16.pdf" TargetMode="External" /><Relationship Type="http://schemas.openxmlformats.org/officeDocument/2006/relationships/hyperlink" Id="rId26" Target="https://www.victorgutierrezmarcos.es/oposicion/temario/tercer-ejercicio/3A17.pdf" TargetMode="External" /><Relationship Type="http://schemas.openxmlformats.org/officeDocument/2006/relationships/hyperlink" Id="rId27" Target="https://www.victorgutierrezmarcos.es/oposicion/temario/tercer-ejercicio/3A18.pdf" TargetMode="External" /><Relationship Type="http://schemas.openxmlformats.org/officeDocument/2006/relationships/hyperlink" Id="rId28" Target="https://www.victorgutierrezmarcos.es/oposicion/temario/tercer-ejercicio/3A19.pdf" TargetMode="External" /><Relationship Type="http://schemas.openxmlformats.org/officeDocument/2006/relationships/hyperlink" Id="rId186" Target="https://www.victorgutierrezmarcos.es/oposicion/temario/tercer-ejercicio/3A22.pdf" TargetMode="External" /><Relationship Type="http://schemas.openxmlformats.org/officeDocument/2006/relationships/hyperlink" Id="rId30" Target="https://www.victorgutierrezmarcos.es/oposicion/temario/tercer-ejercicio/3A23.pdf" TargetMode="External" /><Relationship Type="http://schemas.openxmlformats.org/officeDocument/2006/relationships/hyperlink" Id="rId150" Target="https://www.victorgutierrezmarcos.es/oposicion/temario/tercer-ejercicio/3A44.pdf" TargetMode="External" /><Relationship Type="http://schemas.openxmlformats.org/officeDocument/2006/relationships/hyperlink" Id="rId135" Target="https://www.victorgutierrezmarcos.es/oposicion/temario/tercer-ejercicio/3B03.pdf" TargetMode="External" /><Relationship Type="http://schemas.openxmlformats.org/officeDocument/2006/relationships/hyperlink" Id="rId63" Target="https://www.victorgutierrezmarcos.es/oposicion/temario/tercer-ejercicio/3B04.pdf" TargetMode="External" /><Relationship Type="http://schemas.openxmlformats.org/officeDocument/2006/relationships/hyperlink" Id="rId32" Target="https://www.victorgutierrezmarcos.es/oposicion/temario/tercer-ejercicio/3B39.pdf" TargetMode="External" /><Relationship Type="http://schemas.openxmlformats.org/officeDocument/2006/relationships/hyperlink" Id="rId38" Target="https://youtu.be/8iHeh0iRykw?list=PLmtuEaMvhDZbNVIDHA-MTVH0sLb5HP7Pn" TargetMode="External" /><Relationship Type="http://schemas.openxmlformats.org/officeDocument/2006/relationships/image" Id="rId98" Target="media/rId98.png" /><Relationship Type="http://schemas.openxmlformats.org/officeDocument/2006/relationships/image" Id="rId44" Target="media/rId4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3.A.15: La empresa: el tamaño eficiente y sus límites. Mención especial de la economía de los costes de transacción. La Teoría de la Organización Industrial: barreras a la entrada y mercados impugnables.</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2026-10-20T02:00:42Z</dcterms:created>
  <dcterms:modified xsi:type="dcterms:W3CDTF">2026-10-20T02:00:42Z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3A15</vt:lpwstr>
  </property>
  <property fmtid="{D5CDD505-2E9C-101B-9397-08002B2CF9AE}" pid="6" name="bibliography">
    <vt:lpwstr>C:\Users\vgutierrez\Documents\src\victorgutierrezmarcos.github.io-revision\oposicion\temario\fuentes\3A15\3A15.bib</vt:lpwstr>
  </property>
  <property fmtid="{D5CDD505-2E9C-101B-9397-08002B2CF9AE}" pid="7" name="carpeta">
    <vt:lpwstr>tercer-ejercicio</vt:lpwstr>
  </property>
  <property fmtid="{D5CDD505-2E9C-101B-9397-08002B2CF9AE}" pid="8" name="codigo">
    <vt:lpwstr>3.A.15</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20/10/2026</vt:lpwstr>
  </property>
  <property fmtid="{D5CDD505-2E9C-101B-9397-08002B2CF9AE}" pid="11" name="ejercicio">
    <vt:lpwstr>Tercer ejercicio</vt:lpwstr>
  </property>
  <property fmtid="{D5CDD505-2E9C-101B-9397-08002B2CF9AE}" pid="12" name="fecha">
    <vt:lpwstr>20/10/2026</vt:lpwstr>
  </property>
  <property fmtid="{D5CDD505-2E9C-101B-9397-08002B2CF9AE}" pid="13" name="fecha-cita">
    <vt:lpwstr>2026/10/20</vt:lpwstr>
  </property>
  <property fmtid="{D5CDD505-2E9C-101B-9397-08002B2CF9AE}" pid="14" name="fecha-iso">
    <vt:lpwstr>2026-10-20</vt:lpwstr>
  </property>
  <property fmtid="{D5CDD505-2E9C-101B-9397-08002B2CF9AE}" pid="15" name="graficos-docx">
    <vt:lpwstr>C:\Users\vgutierrez\Documents\src\victorgutierrezmarcos.github.io-revision\oposicion\temario\fuentes\3A15\graficos</vt:lpwstr>
  </property>
  <property fmtid="{D5CDD505-2E9C-101B-9397-08002B2CF9AE}" pid="16" name="link-citations">
    <vt:lpwstr>True</vt:lpwstr>
  </property>
  <property fmtid="{D5CDD505-2E9C-101B-9397-08002B2CF9AE}" pid="17" name="materia">
    <vt:lpwstr>Microeconomía</vt:lpwstr>
  </property>
  <property fmtid="{D5CDD505-2E9C-101B-9397-08002B2CF9AE}" pid="18" name="paginas">
    <vt:lpwstr>Tema: 33 págs. · Anexos: 4 · Bibliografía: 8</vt:lpwstr>
  </property>
  <property fmtid="{D5CDD505-2E9C-101B-9397-08002B2CF9AE}" pid="19" name="palabras-clave">
    <vt:lpwstr>teoría de la empresa, costes de transacción, Coase, Williamson, especificidad de los activos, hold-up, contratos incompletos, Grossman, Hart y Moore, escala mínima eficiente, modelo de Baumol, teoría de la agencia, paradigma estructura-conducta-resultado, barreras a la entrada, precio límite, compromiso de capacidad, mercados impugnables, organización industrial, microeconomía</vt:lpwstr>
  </property>
  <property fmtid="{D5CDD505-2E9C-101B-9397-08002B2CF9AE}" pid="20" name="reference-section-title">
    <vt:lpwstr>Bibliografía</vt:lpwstr>
  </property>
  <property fmtid="{D5CDD505-2E9C-101B-9397-08002B2CF9AE}" pid="21" name="resumen">
    <vt:lpwstr>Tamaño eficiente y límites de la empresa, Coase, Williamson y Hart, gerencialistas y agencia, barreras a la entrada, precio límite y mercados impugnables.</vt:lpwstr>
  </property>
  <property fmtid="{D5CDD505-2E9C-101B-9397-08002B2CF9AE}" pid="22" name="titulo">
    <vt:lpwstr>La empresa: el tamaño eficiente y sus límites. Mención especial de la economía de los costes de transacción. La Teoría de la Organización Industrial: barreras a la entrada y mercados impugnables.</vt:lpwstr>
  </property>
  <property fmtid="{D5CDD505-2E9C-101B-9397-08002B2CF9AE}" pid="23" name="titulo-cita">
    <vt:lpwstr>La empresa: el tamaño eficiente y sus límites. Mención especial de la economía de los costes de transacción. La Teoría de la Organización Industrial: barreras a la entrada y mercados impugnables</vt:lpwstr>
  </property>
  <property fmtid="{D5CDD505-2E9C-101B-9397-08002B2CF9AE}" pid="24" name="titulo-seo">
    <vt:lpwstr>Teoría de la empresa y costes de transacción</vt:lpwstr>
  </property>
</Properties>
</file>