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8.png" ContentType="image/png"/>
  <Override PartName="/word/media/rId222.png" ContentType="image/png"/>
  <Override PartName="/word/media/rId70.png" ContentType="image/png"/>
  <Override PartName="/word/media/rId100.png" ContentType="image/png"/>
  <Override PartName="/word/media/rId110.png" ContentType="image/png"/>
  <Override PartName="/word/media/rId47.png" ContentType="image/png"/>
  <Override PartName="/word/media/rId85.png" ContentType="image/png"/>
  <Override PartName="/word/media/rId309.png" ContentType="image/png"/>
  <Override PartName="/word/media/rId190.png" ContentType="image/png"/>
  <Override PartName="/word/media/rId186.png" ContentType="image/png"/>
  <Override PartName="/word/media/rId146.png" ContentType="image/png"/>
  <Override PartName="/word/media/rId163.png" ContentType="image/png"/>
  <Override PartName="/word/media/rId52.png" ContentType="image/png"/>
  <Override PartName="/word/media/rId33.png" ContentType="image/png"/>
  <Override PartName="/word/media/rId254.png" ContentType="image/png"/>
  <Override PartName="/word/media/rId327.png" ContentType="image/png"/>
  <Override PartName="/word/media/rId274.png" ContentType="image/png"/>
  <Override PartName="/word/media/rId171.png" ContentType="image/png"/>
  <Override PartName="/word/media/rId230.png" ContentType="image/png"/>
  <Override PartName="/word/media/rId43.png" ContentType="image/png"/>
  <Override PartName="/word/media/rId92.png" ContentType="image/png"/>
  <Override PartName="/word/media/rId156.png" ContentType="image/png"/>
  <Override PartName="/word/media/rId125.png" ContentType="image/png"/>
  <Override PartName="/word/media/rId7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16/10/2026</w:t>
      </w:r>
    </w:p>
    <w:p>
      <w:pPr>
        <w:pStyle w:val="Paginasdeltema"/>
      </w:pPr>
      <w:r>
        <w:t xml:space="preserve">Tema: 44 págs. · Anexos: 17 · Bibliografía: 6 (PDF)</w:t>
      </w:r>
    </w:p>
    <w:bookmarkStart w:id="31"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«Sobre gustos no hay nada escrito», dice el refrán: lo que a cada uno le gusta es cosa suya, y nadie puede verlo desde fuera.</w:t>
      </w:r>
    </w:p>
    <w:p>
      <w:pPr>
        <w:keepNext/>
        <w:numPr>
          <w:ilvl w:val="1"/>
          <w:numId w:val="1002"/>
        </w:numPr>
      </w:pPr>
      <w:r>
        <w:rPr>
          <w:b/>
          <w:bCs/>
        </w:rPr>
        <w:t xml:space="preserve">¿Puede una teoría explicar lo que elegimos sin ver lo que queremos?</w:t>
      </w:r>
      <w:r>
        <w:t xml:space="preserve"> </w:t>
      </w:r>
      <w:r>
        <w:rPr>
          <w:smallCaps/>
        </w:rPr>
        <w:t xml:space="preserve">Marshall</w:t>
      </w:r>
      <w:r>
        <w:t xml:space="preserve"> </w:t>
      </w:r>
      <w:r>
        <w:t xml:space="preserve">(</w:t>
      </w:r>
      <w:hyperlink w:anchor="ref_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 y pocas decisiones son más ordinarias que qué comprar.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2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4"/>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keepNext/>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hyperlink r:id="rId22">
        <w:r>
          <w:rPr>
            <w:rStyle w:val="Referenciaatema"/>
          </w:rPr>
          <w:t xml:space="preserve">[ver tema 3.A.16]</w:t>
        </w:r>
      </w:hyperlink>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w:t>
      </w:r>
      <w:hyperlink w:anchor="ref_INE2026CNTRDemanda">
        <w:r>
          <w:rPr>
            <w:rStyle w:val="Hyperlink"/>
            <w:smallCaps/>
          </w:rPr>
          <w:t xml:space="preserve">Instituto Nacional de Estadística</w:t>
        </w:r>
        <w:r>
          <w:rPr>
            <w:rStyle w:val="Hyperlink"/>
          </w:rPr>
          <w:t xml:space="preserve">, 2026a</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5"/>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hyperlink r:id="rId26">
        <w:r>
          <w:rPr>
            <w:rStyle w:val="Referenciaatema"/>
          </w:rPr>
          <w:t xml:space="preserve">[ver tema 3.A.10]</w:t>
        </w:r>
      </w:hyperlink>
      <w:r>
        <w:t xml:space="preserve">.</w:t>
      </w:r>
    </w:p>
    <w:p>
      <w:pPr>
        <w:numPr>
          <w:ilvl w:val="2"/>
          <w:numId w:val="1006"/>
        </w:numPr>
      </w:pP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keepNext/>
        <w:numPr>
          <w:ilvl w:val="2"/>
          <w:numId w:val="1006"/>
        </w:numPr>
      </w:pPr>
      <w:r>
        <w:rPr>
          <w:smallCaps/>
        </w:rPr>
        <w:t xml:space="preserve">Gossen</w:t>
      </w:r>
      <w:r>
        <w:t xml:space="preserve"> </w:t>
      </w:r>
      <w:r>
        <w:t xml:space="preserve">(</w:t>
      </w:r>
      <w:hyperlink w:anchor="ref_Gossen1854Entwickelung">
        <w:r>
          <w:rPr>
            <w:rStyle w:val="Hyperlink"/>
          </w:rPr>
          <w:t xml:space="preserve">1854</w:t>
        </w:r>
      </w:hyperlink>
      <w:r>
        <w:t xml:space="preserve">)</w:t>
      </w:r>
      <w:r>
        <w:t xml:space="preserve"> </w:t>
      </w:r>
      <w:r>
        <w:t xml:space="preserve">formula sus 2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7" w:name="ley_gossen2"/>
      <w:bookmarkEnd w:id="27"/>
      <w:r>
        <w:t xml:space="preserve"> </w:t>
      </w:r>
      <w:r>
        <w:t xml:space="preserve">el individuo reparte su renta de modo que la última unidad monetaria gastada en cada bien le reporte la misma utilidad,</w:t>
      </w:r>
      <w:r>
        <w:t xml:space="preserve"> </w:t>
      </w:r>
      <m:oMath>
        <m:f>
          <m:fPr>
            <m:type m:val="bar"/>
          </m:fPr>
          <m:num>
            <m:sSub>
              <m:e>
                <m:r>
                  <m:rPr>
                    <m:sty m:val="p"/>
                  </m:rPr>
                  <m:t>U</m:t>
                </m:r>
                <m:r>
                  <m:rPr>
                    <m:sty m:val="p"/>
                  </m:rPr>
                  <m:t>M</m:t>
                </m:r>
                <m:r>
                  <m:rPr>
                    <m:sty m:val="p"/>
                  </m:rPr>
                  <m:t>g</m:t>
                </m:r>
              </m:e>
              <m:sub>
                <m:r>
                  <m:t>1</m:t>
                </m:r>
              </m:sub>
            </m:sSub>
          </m:num>
          <m:den>
            <m:sSub>
              <m:e>
                <m:r>
                  <m:t>p</m:t>
                </m:r>
              </m:e>
              <m:sub>
                <m:r>
                  <m:t>1</m:t>
                </m:r>
              </m:sub>
            </m:sSub>
          </m:den>
        </m:f>
        <m:r>
          <m:rPr>
            <m:sty m:val="p"/>
          </m:rPr>
          <m:t>=</m:t>
        </m:r>
        <m:r>
          <m:rPr>
            <m:sty m:val="p"/>
          </m:rPr>
          <m:t>…</m:t>
        </m:r>
        <m:r>
          <m:rPr>
            <m:sty m:val="p"/>
          </m:rPr>
          <m:t>=</m:t>
        </m:r>
        <m:f>
          <m:fPr>
            <m:type m:val="bar"/>
          </m:fPr>
          <m:num>
            <m:sSub>
              <m:e>
                <m:r>
                  <m:rPr>
                    <m:sty m:val="p"/>
                  </m:rPr>
                  <m:t>U</m:t>
                </m:r>
                <m:r>
                  <m:rPr>
                    <m:sty m:val="p"/>
                  </m:rPr>
                  <m:t>M</m:t>
                </m:r>
                <m:r>
                  <m:rPr>
                    <m:sty m:val="p"/>
                  </m:rP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70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w:t>
      </w:r>
      <w:hyperlink w:anchor="anexo_cardinal">
        <w:r>
          <w:rPr>
            <w:rStyle w:val="Hyperlink"/>
          </w:rPr>
          <w:t xml:space="preserve">E</w:t>
        </w:r>
      </w:hyperlink>
      <w:r>
        <w:t xml:space="preserve">).</w:t>
      </w:r>
    </w:p>
    <w:p>
      <w:pPr>
        <w:numPr>
          <w:ilvl w:val="1"/>
          <w:numId w:val="1005"/>
        </w:numPr>
      </w:pPr>
      <w:r>
        <w:rPr>
          <w:smallCaps/>
        </w:rPr>
        <w:t xml:space="preserve">Edgeworth</w:t>
      </w:r>
      <w:r>
        <w:t xml:space="preserve"> </w:t>
      </w:r>
      <w:r>
        <w:t xml:space="preserve">(</w:t>
      </w:r>
      <w:hyperlink w:anchor="ref_Edgeworth1881Mathematical">
        <w:r>
          <w:rPr>
            <w:rStyle w:val="Hyperlink"/>
          </w:rPr>
          <w:t xml:space="preserve">1881</w:t>
        </w:r>
      </w:hyperlink>
      <w:r>
        <w:t xml:space="preserve">)</w:t>
      </w:r>
      <w:r>
        <w:rPr>
          <w:rStyle w:val="FootnoteReference"/>
        </w:rPr>
        <w:footnoteReference w:id="28"/>
      </w:r>
      <w:r>
        <w:t xml:space="preserve"> </w:t>
      </w:r>
      <w:r>
        <w:t xml:space="preserve">define la utilidad como función de las cantidades de todos los bienes e idea las curvas de indiferencia.</w:t>
      </w:r>
      <w:r>
        <w:t xml:space="preserve"> </w:t>
      </w:r>
      <w:r>
        <w:rPr>
          <w:smallCaps/>
        </w:rPr>
        <w:t xml:space="preserve">Fisher</w:t>
      </w:r>
      <w:r>
        <w:t xml:space="preserve"> </w:t>
      </w:r>
      <w:r>
        <w:t xml:space="preserve">(</w:t>
      </w:r>
      <w:hyperlink w:anchor="ref_Fisher1892Mathematical">
        <w:r>
          <w:rPr>
            <w:rStyle w:val="Hyperlink"/>
          </w:rPr>
          <w:t xml:space="preserve">1892</w:t>
        </w:r>
      </w:hyperlink>
      <w:r>
        <w:t xml:space="preserve">)</w:t>
      </w:r>
      <w:r>
        <w:t xml:space="preserve"> </w:t>
      </w:r>
      <w:r>
        <w:t xml:space="preserve">y, sobre todo,</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9"/>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le da su forma axiomática actual.</w:t>
      </w:r>
    </w:p>
    <w:p>
      <w:pPr>
        <w:keepNext/>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que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_Antonelli1886Teoria">
        <w:r>
          <w:rPr>
            <w:rStyle w:val="Hyperlink"/>
            <w:smallCaps/>
          </w:rPr>
          <w:t xml:space="preserve">Antonelli</w:t>
        </w:r>
        <w:r>
          <w:rPr>
            <w:rStyle w:val="Hyperlink"/>
          </w:rPr>
          <w:t xml:space="preserve">, 1886</w:t>
        </w:r>
      </w:hyperlink>
      <w:r>
        <w:t xml:space="preserve">;</w:t>
      </w:r>
      <w:r>
        <w:t xml:space="preserve"> </w:t>
      </w:r>
      <w:hyperlink w:anchor="ref_HurwiczUzawa1971Integrability">
        <w:r>
          <w:rPr>
            <w:rStyle w:val="Hyperlink"/>
            <w:smallCaps/>
          </w:rPr>
          <w:t xml:space="preserve">Hurwicz</w:t>
        </w:r>
        <w:r>
          <w:rPr>
            <w:rStyle w:val="Hyperlink"/>
          </w:rPr>
          <w:t xml:space="preserve"> </w:t>
        </w:r>
        <w:r>
          <w:rPr>
            <w:rStyle w:val="Hyperlink"/>
          </w:rPr>
          <w:t xml:space="preserve">y</w:t>
        </w:r>
        <w:r>
          <w:rPr>
            <w:rStyle w:val="Hyperlink"/>
          </w:rPr>
          <w:t xml:space="preserve"> </w:t>
        </w:r>
        <w:r>
          <w:rPr>
            <w:rStyle w:val="Hyperlink"/>
            <w:smallCaps/>
          </w:rPr>
          <w:t xml:space="preserve">Uzawa</w:t>
        </w:r>
        <w:r>
          <w:rPr>
            <w:rStyle w:val="Hyperlink"/>
          </w:rPr>
          <w:t xml:space="preserve">, 1971</w:t>
        </w:r>
      </w:hyperlink>
      <w:r>
        <w:t xml:space="preserve">;</w:t>
      </w:r>
      <w:r>
        <w:t xml:space="preserve"> </w:t>
      </w:r>
      <w:hyperlink w:anchor="ref_KihlstromMasColellSonnenschein1976">
        <w:r>
          <w:rPr>
            <w:rStyle w:val="Hyperlink"/>
            <w:smallCaps/>
          </w:rPr>
          <w:t xml:space="preserve">Kihlstrom</w:t>
        </w:r>
        <w:r>
          <w:rPr>
            <w:rStyle w:val="Hyperlink"/>
          </w:rPr>
          <w:t xml:space="preserve">,</w:t>
        </w:r>
        <w:r>
          <w:rPr>
            <w:rStyle w:val="Hyperlink"/>
          </w:rPr>
          <w:t xml:space="preserve"> </w:t>
        </w:r>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1976</w:t>
        </w:r>
      </w:hyperlink>
      <w:r>
        <w:t xml:space="preserve">)</w:t>
      </w:r>
      <w:r>
        <w:t xml:space="preserve">, es la otra cara de la dualidad</w:t>
      </w:r>
      <w:r>
        <w:t xml:space="preserve"> </w:t>
      </w:r>
      <w:hyperlink r:id="rId30">
        <w:r>
          <w:rPr>
            <w:rStyle w:val="Referenciaatema"/>
          </w:rPr>
          <w:t xml:space="preserve">[ver tema 3.A.9]</w:t>
        </w:r>
      </w:hyperlink>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p>
      <w:pPr>
        <w:keepNext/>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keepNext/>
        <w:numPr>
          <w:ilvl w:val="0"/>
          <w:numId w:val="1001"/>
        </w:numPr>
      </w:pPr>
      <w:r>
        <w:rPr>
          <w:b/>
          <w:bCs/>
          <w:i/>
          <w:iCs/>
        </w:rPr>
        <w:t xml:space="preserve">Estructura</w:t>
      </w:r>
      <w:r>
        <w:t xml:space="preserve">: la exposición se organiza en 3 partes.</w:t>
      </w:r>
    </w:p>
    <w:p>
      <w:pPr>
        <w:keepNext/>
        <w:numPr>
          <w:ilvl w:val="1"/>
          <w:numId w:val="1010"/>
        </w:numPr>
      </w:pPr>
      <w:r>
        <w:rPr>
          <w:i/>
          <w:iCs/>
        </w:rPr>
        <w:t xml:space="preserve">I. Fundamentos de la teoría de la elección racional</w:t>
      </w:r>
      <w:r>
        <w:t xml:space="preserve">:</w:t>
      </w:r>
    </w:p>
    <w:p>
      <w:pPr>
        <w:numPr>
          <w:ilvl w:val="2"/>
          <w:numId w:val="1011"/>
        </w:numPr>
      </w:pPr>
      <w:r>
        <w:t xml:space="preserve">presentaremos los ingredientes del modelo, las preferencias con su representación mediante una función de utilidad y la restricción presupuestaria (</w:t>
      </w:r>
      <w:hyperlink w:anchor="sec_ingredientes">
        <w:r>
          <w:rPr>
            <w:rStyle w:val="Hyperlink"/>
          </w:rPr>
          <w:t xml:space="preserve">I.1</w:t>
        </w:r>
      </w:hyperlink>
      <w:r>
        <w:t xml:space="preserve">);</w:t>
      </w:r>
    </w:p>
    <w:p>
      <w:pPr>
        <w:numPr>
          <w:ilvl w:val="2"/>
          <w:numId w:val="1011"/>
        </w:numPr>
      </w:pPr>
      <w:r>
        <w:t xml:space="preserve">plantearemos el problema de maximización de la utilidad y su equilibrio, interior o de esquina (</w:t>
      </w:r>
      <w:hyperlink w:anchor="sec_problema_maximizacion_utilidad">
        <w:r>
          <w:rPr>
            <w:rStyle w:val="Hyperlink"/>
          </w:rPr>
          <w:t xml:space="preserve">I.2</w:t>
        </w:r>
      </w:hyperlink>
      <w:r>
        <w:t xml:space="preserve">);</w:t>
      </w:r>
    </w:p>
    <w:p>
      <w:pPr>
        <w:numPr>
          <w:ilvl w:val="2"/>
          <w:numId w:val="1011"/>
        </w:numPr>
      </w:pPr>
      <w:r>
        <w:t xml:space="preserve">y obtendremos su solución: la demanda marshalliana individual, la función indirecta de utilidad y, por agregación, la demanda de mercado (</w:t>
      </w:r>
      <w:hyperlink w:anchor="sec_solucion_problema_maximizacion">
        <w:r>
          <w:rPr>
            <w:rStyle w:val="Hyperlink"/>
          </w:rPr>
          <w:t xml:space="preserve">I.3</w:t>
        </w:r>
      </w:hyperlink>
      <w:r>
        <w:t xml:space="preserve">).</w:t>
      </w:r>
    </w:p>
    <w:p>
      <w:pPr>
        <w:keepNext/>
        <w:numPr>
          <w:ilvl w:val="1"/>
          <w:numId w:val="1010"/>
        </w:numPr>
      </w:pPr>
      <w:r>
        <w:rPr>
          <w:i/>
          <w:iCs/>
        </w:rPr>
        <w:t xml:space="preserve">II. Estática comparativa</w:t>
      </w:r>
      <w:r>
        <w:t xml:space="preserve">, con análisis gráfico y de elasticidades:</w:t>
      </w:r>
    </w:p>
    <w:p>
      <w:pPr>
        <w:numPr>
          <w:ilvl w:val="2"/>
          <w:numId w:val="1012"/>
        </w:numPr>
      </w:pPr>
      <w:r>
        <w:t xml:space="preserve">estudiaremos cómo responde la demanda a las variaciones en la renta (</w:t>
      </w:r>
      <w:hyperlink w:anchor="sec_variaciones_renta">
        <w:r>
          <w:rPr>
            <w:rStyle w:val="Hyperlink"/>
          </w:rPr>
          <w:t xml:space="preserve">II.1</w:t>
        </w:r>
      </w:hyperlink>
      <w:r>
        <w:t xml:space="preserve">);</w:t>
      </w:r>
    </w:p>
    <w:p>
      <w:pPr>
        <w:numPr>
          <w:ilvl w:val="2"/>
          <w:numId w:val="1012"/>
        </w:numPr>
      </w:pPr>
      <w:r>
        <w:t xml:space="preserve">y a las variaciones en los precios, propio y cruzado, con la ecuación de</w:t>
      </w:r>
      <w:r>
        <w:t xml:space="preserve"> </w:t>
      </w:r>
      <w:r>
        <w:rPr>
          <w:smallCaps/>
        </w:rPr>
        <w:t xml:space="preserve">Slutsky</w:t>
      </w:r>
      <w:r>
        <w:t xml:space="preserve"> </w:t>
      </w:r>
      <w:r>
        <w:t xml:space="preserve">(</w:t>
      </w:r>
      <w:hyperlink w:anchor="sec_variaciones_precios">
        <w:r>
          <w:rPr>
            <w:rStyle w:val="Hyperlink"/>
          </w:rPr>
          <w:t xml:space="preserve">II.2</w:t>
        </w:r>
      </w:hyperlink>
      <w:r>
        <w:t xml:space="preserve">);</w:t>
      </w:r>
    </w:p>
    <w:p>
      <w:pPr>
        <w:numPr>
          <w:ilvl w:val="2"/>
          <w:numId w:val="1012"/>
        </w:numPr>
      </w:pPr>
      <w:r>
        <w:t xml:space="preserve">y valoraremos la teoría para enlazar con sus desarrollos (</w:t>
      </w:r>
      <w:hyperlink w:anchor="sec_valoracion">
        <w:r>
          <w:rPr>
            <w:rStyle w:val="Hyperlink"/>
          </w:rPr>
          <w:t xml:space="preserve">II.3</w:t>
        </w:r>
      </w:hyperlink>
      <w:r>
        <w:t xml:space="preserve">).</w:t>
      </w:r>
    </w:p>
    <w:p>
      <w:pPr>
        <w:keepNext/>
        <w:numPr>
          <w:ilvl w:val="1"/>
          <w:numId w:val="1010"/>
        </w:numPr>
      </w:pPr>
      <w:r>
        <w:rPr>
          <w:i/>
          <w:iCs/>
        </w:rPr>
        <w:t xml:space="preserve">III. Otros desarrollos</w:t>
      </w:r>
      <w:r>
        <w:t xml:space="preserve">:</w:t>
      </w:r>
    </w:p>
    <w:p>
      <w:pPr>
        <w:numPr>
          <w:ilvl w:val="2"/>
          <w:numId w:val="1013"/>
        </w:numPr>
      </w:pPr>
      <w:r>
        <w:t xml:space="preserve">la teoría de la preferencia revelada, que parte de la conducta observada y no de preferencias inobservables (</w:t>
      </w:r>
      <w:hyperlink w:anchor="sec_teoria_preferencia_revelada">
        <w:r>
          <w:rPr>
            <w:rStyle w:val="Hyperlink"/>
          </w:rPr>
          <w:t xml:space="preserve">III.1</w:t>
        </w:r>
      </w:hyperlink>
      <w:r>
        <w:t xml:space="preserve">);</w:t>
      </w:r>
    </w:p>
    <w:p>
      <w:pPr>
        <w:numPr>
          <w:ilvl w:val="2"/>
          <w:numId w:val="1013"/>
        </w:numPr>
      </w:pPr>
      <w:r>
        <w:t xml:space="preserve">la producción doméstica, que introduce el tiempo y la «tecnología del consumo» (</w:t>
      </w:r>
      <w:hyperlink w:anchor="sec_produccion_domestica">
        <w:r>
          <w:rPr>
            <w:rStyle w:val="Hyperlink"/>
          </w:rPr>
          <w:t xml:space="preserve">III.2</w:t>
        </w:r>
      </w:hyperlink>
      <w:r>
        <w:t xml:space="preserve">);</w:t>
      </w:r>
    </w:p>
    <w:p>
      <w:pPr>
        <w:numPr>
          <w:ilvl w:val="2"/>
          <w:numId w:val="1013"/>
        </w:numPr>
      </w:pPr>
      <w:r>
        <w:t xml:space="preserve">y los precios hedónicos, que valoran empíricamente los bienes por sus características (</w:t>
      </w:r>
      <w:hyperlink w:anchor="sec_precios_hedonicos">
        <w:r>
          <w:rPr>
            <w:rStyle w:val="Hyperlink"/>
          </w:rPr>
          <w:t xml:space="preserve">III.3</w:t>
        </w:r>
      </w:hyperlink>
      <w:r>
        <w:t xml:space="preserve">).</w:t>
      </w:r>
    </w:p>
    <w:p>
      <w:pPr>
        <w:pStyle w:val="Esquema"/>
        <w:keepLines/>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w:t>
      </w:r>
      <w:r>
        <w:rPr>
          <w:smallCaps/>
        </w:rPr>
        <w:t xml:space="preserve">Engel</w:t>
      </w:r>
      <w:r>
        <w:t xml:space="preserve">)</w:t>
      </w:r>
      <w:r>
        <w:br/>
      </w:r>
      <w:r>
        <w:t xml:space="preserve">2. Variaciones en los precios (</w:t>
      </w:r>
      <w:r>
        <w:rPr>
          <w:smallCaps/>
        </w:rPr>
        <w:t xml:space="preserve">Slutsky</w:t>
      </w:r>
      <w:r>
        <w:t xml:space="preserve">,</w:t>
      </w:r>
      <w:r>
        <w:t xml:space="preserve"> </w:t>
      </w:r>
      <w:r>
        <w:rPr>
          <w:smallCaps/>
        </w:rPr>
        <w:t xml:space="preserve">Cournot</w:t>
      </w:r>
      <w:r>
        <w:t xml:space="preserve">)</w:t>
      </w:r>
      <w:r>
        <w:br/>
      </w:r>
      <w:r>
        <w:t xml:space="preserve">3. Valoración</w:t>
      </w:r>
      <w:r>
        <w:br/>
      </w:r>
      <w:r>
        <w:t xml:space="preserve">III. Otros desarrollos de la teoría de la demanda</w:t>
      </w:r>
      <w:r>
        <w:br/>
      </w:r>
      <w:r>
        <w:t xml:space="preserve">1. Preferencia revelada (</w:t>
      </w:r>
      <w:r>
        <w:rPr>
          <w:smallCaps/>
        </w:rPr>
        <w:t xml:space="preserve">Samuelson</w:t>
      </w:r>
      <w:r>
        <w:t xml:space="preserve">,</w:t>
      </w:r>
      <w:r>
        <w:t xml:space="preserve"> </w:t>
      </w:r>
      <w:r>
        <w:rPr>
          <w:smallCaps/>
        </w:rPr>
        <w:t xml:space="preserve">Houthakker</w:t>
      </w:r>
      <w:r>
        <w:t xml:space="preserve">,</w:t>
      </w:r>
      <w:r>
        <w:t xml:space="preserve"> </w:t>
      </w:r>
      <w:r>
        <w:rPr>
          <w:smallCaps/>
        </w:rPr>
        <w:t xml:space="preserve">Afriat</w:t>
      </w:r>
      <w:r>
        <w:t xml:space="preserve">)</w:t>
      </w:r>
      <w:r>
        <w:br/>
      </w:r>
      <w:r>
        <w:t xml:space="preserve">2. Producción doméstica (</w:t>
      </w:r>
      <w:r>
        <w:rPr>
          <w:smallCaps/>
        </w:rPr>
        <w:t xml:space="preserve">Becker</w:t>
      </w:r>
      <w:r>
        <w:t xml:space="preserve">)</w:t>
      </w:r>
      <w:r>
        <w:br/>
      </w:r>
      <w:r>
        <w:t xml:space="preserve">3. Precios hedónicos (</w:t>
      </w:r>
      <w:r>
        <w:rPr>
          <w:smallCaps/>
        </w:rPr>
        <w:t xml:space="preserve">Griliches</w:t>
      </w:r>
      <w:r>
        <w:t xml:space="preserve">,</w:t>
      </w:r>
      <w:r>
        <w:t xml:space="preserve"> </w:t>
      </w:r>
      <w:r>
        <w:rPr>
          <w:smallCaps/>
        </w:rPr>
        <w:t xml:space="preserve">Rosen</w:t>
      </w:r>
      <w:r>
        <w:t xml:space="preserve">)</w:t>
      </w:r>
      <w:r>
        <w:br/>
      </w:r>
      <w:r>
        <w:t xml:space="preserve">Conclusión</w:t>
      </w:r>
    </w:p>
    <w:p>
      <w:pPr>
        <w:pStyle w:val="Notaalopositor"/>
        <w:keepLines/>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3 desarrollos que acercan la teoría a lo observable (preferencia revelada, producción doméstica y precios hedónicos). Reparto orientativo del cante: introducción, 2′30″; I, 11′ (I.1, 5′30″; I.2, 3′; I.3, 2′30″); II, 8′ (II.1, 2′30″; II.2, 4′30″; II.3, 1′); III, 7′30″ (3′ + 1′30″ + 3′), y conclusión, 1′.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31"/>
    <w:bookmarkStart w:id="152" w:name="sec_analisis_teoria_neoclasica"/>
    <w:p>
      <w:pPr>
        <w:pStyle w:val="Heading1"/>
      </w:pPr>
      <w:r>
        <w:t xml:space="preserve">I.</w:t>
      </w:r>
      <w:r>
        <w:t xml:space="preserve"> </w:t>
      </w:r>
      <w:r>
        <w:t xml:space="preserve">Análisis de la teoría neoclásica de la demanda</w:t>
      </w:r>
      <w:r>
        <w:br/>
      </w:r>
      <w:r>
        <w:t xml:space="preserve">del consumidor (I): fundamentos de la teoría</w:t>
      </w:r>
      <w:r>
        <w:br/>
      </w:r>
      <w:r>
        <w:t xml:space="preserve">de la elección racional</w:t>
      </w:r>
      <w:r>
        <w:t xml:space="preserve"> </w:t>
      </w:r>
      <w:r>
        <w:rPr>
          <w:rStyle w:val="Minutos"/>
        </w:rPr>
        <w:t xml:space="preserve">11′</w:t>
      </w:r>
    </w:p>
    <w:p>
      <w:pPr>
        <w:numPr>
          <w:ilvl w:val="0"/>
          <w:numId w:val="1014"/>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115" w:name="sec_ingredientes"/>
    <w:p>
      <w:pPr>
        <w:pStyle w:val="Heading2"/>
      </w:pPr>
      <w:r>
        <w:t xml:space="preserve">I.1.</w:t>
      </w:r>
      <w:r>
        <w:t xml:space="preserve"> </w:t>
      </w:r>
      <w:r>
        <w:t xml:space="preserve">Ingredientes</w:t>
      </w:r>
    </w:p>
    <w:p>
      <w:pPr>
        <w:numPr>
          <w:ilvl w:val="0"/>
          <w:numId w:val="1015"/>
        </w:numPr>
      </w:pPr>
      <w:r>
        <w:t xml:space="preserve">La</w:t>
      </w:r>
      <w:r>
        <w:t xml:space="preserve"> </w:t>
      </w:r>
      <w:r>
        <w:rPr>
          <w:b/>
          <w:bCs/>
        </w:rPr>
        <w:t xml:space="preserve">teoría neoclásica ordinal</w:t>
      </w:r>
      <w:r>
        <w:t xml:space="preserve"> </w:t>
      </w:r>
      <w:r>
        <w:t xml:space="preserve">de la demanda parte de 2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32"/>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w:t>
      </w:r>
      <w:hyperlink w:anchor="fig_esquema_ingredientes">
        <w:r>
          <w:rPr>
            <w:rStyle w:val="Hyperlink"/>
          </w:rPr>
          <w:t xml:space="preserve">1</w:t>
        </w:r>
      </w:hyperlink>
      <w:r>
        <w:t xml:space="preserve"> </w:t>
      </w:r>
      <w:r>
        <w:t xml:space="preserve">resume el camino que recorre este apartado.</w:t>
      </w:r>
    </w:p>
    <w:bookmarkStart w:id="36" w:name="fig_esquema_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Gráfico 1.– De las preferencias a la demanda de mercado" title="" id="34" name="Picture"/>
            <a:graphic>
              <a:graphicData uri="http://schemas.openxmlformats.org/drawingml/2006/picture">
                <pic:pic>
                  <pic:nvPicPr>
                    <pic:cNvPr descr="C:\Users\vgutierrez\Documents\src\victorgutierrezmarcos.github.io-revision\oposicion\temario\fuentes\3A08\graficos/esquema-ingredientes.png" id="35" name="Picture"/>
                    <pic:cNvPicPr>
                      <a:picLocks noChangeArrowheads="1" noChangeAspect="1"/>
                    </pic:cNvPicPr>
                  </pic:nvPicPr>
                  <pic:blipFill>
                    <a:blip r:embed="rId33"/>
                    <a:stretch>
                      <a:fillRect/>
                    </a:stretch>
                  </pic:blipFill>
                  <pic:spPr bwMode="auto">
                    <a:xfrm>
                      <a:off x="0" y="0"/>
                      <a:ext cx="5372100" cy="1921871"/>
                    </a:xfrm>
                    <a:prstGeom prst="rect">
                      <a:avLst/>
                    </a:prstGeom>
                    <a:noFill/>
                    <a:ln w="9525">
                      <a:noFill/>
                      <a:headEnd/>
                      <a:tailEnd/>
                    </a:ln>
                  </pic:spPr>
                </pic:pic>
              </a:graphicData>
            </a:graphic>
          </wp:inline>
        </w:drawing>
      </w:r>
    </w:p>
    <w:bookmarkEnd w:id="36"/>
    <w:p>
      <w:pPr>
        <w:pStyle w:val="Piedeimagen"/>
      </w:pPr>
      <w:r>
        <w:t xml:space="preserve">Fuente: elaboración propia.</w:t>
      </w:r>
    </w:p>
    <w:p>
      <w:pPr>
        <w:keepNext/>
        <w:numPr>
          <w:ilvl w:val="0"/>
          <w:numId w:val="1016"/>
        </w:numPr>
      </w:pPr>
      <w:r>
        <w:t xml:space="preserve">El análisis se apoya en estos</w:t>
      </w:r>
      <w:r>
        <w:t xml:space="preserve"> </w:t>
      </w:r>
      <w:r>
        <w:rPr>
          <w:b/>
          <w:bCs/>
        </w:rPr>
        <w:t xml:space="preserve">supuestos</w:t>
      </w:r>
      <w:r>
        <w:t xml:space="preserve">:</w:t>
      </w:r>
    </w:p>
    <w:p>
      <w:pPr>
        <w:numPr>
          <w:ilvl w:val="1"/>
          <w:numId w:val="1017"/>
        </w:numPr>
      </w:pPr>
      <w:r>
        <w:t xml:space="preserve">contexto estático y sin incertidumbre</w:t>
      </w:r>
      <w:r>
        <w:t xml:space="preserve"> </w:t>
      </w:r>
      <w:hyperlink r:id="rId26">
        <w:r>
          <w:rPr>
            <w:rStyle w:val="Referenciaatema"/>
          </w:rPr>
          <w:t xml:space="preserve">[ver tema 3.A.10]</w:t>
        </w:r>
      </w:hyperlink>
      <w:r>
        <w:t xml:space="preserve">;</w:t>
      </w:r>
    </w:p>
    <w:p>
      <w:pPr>
        <w:numPr>
          <w:ilvl w:val="1"/>
          <w:numId w:val="1017"/>
        </w:numPr>
      </w:pPr>
      <w:r>
        <w:t xml:space="preserve">información perfecta sobre bienes y precios;</w:t>
      </w:r>
    </w:p>
    <w:p>
      <w:pPr>
        <w:numPr>
          <w:ilvl w:val="1"/>
          <w:numId w:val="1017"/>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7"/>
        </w:numPr>
      </w:pPr>
      <w:r>
        <w:t xml:space="preserve">la decisión de consumo se separa de la de oferta de trabajo</w:t>
      </w:r>
      <w:r>
        <w:t xml:space="preserve"> </w:t>
      </w:r>
      <w:hyperlink r:id="rId37">
        <w:r>
          <w:rPr>
            <w:rStyle w:val="Referenciaatema"/>
          </w:rPr>
          <w:t xml:space="preserve">[ver tema 3.A.25]</w:t>
        </w:r>
      </w:hyperlink>
      <w:r>
        <w:t xml:space="preserve"> </w:t>
      </w:r>
      <w:r>
        <w:t xml:space="preserve">y de las decisiones intertemporales</w:t>
      </w:r>
      <w:r>
        <w:t xml:space="preserve"> </w:t>
      </w:r>
      <w:hyperlink r:id="rId38">
        <w:r>
          <w:rPr>
            <w:rStyle w:val="Referenciaatema"/>
          </w:rPr>
          <w:t xml:space="preserve">[ver tema 3.A.29]</w:t>
        </w:r>
      </w:hyperlink>
      <w:r>
        <w:t xml:space="preserve">, y</w:t>
      </w:r>
    </w:p>
    <w:p>
      <w:pPr>
        <w:numPr>
          <w:ilvl w:val="1"/>
          <w:numId w:val="1017"/>
        </w:numPr>
      </w:pPr>
      <w:r>
        <w:t xml:space="preserve">los bienes son homogéneos: la utilidad depende solo de las cantidades consumidas de cada bien.</w:t>
      </w:r>
    </w:p>
    <w:p>
      <w:pPr>
        <w:pStyle w:val="Notaalopositor"/>
        <w:keepLines/>
      </w:pPr>
      <w:r>
        <w:rPr>
          <w:b/>
          <w:bCs/>
        </w:rPr>
        <w:t xml:space="preserve">Nota al opositor. </w:t>
      </w:r>
      <w:r>
        <w:t xml:space="preserve">En el cante: conjunto de elección, relación de preferencia y conjuntos «al menos tan bueno como» y «no mejor que» (gráfico </w:t>
      </w:r>
      <w:hyperlink w:anchor="fig_conjuntos_contorno">
        <w:r>
          <w:rPr>
            <w:rStyle w:val="Hyperlink"/>
          </w:rPr>
          <w:t xml:space="preserve">3</w:t>
        </w:r>
      </w:hyperlink>
      <w:r>
        <w:t xml:space="preserve">), los 7 axiomas con lo que garantiza cada uno y agrupados por su papel (gráfico </w:t>
      </w:r>
      <w:hyperlink w:anchor="fig_esquema_axiomas">
        <w:r>
          <w:rPr>
            <w:rStyle w:val="Hyperlink"/>
          </w:rPr>
          <w:t xml:space="preserve">4</w:t>
        </w:r>
      </w:hyperlink>
      <w:r>
        <w:t xml:space="preserve">: con los 4 primeros ya existe la función de utilidad, por el teorema de</w:t>
      </w:r>
      <w:r>
        <w:t xml:space="preserve"> </w:t>
      </w:r>
      <w:r>
        <w:rPr>
          <w:smallCaps/>
        </w:rPr>
        <w:t xml:space="preserve">Debreu</w:t>
      </w:r>
      <w:r>
        <w:t xml:space="preserve">), la función de utilidad ordinal como superficie cuyos cortes dan las curvas de indiferencia (gráfico </w:t>
      </w:r>
      <w:hyperlink w:anchor="fig_superficie_utilidad">
        <w:r>
          <w:rPr>
            <w:rStyle w:val="Hyperlink"/>
          </w:rPr>
          <w:t xml:space="preserve">6</w:t>
        </w:r>
      </w:hyperlink>
      <w:r>
        <w:t xml:space="preserve">), las propiedades de las curvas con el axioma que da cada una (gráfico </w:t>
      </w:r>
      <w:hyperlink w:anchor="fig_propiedades_curvas_indiferencia">
        <w:r>
          <w:rPr>
            <w:rStyle w:val="Hyperlink"/>
          </w:rPr>
          <w:t xml:space="preserve">8</w:t>
        </w:r>
      </w:hyperlink>
      <w:r>
        <w:t xml:space="preserve">), la RMS y la elasticidad de sustitución, nombrando los 3 casos de la CES. El gráfico </w:t>
      </w:r>
      <w:hyperlink w:anchor="fig_axiomas_curva_indiferencia">
        <w:r>
          <w:rPr>
            <w:rStyle w:val="Hyperlink"/>
          </w:rPr>
          <w:t xml:space="preserve">5</w:t>
        </w:r>
      </w:hyperlink>
      <w:r>
        <w:t xml:space="preserve"> </w:t>
      </w:r>
      <w:r>
        <w:t xml:space="preserve">puede dibujarse añadiendo un axioma cada vez. Después, el conjunto presupuestario y la recta de balance. Los 4 casos de la relación binaria, las propiedades del conjunto de elección, la cuasiconcavidad en tres dimensiones y el detalle de la CES son de profundización.</w:t>
      </w:r>
    </w:p>
    <w:bookmarkStart w:id="105" w:name="sec_conjunto_eleccion_preferencias"/>
    <w:p>
      <w:pPr>
        <w:pStyle w:val="Heading3"/>
      </w:pPr>
      <w:r>
        <w:t xml:space="preserve">I.1.1.</w:t>
      </w:r>
      <w:r>
        <w:t xml:space="preserve"> </w:t>
      </w:r>
      <w:r>
        <w:t xml:space="preserve">Conjunto de elección, preferencias y función de utilidad</w:t>
      </w:r>
    </w:p>
    <w:bookmarkStart w:id="42" w:name="conjunto_de_elecci__n"/>
    <w:p>
      <w:pPr>
        <w:pStyle w:val="Heading4"/>
      </w:pPr>
      <w:r>
        <w:t xml:space="preserve">Conjunto de elección</w:t>
      </w:r>
    </w:p>
    <w:p>
      <w:pPr>
        <w:keepNext/>
        <w:numPr>
          <w:ilvl w:val="0"/>
          <w:numId w:val="1018"/>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acc>
          <m:accPr>
            <m:chr m:val="⃗"/>
          </m:accPr>
          <m:e>
            <m:r>
              <m:t>x</m:t>
            </m:r>
          </m:e>
        </m:acc>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9"/>
      </w:r>
    </w:p>
    <w:p>
      <w:pPr>
        <w:keepNext/>
        <w:numPr>
          <w:ilvl w:val="1"/>
          <w:numId w:val="1019"/>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41"/>
      </w:r>
    </w:p>
    <w:p>
      <w:pPr>
        <w:numPr>
          <w:ilvl w:val="2"/>
          <w:numId w:val="1020"/>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20"/>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acc>
              <m:accPr>
                <m:chr m:val="⃗"/>
              </m:accPr>
              <m:e>
                <m:r>
                  <m:t>x</m:t>
                </m:r>
              </m:e>
            </m:acc>
          </m:e>
          <m:sup>
            <m:r>
              <m:t>k</m:t>
            </m:r>
          </m:sup>
        </m:sSup>
        <m:r>
          <m:rPr>
            <m:sty m:val="p"/>
          </m:rPr>
          <m:t>∈</m:t>
        </m:r>
        <m:r>
          <m:t>S</m:t>
        </m:r>
      </m:oMath>
      <w:r>
        <w:t xml:space="preserve"> </w:t>
      </w:r>
      <w:r>
        <w:t xml:space="preserve">y</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0</m:t>
            </m:r>
          </m:sup>
        </m:sSup>
        <m:r>
          <m:rPr>
            <m:sty m:val="p"/>
          </m:rPr>
          <m:t>∈</m:t>
        </m:r>
        <m:r>
          <m:t>S</m:t>
        </m:r>
      </m:oMath>
      <w:r>
        <w:t xml:space="preserve">;</w:t>
      </w:r>
    </w:p>
    <w:p>
      <w:pPr>
        <w:numPr>
          <w:ilvl w:val="2"/>
          <w:numId w:val="1020"/>
        </w:numPr>
      </w:pPr>
      <w:r>
        <w:t xml:space="preserve">está</w:t>
      </w:r>
      <w:r>
        <w:t xml:space="preserve"> </w:t>
      </w:r>
      <w:r>
        <w:rPr>
          <w:i/>
          <w:iCs/>
        </w:rPr>
        <w:t xml:space="preserve">acotado inferiormente</w:t>
      </w:r>
      <w:r>
        <w:t xml:space="preserve">:</w:t>
      </w:r>
      <w:r>
        <w:t xml:space="preserve"> </w:t>
      </w:r>
      <m:oMath>
        <m:acc>
          <m:accPr>
            <m:chr m:val="⃗"/>
          </m:accPr>
          <m:e>
            <m:r>
              <m:t>x</m:t>
            </m:r>
          </m:e>
        </m:acc>
        <m:r>
          <m:rPr>
            <m:sty m:val="p"/>
          </m:rPr>
          <m:t>≥</m:t>
        </m:r>
        <m:acc>
          <m:accPr>
            <m:chr m:val="⃗"/>
          </m:accPr>
          <m:e>
            <m:r>
              <m:t>0</m:t>
            </m:r>
          </m:e>
        </m:acc>
      </m:oMath>
      <w:r>
        <w:t xml:space="preserve"> </w:t>
      </w:r>
      <w:r>
        <w:t xml:space="preserve">para toda</w:t>
      </w:r>
      <w:r>
        <w:t xml:space="preserve"> </w:t>
      </w:r>
      <m:oMath>
        <m:acc>
          <m:accPr>
            <m:chr m:val="⃗"/>
          </m:accPr>
          <m:e>
            <m:r>
              <m:t>x</m:t>
            </m:r>
          </m:e>
        </m:acc>
        <m:r>
          <m:rPr>
            <m:sty m:val="p"/>
          </m:rPr>
          <m:t>∈</m:t>
        </m:r>
        <m:r>
          <m:t>S</m:t>
        </m:r>
      </m:oMath>
      <w:r>
        <w:t xml:space="preserve">, porque las cantidades consumidas nunca son negativas; en el caso habitual contiene la cesta nula,</w:t>
      </w:r>
      <w:r>
        <w:t xml:space="preserve"> </w:t>
      </w:r>
      <m:oMath>
        <m:acc>
          <m:accPr>
            <m:chr m:val="⃗"/>
          </m:accPr>
          <m:e>
            <m:r>
              <m:t>0</m:t>
            </m:r>
          </m:e>
        </m:acc>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20"/>
        </w:numPr>
      </w:pPr>
      <w:r>
        <w:t xml:space="preserve">es</w:t>
      </w:r>
      <w:r>
        <w:t xml:space="preserve"> </w:t>
      </w:r>
      <w:r>
        <w:rPr>
          <w:i/>
          <w:iCs/>
        </w:rPr>
        <w:t xml:space="preserve">convexo</w:t>
      </w:r>
      <w:r>
        <w:t xml:space="preserve">: dadas 2 cestas factibles, cualquier combinación convexa de ellas también lo es,</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r>
          <m:rPr>
            <m:sty m:val="p"/>
          </m:rPr>
          <m:t>∈</m:t>
        </m:r>
        <m:r>
          <m:t>S</m:t>
        </m:r>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42"/>
    <w:bookmarkStart w:id="51" w:name="preferencias"/>
    <w:p>
      <w:pPr>
        <w:pStyle w:val="Heading4"/>
      </w:pPr>
      <w:r>
        <w:t xml:space="preserve">Preferencias</w:t>
      </w:r>
    </w:p>
    <w:p>
      <w:pPr>
        <w:keepNext/>
        <w:numPr>
          <w:ilvl w:val="0"/>
          <w:numId w:val="1021"/>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(el par</w:t>
      </w:r>
      <w:r>
        <w:t xml:space="preserve"> </w:t>
      </w:r>
      <m:oMath>
        <m:d>
          <m:dPr>
            <m:begChr m:val="("/>
            <m:sepChr m:val=""/>
            <m:endChr m:val=")"/>
            <m:grow/>
          </m:dPr>
          <m:e>
            <m:sSup>
              <m:e>
                <m:acc>
                  <m:accPr>
                    <m:chr m:val="⃗"/>
                  </m:accPr>
                  <m:e>
                    <m:r>
                      <m:t>x</m:t>
                    </m:r>
                  </m:e>
                </m:acc>
              </m:e>
              <m:sup>
                <m:r>
                  <m:t>0</m:t>
                </m:r>
              </m:sup>
            </m:sSup>
            <m:r>
              <m:rPr>
                <m:sty m:val="p"/>
              </m:rPr>
              <m:t>,</m:t>
            </m:r>
            <m:sSup>
              <m:e>
                <m:acc>
                  <m:accPr>
                    <m:chr m:val="⃗"/>
                  </m:accPr>
                  <m:e>
                    <m:r>
                      <m:t>x</m:t>
                    </m:r>
                  </m:e>
                </m:acc>
              </m:e>
              <m:sup>
                <m:r>
                  <m:t>1</m:t>
                </m:r>
              </m:sup>
            </m:sSup>
          </m:e>
        </m:d>
      </m:oMath>
      <w:r>
        <w:t xml:space="preserve"> </w:t>
      </w:r>
      <w:r>
        <w:t xml:space="preserve">pertenece a la relación) para indicar que, para el consumidor,</w:t>
      </w:r>
      <w:r>
        <w:t xml:space="preserve"> </w:t>
      </w:r>
      <m:oMath>
        <m:sSup>
          <m:e>
            <m:acc>
              <m:accPr>
                <m:chr m:val="⃗"/>
              </m:accPr>
              <m:e>
                <m:r>
                  <m:t>x</m:t>
                </m:r>
              </m:e>
            </m:acc>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acc>
              <m:accPr>
                <m:chr m:val="⃗"/>
              </m:accPr>
              <m:e>
                <m:r>
                  <m:t>x</m:t>
                </m:r>
              </m:e>
            </m:acc>
          </m:e>
          <m:sup>
            <m:r>
              <m:t>1</m:t>
            </m:r>
          </m:sup>
        </m:sSup>
      </m:oMath>
      <w:r>
        <w:t xml:space="preserve">. Es la</w:t>
      </w:r>
      <w:r>
        <w:t xml:space="preserve"> </w:t>
      </w:r>
      <w:r>
        <w:rPr>
          <w:b/>
          <w:bCs/>
        </w:rPr>
        <w:t xml:space="preserve">preferencia débil</w:t>
      </w:r>
      <w:r>
        <w:t xml:space="preserve">, la relación primitiva de la teoría.</w:t>
      </w:r>
    </w:p>
    <w:p>
      <w:pPr>
        <w:keepNext/>
        <w:numPr>
          <w:ilvl w:val="1"/>
          <w:numId w:val="1022"/>
        </w:numPr>
      </w:pPr>
      <w:r>
        <w:t xml:space="preserve">De ella se derivan las otras dos:</w:t>
      </w:r>
    </w:p>
    <w:p>
      <w:pPr>
        <w:numPr>
          <w:ilvl w:val="2"/>
          <w:numId w:val="1023"/>
        </w:numPr>
      </w:pPr>
      <w:r>
        <w:rPr>
          <w:b/>
          <w:bCs/>
        </w:rPr>
        <w:t xml:space="preserve">preferencia estricta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acc>
              <m:accPr>
                <m:chr m:val="⃗"/>
              </m:accPr>
              <m:e>
                <m:r>
                  <m:t>x</m:t>
                </m:r>
              </m:e>
            </m:acc>
          </m:e>
          <m:sup>
            <m:r>
              <m:t>1</m:t>
            </m:r>
          </m:sup>
        </m:sSup>
      </m:oMath>
      <w:r>
        <w:t xml:space="preserve">);</w:t>
      </w:r>
    </w:p>
    <w:p>
      <w:pPr>
        <w:numPr>
          <w:ilvl w:val="2"/>
          <w:numId w:val="1023"/>
        </w:numPr>
      </w:pPr>
      <w:r>
        <w:rPr>
          <w:b/>
          <w:bCs/>
        </w:rPr>
        <w:t xml:space="preserve">indiferencia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acc>
              <m:accPr>
                <m:chr m:val="⃗"/>
              </m:accPr>
              <m:e>
                <m:r>
                  <m:t>x</m:t>
                </m:r>
              </m:e>
            </m:acc>
          </m:e>
          <m:sup>
            <m:r>
              <m:t>1</m:t>
            </m:r>
          </m:sup>
        </m:sSup>
      </m:oMath>
      <w:r>
        <w:t xml:space="preserve">).</w:t>
      </w:r>
    </w:p>
    <w:p>
      <w:pPr>
        <w:numPr>
          <w:ilvl w:val="1"/>
          <w:numId w:val="1000"/>
        </w:numPr>
      </w:pPr>
      <w:r>
        <w:t xml:space="preserve">Se escribe también</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keepNext/>
        <w:numPr>
          <w:ilvl w:val="1"/>
          <w:numId w:val="1022"/>
        </w:numPr>
      </w:pPr>
      <w:r>
        <w:t xml:space="preserve">Entre 2 cestas cualesquiera caben 4 casos lógicos (gráfico </w:t>
      </w:r>
      <w:hyperlink w:anchor="fig_preferencias_venn">
        <w:r>
          <w:rPr>
            <w:rStyle w:val="Hyperlink"/>
          </w:rPr>
          <w:t xml:space="preserve">2</w:t>
        </w:r>
      </w:hyperlink>
      <w:r>
        <w:t xml:space="preserve">):</w:t>
      </w:r>
    </w:p>
    <w:p>
      <w:pPr>
        <w:numPr>
          <w:ilvl w:val="2"/>
          <w:numId w:val="1024"/>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4"/>
        </w:numPr>
      </w:pPr>
      <w:r>
        <w:t xml:space="preserve">no</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p>
    <w:p>
      <w:pPr>
        <w:numPr>
          <w:ilvl w:val="2"/>
          <w:numId w:val="1024"/>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4"/>
        </w:numPr>
      </w:pPr>
      <w:r>
        <w:t xml:space="preserve">ni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ni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las cestas no son comparables.</w:t>
      </w:r>
    </w:p>
    <w:p>
      <w:pPr>
        <w:keepNext/>
        <w:numPr>
          <w:ilvl w:val="1"/>
          <w:numId w:val="1022"/>
        </w:numPr>
      </w:pPr>
      <w:r>
        <w:t xml:space="preserve">Para cada cesta</w:t>
      </w:r>
      <w:r>
        <w:t xml:space="preserve"> </w:t>
      </w:r>
      <m:oMath>
        <m:sSup>
          <m:e>
            <m:acc>
              <m:accPr>
                <m:chr m:val="⃗"/>
              </m:accPr>
              <m:e>
                <m:r>
                  <m:t>x</m:t>
                </m:r>
              </m:e>
            </m:acc>
          </m:e>
          <m:sup>
            <m:r>
              <m:t>0</m:t>
            </m:r>
          </m:sup>
        </m:sSup>
      </m:oMath>
      <w:r>
        <w:t xml:space="preserve">, la relación define 3 conjuntos (gráfico </w:t>
      </w:r>
      <w:hyperlink w:anchor="fig_conjuntos_contorno">
        <w:r>
          <w:rPr>
            <w:rStyle w:val="Hyperlink"/>
          </w:rPr>
          <w:t xml:space="preserve">3</w:t>
        </w:r>
      </w:hyperlink>
      <w:r>
        <w:t xml:space="preserve">):</w:t>
      </w:r>
    </w:p>
    <w:p>
      <w:pPr>
        <w:numPr>
          <w:ilvl w:val="2"/>
          <w:numId w:val="1025"/>
        </w:numPr>
      </w:pPr>
      <w:r>
        <w:t xml:space="preserve">el</w:t>
      </w:r>
      <w:r>
        <w:t xml:space="preserve"> </w:t>
      </w:r>
      <w:r>
        <w:rPr>
          <w:b/>
          <w:bCs/>
        </w:rPr>
        <w:t xml:space="preserve">conjunto «al menos tan bueno como»</w:t>
      </w:r>
      <w:r>
        <w:rPr>
          <w:b/>
          <w:bCs/>
        </w:rPr>
        <w:t xml:space="preserve"> </w:t>
      </w:r>
      <m:oMath>
        <m:sSup>
          <m:e>
            <m:acc>
              <m:accPr>
                <m:chr m:val="⃗"/>
              </m:accPr>
              <m:e>
                <m:r>
                  <m:t>x</m:t>
                </m:r>
              </m:e>
            </m:acc>
          </m:e>
          <m:sup>
            <m:r>
              <m:t>0</m:t>
            </m:r>
          </m:sup>
        </m:sSup>
      </m:oMath>
      <w:r>
        <w:t xml:space="preserve"> </w:t>
      </w:r>
      <w:r>
        <w:t xml:space="preserve">o de contorno superior,</w:t>
      </w:r>
      <w:r>
        <w:t xml:space="preserve"> </w:t>
      </w:r>
      <m:oMath>
        <m:r>
          <m:t>B</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w:t>
      </w:r>
    </w:p>
    <w:p>
      <w:pPr>
        <w:numPr>
          <w:ilvl w:val="2"/>
          <w:numId w:val="1025"/>
        </w:numPr>
      </w:pPr>
      <w:r>
        <w:t xml:space="preserve">el</w:t>
      </w:r>
      <w:r>
        <w:t xml:space="preserve"> </w:t>
      </w:r>
      <w:r>
        <w:rPr>
          <w:b/>
          <w:bCs/>
        </w:rPr>
        <w:t xml:space="preserve">conjunto «no mejor que»</w:t>
      </w:r>
      <w:r>
        <w:rPr>
          <w:b/>
          <w:bCs/>
        </w:rPr>
        <w:t xml:space="preserve"> </w:t>
      </w:r>
      <m:oMath>
        <m:sSup>
          <m:e>
            <m:acc>
              <m:accPr>
                <m:chr m:val="⃗"/>
              </m:accPr>
              <m:e>
                <m:r>
                  <m:t>x</m:t>
                </m:r>
              </m:e>
            </m:acc>
          </m:e>
          <m:sup>
            <m:r>
              <m:t>0</m:t>
            </m:r>
          </m:sup>
        </m:sSup>
      </m:oMath>
      <w:r>
        <w:t xml:space="preserve"> </w:t>
      </w:r>
      <w:r>
        <w:t xml:space="preserve">o de contorno inferior,</w:t>
      </w:r>
      <w:r>
        <w:t xml:space="preserve"> </w:t>
      </w:r>
      <m:oMath>
        <m:r>
          <m:t>H</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w:t>
      </w:r>
    </w:p>
    <w:p>
      <w:pPr>
        <w:numPr>
          <w:ilvl w:val="2"/>
          <w:numId w:val="1025"/>
        </w:numPr>
      </w:pPr>
      <w:r>
        <w:t xml:space="preserve">el</w:t>
      </w:r>
      <w:r>
        <w:t xml:space="preserve"> </w:t>
      </w:r>
      <w:r>
        <w:rPr>
          <w:b/>
          <w:bCs/>
        </w:rPr>
        <w:t xml:space="preserve">conjunto de indiferencia</w:t>
      </w:r>
      <w:r>
        <w:t xml:space="preserve"> </w:t>
      </w:r>
      <w:r>
        <w:t xml:space="preserve">de</w:t>
      </w:r>
      <w:r>
        <w:t xml:space="preserve"> </w:t>
      </w:r>
      <m:oMath>
        <m:sSup>
          <m:e>
            <m:acc>
              <m:accPr>
                <m:chr m:val="⃗"/>
              </m:accPr>
              <m:e>
                <m:r>
                  <m:t>x</m:t>
                </m:r>
              </m:e>
            </m:acc>
          </m:e>
          <m:sup>
            <m:r>
              <m:t>0</m:t>
            </m:r>
          </m:sup>
        </m:sSup>
      </m:oMath>
      <w:r>
        <w:t xml:space="preserve">,</w:t>
      </w:r>
      <w:r>
        <w:t xml:space="preserve"> </w:t>
      </w: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t>B</m:t>
        </m:r>
        <m:d>
          <m:dPr>
            <m:begChr m:val="("/>
            <m:sepChr m:val=""/>
            <m:endChr m:val=")"/>
            <m:grow/>
          </m:dPr>
          <m:e>
            <m:sSup>
              <m:e>
                <m:acc>
                  <m:accPr>
                    <m:chr m:val="⃗"/>
                  </m:accPr>
                  <m:e>
                    <m:r>
                      <m:t>x</m:t>
                    </m:r>
                  </m:e>
                </m:acc>
              </m:e>
              <m:sup>
                <m:r>
                  <m:t>0</m:t>
                </m:r>
              </m:sup>
            </m:sSup>
          </m:e>
        </m:d>
        <m:r>
          <m:rPr>
            <m:sty m:val="p"/>
          </m:rPr>
          <m:t>∩</m:t>
        </m:r>
        <m:r>
          <m:t>H</m:t>
        </m:r>
        <m:d>
          <m:dPr>
            <m:begChr m:val="("/>
            <m:sepChr m:val=""/>
            <m:endChr m:val=")"/>
            <m:grow/>
          </m:dPr>
          <m:e>
            <m:sSup>
              <m:e>
                <m:acc>
                  <m:accPr>
                    <m:chr m:val="⃗"/>
                  </m:accPr>
                  <m:e>
                    <m:r>
                      <m:t>x</m:t>
                    </m:r>
                  </m:e>
                </m:acc>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acc>
              <m:accPr>
                <m:chr m:val="⃗"/>
              </m:accPr>
              <m:e>
                <m:r>
                  <m:t>x</m:t>
                </m:r>
              </m:e>
            </m:acc>
          </m:e>
          <m:sup>
            <m:r>
              <m:t>0</m:t>
            </m:r>
          </m:sup>
        </m:sSup>
      </m:oMath>
      <w:r>
        <w:t xml:space="preserve">.</w:t>
      </w:r>
    </w:p>
    <w:bookmarkStart w:id="46" w:name="fig_preferencias_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Gráfico 2.– La relación de preferencia: preferencia débil, indiferencia y preferencia estricta" title="" id="44" name="Picture"/>
            <a:graphic>
              <a:graphicData uri="http://schemas.openxmlformats.org/drawingml/2006/picture">
                <pic:pic>
                  <pic:nvPicPr>
                    <pic:cNvPr descr="C:\Users\vgutierrez\Documents\src\victorgutierrezmarcos.github.io-revision\oposicion\temario\fuentes\3A08\graficos/preferencias-venn.png" id="45" name="Picture"/>
                    <pic:cNvPicPr>
                      <a:picLocks noChangeArrowheads="1" noChangeAspect="1"/>
                    </pic:cNvPicPr>
                  </pic:nvPicPr>
                  <pic:blipFill>
                    <a:blip r:embed="rId43"/>
                    <a:stretch>
                      <a:fillRect/>
                    </a:stretch>
                  </pic:blipFill>
                  <pic:spPr bwMode="auto">
                    <a:xfrm>
                      <a:off x="0" y="0"/>
                      <a:ext cx="3003146" cy="1703414"/>
                    </a:xfrm>
                    <a:prstGeom prst="rect">
                      <a:avLst/>
                    </a:prstGeom>
                    <a:noFill/>
                    <a:ln w="9525">
                      <a:noFill/>
                      <a:headEnd/>
                      <a:tailEnd/>
                    </a:ln>
                  </pic:spPr>
                </pic:pic>
              </a:graphicData>
            </a:graphic>
          </wp:inline>
        </w:drawing>
      </w:r>
    </w:p>
    <w:bookmarkEnd w:id="46"/>
    <w:p>
      <w:pPr>
        <w:pStyle w:val="Piedeimagen"/>
      </w:pPr>
      <w:r>
        <w:t xml:space="preserve">Fuente: elaboración propia basada en</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bookmarkStart w:id="50" w:name="fig_conjuntos_contorno"/>
    <w:p>
      <w:pPr>
        <w:pStyle w:val="ImageCaption"/>
      </w:pPr>
      <w:r>
        <w:t xml:space="preserve">Gráfico 3.–</w:t>
      </w:r>
      <w:r>
        <w:t xml:space="preserve"> </w:t>
      </w:r>
      <w:r>
        <w:t xml:space="preserve">Conjuntos «al menos tan bueno como»</w:t>
      </w:r>
      <w:r>
        <w:t xml:space="preserve"> </w:t>
      </w:r>
      <m:oMath>
        <m:sSup>
          <m:e>
            <m:acc>
              <m:accPr>
                <m:chr m:val="⃗"/>
              </m:accPr>
              <m:e>
                <m:r>
                  <m:t>x</m:t>
                </m:r>
              </m:e>
            </m:acc>
          </m:e>
          <m:sup>
            <m:r>
              <m:t>0</m:t>
            </m:r>
          </m:sup>
        </m:sSup>
      </m:oMath>
      <w:r>
        <w:t xml:space="preserve">, «no mejor que»</w:t>
      </w:r>
      <w:r>
        <w:t xml:space="preserve"> </w:t>
      </w:r>
      <m:oMath>
        <m:sSup>
          <m:e>
            <m:acc>
              <m:accPr>
                <m:chr m:val="⃗"/>
              </m:accPr>
              <m:e>
                <m:r>
                  <m:t>x</m:t>
                </m:r>
              </m:e>
            </m:acc>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Gráfico 3.– Conjuntos «al menos tan bueno como» \vec{x}^0, «no mejor que» \vec{x}^0 e indiferencia: la curva de indiferencia es su frontera común" title="" id="48" name="Picture"/>
            <a:graphic>
              <a:graphicData uri="http://schemas.openxmlformats.org/drawingml/2006/picture">
                <pic:pic>
                  <pic:nvPicPr>
                    <pic:cNvPr descr="C:\Users\vgutierrez\Documents\src\victorgutierrezmarcos.github.io-revision\oposicion\temario\fuentes\3A08\graficos/conjuntos-contorno.png" id="49" name="Picture"/>
                    <pic:cNvPicPr>
                      <a:picLocks noChangeArrowheads="1" noChangeAspect="1"/>
                    </pic:cNvPicPr>
                  </pic:nvPicPr>
                  <pic:blipFill>
                    <a:blip r:embed="rId47"/>
                    <a:stretch>
                      <a:fillRect/>
                    </a:stretch>
                  </pic:blipFill>
                  <pic:spPr bwMode="auto">
                    <a:xfrm>
                      <a:off x="0" y="0"/>
                      <a:ext cx="3431293" cy="2440438"/>
                    </a:xfrm>
                    <a:prstGeom prst="rect">
                      <a:avLst/>
                    </a:prstGeom>
                    <a:noFill/>
                    <a:ln w="9525">
                      <a:noFill/>
                      <a:headEnd/>
                      <a:tailEnd/>
                    </a:ln>
                  </pic:spPr>
                </pic:pic>
              </a:graphicData>
            </a:graphic>
          </wp:inline>
        </w:drawing>
      </w:r>
    </w:p>
    <w:bookmarkEnd w:id="5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3.B</w:t>
        </w:r>
      </w:hyperlink>
      <w:r>
        <w:t xml:space="preserve">)</w:t>
      </w:r>
      <w:r>
        <w:t xml:space="preserve">.</w:t>
      </w:r>
    </w:p>
    <w:bookmarkEnd w:id="51"/>
    <w:bookmarkStart w:id="56" w:name="axiomas_sobre_las_preferencias"/>
    <w:p>
      <w:pPr>
        <w:pStyle w:val="Heading4"/>
      </w:pPr>
      <w:r>
        <w:t xml:space="preserve">Axiomas sobre las preferencias</w:t>
      </w:r>
    </w:p>
    <w:p>
      <w:pPr>
        <w:keepNext/>
        <w:numPr>
          <w:ilvl w:val="0"/>
          <w:numId w:val="1026"/>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3</w:t>
        </w:r>
      </w:hyperlink>
      <w:r>
        <w:t xml:space="preserve">)</w:t>
      </w:r>
      <w:r>
        <w:t xml:space="preserve">. No todos hacen falta para lo mismo (gráfico </w:t>
      </w:r>
      <w:hyperlink w:anchor="fig_esquema_axiomas">
        <w:r>
          <w:rPr>
            <w:rStyle w:val="Hyperlink"/>
          </w:rPr>
          <w:t xml:space="preserve">4</w:t>
        </w:r>
      </w:hyperlink>
      <w:r>
        <w:t xml:space="preserve">, que resume también qué garantiza cada uno):</w:t>
      </w:r>
    </w:p>
    <w:p>
      <w:pPr>
        <w:numPr>
          <w:ilvl w:val="1"/>
          <w:numId w:val="1027"/>
        </w:numPr>
      </w:pPr>
      <w:r>
        <w:t xml:space="preserve">los 3 primeros (completitud, reflexividad y transitividad) comprenden la esencia de la</w:t>
      </w:r>
      <w:r>
        <w:t xml:space="preserve"> </w:t>
      </w:r>
      <w:r>
        <w:rPr>
          <w:i/>
          <w:iCs/>
        </w:rPr>
        <w:t xml:space="preserve">racionalidad</w:t>
      </w:r>
      <w:r>
        <w:t xml:space="preserve">;</w:t>
      </w:r>
    </w:p>
    <w:p>
      <w:pPr>
        <w:numPr>
          <w:ilvl w:val="1"/>
          <w:numId w:val="1027"/>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7"/>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hyperlink r:id="rId30">
        <w:r>
          <w:rPr>
            <w:rStyle w:val="Referenciaatema"/>
          </w:rPr>
          <w:t xml:space="preserve">[ver tema 3.A.9]</w:t>
        </w:r>
      </w:hyperlink>
      <w:r>
        <w:t xml:space="preserve">;</w:t>
      </w:r>
    </w:p>
    <w:p>
      <w:pPr>
        <w:numPr>
          <w:ilvl w:val="1"/>
          <w:numId w:val="1027"/>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55" w:name="fig_esquema_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Gráfico 4.– Axiomas sobre las preferencias: qué garantiza cada uno y cómo se agrupan según su papel" title="" id="53" name="Picture"/>
            <a:graphic>
              <a:graphicData uri="http://schemas.openxmlformats.org/drawingml/2006/picture">
                <pic:pic>
                  <pic:nvPicPr>
                    <pic:cNvPr descr="C:\Users\vgutierrez\Documents\src\victorgutierrezmarcos.github.io-revision\oposicion\temario\fuentes\3A08\graficos/esquema-axiomas.png" id="54" name="Picture"/>
                    <pic:cNvPicPr>
                      <a:picLocks noChangeArrowheads="1" noChangeAspect="1"/>
                    </pic:cNvPicPr>
                  </pic:nvPicPr>
                  <pic:blipFill>
                    <a:blip r:embed="rId52"/>
                    <a:stretch>
                      <a:fillRect/>
                    </a:stretch>
                  </pic:blipFill>
                  <pic:spPr bwMode="auto">
                    <a:xfrm>
                      <a:off x="0" y="0"/>
                      <a:ext cx="5969000" cy="1845118"/>
                    </a:xfrm>
                    <a:prstGeom prst="rect">
                      <a:avLst/>
                    </a:prstGeom>
                    <a:noFill/>
                    <a:ln w="9525">
                      <a:noFill/>
                      <a:headEnd/>
                      <a:tailEnd/>
                    </a:ln>
                  </pic:spPr>
                </pic:pic>
              </a:graphicData>
            </a:graphic>
          </wp:inline>
        </w:drawing>
      </w:r>
    </w:p>
    <w:bookmarkEnd w:id="55"/>
    <w:p>
      <w:pPr>
        <w:pStyle w:val="Piedeimagen"/>
      </w:pPr>
      <w:r>
        <w:t xml:space="preserve">Fuente: elaboración propia basada en</w:t>
      </w:r>
      <w:r>
        <w:t xml:space="preserve"> </w:t>
      </w:r>
      <w:r>
        <w:rPr>
          <w:smallCaps/>
        </w:rPr>
        <w:t xml:space="preserve">Debreu</w:t>
      </w:r>
      <w:r>
        <w:t xml:space="preserve"> </w:t>
      </w:r>
      <w:r>
        <w:t xml:space="preserve">(</w:t>
      </w:r>
      <w:hyperlink w:anchor="ref_Debreu1959Theory">
        <w:r>
          <w:rPr>
            <w:rStyle w:val="Hyperlink"/>
          </w:rPr>
          <w:t xml:space="preserve">1959, cap. 4</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w:t>
      </w:r>
    </w:p>
    <w:bookmarkEnd w:id="56"/>
    <w:bookmarkStart w:id="63" w:name="axiomas_de_preorden_completo_racio_25791"/>
    <w:p>
      <w:pPr>
        <w:pStyle w:val="Heading4"/>
      </w:pPr>
      <w:r>
        <w:t xml:space="preserve">Axiomas de preorden completo (racionalidad)</w:t>
      </w:r>
    </w:p>
    <w:p>
      <w:pPr>
        <w:numPr>
          <w:ilvl w:val="0"/>
          <w:numId w:val="1028"/>
        </w:numPr>
      </w:pPr>
      <w:r>
        <w:rPr>
          <w:b/>
          <w:bCs/>
        </w:rPr>
        <w:t xml:space="preserve">Completitud</w:t>
      </w:r>
      <w:r>
        <w:t xml:space="preserve">: ante 2 cestas cualesquiera, el consumidor siempre es capaz de compararlas:</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Descarta el caso de cestas no comparables.</w:t>
      </w:r>
      <w:r>
        <w:rPr>
          <w:rStyle w:val="FootnoteReference"/>
        </w:rPr>
        <w:footnoteReference w:id="57"/>
      </w:r>
    </w:p>
    <w:p>
      <w:pPr>
        <w:numPr>
          <w:ilvl w:val="0"/>
          <w:numId w:val="1028"/>
        </w:numPr>
      </w:pPr>
      <w:r>
        <w:rPr>
          <w:b/>
          <w:bCs/>
        </w:rPr>
        <w:t xml:space="preserve">Reflexividad</w:t>
      </w:r>
      <w:r>
        <w:t xml:space="preserve">:</w:t>
      </w:r>
      <w:r>
        <w:rPr>
          <w:rStyle w:val="FootnoteReference"/>
        </w:rPr>
        <w:footnoteReference w:id="58"/>
      </w:r>
      <w:r>
        <w:t xml:space="preserve"> </w:t>
      </w:r>
      <w:r>
        <w:t xml:space="preserve">toda cesta es al menos tan buena como sí misma:</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La indiferencia es reflexiva, pero la preferencia estricta no lo es.</w:t>
      </w:r>
      <w:r>
        <w:rPr>
          <w:rStyle w:val="FootnoteReference"/>
        </w:rPr>
        <w:footnoteReference w:id="59"/>
      </w:r>
    </w:p>
    <w:p>
      <w:pPr>
        <w:numPr>
          <w:ilvl w:val="0"/>
          <w:numId w:val="1028"/>
        </w:numPr>
      </w:pPr>
      <w:r>
        <w:rPr>
          <w:b/>
          <w:bCs/>
        </w:rPr>
        <w:t xml:space="preserve">Transitividad</w:t>
      </w:r>
      <w:r>
        <w:t xml:space="preserve">:</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60"/>
      </w:r>
    </w:p>
    <w:p>
      <w:pPr>
        <w:keepNext/>
        <w:numPr>
          <w:ilvl w:val="0"/>
          <w:numId w:val="1030"/>
        </w:numPr>
      </w:pPr>
      <w:r>
        <w:t xml:space="preserve">Estos 3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62"/>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31"/>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31"/>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acc>
              <m:accPr>
                <m:chr m:val="⃗"/>
              </m:accPr>
              <m:e>
                <m:r>
                  <m:t>x</m:t>
                </m:r>
              </m:e>
            </m:acc>
          </m:e>
          <m:sup>
            <m:r>
              <m:t>0</m:t>
            </m:r>
          </m:sup>
        </m:sSup>
        <m:r>
          <m:rPr>
            <m:sty m:val="p"/>
          </m:rPr>
          <m:t>∈</m:t>
        </m:r>
        <m:r>
          <m:t>I</m:t>
        </m:r>
        <m:d>
          <m:dPr>
            <m:begChr m:val="("/>
            <m:sepChr m:val=""/>
            <m:endChr m:val=")"/>
            <m:grow/>
          </m:dPr>
          <m:e>
            <m:sSup>
              <m:e>
                <m:acc>
                  <m:accPr>
                    <m:chr m:val="⃗"/>
                  </m:accPr>
                  <m:e>
                    <m:r>
                      <m:t>x</m:t>
                    </m:r>
                  </m:e>
                </m:acc>
              </m:e>
              <m:sup>
                <m:r>
                  <m:t>0</m:t>
                </m:r>
              </m:sup>
            </m:sSup>
          </m:e>
        </m:d>
      </m:oMath>
      <w:r>
        <w:t xml:space="preserve">) y cada cesta pertenece a</w:t>
      </w:r>
      <w:r>
        <w:t xml:space="preserve"> </w:t>
      </w:r>
      <w:r>
        <w:rPr>
          <w:i/>
          <w:iCs/>
        </w:rPr>
        <w:t xml:space="preserve">uno solo</w:t>
      </w:r>
      <w:r>
        <w:t xml:space="preserve"> </w:t>
      </w:r>
      <w:r>
        <w:t xml:space="preserve">de ellos (transitividad: si 2 conjuntos de indiferencia compartieran una cesta, serían el mismo). Los conjuntos de indiferencia no se cortan y quedan ordenados entre sí, que es lo que permitirá representarlos con curvas de indiferencia y numerarlos con una función de utilidad (gráfico </w:t>
      </w:r>
      <w:hyperlink w:anchor="fig_axiomas_curva_indiferencia">
        <w:r>
          <w:rPr>
            <w:rStyle w:val="Hyperlink"/>
          </w:rPr>
          <w:t xml:space="preserve">5</w:t>
        </w:r>
      </w:hyperlink>
      <w:r>
        <w:t xml:space="preserve">, panel de los axiomas 1-3).</w:t>
      </w:r>
    </w:p>
    <w:bookmarkEnd w:id="63"/>
    <w:bookmarkStart w:id="74" w:name="axiomas_de_regularidad"/>
    <w:p>
      <w:pPr>
        <w:pStyle w:val="Heading4"/>
      </w:pPr>
      <w:r>
        <w:t xml:space="preserve">Axiomas de regularidad</w:t>
      </w:r>
    </w:p>
    <w:p>
      <w:pPr>
        <w:numPr>
          <w:ilvl w:val="0"/>
          <w:numId w:val="1032"/>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64"/>
      </w:r>
    </w:p>
    <w:p>
      <w:pPr>
        <w:keepNext/>
        <w:numPr>
          <w:ilvl w:val="0"/>
          <w:numId w:val="1033"/>
        </w:numPr>
      </w:pPr>
      <w:r>
        <w:rPr>
          <w:b/>
          <w:bCs/>
        </w:rPr>
        <w:t xml:space="preserve">Continuidad</w:t>
      </w:r>
      <w:r>
        <w:t xml:space="preserve">: para toda cesta</w:t>
      </w:r>
      <w:r>
        <w:t xml:space="preserve"> </w:t>
      </w:r>
      <m:oMath>
        <m:sSup>
          <m:e>
            <m:acc>
              <m:accPr>
                <m:chr m:val="⃗"/>
              </m:accPr>
              <m:e>
                <m:r>
                  <m:t>x</m:t>
                </m:r>
              </m:e>
            </m:acc>
          </m:e>
          <m:sup>
            <m:r>
              <m:t>0</m:t>
            </m:r>
          </m:sup>
        </m:sSup>
      </m:oMath>
      <w:r>
        <w:t xml:space="preserve">, los conjuntos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 inferior</w:t>
      </w:r>
      <w:r>
        <w:t xml:space="preserve"> </w:t>
      </w:r>
      <m:oMath>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 </w:t>
      </w:r>
      <w:r>
        <w:t xml:space="preserve">son cerrados. Intuitivamente, no hay «saltos» en las preferencias: si</w:t>
      </w:r>
      <w:r>
        <w:t xml:space="preserve"> </w:t>
      </w:r>
      <m:oMath>
        <m:acc>
          <m:accPr>
            <m:chr m:val="⃗"/>
          </m:accPr>
          <m:e>
            <m:r>
              <m:t>x</m:t>
            </m:r>
          </m:e>
        </m:acc>
        <m:r>
          <m:rPr>
            <m:sty m:val="p"/>
          </m:rPr>
          <m:t>≻</m:t>
        </m:r>
        <m:acc>
          <m:accPr>
            <m:chr m:val="⃗"/>
          </m:accPr>
          <m:e>
            <m:r>
              <m:t>y</m:t>
            </m:r>
          </m:e>
        </m:acc>
      </m:oMath>
      <w:r>
        <w:t xml:space="preserve">, las cestas suficientemente próximas a</w:t>
      </w:r>
      <w:r>
        <w:t xml:space="preserve"> </w:t>
      </w:r>
      <m:oMath>
        <m:acc>
          <m:accPr>
            <m:chr m:val="⃗"/>
          </m:accPr>
          <m:e>
            <m:r>
              <m:t>x</m:t>
            </m:r>
          </m:e>
        </m:acc>
      </m:oMath>
      <w:r>
        <w:t xml:space="preserve"> </w:t>
      </w:r>
      <w:r>
        <w:t xml:space="preserve">siguen siendo preferidas a</w:t>
      </w:r>
      <w:r>
        <w:t xml:space="preserve"> </w:t>
      </w:r>
      <m:oMath>
        <m:acc>
          <m:accPr>
            <m:chr m:val="⃗"/>
          </m:accPr>
          <m:e>
            <m:r>
              <m:t>y</m:t>
            </m:r>
          </m:e>
        </m:acc>
      </m:oMath>
      <w:r>
        <w:t xml:space="preserve">.</w:t>
      </w:r>
    </w:p>
    <w:p>
      <w:pPr>
        <w:numPr>
          <w:ilvl w:val="1"/>
          <w:numId w:val="1034"/>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Basta con estos 4 axiomas: la monotonía, la convexidad y la diferenciabilidad no hacen falta para que la función exista.</w:t>
      </w:r>
      <w:r>
        <w:rPr>
          <w:rStyle w:val="FootnoteReference"/>
        </w:rPr>
        <w:footnoteReference w:id="65"/>
      </w:r>
      <w:r>
        <w:t xml:space="preserve"> </w:t>
      </w:r>
      <w:r>
        <w:t xml:space="preserve">Las preferencias lexicográficas cumplen el preorden completo, pero no la continuidad, y no pueden representarse con ninguna función de utilidad.</w:t>
      </w:r>
      <w:r>
        <w:rPr>
          <w:rStyle w:val="FootnoteReference"/>
        </w:rPr>
        <w:footnoteReference w:id="66"/>
      </w:r>
    </w:p>
    <w:p>
      <w:pPr>
        <w:keepNext/>
        <w:numPr>
          <w:ilvl w:val="0"/>
          <w:numId w:val="1033"/>
        </w:numPr>
      </w:pPr>
      <w:r>
        <w:rPr>
          <w:b/>
          <w:bCs/>
        </w:rPr>
        <w:t xml:space="preserve">Deseabilidad</w:t>
      </w:r>
      <w:r>
        <w:t xml:space="preserve">: expresa la preferencia del consumidor por la cantidad. Tiene varios grados; de más general a más exigente:</w:t>
      </w:r>
    </w:p>
    <w:p>
      <w:pPr>
        <w:numPr>
          <w:ilvl w:val="1"/>
          <w:numId w:val="1035"/>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5"/>
        </w:numPr>
      </w:pPr>
      <w:r>
        <w:rPr>
          <w:i/>
          <w:iCs/>
        </w:rPr>
        <w:t xml:space="preserve">Insaciabilidad local</w:t>
      </w:r>
      <w:r>
        <w:t xml:space="preserve">: para toda cesta</w:t>
      </w:r>
      <w:r>
        <w:t xml:space="preserve"> </w:t>
      </w:r>
      <m:oMath>
        <m:acc>
          <m:accPr>
            <m:chr m:val="⃗"/>
          </m:accPr>
          <m:e>
            <m:r>
              <m:t>x</m:t>
            </m:r>
          </m:e>
        </m:acc>
      </m:oMath>
      <w:r>
        <w:t xml:space="preserve"> </w:t>
      </w:r>
      <w:r>
        <w:t xml:space="preserve">y todo entorno de</w:t>
      </w:r>
      <w:r>
        <w:t xml:space="preserve"> </w:t>
      </w:r>
      <m:oMath>
        <m:acc>
          <m:accPr>
            <m:chr m:val="⃗"/>
          </m:accPr>
          <m:e>
            <m:r>
              <m:t>x</m:t>
            </m:r>
          </m:e>
        </m:acc>
      </m:oMath>
      <w:r>
        <w:t xml:space="preserve">, por pequeño que sea, existe en él una cesta</w:t>
      </w:r>
      <w:r>
        <w:t xml:space="preserve"> </w:t>
      </w:r>
      <m:oMath>
        <m:acc>
          <m:accPr>
            <m:chr m:val="⃗"/>
          </m:accPr>
          <m:e>
            <m:r>
              <m:t>y</m:t>
            </m:r>
          </m:e>
        </m:acc>
        <m:r>
          <m:rPr>
            <m:sty m:val="p"/>
          </m:rPr>
          <m:t>≻</m:t>
        </m:r>
        <m:acc>
          <m:accPr>
            <m:chr m:val="⃗"/>
          </m:accPr>
          <m:e>
            <m:r>
              <m:t>x</m:t>
            </m:r>
          </m:e>
        </m:acc>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5"/>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Implica la insaciabilidad local; las curvas de indiferencia son no crecientes (pueden tener tramos horizontales o verticales) y las mejores están al nordeste.</w:t>
      </w:r>
    </w:p>
    <w:p>
      <w:pPr>
        <w:numPr>
          <w:ilvl w:val="1"/>
          <w:numId w:val="1035"/>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acc>
          <m:accPr>
            <m:chr m:val="⃗"/>
          </m:accPr>
          <m:e>
            <m:r>
              <m:t>x</m:t>
            </m:r>
          </m:e>
        </m:acc>
        <m:r>
          <m:rPr>
            <m:sty m:val="p"/>
          </m:rPr>
          <m:t>≥</m:t>
        </m:r>
        <m:acc>
          <m:accPr>
            <m:chr m:val="⃗"/>
          </m:accPr>
          <m:e>
            <m:r>
              <m:t>y</m:t>
            </m:r>
          </m:e>
        </m:acc>
      </m:oMath>
      <w:r>
        <w:t xml:space="preserve">,</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Las curvas de indiferencia son</w:t>
      </w:r>
      <w:r>
        <w:t xml:space="preserve"> </w:t>
      </w:r>
      <w:r>
        <w:rPr>
          <w:i/>
          <w:iCs/>
        </w:rPr>
        <w:t xml:space="preserve">estrictamente decrecientes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3"/>
        </w:numPr>
      </w:pPr>
      <w:r>
        <w:rPr>
          <w:b/>
          <w:bCs/>
        </w:rPr>
        <w:t xml:space="preserve">Convexidad</w:t>
      </w:r>
      <w:r>
        <w:t xml:space="preserve">: el conjunto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es convexo; es decir,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2</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67"/>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9"/>
      </w:r>
    </w:p>
    <w:p>
      <w:pPr>
        <w:numPr>
          <w:ilvl w:val="0"/>
          <w:numId w:val="1033"/>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keepLines/>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2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73" w:name="fig_axiomas_curva_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50814"/>
            <wp:effectExtent b="0" l="0" r="0" t="0"/>
            <wp:docPr descr="Gráfico 5.– Lo que garantiza cada axioma sobre los conjuntos de indiferencia: los axiomas 1-4 bastan para que exista la función de utilidad; 5 y 6 le dan sus propiedades, y 6' y 7 simplifican" title="" id="71" name="Picture"/>
            <a:graphic>
              <a:graphicData uri="http://schemas.openxmlformats.org/drawingml/2006/picture">
                <pic:pic>
                  <pic:nvPicPr>
                    <pic:cNvPr descr="C:\Users\vgutierrez\Documents\src\victorgutierrezmarcos.github.io-revision\oposicion\temario\fuentes\3A08\graficos/axiomas-curva-indiferencia.png" id="72" name="Picture"/>
                    <pic:cNvPicPr>
                      <a:picLocks noChangeArrowheads="1" noChangeAspect="1"/>
                    </pic:cNvPicPr>
                  </pic:nvPicPr>
                  <pic:blipFill>
                    <a:blip r:embed="rId70"/>
                    <a:stretch>
                      <a:fillRect/>
                    </a:stretch>
                  </pic:blipFill>
                  <pic:spPr bwMode="auto">
                    <a:xfrm>
                      <a:off x="0" y="0"/>
                      <a:ext cx="5073650" cy="3950814"/>
                    </a:xfrm>
                    <a:prstGeom prst="rect">
                      <a:avLst/>
                    </a:prstGeom>
                    <a:noFill/>
                    <a:ln w="9525">
                      <a:noFill/>
                      <a:headEnd/>
                      <a:tailEnd/>
                    </a:ln>
                  </pic:spPr>
                </pic:pic>
              </a:graphicData>
            </a:graphic>
          </wp:inline>
        </w:drawing>
      </w:r>
    </w:p>
    <w:bookmarkEnd w:id="73"/>
    <w:p>
      <w:pPr>
        <w:pStyle w:val="Piedeimagen"/>
      </w:pPr>
      <w:r>
        <w:t xml:space="preserve">Fuente: elaboración propia basada en</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36"/>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74"/>
    <w:bookmarkStart w:id="89" w:name="funci__n_de_utilidad"/>
    <w:p>
      <w:pPr>
        <w:pStyle w:val="Heading4"/>
      </w:pPr>
      <w:r>
        <w:t xml:space="preserve">Función de utilidad</w:t>
      </w:r>
    </w:p>
    <w:p>
      <w:pPr>
        <w:keepNext/>
        <w:numPr>
          <w:ilvl w:val="0"/>
          <w:numId w:val="1037"/>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75"/>
      </w:r>
    </w:p>
    <w:p>
      <w:pPr>
        <w:numPr>
          <w:ilvl w:val="1"/>
          <w:numId w:val="1038"/>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1"/>
          <w:numId w:val="1038"/>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7"/>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76"/>
      </w:r>
      <w:r>
        <w:t xml:space="preserve"> </w:t>
      </w:r>
      <w:bookmarkStart w:id="77" w:name="eq_representacion"/>
      <w:bookmarkEnd w:id="77"/>
    </w:p>
    <w:p>
      <w:pPr>
        <w:pStyle w:val="BodyText"/>
        <w:keepNext/>
      </w:pPr>
      <m:oMathPara>
        <m:oMathParaPr>
          <m:jc m:val="center"/>
        </m:oMathParaPr>
        <m:oMath>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r>
            <m:rPr>
              <m:sty m:val="p"/>
            </m:rPr>
            <m:t>:</m:t>
          </m:r>
          <m:r>
            <m:t> </m:t>
          </m:r>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r>
            <m:rPr>
              <m:sty m:val="p"/>
            </m:rPr>
            <m:t>.</m:t>
          </m:r>
        </m:oMath>
      </m:oMathPara>
    </w:p>
    <w:p>
      <w:pPr>
        <w:numPr>
          <w:ilvl w:val="1"/>
          <w:numId w:val="1039"/>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y un número mayor a los conjuntos mejores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&gt;</m:t>
        </m:r>
        <m:r>
          <m:t>U</m:t>
        </m:r>
        <m:d>
          <m:dPr>
            <m:begChr m:val="("/>
            <m:sepChr m:val=""/>
            <m:endChr m:val=")"/>
            <m:grow/>
          </m:dPr>
          <m:e>
            <m:sSup>
              <m:e>
                <m:acc>
                  <m:accPr>
                    <m:chr m:val="⃗"/>
                  </m:accPr>
                  <m:e>
                    <m:r>
                      <m:t>x</m:t>
                    </m:r>
                  </m:e>
                </m:acc>
              </m:e>
              <m:sup>
                <m:r>
                  <m:t>2</m:t>
                </m:r>
              </m:sup>
            </m:sSup>
          </m:e>
        </m:d>
      </m:oMath>
      <w:r>
        <w:t xml:space="preserve">). El número en sí no mide nada: solo indica el lugar de la cesta en la ordenación.</w:t>
      </w:r>
    </w:p>
    <w:p>
      <w:pPr>
        <w:numPr>
          <w:ilvl w:val="1"/>
          <w:numId w:val="1039"/>
        </w:numPr>
      </w:pPr>
      <w:r>
        <w:rPr>
          <w:i/>
          <w:iCs/>
        </w:rPr>
        <w:t xml:space="preserve">Cómo se obtiene</w:t>
      </w:r>
      <w:r>
        <w:t xml:space="preserve"> </w:t>
      </w:r>
      <w:r>
        <w:t xml:space="preserve">con preferencias monótonas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3.C.1)</w:t>
      </w:r>
      <w:r>
        <w:t xml:space="preserve">: se traza la diagonal</w:t>
      </w:r>
      <w:r>
        <w:t xml:space="preserve"> </w:t>
      </w:r>
      <m:oMath>
        <m:r>
          <m:rPr>
            <m:sty m:val="p"/>
          </m:rPr>
          <m:t>{</m:t>
        </m:r>
        <m:r>
          <m:t>α</m:t>
        </m:r>
        <m:acc>
          <m:accPr>
            <m:chr m:val="⃗"/>
          </m:accPr>
          <m:e>
            <m:r>
              <m:t>e</m:t>
            </m:r>
          </m:e>
        </m:acc>
        <m:r>
          <m:rPr>
            <m:sty m:val="p"/>
          </m:rPr>
          <m:t>:</m:t>
        </m:r>
        <m:r>
          <m:t>α</m:t>
        </m:r>
        <m:r>
          <m:rPr>
            <m:sty m:val="p"/>
          </m:rPr>
          <m:t>≥</m:t>
        </m:r>
        <m:r>
          <m:t>0</m:t>
        </m:r>
        <m:r>
          <m:rPr>
            <m:sty m:val="p"/>
          </m:rPr>
          <m:t>}</m:t>
        </m:r>
      </m:oMath>
      <w:r>
        <w:t xml:space="preserve">, con</w:t>
      </w:r>
      <w:r>
        <w:t xml:space="preserve"> </w:t>
      </w:r>
      <m:oMath>
        <m:acc>
          <m:accPr>
            <m:chr m:val="⃗"/>
          </m:accPr>
          <m:e>
            <m:r>
              <m:t>e</m:t>
            </m:r>
          </m:e>
        </m:acc>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acc>
              <m:accPr>
                <m:chr m:val="⃗"/>
              </m:accPr>
              <m:e>
                <m:r>
                  <m:t>x</m:t>
                </m:r>
              </m:e>
            </m:acc>
          </m:e>
        </m:d>
        <m:r>
          <m:t> </m:t>
        </m:r>
        <m:acc>
          <m:accPr>
            <m:chr m:val="⃗"/>
          </m:accPr>
          <m:e>
            <m:r>
              <m:t>e</m:t>
            </m:r>
          </m:e>
        </m:acc>
        <m:r>
          <m:rPr>
            <m:sty m:val="p"/>
          </m:rPr>
          <m:t>∼</m:t>
        </m:r>
        <m:acc>
          <m:accPr>
            <m:chr m:val="⃗"/>
          </m:accPr>
          <m:e>
            <m:r>
              <m:t>x</m:t>
            </m:r>
          </m:e>
        </m:acc>
      </m:oMath>
      <w:r>
        <w:t xml:space="preserve">, y basta tomar</w:t>
      </w:r>
      <w:r>
        <w:t xml:space="preserve"> </w:t>
      </w:r>
      <m:oMath>
        <m:r>
          <m:t>U</m:t>
        </m:r>
        <m:d>
          <m:dPr>
            <m:begChr m:val="("/>
            <m:sepChr m:val=""/>
            <m:endChr m:val=")"/>
            <m:grow/>
          </m:dPr>
          <m:e>
            <m:acc>
              <m:accPr>
                <m:chr m:val="⃗"/>
              </m:accPr>
              <m:e>
                <m:r>
                  <m:t>x</m:t>
                </m:r>
              </m:e>
            </m:acc>
          </m:e>
        </m:d>
        <m:r>
          <m:rPr>
            <m:sty m:val="p"/>
          </m:rPr>
          <m:t>=</m:t>
        </m:r>
        <m:r>
          <m:t>α</m:t>
        </m:r>
        <m:d>
          <m:dPr>
            <m:begChr m:val="("/>
            <m:sepChr m:val=""/>
            <m:endChr m:val=")"/>
            <m:grow/>
          </m:dPr>
          <m:e>
            <m:acc>
              <m:accPr>
                <m:chr m:val="⃗"/>
              </m:accPr>
              <m:e>
                <m:r>
                  <m:t>x</m:t>
                </m:r>
              </m:e>
            </m:acc>
          </m:e>
        </m:d>
      </m:oMath>
      <w:r>
        <w:t xml:space="preserve">: a cada cesta se le asigna la cantidad de cada bien de la cesta de la diagonal que le es indiferente.</w:t>
      </w:r>
    </w:p>
    <w:p>
      <w:pPr>
        <w:numPr>
          <w:ilvl w:val="1"/>
          <w:numId w:val="1039"/>
        </w:numPr>
      </w:pPr>
      <w:r>
        <w:rPr>
          <w:i/>
          <w:iCs/>
        </w:rPr>
        <w:t xml:space="preserve">Gráficamente</w:t>
      </w:r>
      <w:r>
        <w:t xml:space="preserve"> </w:t>
      </w:r>
      <w:r>
        <w:t xml:space="preserve">(gráfico </w:t>
      </w:r>
      <w:hyperlink w:anchor="fig_superficie_utilidad">
        <w:r>
          <w:rPr>
            <w:rStyle w:val="Hyperlink"/>
          </w:rPr>
          <w:t xml:space="preserve">6</w:t>
        </w:r>
      </w:hyperlink>
      <w:r>
        <w:t xml:space="preserve">), con 2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81" w:name="fig_superficie_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92813" cy="2660628"/>
            <wp:effectExtent b="0" l="0" r="0" t="0"/>
            <wp:docPr descr="Gráfico 6.– Superficie de utilidad U(x_1,x_2)=\sqrt{x_1x_2} cortada a los niveles U=1,2,3 y su proyección en el plano: el mapa de curvas de indiferencia" title="" id="79" name="Picture"/>
            <a:graphic>
              <a:graphicData uri="http://schemas.openxmlformats.org/drawingml/2006/picture">
                <pic:pic>
                  <pic:nvPicPr>
                    <pic:cNvPr descr="C:\Users\vgutierrez\Documents\src\victorgutierrezmarcos.github.io-revision\oposicion\temario\fuentes\3A08\graficos/superficie-utilidad.png" id="80" name="Picture"/>
                    <pic:cNvPicPr>
                      <a:picLocks noChangeArrowheads="1" noChangeAspect="1"/>
                    </pic:cNvPicPr>
                  </pic:nvPicPr>
                  <pic:blipFill>
                    <a:blip r:embed="rId78"/>
                    <a:stretch>
                      <a:fillRect/>
                    </a:stretch>
                  </pic:blipFill>
                  <pic:spPr bwMode="auto">
                    <a:xfrm>
                      <a:off x="0" y="0"/>
                      <a:ext cx="5192813" cy="2660628"/>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4</w:t>
        </w:r>
      </w:hyperlink>
      <w:r>
        <w:t xml:space="preserve">)</w:t>
      </w:r>
      <w:r>
        <w:t xml:space="preserve">.</w:t>
      </w:r>
    </w:p>
    <w:p>
      <w:pPr>
        <w:keepNext/>
        <w:numPr>
          <w:ilvl w:val="0"/>
          <w:numId w:val="1040"/>
        </w:numPr>
      </w:pPr>
      <w:r>
        <w:t xml:space="preserve">Con preferencias regulares, la función de utilidad tiene estas</w:t>
      </w:r>
      <w:r>
        <w:t xml:space="preserve"> </w:t>
      </w:r>
      <w:r>
        <w:rPr>
          <w:b/>
          <w:bCs/>
        </w:rPr>
        <w:t xml:space="preserve">propiedades</w:t>
      </w:r>
      <w:r>
        <w:t xml:space="preserve">:</w:t>
      </w:r>
    </w:p>
    <w:p>
      <w:pPr>
        <w:numPr>
          <w:ilvl w:val="1"/>
          <w:numId w:val="1041"/>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41"/>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41"/>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acc>
          <m:accPr>
            <m:chr m:val="⃗"/>
          </m:accPr>
          <m:e>
            <m:r>
              <m:t>x</m:t>
            </m:r>
          </m:e>
        </m:acc>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oMath>
      <w:r>
        <w:t xml:space="preserve"> </w:t>
      </w:r>
      <w:r>
        <w:t xml:space="preserve">son convexos y las curvas de indiferencia, convexas;</w:t>
      </w:r>
      <w:r>
        <w:rPr>
          <w:rStyle w:val="FootnoteReference"/>
        </w:rPr>
        <w:footnoteReference w:id="82"/>
      </w:r>
    </w:p>
    <w:p>
      <w:pPr>
        <w:numPr>
          <w:ilvl w:val="1"/>
          <w:numId w:val="1041"/>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83"/>
      </w:r>
      <w:r>
        <w:rPr>
          <w:vertAlign w:val="superscript"/>
        </w:rPr>
        <w:t xml:space="preserve">,</w:t>
      </w:r>
      <w:r>
        <w:rPr>
          <w:rStyle w:val="FootnoteReference"/>
        </w:rPr>
        <w:footnoteReference w:id="84"/>
      </w:r>
    </w:p>
    <w:bookmarkStart w:id="88" w:name="fig_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867262"/>
            <wp:effectExtent b="0" l="0" r="0" t="0"/>
            <wp:docPr descr="Gráfico 7.– Cuasiconcavidad: función cóncava, función cuasicóncava y función que no es cuasicóncava" title="" id="86" name="Picture"/>
            <a:graphic>
              <a:graphicData uri="http://schemas.openxmlformats.org/drawingml/2006/picture">
                <pic:pic>
                  <pic:nvPicPr>
                    <pic:cNvPr descr="C:\Users\vgutierrez\Documents\src\victorgutierrezmarcos.github.io-revision\oposicion\temario\fuentes\3A08\graficos/cuasiconcavidad.png" id="87" name="Picture"/>
                    <pic:cNvPicPr>
                      <a:picLocks noChangeArrowheads="1" noChangeAspect="1"/>
                    </pic:cNvPicPr>
                  </pic:nvPicPr>
                  <pic:blipFill>
                    <a:blip r:embed="rId85"/>
                    <a:stretch>
                      <a:fillRect/>
                    </a:stretch>
                  </pic:blipFill>
                  <pic:spPr bwMode="auto">
                    <a:xfrm>
                      <a:off x="0" y="0"/>
                      <a:ext cx="5073650" cy="1867262"/>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bookmarkEnd w:id="89"/>
    <w:bookmarkStart w:id="104" w:name="curvas_de_indiferencia_relaci__n_m_36590"/>
    <w:p>
      <w:pPr>
        <w:pStyle w:val="Heading4"/>
      </w:pPr>
      <w:r>
        <w:t xml:space="preserve">Curvas de indiferencia, relación marginal de sustitución y elasticidad de sustitución</w:t>
      </w:r>
    </w:p>
    <w:p>
      <w:pPr>
        <w:numPr>
          <w:ilvl w:val="0"/>
          <w:numId w:val="1042"/>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acc>
              <m:accPr>
                <m:chr m:val="⃗"/>
              </m:accPr>
              <m:e>
                <m:r>
                  <m:t>x</m:t>
                </m:r>
              </m:e>
            </m:acc>
          </m:e>
          <m:sup>
            <m:r>
              <m:t>0</m:t>
            </m:r>
          </m:sup>
        </m:sSup>
      </m:oMath>
      <w:r>
        <w:t xml:space="preserve"> </w:t>
      </w:r>
      <w:r>
        <w:t xml:space="preserve">cuando las preferencias son regulares,</w:t>
      </w:r>
      <w:r>
        <w:t xml:space="preserve"> </w:t>
      </w:r>
      <w:bookmarkStart w:id="90" w:name="eq_curva_indiferencia"/>
      <w:bookmarkEnd w:id="90"/>
    </w:p>
    <w:p>
      <w:pPr>
        <w:pStyle w:val="BodyText"/>
        <w:keepNext/>
      </w:pPr>
      <m:oMathPara>
        <m:oMathParaPr>
          <m:jc m:val="center"/>
        </m:oMathParaP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rPr>
              <m:sty m:val="p"/>
            </m:rPr>
            <m:t>{</m:t>
          </m:r>
          <m:acc>
            <m:accPr>
              <m:chr m:val="⃗"/>
            </m:accPr>
            <m:e>
              <m:r>
                <m:t>x</m:t>
              </m:r>
            </m:e>
          </m:acc>
          <m:r>
            <m:rPr>
              <m:sty m:val="p"/>
            </m:rPr>
            <m:t>∈</m:t>
          </m:r>
          <m:r>
            <m:t>S</m:t>
          </m:r>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acc>
              <m:accPr>
                <m:chr m:val="⃗"/>
              </m:accPr>
              <m:e>
                <m:r>
                  <m:t>x</m:t>
                </m:r>
              </m:e>
            </m:acc>
          </m:e>
          <m:sup>
            <m:r>
              <m:t>0</m:t>
            </m:r>
          </m:sup>
        </m:sSup>
      </m:oMath>
      <w:r>
        <w:t xml:space="preserve"> </w:t>
      </w:r>
      <w:r>
        <w:t xml:space="preserve">y del de cestas no mejores que</w:t>
      </w:r>
      <w:r>
        <w:t xml:space="preserve"> </w:t>
      </w:r>
      <m:oMath>
        <m:sSup>
          <m:e>
            <m:acc>
              <m:accPr>
                <m:chr m:val="⃗"/>
              </m:accPr>
              <m:e>
                <m:r>
                  <m:t>x</m:t>
                </m:r>
              </m:e>
            </m:acc>
          </m:e>
          <m:sup>
            <m:r>
              <m:t>0</m:t>
            </m:r>
          </m:sup>
        </m:sSup>
      </m:oMath>
      <w:r>
        <w:t xml:space="preserve"> </w:t>
      </w:r>
      <w:r>
        <w:t xml:space="preserve">(gráfico </w:t>
      </w:r>
      <w:hyperlink w:anchor="fig_conjuntos_contorno">
        <w:r>
          <w:rPr>
            <w:rStyle w:val="Hyperlink"/>
          </w:rPr>
          <w:t xml:space="preserve">3</w:t>
        </w:r>
      </w:hyperlink>
      <w:r>
        <w:t xml:space="preserve">), y la proyección en el plano del corte de la superficie de utilidad a la altura</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superficie_utilidad">
        <w:r>
          <w:rPr>
            <w:rStyle w:val="Hyperlink"/>
          </w:rPr>
          <w:t xml:space="preserve">6</w:t>
        </w:r>
      </w:hyperlink>
      <w:r>
        <w:t xml:space="preserve">). Con 2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r>
        <w:t xml:space="preserve"> </w:t>
      </w:r>
      <w:bookmarkStart w:id="91" w:name="eq_pendiente_ci"/>
      <w:bookmarkEnd w:id="91"/>
    </w:p>
    <w:p>
      <w:pPr>
        <w:pStyle w:val="BodyText"/>
        <w:keepN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42"/>
        </w:numPr>
      </w:pPr>
      <w:r>
        <w:rPr>
          <w:i/>
          <w:iCs/>
        </w:rPr>
        <w:t xml:space="preserve">Propiedades</w:t>
      </w:r>
      <w:r>
        <w:t xml:space="preserve"> </w:t>
      </w:r>
      <w:r>
        <w:t xml:space="preserve">de las curvas de indiferencia (con preferencias regulares), cada una con el axioma que la garantiza (gráfico </w:t>
      </w:r>
      <w:hyperlink w:anchor="fig_propiedades_curvas_indiferencia">
        <w:r>
          <w:rPr>
            <w:rStyle w:val="Hyperlink"/>
          </w:rPr>
          <w:t xml:space="preserve">8</w:t>
        </w:r>
      </w:hyperlink>
      <w:r>
        <w:t xml:space="preserve">):</w:t>
      </w:r>
    </w:p>
    <w:p>
      <w:pPr>
        <w:numPr>
          <w:ilvl w:val="1"/>
          <w:numId w:val="1043"/>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3"/>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2 niveles de utilidad; ∎</w:t>
      </w:r>
    </w:p>
    <w:p>
      <w:pPr>
        <w:numPr>
          <w:ilvl w:val="1"/>
          <w:numId w:val="1043"/>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w:t>
      </w:r>
      <w:r>
        <w:t xml:space="preserve">son cerrados y su frontera común no tiene huecos;</w:t>
      </w:r>
    </w:p>
    <w:p>
      <w:pPr>
        <w:numPr>
          <w:ilvl w:val="1"/>
          <w:numId w:val="1043"/>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3"/>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acc>
              <m:accPr>
                <m:chr m:val="⃗"/>
              </m:accPr>
              <m:e>
                <m:r>
                  <m:t>x</m:t>
                </m:r>
              </m:e>
            </m:acc>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acc>
              <m:accPr>
                <m:chr m:val="⃗"/>
              </m:accPr>
              <m:e>
                <m:r>
                  <m:t>x</m:t>
                </m:r>
              </m:e>
            </m:acc>
          </m:e>
          <m:sup>
            <m:r>
              <m:t>0</m:t>
            </m:r>
          </m:sup>
        </m:sSup>
      </m:oMath>
      <w:r>
        <w:t xml:space="preserve">, y además es «fina» (sin espesor), por la insaciabilidad local;</w:t>
      </w:r>
    </w:p>
    <w:p>
      <w:pPr>
        <w:numPr>
          <w:ilvl w:val="1"/>
          <w:numId w:val="1043"/>
        </w:numPr>
      </w:pPr>
      <w:r>
        <w:t xml:space="preserve">son</w:t>
      </w:r>
      <w:r>
        <w:t xml:space="preserve"> </w:t>
      </w:r>
      <w:r>
        <w:rPr>
          <w:i/>
          <w:iCs/>
        </w:rPr>
        <w:t xml:space="preserve">convexas</w:t>
      </w:r>
      <w:r>
        <w:t xml:space="preserve">, por la convexidad (axioma 6): si</w:t>
      </w:r>
      <w:r>
        <w:t xml:space="preserve"> </w:t>
      </w:r>
      <m:oMath>
        <m:acc>
          <m:accPr>
            <m:chr m:val="⃗"/>
          </m:accPr>
          <m:e>
            <m:r>
              <m:t>x</m:t>
            </m:r>
          </m:e>
        </m:acc>
        <m:r>
          <m:rPr>
            <m:sty m:val="p"/>
          </m:rPr>
          <m:t>′</m:t>
        </m:r>
      </m:oMath>
      <w:r>
        <w:t xml:space="preserve"> </w:t>
      </w:r>
      <w:r>
        <w:t xml:space="preserve">y</w:t>
      </w:r>
      <w:r>
        <w:t xml:space="preserve"> </w:t>
      </w:r>
      <m:oMath>
        <m:acc>
          <m:accPr>
            <m:chr m:val="⃗"/>
          </m:accPr>
          <m:e>
            <m:r>
              <m:t>x</m:t>
            </m:r>
          </m:e>
        </m:acc>
        <m:r>
          <m:rPr>
            <m:sty m:val="p"/>
          </m:rPr>
          <m:t>″</m:t>
        </m:r>
      </m:oMath>
      <w:r>
        <w:t xml:space="preserve"> </w:t>
      </w:r>
      <w:r>
        <w:t xml:space="preserve">son indiferentes, cualquier combinación</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oMath>
      <w:r>
        <w:t xml:space="preserve"> </w:t>
      </w:r>
      <w:r>
        <w:t xml:space="preserve">es al menos tan buena (panel d), así que el segmento que las une queda en el conjunto «al menos tan bueno como»</w:t>
      </w:r>
      <w:r>
        <w:t xml:space="preserve"> </w:t>
      </w:r>
      <m:oMath>
        <m:acc>
          <m:accPr>
            <m:chr m:val="⃗"/>
          </m:accPr>
          <m:e>
            <m:r>
              <m:t>x</m:t>
            </m:r>
          </m:e>
        </m:acc>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3"/>
        </w:numPr>
      </w:pPr>
      <w:r>
        <w:rPr>
          <w:i/>
          <w:iCs/>
        </w:rPr>
        <w:t xml:space="preserve">no tienen vértices</w:t>
      </w:r>
      <w:r>
        <w:t xml:space="preserve">, por la diferenciabilidad (axioma 7): la pendiente es única en cada punto.</w:t>
      </w:r>
    </w:p>
    <w:bookmarkStart w:id="95" w:name="fig_propiedades_curvas_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Gráfico 8.– Propiedades de las curvas de indiferencia y axioma que da cada una" title="" id="93" name="Picture"/>
            <a:graphic>
              <a:graphicData uri="http://schemas.openxmlformats.org/drawingml/2006/picture">
                <pic:pic>
                  <pic:nvPicPr>
                    <pic:cNvPr descr="C:\Users\vgutierrez\Documents\src\victorgutierrezmarcos.github.io-revision\oposicion\temario\fuentes\3A08\graficos/propiedades-curvas-indiferencia.png" id="94" name="Picture"/>
                    <pic:cNvPicPr>
                      <a:picLocks noChangeArrowheads="1" noChangeAspect="1"/>
                    </pic:cNvPicPr>
                  </pic:nvPicPr>
                  <pic:blipFill>
                    <a:blip r:embed="rId92"/>
                    <a:stretch>
                      <a:fillRect/>
                    </a:stretch>
                  </pic:blipFill>
                  <pic:spPr bwMode="auto">
                    <a:xfrm>
                      <a:off x="0" y="0"/>
                      <a:ext cx="4761608" cy="5027670"/>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3</w:t>
        </w:r>
      </w:hyperlink>
      <w:r>
        <w:t xml:space="preserve">)</w:t>
      </w:r>
      <w:r>
        <w:t xml:space="preserve"> </w:t>
      </w:r>
      <w:r>
        <w:t xml:space="preserve">y</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44"/>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w:t>
      </w:r>
      <w:hyperlink w:anchor="eq_pendiente_ci">
        <w:r>
          <w:rPr>
            <w:rStyle w:val="Hyperlink"/>
          </w:rPr>
          <w:t xml:space="preserve">3</w:t>
        </w:r>
      </w:hyperlink>
      <w:r>
        <w:t xml:space="preserve">):</w:t>
      </w:r>
      <w:r>
        <w:rPr>
          <w:rStyle w:val="FootnoteReference"/>
        </w:rPr>
        <w:footnoteReference w:id="96"/>
      </w:r>
      <w:r>
        <w:t xml:space="preserve"> </w:t>
      </w:r>
      <w:bookmarkStart w:id="97" w:name="eq_rms"/>
      <w:bookmarkEnd w:id="97"/>
    </w:p>
    <w:p>
      <w:pPr>
        <w:pStyle w:val="BodyText"/>
        <w:keepNext/>
      </w:pPr>
      <m:oMathPara>
        <m:oMathParaPr>
          <m:jc m:val="center"/>
        </m:oMathParaPr>
        <m:oMath>
          <m:sSub>
            <m:e>
              <m:r>
                <m:rPr>
                  <m:sty m:val="p"/>
                </m:rPr>
                <m:t>R</m:t>
              </m:r>
              <m:r>
                <m:rPr>
                  <m:sty m:val="p"/>
                </m:rPr>
                <m:t>M</m:t>
              </m:r>
              <m:r>
                <m:rPr>
                  <m:sty m:val="p"/>
                </m:rP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5"/>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5"/>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2 bienes y la variación porcentual de la RMS. Es un número puro que mide la curvatura de la curva de indiferencia:</w:t>
      </w:r>
      <w:r>
        <w:t xml:space="preserve"> </w:t>
      </w:r>
      <w:bookmarkStart w:id="98" w:name="eq_elasticidad_sustitucion"/>
      <w:bookmarkEnd w:id="98"/>
    </w:p>
    <w:p>
      <w:pPr>
        <w:pStyle w:val="BodyText"/>
        <w:keepN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sSub>
                <m:e>
                  <m:r>
                    <m:rPr>
                      <m:sty m:val="p"/>
                    </m:rPr>
                    <m:t>R</m:t>
                  </m:r>
                  <m:r>
                    <m:rPr>
                      <m:sty m:val="p"/>
                    </m:rPr>
                    <m:t>M</m:t>
                  </m:r>
                  <m:r>
                    <m:rPr>
                      <m:sty m:val="p"/>
                    </m:rP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6"/>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4"/>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r>
        <w:t xml:space="preserve"> </w:t>
      </w:r>
      <w:bookmarkStart w:id="99" w:name="eq_ces"/>
      <w:bookmarkEnd w:id="99"/>
    </w:p>
    <w:p>
      <w:pPr>
        <w:pStyle w:val="BodyText"/>
        <w:keepN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keepNext/>
        <w:numPr>
          <w:ilvl w:val="0"/>
          <w:numId w:val="1000"/>
        </w:numPr>
      </w:pPr>
      <w:r>
        <w:t xml:space="preserve">Incluye como casos particulares las formas más usadas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w:p>
    <w:p>
      <w:pPr>
        <w:numPr>
          <w:ilvl w:val="1"/>
          <w:numId w:val="1047"/>
        </w:numPr>
      </w:pPr>
      <m:oMath>
        <m:r>
          <m:t>σ</m:t>
        </m:r>
        <m:r>
          <m:rPr>
            <m:sty m:val="p"/>
          </m:rPr>
          <m:t>→</m:t>
        </m:r>
        <m:r>
          <m:t>0</m:t>
        </m:r>
      </m:oMath>
      <w:r>
        <w:t xml:space="preserve">:</w:t>
      </w:r>
      <w:r>
        <w:t xml:space="preserve"> </w:t>
      </w:r>
      <w:r>
        <w:rPr>
          <w:i/>
          <w:iCs/>
          <w:smallCap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7"/>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7"/>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103" w:name="fig_ces_curvas_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Gráfico 9.– Curvas de indiferencia de la función CES para distintos valores de \sigma" title="" id="101" name="Picture"/>
            <a:graphic>
              <a:graphicData uri="http://schemas.openxmlformats.org/drawingml/2006/picture">
                <pic:pic>
                  <pic:nvPicPr>
                    <pic:cNvPr descr="C:\Users\vgutierrez\Documents\src\victorgutierrezmarcos.github.io-revision\oposicion\temario\fuentes\3A08\graficos/ces-curvas-indiferencia.png" id="102" name="Picture"/>
                    <pic:cNvPicPr>
                      <a:picLocks noChangeArrowheads="1" noChangeAspect="1"/>
                    </pic:cNvPicPr>
                  </pic:nvPicPr>
                  <pic:blipFill>
                    <a:blip r:embed="rId100"/>
                    <a:stretch>
                      <a:fillRect/>
                    </a:stretch>
                  </pic:blipFill>
                  <pic:spPr bwMode="auto">
                    <a:xfrm>
                      <a:off x="0" y="0"/>
                      <a:ext cx="2568882" cy="2471020"/>
                    </a:xfrm>
                    <a:prstGeom prst="rect">
                      <a:avLst/>
                    </a:prstGeom>
                    <a:noFill/>
                    <a:ln w="9525">
                      <a:noFill/>
                      <a:headEnd/>
                      <a:tailEnd/>
                    </a:ln>
                  </pic:spPr>
                </pic:pic>
              </a:graphicData>
            </a:graphic>
          </wp:inline>
        </w:drawing>
      </w:r>
    </w:p>
    <w:bookmarkEnd w:id="103"/>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04"/>
    <w:bookmarkEnd w:id="105"/>
    <w:bookmarkStart w:id="114" w:name="sec_restriccion_presupuestaria"/>
    <w:p>
      <w:pPr>
        <w:pStyle w:val="Heading3"/>
      </w:pPr>
      <w:r>
        <w:t xml:space="preserve">I.1.2.</w:t>
      </w:r>
      <w:r>
        <w:t xml:space="preserve"> </w:t>
      </w:r>
      <w:r>
        <w:t xml:space="preserve">Restricción presupuestaria</w:t>
      </w:r>
    </w:p>
    <w:p>
      <w:pPr>
        <w:keepNext/>
        <w:numPr>
          <w:ilvl w:val="0"/>
          <w:numId w:val="1048"/>
        </w:numPr>
      </w:pPr>
      <w:r>
        <w:t xml:space="preserve">La</w:t>
      </w:r>
      <w:r>
        <w:t xml:space="preserve"> </w:t>
      </w:r>
      <w:r>
        <w:rPr>
          <w:b/>
          <w:bCs/>
        </w:rPr>
        <w:t xml:space="preserve">restricción presupuestaria</w:t>
      </w:r>
      <w:r>
        <w:t xml:space="preserve"> </w:t>
      </w:r>
      <w:r>
        <w:t xml:space="preserve">recoge la limitación que impone al consumidor su renta. Se suponen 2 cosas:</w:t>
      </w:r>
    </w:p>
    <w:p>
      <w:pPr>
        <w:numPr>
          <w:ilvl w:val="1"/>
          <w:numId w:val="1049"/>
        </w:numPr>
      </w:pPr>
      <w:r>
        <w:t xml:space="preserve">los bienes se intercambian en el mercado a precios positivos y conocidos por todos los consumidores;</w:t>
      </w:r>
    </w:p>
    <w:p>
      <w:pPr>
        <w:numPr>
          <w:ilvl w:val="1"/>
          <w:numId w:val="1049"/>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8"/>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106"/>
      </w:r>
      <w:r>
        <w:t xml:space="preserve"> </w:t>
      </w:r>
      <w:bookmarkStart w:id="107" w:name="eq_restriccion"/>
      <w:bookmarkEnd w:id="107"/>
    </w:p>
    <w:p>
      <w:pPr>
        <w:pStyle w:val="BodyText"/>
        <w:keepNext/>
      </w:pPr>
      <m:oMathPara>
        <m:oMathParaPr>
          <m:jc m:val="center"/>
        </m:oMathParaPr>
        <m:oMath>
          <m:acc>
            <m:accPr>
              <m:chr m:val="⃗"/>
            </m:accPr>
            <m:e>
              <m:r>
                <m:t>p</m:t>
              </m:r>
            </m:e>
          </m:acc>
          <m:r>
            <m:rPr>
              <m:sty m:val="p"/>
            </m:rPr>
            <m:t>⋅</m:t>
          </m:r>
          <m:acc>
            <m:accPr>
              <m:chr m:val="⃗"/>
            </m:accPr>
            <m:e>
              <m:r>
                <m:t>x</m:t>
              </m:r>
            </m:e>
          </m:acc>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50"/>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acc>
              <m:accPr>
                <m:chr m:val="⃗"/>
              </m:accPr>
              <m:e>
                <m:r>
                  <m:t>p</m:t>
                </m:r>
              </m:e>
            </m:acc>
            <m:r>
              <m:rPr>
                <m:sty m:val="p"/>
              </m:rPr>
              <m:t>,</m:t>
            </m:r>
            <m:bar>
              <m:barPr>
                <m:pos m:val="top"/>
              </m:barPr>
              <m:e>
                <m:r>
                  <m:t>W</m:t>
                </m:r>
              </m:e>
            </m:bar>
          </m:e>
        </m:d>
        <m:r>
          <m:rPr>
            <m:sty m:val="p"/>
          </m:rPr>
          <m:t>=</m:t>
        </m:r>
        <m:r>
          <m:rPr>
            <m:sty m:val="p"/>
          </m:rPr>
          <m:t>{</m:t>
        </m:r>
        <m:acc>
          <m:accPr>
            <m:chr m:val="⃗"/>
          </m:accPr>
          <m:e>
            <m:r>
              <m:t>x</m:t>
            </m:r>
          </m:e>
        </m:acc>
        <m:r>
          <m:rPr>
            <m:sty m:val="p"/>
          </m:rPr>
          <m:t>∈</m:t>
        </m:r>
        <m:r>
          <m:t>S</m:t>
        </m:r>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w:t>
      </w:r>
    </w:p>
    <w:p>
      <w:pPr>
        <w:keepNext/>
        <w:numPr>
          <w:ilvl w:val="1"/>
          <w:numId w:val="1050"/>
        </w:numPr>
      </w:pPr>
      <w:r>
        <w:t xml:space="preserve">Sus</w:t>
      </w:r>
      <w:r>
        <w:t xml:space="preserve"> </w:t>
      </w:r>
      <w:r>
        <w:rPr>
          <w:i/>
          <w:iCs/>
        </w:rPr>
        <w:t xml:space="preserve">propiedades</w:t>
      </w:r>
      <w:r>
        <w:t xml:space="preserve">:</w:t>
      </w:r>
      <w:r>
        <w:rPr>
          <w:rStyle w:val="FootnoteReference"/>
        </w:rPr>
        <w:footnoteReference w:id="108"/>
      </w:r>
    </w:p>
    <w:p>
      <w:pPr>
        <w:numPr>
          <w:ilvl w:val="2"/>
          <w:numId w:val="1051"/>
        </w:numPr>
      </w:pPr>
      <w:r>
        <w:t xml:space="preserve">es</w:t>
      </w:r>
      <w:r>
        <w:t xml:space="preserve"> </w:t>
      </w:r>
      <w:r>
        <w:rPr>
          <w:i/>
          <w:iCs/>
        </w:rPr>
        <w:t xml:space="preserve">no vacío</w:t>
      </w:r>
      <w:r>
        <w:t xml:space="preserve">: siempre contiene la cesta nula;</w:t>
      </w:r>
    </w:p>
    <w:p>
      <w:pPr>
        <w:numPr>
          <w:ilvl w:val="2"/>
          <w:numId w:val="1051"/>
        </w:numPr>
      </w:pPr>
      <w:r>
        <w:t xml:space="preserve">es</w:t>
      </w:r>
      <w:r>
        <w:t xml:space="preserve"> </w:t>
      </w:r>
      <w:r>
        <w:rPr>
          <w:i/>
          <w:iCs/>
        </w:rPr>
        <w:t xml:space="preserve">cerrado</w:t>
      </w:r>
      <w:r>
        <w:t xml:space="preserve">;</w:t>
      </w:r>
    </w:p>
    <w:p>
      <w:pPr>
        <w:numPr>
          <w:ilvl w:val="2"/>
          <w:numId w:val="1051"/>
        </w:numPr>
      </w:pPr>
      <w:r>
        <w:t xml:space="preserve">es</w:t>
      </w:r>
      <w:r>
        <w:t xml:space="preserve"> </w:t>
      </w:r>
      <w:r>
        <w:rPr>
          <w:i/>
          <w:iCs/>
        </w:rPr>
        <w:t xml:space="preserve">acotado</w:t>
      </w:r>
      <w:r>
        <w:t xml:space="preserve"> </w:t>
      </w:r>
      <w:r>
        <w:t xml:space="preserve">si todos los precios son estrictamente positivos (</w:t>
      </w:r>
      <m:oMath>
        <m:acc>
          <m:accPr>
            <m:chr m:val="⃗"/>
          </m:accPr>
          <m:e>
            <m:r>
              <m:t>p</m:t>
            </m:r>
          </m:e>
        </m:acc>
        <m:r>
          <m:rPr>
            <m:sty m:val="p"/>
          </m:rPr>
          <m:t>≫</m:t>
        </m:r>
        <m:acc>
          <m:accPr>
            <m:chr m:val="⃗"/>
          </m:accPr>
          <m:e>
            <m:r>
              <m:t>0</m:t>
            </m:r>
          </m:e>
        </m:acc>
      </m:oMath>
      <w:r>
        <w:t xml:space="preserve">);</w:t>
      </w:r>
      <w:r>
        <w:rPr>
          <w:rStyle w:val="FootnoteReference"/>
        </w:rPr>
        <w:footnoteReference w:id="109"/>
      </w:r>
    </w:p>
    <w:p>
      <w:pPr>
        <w:numPr>
          <w:ilvl w:val="2"/>
          <w:numId w:val="1051"/>
        </w:numPr>
      </w:pPr>
      <w:r>
        <w:t xml:space="preserve">es</w:t>
      </w:r>
      <w:r>
        <w:t xml:space="preserve"> </w:t>
      </w:r>
      <w:r>
        <w:rPr>
          <w:i/>
          <w:iCs/>
        </w:rPr>
        <w:t xml:space="preserve">convexo</w:t>
      </w:r>
      <w:r>
        <w:t xml:space="preserve">: contiene toda combinación convexa de 2 de sus cestas.</w:t>
      </w:r>
    </w:p>
    <w:p>
      <w:pPr>
        <w:numPr>
          <w:ilvl w:val="0"/>
          <w:numId w:val="1048"/>
        </w:numPr>
      </w:pPr>
      <w:r>
        <w:t xml:space="preserve">Con 2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113" w:name="fig_conjunto_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Gráfico 10.– Conjunto presupuestario walrasiano con S=\mathbb{R}^2_+ y efecto de una subida del precio del bien 1" title="" id="111" name="Picture"/>
            <a:graphic>
              <a:graphicData uri="http://schemas.openxmlformats.org/drawingml/2006/picture">
                <pic:pic>
                  <pic:nvPicPr>
                    <pic:cNvPr descr="C:\Users\vgutierrez\Documents\src\victorgutierrezmarcos.github.io-revision\oposicion\temario\fuentes\3A08\graficos/conjunto-presupuestario.png" id="112" name="Picture"/>
                    <pic:cNvPicPr>
                      <a:picLocks noChangeArrowheads="1" noChangeAspect="1"/>
                    </pic:cNvPicPr>
                  </pic:nvPicPr>
                  <pic:blipFill>
                    <a:blip r:embed="rId110"/>
                    <a:stretch>
                      <a:fillRect/>
                    </a:stretch>
                  </pic:blipFill>
                  <pic:spPr bwMode="auto">
                    <a:xfrm>
                      <a:off x="0" y="0"/>
                      <a:ext cx="4672920" cy="1877731"/>
                    </a:xfrm>
                    <a:prstGeom prst="rect">
                      <a:avLst/>
                    </a:prstGeom>
                    <a:noFill/>
                    <a:ln w="9525">
                      <a:noFill/>
                      <a:headEnd/>
                      <a:tailEnd/>
                    </a:ln>
                  </pic:spPr>
                </pic:pic>
              </a:graphicData>
            </a:graphic>
          </wp:inline>
        </w:drawing>
      </w:r>
    </w:p>
    <w:bookmarkEnd w:id="11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w:t>
      </w:r>
    </w:p>
    <w:p>
      <w:pPr>
        <w:numPr>
          <w:ilvl w:val="0"/>
          <w:numId w:val="1052"/>
        </w:numPr>
      </w:pPr>
      <w:r>
        <w:t xml:space="preserve">Una vez analizadas las 2 herramientas, preferencias y restricción presupuestaria, puede plantearse el problema del consumidor y obtener su equilibrio.</w:t>
      </w:r>
    </w:p>
    <w:bookmarkEnd w:id="114"/>
    <w:bookmarkEnd w:id="115"/>
    <w:bookmarkStart w:id="130" w:name="sec_problema_maximizacion_utilidad"/>
    <w:p>
      <w:pPr>
        <w:pStyle w:val="Heading2"/>
      </w:pPr>
      <w:r>
        <w:t xml:space="preserve">I.2.</w:t>
      </w:r>
      <w:r>
        <w:t xml:space="preserve"> </w:t>
      </w:r>
      <w:r>
        <w:t xml:space="preserve">Problema de maximización de la utilidad: el equilibrio</w:t>
      </w:r>
    </w:p>
    <w:p>
      <w:pPr>
        <w:pStyle w:val="Notaalopositor"/>
        <w:keepLines/>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w:t>
      </w:r>
      <w:hyperlink w:anchor="fig_solucion_interior_esquina">
        <w:r>
          <w:rPr>
            <w:rStyle w:val="Hyperlink"/>
          </w:rPr>
          <w:t xml:space="preserve">11</w:t>
        </w:r>
      </w:hyperlink>
      <w:r>
        <w:t xml:space="preserve">). Los teoremas de optimización son de profundización; el anexo </w:t>
      </w:r>
      <w:hyperlink w:anchor="anexo_r3">
        <w:r>
          <w:rPr>
            <w:rStyle w:val="Hyperlink"/>
          </w:rPr>
          <w:t xml:space="preserve">A</w:t>
        </w:r>
      </w:hyperlink>
      <w:r>
        <w:t xml:space="preserve"> </w:t>
      </w:r>
      <w:r>
        <w:t xml:space="preserve">representa el problema en tres dimensiones y muestra por qué la restricción se satura.</w:t>
      </w:r>
    </w:p>
    <w:bookmarkStart w:id="121" w:name="sec_planteamiento_condiciones_kuhn"/>
    <w:p>
      <w:pPr>
        <w:pStyle w:val="Heading3"/>
      </w:pPr>
      <w:r>
        <w:t xml:space="preserve">I.2.1.</w:t>
      </w:r>
      <w:r>
        <w:t xml:space="preserve"> </w:t>
      </w:r>
      <w:r>
        <w:t xml:space="preserve">Planteamiento y condiciones de</w:t>
      </w:r>
      <w:r>
        <w:t xml:space="preserve"> </w:t>
      </w:r>
      <w:r>
        <w:rPr>
          <w:smallCaps/>
        </w:rPr>
        <w:t xml:space="preserve">Kuhn</w:t>
      </w:r>
      <w:r>
        <w:t xml:space="preserve">-</w:t>
      </w:r>
      <w:r>
        <w:rPr>
          <w:smallCaps/>
        </w:rPr>
        <w:t xml:space="preserve">Tucker</w:t>
      </w:r>
    </w:p>
    <w:p>
      <w:pPr>
        <w:numPr>
          <w:ilvl w:val="0"/>
          <w:numId w:val="1053"/>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bookmarkStart w:id="116" w:name="eq_pmu"/>
    <w:bookmarkEnd w:id="116"/>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53"/>
        </w:numPr>
      </w:pPr>
      <w:r>
        <w:t xml:space="preserve">Con una utilidad continua y estrictamente cuasicóncava y un conjunto presupuestario no vacío, compacto y convexo, el óptimo existe, es global y es único.</w:t>
      </w:r>
    </w:p>
    <w:p>
      <w:pPr>
        <w:pStyle w:val="Cajadeanotaciones"/>
        <w:keepNext/>
        <w:keepLines/>
      </w:pPr>
      <w:r>
        <w:rPr>
          <w:b/>
          <w:bCs/>
        </w:rPr>
        <w:t xml:space="preserve">Teoremas básicos de la optimización condicionada</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p>
    <w:p>
      <w:pPr>
        <w:pStyle w:val="Cajadeanotaciones"/>
        <w:keepNext/>
        <w:keepLines/>
        <w:numPr>
          <w:ilvl w:val="0"/>
          <w:numId w:val="1054"/>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keepNext/>
        <w:keepLines/>
        <w:numPr>
          <w:ilvl w:val="0"/>
          <w:numId w:val="1054"/>
        </w:numPr>
      </w:pPr>
      <w:r>
        <w:rPr>
          <w:i/>
          <w:iCs/>
        </w:rPr>
        <w:t xml:space="preserve">Local-global</w:t>
      </w:r>
      <w:r>
        <w:t xml:space="preserve">: si la función objetivo es estrictamente cuasicóncava y el conjunto factible es convexo, todo máximo local es global.</w:t>
      </w:r>
    </w:p>
    <w:p>
      <w:pPr>
        <w:pStyle w:val="Cajadeanotaciones"/>
        <w:keepNext/>
        <w:keepLines/>
        <w:numPr>
          <w:ilvl w:val="0"/>
          <w:numId w:val="1054"/>
        </w:numPr>
      </w:pPr>
      <w:r>
        <w:rPr>
          <w:i/>
          <w:iCs/>
        </w:rPr>
        <w:t xml:space="preserve">Unicidad</w:t>
      </w:r>
      <w:r>
        <w:t xml:space="preserve">: en esas mismas condiciones (estricta cuasiconcavidad y conjunto convexo), el máximo es único.</w:t>
      </w:r>
    </w:p>
    <w:p>
      <w:pPr>
        <w:pStyle w:val="Cajadeanotaciones"/>
        <w:keepLines/>
        <w:numPr>
          <w:ilvl w:val="0"/>
          <w:numId w:val="1054"/>
        </w:numPr>
      </w:pPr>
      <w:r>
        <w:rPr>
          <w:i/>
          <w:iCs/>
        </w:rPr>
        <w:t xml:space="preserve">Suficiencia</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5"/>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w:t>
      </w:r>
      <w:hyperlink w:anchor="ref_KuhnTucker1951Nonlinear">
        <w:r>
          <w:rPr>
            <w:rStyle w:val="Hyperlink"/>
          </w:rPr>
          <w:t xml:space="preserve">1951</w:t>
        </w:r>
      </w:hyperlink>
      <w:r>
        <w:t xml:space="preserve">)</w:t>
      </w:r>
      <w:r>
        <w:t xml:space="preserve">, a partir de la función lagrangiana:</w:t>
      </w:r>
      <w:r>
        <w:t xml:space="preserve"> </w:t>
      </w:r>
      <w:bookmarkStart w:id="117" w:name="eq_lagrangiana"/>
      <w:bookmarkEnd w:id="117"/>
    </w:p>
    <w:p>
      <w:pPr>
        <w:pStyle w:val="BodyText"/>
        <w:keepN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6"/>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18"/>
      </w:r>
    </w:p>
    <w:p>
      <w:pPr>
        <w:numPr>
          <w:ilvl w:val="0"/>
          <w:numId w:val="1055"/>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acc>
              <m:accPr>
                <m:chr m:val="⃗"/>
              </m:accPr>
              <m:e>
                <m:r>
                  <m:t>x</m:t>
                </m:r>
              </m:e>
            </m:acc>
          </m:e>
          <m:sup>
            <m:r>
              <m:rPr>
                <m:sty m:val="p"/>
              </m:rPr>
              <m:t>*</m:t>
            </m:r>
          </m:sup>
        </m:sSup>
      </m:oMath>
      <w:r>
        <w:t xml:space="preserve"> </w:t>
      </w:r>
      <w:r>
        <w:t xml:space="preserve">sea solución son:</w:t>
      </w:r>
      <w:r>
        <w:t xml:space="preserve"> </w:t>
      </w:r>
      <w:bookmarkStart w:id="119" w:name="eq_kt1"/>
      <w:bookmarkEnd w:id="119"/>
      <w:bookmarkStart w:id="120" w:name="eq_kt2"/>
      <w:bookmarkEnd w:id="120"/>
    </w:p>
    <w:p>
      <w:pPr>
        <w:pStyle w:val="BodyText"/>
        <w:keepN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acc>
                  <m:accPr>
                    <m:chr m:val="⃗"/>
                  </m:accPr>
                  <m:e>
                    <m:r>
                      <m:t>p</m:t>
                    </m:r>
                  </m:e>
                </m:acc>
                <m:r>
                  <m:rPr>
                    <m:sty m:val="p"/>
                  </m:rPr>
                  <m:t>⋅</m:t>
                </m:r>
                <m:acc>
                  <m:accPr>
                    <m:chr m:val="⃗"/>
                  </m:accPr>
                  <m:e>
                    <m:r>
                      <m:t>x</m:t>
                    </m:r>
                  </m:e>
                </m:acc>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r>
                  <m:rPr>
                    <m:sty m:val="p"/>
                  </m:rPr>
                  <m:t>.</m:t>
                </m:r>
              </m:e>
            </m:mr>
          </m:m>
        </m:oMath>
      </m:oMathPara>
    </w:p>
    <w:p>
      <w:pPr>
        <w:numPr>
          <w:ilvl w:val="1"/>
          <w:numId w:val="1057"/>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keepNext/>
        <w:numPr>
          <w:ilvl w:val="1"/>
          <w:numId w:val="1057"/>
        </w:numPr>
      </w:pPr>
      <w:r>
        <w:t xml:space="preserve">La</w:t>
      </w:r>
      <w:r>
        <w:t xml:space="preserve"> </w:t>
      </w:r>
      <w:r>
        <w:rPr>
          <w:i/>
          <w:iCs/>
        </w:rPr>
        <w:t xml:space="preserve">holgura complementaria</w:t>
      </w:r>
      <w:r>
        <w:t xml:space="preserve"> </w:t>
      </w:r>
      <w:r>
        <w:t xml:space="preserve">dice que, para cada bien, al menos una de las 2 desigualdades se cumple con igualdad:</w:t>
      </w:r>
    </w:p>
    <w:p>
      <w:pPr>
        <w:numPr>
          <w:ilvl w:val="2"/>
          <w:numId w:val="1058"/>
        </w:numPr>
      </w:pPr>
      <w:r>
        <w:t xml:space="preserve">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la última unidad monetaria gastada en él rinde</w:t>
      </w:r>
      <w:r>
        <w:t xml:space="preserve"> </w:t>
      </w:r>
      <m:oMath>
        <m:r>
          <m:t>λ</m:t>
        </m:r>
      </m:oMath>
      <w:r>
        <w:t xml:space="preserve">;</w:t>
      </w:r>
    </w:p>
    <w:p>
      <w:pPr>
        <w:numPr>
          <w:ilvl w:val="2"/>
          <w:numId w:val="1058"/>
        </w:numPr>
      </w:pPr>
      <w:r>
        <w:t xml:space="preserve">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w:t>
      </w:r>
    </w:p>
    <w:p>
      <w:pPr>
        <w:numPr>
          <w:ilvl w:val="1"/>
          <w:numId w:val="1000"/>
        </w:numPr>
      </w:pPr>
      <w:r>
        <w:t xml:space="preserve">Si se cumplen ambas igualdades a la vez, la solución de esquina es degenerada.</w:t>
      </w:r>
    </w:p>
    <w:p>
      <w:pPr>
        <w:numPr>
          <w:ilvl w:val="1"/>
          <w:numId w:val="1057"/>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w:t>
      </w:r>
      <w:hyperlink w:anchor="anexo_r3">
        <w:r>
          <w:rPr>
            <w:rStyle w:val="Hyperlink"/>
          </w:rPr>
          <w:t xml:space="preserve">A</w:t>
        </w:r>
      </w:hyperlink>
      <w:r>
        <w:t xml:space="preserve">).</w:t>
      </w:r>
    </w:p>
    <w:p>
      <w:pPr>
        <w:numPr>
          <w:ilvl w:val="1"/>
          <w:numId w:val="1057"/>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21"/>
    <w:bookmarkStart w:id="124" w:name="sec_solucion_interior"/>
    <w:p>
      <w:pPr>
        <w:pStyle w:val="Heading3"/>
      </w:pPr>
      <w:r>
        <w:t xml:space="preserve">I.2.2.</w:t>
      </w:r>
      <w:r>
        <w:t xml:space="preserve"> </w:t>
      </w:r>
      <w:r>
        <w:t xml:space="preserve">Solución interior</w:t>
      </w:r>
    </w:p>
    <w:p>
      <w:pPr>
        <w:numPr>
          <w:ilvl w:val="0"/>
          <w:numId w:val="1059"/>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w:t>
      </w:r>
      <w:hyperlink w:anchor="eq_kt1">
        <w:r>
          <w:rPr>
            <w:rStyle w:val="Hyperlink"/>
          </w:rPr>
          <w:t xml:space="preserve">10</w:t>
        </w:r>
      </w:hyperlink>
      <w:r>
        <w:t xml:space="preserve">) se cumple con igualdad para todos los bienes y, despejando</w:t>
      </w:r>
      <w:r>
        <w:t xml:space="preserve"> </w:t>
      </w:r>
      <m:oMath>
        <m:r>
          <m:t>λ</m:t>
        </m:r>
      </m:oMath>
      <w:r>
        <w:t xml:space="preserve">:</w:t>
      </w:r>
      <w:r>
        <w:t xml:space="preserve"> </w:t>
      </w:r>
      <w:bookmarkStart w:id="122" w:name="eq_gossen"/>
      <w:bookmarkEnd w:id="122"/>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keepNext/>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w:t>
      </w:r>
      <w:hyperlink w:anchor="ley_gossen2">
        <w:r>
          <w:rPr>
            <w:rStyle w:val="Hyperlink"/>
          </w:rPr>
          <w:t xml:space="preserve">véase</w:t>
        </w:r>
      </w:hyperlink>
      <w:r>
        <w:t xml:space="preserve">).</w:t>
      </w:r>
    </w:p>
    <w:p>
      <w:pPr>
        <w:numPr>
          <w:ilvl w:val="1"/>
          <w:numId w:val="1060"/>
        </w:numPr>
      </w:pPr>
      <w:r>
        <w:t xml:space="preserve">Con 2 bienes, la tasa a la que el consumidor está dispuesto a intercambiar los bienes (RMS) se iguala a la que fija el mercado (cociente de precios): la curva de indiferencia es tangente a la recta de balance.</w:t>
      </w:r>
      <w:r>
        <w:t xml:space="preserve"> </w:t>
      </w:r>
      <w:bookmarkStart w:id="123" w:name="eq_tangencia"/>
      <w:bookmarkEnd w:id="123"/>
    </w:p>
    <w:p>
      <w:pPr>
        <w:pStyle w:val="BodyText"/>
      </w:pPr>
      <m:oMathPara>
        <m:oMathParaPr>
          <m:jc m:val="center"/>
        </m:oMathParaPr>
        <m:oMath>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24"/>
    <w:bookmarkStart w:id="129" w:name="sec_solucion_esquina"/>
    <w:p>
      <w:pPr>
        <w:pStyle w:val="Heading3"/>
      </w:pPr>
      <w:r>
        <w:t xml:space="preserve">I.2.3.</w:t>
      </w:r>
      <w:r>
        <w:t xml:space="preserve"> </w:t>
      </w:r>
      <w:r>
        <w:t xml:space="preserve">Solución de esquina</w:t>
      </w:r>
    </w:p>
    <w:p>
      <w:pPr>
        <w:numPr>
          <w:ilvl w:val="0"/>
          <w:numId w:val="1061"/>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28" w:name="fig_solucion_interior_esquina"/>
    <w:p>
      <w:pPr>
        <w:pStyle w:val="ImageCaption"/>
      </w:pPr>
      <w:r>
        <w:t xml:space="preserve">Gráfico 11.–</w:t>
      </w:r>
      <w:r>
        <w:t xml:space="preserve"> </w:t>
      </w:r>
      <w:r>
        <w:t xml:space="preserve">Solución interior (tangencia) y solución de esquina</w:t>
      </w:r>
    </w:p>
    <w:p>
      <w:pPr>
        <w:pStyle w:val="CaptionedFigure"/>
      </w:pPr>
      <w:r>
        <w:drawing>
          <wp:inline>
            <wp:extent cx="5000147" cy="1877731"/>
            <wp:effectExtent b="0" l="0" r="0" t="0"/>
            <wp:docPr descr="Gráfico 11.– Solución interior (tangencia) y solución de esquina" title="" id="126" name="Picture"/>
            <a:graphic>
              <a:graphicData uri="http://schemas.openxmlformats.org/drawingml/2006/picture">
                <pic:pic>
                  <pic:nvPicPr>
                    <pic:cNvPr descr="C:\Users\vgutierrez\Documents\src\victorgutierrezmarcos.github.io-revision\oposicion\temario\fuentes\3A08\graficos/solucion-interior-esquina.png" id="127" name="Picture"/>
                    <pic:cNvPicPr>
                      <a:picLocks noChangeArrowheads="1" noChangeAspect="1"/>
                    </pic:cNvPicPr>
                  </pic:nvPicPr>
                  <pic:blipFill>
                    <a:blip r:embed="rId125"/>
                    <a:stretch>
                      <a:fillRect/>
                    </a:stretch>
                  </pic:blipFill>
                  <pic:spPr bwMode="auto">
                    <a:xfrm>
                      <a:off x="0" y="0"/>
                      <a:ext cx="5000147" cy="1877731"/>
                    </a:xfrm>
                    <a:prstGeom prst="rect">
                      <a:avLst/>
                    </a:prstGeom>
                    <a:noFill/>
                    <a:ln w="9525">
                      <a:noFill/>
                      <a:headEnd/>
                      <a:tailEnd/>
                    </a:ln>
                  </pic:spPr>
                </pic:pic>
              </a:graphicData>
            </a:graphic>
          </wp:inline>
        </w:drawing>
      </w:r>
    </w:p>
    <w:bookmarkEnd w:id="128"/>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Varian</w:t>
      </w:r>
      <w:r>
        <w:t xml:space="preserve"> </w:t>
      </w:r>
      <w:r>
        <w:t xml:space="preserve">(</w:t>
      </w:r>
      <w:hyperlink w:anchor="ref_Varian2016Intermedia">
        <w:r>
          <w:rPr>
            <w:rStyle w:val="Hyperlink"/>
          </w:rPr>
          <w:t xml:space="preserve">2016</w:t>
        </w:r>
      </w:hyperlink>
      <w:r>
        <w:t xml:space="preserve">)</w:t>
      </w:r>
      <w:r>
        <w:t xml:space="preserve">.</w:t>
      </w:r>
    </w:p>
    <w:p>
      <w:pPr>
        <w:pStyle w:val="Notaalopositor"/>
        <w:keepLines/>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29"/>
    <w:bookmarkEnd w:id="130"/>
    <w:bookmarkStart w:id="151" w:name="sec_solucion_problema_maximizacion"/>
    <w:p>
      <w:pPr>
        <w:pStyle w:val="Heading2"/>
      </w:pPr>
      <w:r>
        <w:t xml:space="preserve">I.3.</w:t>
      </w:r>
      <w:r>
        <w:t xml:space="preserve"> </w:t>
      </w:r>
      <w:r>
        <w:t xml:space="preserve">Solución al problema de maximización</w:t>
      </w:r>
    </w:p>
    <w:p>
      <w:pPr>
        <w:numPr>
          <w:ilvl w:val="0"/>
          <w:numId w:val="1062"/>
        </w:numPr>
      </w:pPr>
      <w:r>
        <w:t xml:space="preserve">Una vez planteado el problema y caracterizado su equilibrio, pasamos a estudiar su solución: la demanda marshalliana, la función indirecta de utilidad y, al agregar, la demanda de mercado.</w:t>
      </w:r>
    </w:p>
    <w:p>
      <w:pPr>
        <w:pStyle w:val="Notaalopositor"/>
        <w:keepLines/>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2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38" w:name="sec_demanda_individual_marshalliana"/>
    <w:p>
      <w:pPr>
        <w:pStyle w:val="Heading3"/>
      </w:pPr>
      <w:r>
        <w:t xml:space="preserve">I.3.1.</w:t>
      </w:r>
      <w:r>
        <w:t xml:space="preserve"> </w:t>
      </w:r>
      <w:r>
        <w:t xml:space="preserve">Demanda individual marshalliana</w:t>
      </w:r>
    </w:p>
    <w:p>
      <w:pPr>
        <w:numPr>
          <w:ilvl w:val="0"/>
          <w:numId w:val="1063"/>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31"/>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bookmarkStart w:id="132" w:name="eq_scedm"/>
    <w:bookmarkEnd w:id="132"/>
    <w:p>
      <w:pPr>
        <w:pStyle w:val="Funcionclave"/>
        <w:keepLines/>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oMath>
      </m:oMathPara>
    </w:p>
    <w:p>
      <w:pPr>
        <w:keepNext/>
        <w:numPr>
          <w:ilvl w:val="0"/>
          <w:numId w:val="1063"/>
        </w:numPr>
      </w:pPr>
      <w:r>
        <w:t xml:space="preserve">Sus</w:t>
      </w:r>
      <w:r>
        <w:t xml:space="preserve"> </w:t>
      </w:r>
      <w:r>
        <w:rPr>
          <w:i/>
          <w:iCs/>
        </w:rPr>
        <w:t xml:space="preserve">propiedades</w:t>
      </w:r>
      <w:r>
        <w:t xml:space="preserve">:</w:t>
      </w:r>
    </w:p>
    <w:p>
      <w:pPr>
        <w:numPr>
          <w:ilvl w:val="1"/>
          <w:numId w:val="1064"/>
        </w:numPr>
      </w:pPr>
      <w:r>
        <w:rPr>
          <w:i/>
          <w:iCs/>
        </w:rPr>
        <w:t xml:space="preserve">Existe y es única</w:t>
      </w:r>
      <w:r>
        <w:t xml:space="preserve">.</w:t>
      </w:r>
      <w:r>
        <w:rPr>
          <w:rStyle w:val="FootnoteReference"/>
        </w:rPr>
        <w:footnoteReference w:id="133"/>
      </w:r>
    </w:p>
    <w:p>
      <w:pPr>
        <w:numPr>
          <w:ilvl w:val="1"/>
          <w:numId w:val="1064"/>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4"/>
      </w:r>
    </w:p>
    <w:p>
      <w:pPr>
        <w:numPr>
          <w:ilvl w:val="1"/>
          <w:numId w:val="1064"/>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w:t>
      </w:r>
      <w:r>
        <w:rPr>
          <w:rStyle w:val="FootnoteReference"/>
        </w:rPr>
        <w:footnoteReference w:id="135"/>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64"/>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36"/>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64"/>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7"/>
      </w:r>
    </w:p>
    <w:bookmarkEnd w:id="138"/>
    <w:bookmarkStart w:id="141" w:name="sec_funcion_indirecta_utilidad"/>
    <w:p>
      <w:pPr>
        <w:pStyle w:val="Heading3"/>
      </w:pPr>
      <w:r>
        <w:t xml:space="preserve">I.3.2.</w:t>
      </w:r>
      <w:r>
        <w:t xml:space="preserve"> </w:t>
      </w:r>
      <w:r>
        <w:t xml:space="preserve">La función indirecta de utilidad</w:t>
      </w:r>
    </w:p>
    <w:p>
      <w:pPr>
        <w:numPr>
          <w:ilvl w:val="0"/>
          <w:numId w:val="1065"/>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 es decir, el valor óptimo del PMU (</w:t>
      </w:r>
      <w:hyperlink w:anchor="eq_pmu">
        <w:r>
          <w:rPr>
            <w:rStyle w:val="Hyperlink"/>
          </w:rPr>
          <w:t xml:space="preserve">8</w:t>
        </w:r>
      </w:hyperlink>
      <w:r>
        <w:t xml:space="preserve">),</w:t>
      </w:r>
      <w:r>
        <w:t xml:space="preserve"> </w:t>
      </w:r>
      <w:bookmarkStart w:id="139" w:name="eq_fiu"/>
      <w:bookmarkEnd w:id="139"/>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65"/>
        </w:numPr>
      </w:pPr>
      <w:r>
        <w:rPr>
          <w:i/>
          <w:iCs/>
        </w:rPr>
        <w:t xml:space="preserve">Propiedades</w:t>
      </w:r>
      <w:r>
        <w:t xml:space="preserve"> </w:t>
      </w:r>
      <w:r>
        <w:t xml:space="preserve">de la FIU</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w:t>
      </w:r>
    </w:p>
    <w:p>
      <w:pPr>
        <w:numPr>
          <w:ilvl w:val="1"/>
          <w:numId w:val="1066"/>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66"/>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precios y renta no altera la cesta elegida ni, por tanto, el bienestar;</w:t>
      </w:r>
    </w:p>
    <w:p>
      <w:pPr>
        <w:numPr>
          <w:ilvl w:val="1"/>
          <w:numId w:val="1066"/>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6"/>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r>
              <m:rPr>
                <m:sty m:val="p"/>
              </m:rPr>
              <m:t>,</m:t>
            </m:r>
            <m:r>
              <m:t> </m:t>
            </m:r>
            <m:r>
              <m:t>τ</m:t>
            </m:r>
            <m:bar>
              <m:barPr>
                <m:pos m:val="top"/>
              </m:barPr>
              <m:e>
                <m:r>
                  <m:t>W</m:t>
                </m:r>
              </m:e>
            </m:bar>
            <m:r>
              <m:rPr>
                <m:sty m:val="p"/>
              </m:rPr>
              <m:t>+</m:t>
            </m:r>
            <m:d>
              <m:dPr>
                <m:begChr m:val="("/>
                <m:sepChr m:val=""/>
                <m:endChr m:val=")"/>
                <m:grow/>
              </m:dPr>
              <m:e>
                <m:r>
                  <m:t>1</m:t>
                </m:r>
                <m:r>
                  <m:rPr>
                    <m:sty m:val="p"/>
                  </m:rPr>
                  <m:t>−</m:t>
                </m:r>
                <m:r>
                  <m:t>τ</m:t>
                </m:r>
              </m:e>
            </m:d>
            <m:bar>
              <m:barPr>
                <m:pos m:val="top"/>
              </m:barPr>
              <m:e>
                <m:r>
                  <m:t>W</m:t>
                </m:r>
              </m:e>
            </m:bar>
            <m:r>
              <m:rPr>
                <m:sty m:val="p"/>
              </m:rPr>
              <m:t>′</m:t>
            </m:r>
          </m:e>
        </m:d>
      </m:oMath>
      <w:r>
        <w:t xml:space="preserve"> </w:t>
      </w:r>
      <w:r>
        <w:t xml:space="preserve">es asequible con al menos uno de los 2 presupuestos extremos; por tanto, la utilidad alcanzable con el promedio no supera la mayor de las dos. No depende de la convexidad de las preferencias;</w:t>
      </w:r>
    </w:p>
    <w:p>
      <w:pPr>
        <w:numPr>
          <w:ilvl w:val="1"/>
          <w:numId w:val="1066"/>
        </w:numPr>
      </w:pPr>
      <w:r>
        <w:t xml:space="preserve">cumple la</w:t>
      </w:r>
      <w:r>
        <w:t xml:space="preserve"> </w:t>
      </w:r>
      <w:r>
        <w:rPr>
          <w:b/>
          <w:bCs/>
        </w:rPr>
        <w:t xml:space="preserve">identidad de</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r>
        <w:t xml:space="preserve"> </w:t>
      </w:r>
      <w:bookmarkStart w:id="140" w:name="eq_roy"/>
      <w:bookmarkEnd w:id="140"/>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w:t>
      </w:r>
      <w:hyperlink w:anchor="der_roy">
        <w:r>
          <w:rPr>
            <w:rStyle w:val="Hyperlink"/>
          </w:rPr>
          <w:t xml:space="preserve">B.4</w:t>
        </w:r>
      </w:hyperlink>
      <w:r>
        <w:t xml:space="preserve">).</w:t>
      </w:r>
    </w:p>
    <w:p>
      <w:pPr>
        <w:numPr>
          <w:ilvl w:val="0"/>
          <w:numId w:val="1065"/>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hyperlink r:id="rId30">
        <w:r>
          <w:rPr>
            <w:rStyle w:val="Referenciaatema"/>
          </w:rPr>
          <w:t xml:space="preserve">[ver tema 3.A.9]</w:t>
        </w:r>
      </w:hyperlink>
      <w:r>
        <w:t xml:space="preserve">.</w:t>
      </w:r>
    </w:p>
    <w:bookmarkEnd w:id="141"/>
    <w:bookmarkStart w:id="150" w:name="sec_curva_demanda_mercado"/>
    <w:p>
      <w:pPr>
        <w:pStyle w:val="Heading3"/>
      </w:pPr>
      <w:r>
        <w:t xml:space="preserve">I.3.3.</w:t>
      </w:r>
      <w:r>
        <w:t xml:space="preserve"> </w:t>
      </w:r>
      <w:r>
        <w:t xml:space="preserve">Curva de demanda de mercado: agregación y efecto renta nulo</w:t>
      </w:r>
    </w:p>
    <w:p>
      <w:pPr>
        <w:numPr>
          <w:ilvl w:val="0"/>
          <w:numId w:val="1067"/>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r>
        <w:t xml:space="preserve"> </w:t>
      </w:r>
      <w:bookmarkStart w:id="142" w:name="eq_demanda_mercado"/>
      <w:bookmarkEnd w:id="142"/>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keepNext/>
        <w:numPr>
          <w:ilvl w:val="0"/>
          <w:numId w:val="1067"/>
        </w:numPr>
      </w:pPr>
      <w:r>
        <w:rPr>
          <w:i/>
          <w:i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8"/>
        </w:numPr>
      </w:pPr>
      <w:r>
        <w:rPr>
          <w:b/>
          <w:bCs/>
        </w:rPr>
        <w:t xml:space="preserve">Condición de</w:t>
      </w:r>
      <w:r>
        <w:t xml:space="preserve"> </w:t>
      </w:r>
      <w:r>
        <w:rPr>
          <w:smallCaps/>
        </w:rPr>
        <w:t xml:space="preserve">Gorman</w:t>
      </w:r>
      <w:r>
        <w:t xml:space="preserve"> </w:t>
      </w:r>
      <w:r>
        <w:t xml:space="preserve">(</w:t>
      </w:r>
      <w:hyperlink w:anchor="ref_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43"/>
      </w:r>
      <w:r>
        <w:t xml:space="preserve"> </w:t>
      </w:r>
      <w:r>
        <w:t xml:space="preserve">la</w:t>
      </w:r>
      <w:r>
        <w:t xml:space="preserve"> </w:t>
      </w:r>
      <w:r>
        <w:rPr>
          <w:b/>
          <w:bCs/>
        </w:rPr>
        <w:t xml:space="preserve">forma polar de</w:t>
      </w:r>
      <w:r>
        <w:t xml:space="preserve"> </w:t>
      </w:r>
      <w:r>
        <w:rPr>
          <w:smallCaps/>
        </w:rPr>
        <w:t xml:space="preserve">Gorman</w:t>
      </w:r>
      <w:r>
        <w:t xml:space="preserve"> </w:t>
      </w:r>
      <w:r>
        <w:t xml:space="preserve">(</w:t>
      </w:r>
      <w:hyperlink w:anchor="ref_Gorman1961Class">
        <w:r>
          <w:rPr>
            <w:rStyle w:val="Hyperlink"/>
          </w:rPr>
          <w:t xml:space="preserve">1961</w:t>
        </w:r>
      </w:hyperlink>
      <w:r>
        <w:t xml:space="preserve">)</w:t>
      </w:r>
      <w:r>
        <w:t xml:space="preserve">:</w:t>
      </w:r>
      <w:r>
        <w:t xml:space="preserve"> </w:t>
      </w:r>
      <w:bookmarkStart w:id="144" w:name="eq_gorman"/>
      <w:bookmarkEnd w:id="144"/>
    </w:p>
    <w:p>
      <w:pPr>
        <w:pStyle w:val="BodyText"/>
        <w:keepNext/>
      </w:pPr>
      <m:oMathPara>
        <m:oMathParaPr>
          <m:jc m:val="center"/>
        </m:oMathParaPr>
        <m:oMath>
          <m:sSub>
            <m:e>
              <m:r>
                <m:t>V</m:t>
              </m:r>
            </m:e>
            <m:sub>
              <m:r>
                <m:t>h</m:t>
              </m:r>
            </m:sub>
          </m:sSub>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acc>
              <m:accPr>
                <m:chr m:val="⃗"/>
              </m:accPr>
              <m:e>
                <m:r>
                  <m:t>p</m:t>
                </m:r>
              </m:e>
            </m:acc>
          </m:e>
        </m:d>
      </m:oMath>
      <w:r>
        <w:t xml:space="preserve"> </w:t>
      </w:r>
      <w:r>
        <w:rPr>
          <w:i/>
          <w:iCs/>
        </w:rPr>
        <w:t xml:space="preserve">común</w:t>
      </w:r>
      <w:r>
        <w:t xml:space="preserve"> </w:t>
      </w:r>
      <w:r>
        <w:t xml:space="preserve">a todos.</w:t>
      </w:r>
      <w:r>
        <w:rPr>
          <w:rStyle w:val="FootnoteReference"/>
        </w:rPr>
        <w:footnoteReference w:id="145"/>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4.B.1)</w:t>
      </w:r>
      <w:r>
        <w:t xml:space="preserve">.</w:t>
      </w:r>
    </w:p>
    <w:p>
      <w:pPr>
        <w:keepNext/>
        <w:numPr>
          <w:ilvl w:val="1"/>
          <w:numId w:val="1068"/>
        </w:numPr>
      </w:pPr>
      <w:r>
        <w:t xml:space="preserve">Casos particulares:</w:t>
      </w:r>
    </w:p>
    <w:p>
      <w:pPr>
        <w:numPr>
          <w:ilvl w:val="2"/>
          <w:numId w:val="1069"/>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acc>
              <m:accPr>
                <m:chr m:val="⃗"/>
              </m:accPr>
              <m:e>
                <m:r>
                  <m:t>p</m:t>
                </m:r>
              </m:e>
            </m:acc>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9"/>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8"/>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hyperlink r:id="rId61">
        <w:r>
          <w:rPr>
            <w:rStyle w:val="Referenciaatema"/>
          </w:rPr>
          <w:t xml:space="preserve">[ver tema 3.A.24]</w:t>
        </w:r>
      </w:hyperlink>
      <w:r>
        <w:t xml:space="preserv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hyperlink r:id="rId30">
        <w:r>
          <w:rPr>
            <w:rStyle w:val="Referenciaatema"/>
          </w:rPr>
          <w:t xml:space="preserve">[ver tema 3.A.9]</w:t>
        </w:r>
      </w:hyperlink>
      <w:r>
        <w:t xml:space="preserve">.</w:t>
      </w:r>
    </w:p>
    <w:bookmarkStart w:id="149" w:name="fig_engel_gorman"/>
    <w:p>
      <w:pPr>
        <w:pStyle w:val="ImageCaption"/>
      </w:pPr>
      <w:r>
        <w:t xml:space="preserve">Gráfico 12.–</w:t>
      </w:r>
      <w:r>
        <w:t xml:space="preserve"> </w:t>
      </w:r>
      <w:r>
        <w:t xml:space="preserve">Forma polar de</w:t>
      </w:r>
      <w:r>
        <w:t xml:space="preserve"> </w:t>
      </w:r>
      <w:r>
        <w:rPr>
          <w:smallCaps/>
        </w:rPr>
        <w:t xml:space="preserve">Gorman</w:t>
      </w:r>
      <w:r>
        <w:t xml:space="preserve">: curvas de</w:t>
      </w:r>
      <w:r>
        <w:t xml:space="preserve"> </w:t>
      </w:r>
      <w:r>
        <w:rPr>
          <w:smallCaps/>
        </w:rPr>
        <w:t xml:space="preserve">Engel</w:t>
      </w:r>
      <w:r>
        <w:t xml:space="preserve"> </w:t>
      </w:r>
      <w:r>
        <w:t xml:space="preserve">rectas y paralelas de 2 consumidores</w:t>
      </w:r>
    </w:p>
    <w:p>
      <w:pPr>
        <w:pStyle w:val="CaptionedFigure"/>
      </w:pPr>
      <w:r>
        <w:drawing>
          <wp:inline>
            <wp:extent cx="2483253" cy="1883847"/>
            <wp:effectExtent b="0" l="0" r="0" t="0"/>
            <wp:docPr descr="Gráfico 12.– Forma polar de Gorman: curvas de Engel rectas y paralelas de 2 consumidores" title="" id="147" name="Picture"/>
            <a:graphic>
              <a:graphicData uri="http://schemas.openxmlformats.org/drawingml/2006/picture">
                <pic:pic>
                  <pic:nvPicPr>
                    <pic:cNvPr descr="C:\Users\vgutierrez\Documents\src\victorgutierrezmarcos.github.io-revision\oposicion\temario\fuentes\3A08\graficos/engel-gorman.png" id="148" name="Picture"/>
                    <pic:cNvPicPr>
                      <a:picLocks noChangeArrowheads="1" noChangeAspect="1"/>
                    </pic:cNvPicPr>
                  </pic:nvPicPr>
                  <pic:blipFill>
                    <a:blip r:embed="rId146"/>
                    <a:stretch>
                      <a:fillRect/>
                    </a:stretch>
                  </pic:blipFill>
                  <pic:spPr bwMode="auto">
                    <a:xfrm>
                      <a:off x="0" y="0"/>
                      <a:ext cx="2483253" cy="1883847"/>
                    </a:xfrm>
                    <a:prstGeom prst="rect">
                      <a:avLst/>
                    </a:prstGeom>
                    <a:noFill/>
                    <a:ln w="9525">
                      <a:noFill/>
                      <a:headEnd/>
                      <a:tailEnd/>
                    </a:ln>
                  </pic:spPr>
                </pic:pic>
              </a:graphicData>
            </a:graphic>
          </wp:inline>
        </w:drawing>
      </w:r>
    </w:p>
    <w:bookmarkEnd w:id="14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4</w:t>
        </w:r>
      </w:hyperlink>
      <w:r>
        <w:t xml:space="preserve">)</w:t>
      </w:r>
      <w:r>
        <w:t xml:space="preserve">.</w:t>
      </w:r>
    </w:p>
    <w:p>
      <w:pPr>
        <w:keepNext/>
        <w:numPr>
          <w:ilvl w:val="0"/>
          <w:numId w:val="1070"/>
        </w:numPr>
      </w:pPr>
      <w:r>
        <w:rPr>
          <w:i/>
          <w:iCs/>
        </w:rPr>
        <w:t xml:space="preserve">El efecto renta nulo</w:t>
      </w:r>
      <w:r>
        <w:t xml:space="preserve"> </w:t>
      </w:r>
      <w:r>
        <w:t xml:space="preserve">(preferencias cuasilineales) es el caso más usado en equilibrio parcial porque:</w:t>
      </w:r>
    </w:p>
    <w:p>
      <w:pPr>
        <w:numPr>
          <w:ilvl w:val="1"/>
          <w:numId w:val="1071"/>
        </w:numPr>
      </w:pPr>
      <w:r>
        <w:t xml:space="preserve">la demanda de cada bien depende solo de los precios, y la agregación es inmediata;</w:t>
      </w:r>
    </w:p>
    <w:p>
      <w:pPr>
        <w:numPr>
          <w:ilvl w:val="1"/>
          <w:numId w:val="1071"/>
        </w:numPr>
      </w:pPr>
      <w:r>
        <w:t xml:space="preserve">la demanda marshalliana coincide con la hicksiana (la que mantiene constante la utilidad), y el excedente del consumidor es una medida exacta del bienestar</w:t>
      </w:r>
      <w:r>
        <w:t xml:space="preserve"> </w:t>
      </w:r>
      <w:hyperlink r:id="rId30">
        <w:r>
          <w:rPr>
            <w:rStyle w:val="Referenciaatema"/>
          </w:rPr>
          <w:t xml:space="preserve">[ver tema 3.A.9]</w:t>
        </w:r>
      </w:hyperlink>
      <w:r>
        <w:t xml:space="preserve"> </w:t>
      </w:r>
      <w:hyperlink r:id="rId22">
        <w:r>
          <w:rPr>
            <w:rStyle w:val="Referenciaatema"/>
          </w:rPr>
          <w:t xml:space="preserve">[ver tema 3.A.16]</w:t>
        </w:r>
      </w:hyperlink>
      <w:r>
        <w:t xml:space="preserve">.</w:t>
      </w:r>
    </w:p>
    <w:p>
      <w:pPr>
        <w:keepNext/>
        <w:numPr>
          <w:ilvl w:val="0"/>
          <w:numId w:val="1070"/>
        </w:numPr>
      </w:pPr>
      <w:r>
        <w:rPr>
          <w:i/>
          <w:iCs/>
        </w:rPr>
        <w:t xml:space="preserve">Problemas del efecto renta nulo</w:t>
      </w:r>
      <w:r>
        <w:t xml:space="preserve">:</w:t>
      </w:r>
    </w:p>
    <w:p>
      <w:pPr>
        <w:numPr>
          <w:ilvl w:val="1"/>
          <w:numId w:val="1072"/>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72"/>
        </w:numPr>
      </w:pPr>
      <w:r>
        <w:t xml:space="preserve">exige que toda la renta adicional vaya al numerario, lo que solo es razonable para bienes que pesan poco en el gasto;</w:t>
      </w:r>
    </w:p>
    <w:p>
      <w:pPr>
        <w:numPr>
          <w:ilvl w:val="1"/>
          <w:numId w:val="1072"/>
        </w:numPr>
      </w:pPr>
      <w:r>
        <w:t xml:space="preserve">si la renta de algún consumidor es baja, aparecen soluciones de esquina en el numerario y la forma deja de valer;</w:t>
      </w:r>
    </w:p>
    <w:p>
      <w:pPr>
        <w:numPr>
          <w:ilvl w:val="1"/>
          <w:numId w:val="1072"/>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keepNext/>
        <w:numPr>
          <w:ilvl w:val="0"/>
          <w:numId w:val="1070"/>
        </w:numPr>
      </w:pPr>
      <w:r>
        <w:rPr>
          <w:i/>
          <w:iCs/>
        </w:rPr>
        <w:t xml:space="preserve">Segundo problema: ¿hereda la demanda agregada las propiedades de la individual?</w:t>
      </w:r>
      <w:r>
        <w:t xml:space="preserve"> </w:t>
      </w:r>
      <w:r>
        <w:t xml:space="preserve">Solo en parte:</w:t>
      </w:r>
    </w:p>
    <w:p>
      <w:pPr>
        <w:numPr>
          <w:ilvl w:val="1"/>
          <w:numId w:val="1073"/>
        </w:numPr>
      </w:pPr>
      <w:r>
        <w:t xml:space="preserve">se conservan la continuidad, la homogeneidad de grado cero y la ley de</w:t>
      </w:r>
      <w:r>
        <w:t xml:space="preserve"> </w:t>
      </w:r>
      <w:r>
        <w:rPr>
          <w:smallCaps/>
        </w:rPr>
        <w:t xml:space="preserve">Walras</w:t>
      </w:r>
      <w:r>
        <w:t xml:space="preserve">;</w:t>
      </w:r>
    </w:p>
    <w:p>
      <w:pPr>
        <w:numPr>
          <w:ilvl w:val="1"/>
          <w:numId w:val="1073"/>
        </w:numPr>
      </w:pPr>
      <w:r>
        <w:t xml:space="preserve">no se conservan el axioma débil de la preferencia revelada ni la simetría y negatividad de la matriz de</w:t>
      </w:r>
      <w:r>
        <w:t xml:space="preserve"> </w:t>
      </w:r>
      <w:r>
        <w:rPr>
          <w:smallCaps/>
        </w:rPr>
        <w:t xml:space="preserve">Slutsky</w:t>
      </w:r>
      <w:r>
        <w:t xml:space="preserve">: los efectos renta de consumidores distintos no se cancelan;</w:t>
      </w:r>
    </w:p>
    <w:p>
      <w:pPr>
        <w:numPr>
          <w:ilvl w:val="1"/>
          <w:numId w:val="1073"/>
        </w:numPr>
      </w:pPr>
      <w:r>
        <w:t xml:space="preserve">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para precios estrictamente positivos, la función de exceso de demanda agregada de alguna economía: no se garantizan la unicidad ni la estabilidad del equilibrio</w:t>
      </w:r>
      <w:r>
        <w:t xml:space="preserve"> </w:t>
      </w:r>
      <w:hyperlink r:id="rId23">
        <w:r>
          <w:rPr>
            <w:rStyle w:val="Referenciaatema"/>
          </w:rPr>
          <w:t xml:space="preserve">[ver tema 3.A.21]</w:t>
        </w:r>
      </w:hyperlink>
      <w:r>
        <w:t xml:space="preserve">.</w:t>
      </w:r>
    </w:p>
    <w:p>
      <w:pPr>
        <w:pStyle w:val="Ideaclave"/>
        <w:keepLines/>
      </w:pPr>
      <w:r>
        <w:t xml:space="preserve">La demanda de mercado solo depende de los precios y de la renta total, como la de un consumidor representativo, si las curvas de</w:t>
      </w:r>
      <w:r>
        <w:t xml:space="preserve"> </w:t>
      </w:r>
      <w:r>
        <w:rPr>
          <w:smallCaps/>
        </w:rPr>
        <w:t xml:space="preserve">Engel</w:t>
      </w:r>
      <w:r>
        <w:t xml:space="preserve"> </w:t>
      </w:r>
      <w:r>
        <w:t xml:space="preserve">de todos los consumidores son rectas y paralelas (forma polar de</w:t>
      </w:r>
      <w:r>
        <w:t xml:space="preserve"> </w:t>
      </w:r>
      <w:r>
        <w:rPr>
          <w:smallCaps/>
        </w:rPr>
        <w:t xml:space="preserve">Gorman</w:t>
      </w:r>
      <w:r>
        <w:t xml:space="preserve">). El efecto renta nulo es el caso más cómodo, pero también el más restrictivo.</w:t>
      </w:r>
    </w:p>
    <w:p>
      <w:pPr>
        <w:numPr>
          <w:ilvl w:val="0"/>
          <w:numId w:val="1074"/>
        </w:numPr>
      </w:pPr>
      <w:r>
        <w:rPr>
          <w:i/>
          <w:i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50"/>
    <w:bookmarkEnd w:id="151"/>
    <w:bookmarkEnd w:id="152"/>
    <w:bookmarkStart w:id="210" w:name="sec_analisis_teoria_neoclasica_demanda"/>
    <w:p>
      <w:pPr>
        <w:pStyle w:val="Heading1"/>
      </w:pPr>
      <w:r>
        <w:t xml:space="preserve">II.</w:t>
      </w:r>
      <w:r>
        <w:t xml:space="preserve"> </w:t>
      </w:r>
      <w:r>
        <w:t xml:space="preserve">Análisis de la teoría neoclásica de la demanda</w:t>
      </w:r>
      <w:r>
        <w:br/>
      </w:r>
      <w:r>
        <w:t xml:space="preserve">del consumidor (II): estática comparativa</w:t>
      </w:r>
      <w:r>
        <w:br/>
      </w:r>
      <w:r>
        <w:t xml:space="preserve">(análisis gráfico y de elasticidades)</w:t>
      </w:r>
      <w:r>
        <w:t xml:space="preserve"> </w:t>
      </w:r>
      <w:r>
        <w:rPr>
          <w:rStyle w:val="Minutos"/>
        </w:rPr>
        <w:t xml:space="preserve">8′</w:t>
      </w:r>
    </w:p>
    <w:p>
      <w:pPr>
        <w:pStyle w:val="Notaalopositor"/>
        <w:keepLines/>
      </w:pPr>
      <w:r>
        <w:rPr>
          <w:b/>
          <w:bCs/>
        </w:rPr>
        <w:t xml:space="preserve">Nota al opositor. </w:t>
      </w:r>
      <w:r>
        <w:t xml:space="preserve">En el cante: variaciones en la renta (unos 2′30″), variaciones en los precios, propio y cruzado (4′30″), y valoración (1′). Se dibujan la curva de renta-consumo con la curva de</w:t>
      </w:r>
      <w:r>
        <w:t xml:space="preserve"> </w:t>
      </w:r>
      <w:r>
        <w:rPr>
          <w:smallCaps/>
        </w:rPr>
        <w:t xml:space="preserve">Engel</w:t>
      </w:r>
      <w:r>
        <w:t xml:space="preserve"> </w:t>
      </w:r>
      <w:r>
        <w:t xml:space="preserve">(gráfico </w:t>
      </w:r>
      <w:hyperlink w:anchor="fig_renta_consumo_engel">
        <w:r>
          <w:rPr>
            <w:rStyle w:val="Hyperlink"/>
          </w:rPr>
          <w:t xml:space="preserve">13</w:t>
        </w:r>
      </w:hyperlink>
      <w:r>
        <w:t xml:space="preserve">) y la descomposición de</w:t>
      </w:r>
      <w:r>
        <w:t xml:space="preserve"> </w:t>
      </w:r>
      <w:r>
        <w:rPr>
          <w:smallCaps/>
        </w:rPr>
        <w:t xml:space="preserve">Slutsky</w:t>
      </w:r>
      <w:r>
        <w:t xml:space="preserve"> </w:t>
      </w:r>
      <w:r>
        <w:t xml:space="preserve">con la curva de demanda (gráfico </w:t>
      </w:r>
      <w:hyperlink w:anchor="fig_efecto_sustitucion_renta">
        <w:r>
          <w:rPr>
            <w:rStyle w:val="Hyperlink"/>
          </w:rPr>
          <w:t xml:space="preserve">17</w:t>
        </w:r>
      </w:hyperlink>
      <w:r>
        <w:t xml:space="preserve">),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se amplían en</w:t>
      </w:r>
      <w:r>
        <w:t xml:space="preserve"> </w:t>
      </w:r>
      <w:hyperlink r:id="rId30">
        <w:r>
          <w:rPr>
            <w:rStyle w:val="Referenciaatema"/>
          </w:rPr>
          <w:t xml:space="preserve">[ver tema 3.A.9]</w:t>
        </w:r>
      </w:hyperlink>
      <w:r>
        <w:t xml:space="preserve">: en el cante solo se enuncian, y el anexo </w:t>
      </w:r>
      <w:hyperlink w:anchor="anexo_derivaciones">
        <w:r>
          <w:rPr>
            <w:rStyle w:val="Hyperlink"/>
          </w:rPr>
          <w:t xml:space="preserve">B</w:t>
        </w:r>
      </w:hyperlink>
      <w:r>
        <w:t xml:space="preserve"> </w:t>
      </w:r>
      <w:r>
        <w:t xml:space="preserve">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keepNext/>
        <w:numPr>
          <w:ilvl w:val="0"/>
          <w:numId w:val="1075"/>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76"/>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w:t>
      </w:r>
      <w:hyperlink w:anchor="sec_solucion_problema_maximizacion">
        <w:r>
          <w:rPr>
            <w:rStyle w:val="Hyperlink"/>
          </w:rPr>
          <w:t xml:space="preserve">I.3</w:t>
        </w:r>
      </w:hyperlink>
      <w:r>
        <w:t xml:space="preserve">),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53"/>
      </w:r>
    </w:p>
    <w:p>
      <w:pPr>
        <w:numPr>
          <w:ilvl w:val="1"/>
          <w:numId w:val="1076"/>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70" w:name="sec_variaciones_renta"/>
    <w:p>
      <w:pPr>
        <w:pStyle w:val="Heading2"/>
      </w:pPr>
      <w:r>
        <w:t xml:space="preserve">II.1.</w:t>
      </w:r>
      <w:r>
        <w:t xml:space="preserve"> </w:t>
      </w:r>
      <w:r>
        <w:t xml:space="preserve">Variaciones en la renta</w:t>
      </w:r>
    </w:p>
    <w:bookmarkStart w:id="160" w:name="sec_analisis_grafico_curva"/>
    <w:p>
      <w:pPr>
        <w:pStyle w:val="Heading3"/>
      </w:pPr>
      <w:r>
        <w:t xml:space="preserve">II.1.1.</w:t>
      </w:r>
      <w:r>
        <w:t xml:space="preserve"> </w:t>
      </w:r>
      <w:r>
        <w:t xml:space="preserve">Análisis gráfico: curva de renta-consumo y curva de</w:t>
      </w:r>
      <w:r>
        <w:t xml:space="preserve"> </w:t>
      </w:r>
      <w:r>
        <w:rPr>
          <w:smallCaps/>
        </w:rPr>
        <w:t xml:space="preserve">Engel</w:t>
      </w:r>
    </w:p>
    <w:p>
      <w:pPr>
        <w:keepNext/>
        <w:numPr>
          <w:ilvl w:val="0"/>
          <w:numId w:val="1077"/>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8"/>
        </w:numPr>
      </w:pPr>
      <w:r>
        <w:t xml:space="preserve">Si los 2 bienes son normales, tiene pendiente positiva; en el tramo en que uno de ellos es inferior, la pendiente es negativa.</w:t>
      </w:r>
    </w:p>
    <w:p>
      <w:pPr>
        <w:numPr>
          <w:ilvl w:val="1"/>
          <w:numId w:val="1078"/>
        </w:numPr>
      </w:pPr>
      <w:r>
        <w:t xml:space="preserve">Con preferencias homotéticas, la CRC es una semirrecta que parte del origen: la proporción en que se consumen los bienes no depende de la renta.</w:t>
      </w:r>
      <w:r>
        <w:rPr>
          <w:rStyle w:val="FootnoteReference"/>
        </w:rPr>
        <w:footnoteReference w:id="154"/>
      </w:r>
    </w:p>
    <w:p>
      <w:pPr>
        <w:keepNext/>
        <w:numPr>
          <w:ilvl w:val="0"/>
          <w:numId w:val="1077"/>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55"/>
      </w:r>
    </w:p>
    <w:p>
      <w:pPr>
        <w:numPr>
          <w:ilvl w:val="1"/>
          <w:numId w:val="1079"/>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9"/>
        </w:numPr>
      </w:pPr>
      <w:r>
        <w:t xml:space="preserve">Un bien puede ser normal hasta cierto nivel de renta e inferior a partir de él (gráfico </w:t>
      </w:r>
      <w:hyperlink w:anchor="fig_renta_consumo_engel">
        <w:r>
          <w:rPr>
            <w:rStyle w:val="Hyperlink"/>
          </w:rPr>
          <w:t xml:space="preserve">13</w:t>
        </w:r>
      </w:hyperlink>
      <w:r>
        <w:t xml:space="preserve">, panel derecho). Es lo que ocurre con bienes que el consumidor sustituye por otros de más calidad cuando su renta aumenta; pueden servir de ejemplo la comida rápida o las marcas blancas.</w:t>
      </w:r>
    </w:p>
    <w:bookmarkStart w:id="159" w:name="fig_renta_consumo_engel"/>
    <w:p>
      <w:pPr>
        <w:pStyle w:val="ImageCaption"/>
      </w:pPr>
      <w:r>
        <w:t xml:space="preserve">Gráfico 13.–</w:t>
      </w:r>
      <w:r>
        <w:t xml:space="preserve"> </w:t>
      </w:r>
      <w:r>
        <w:t xml:space="preserve">Curva de renta-consumo y curva de</w:t>
      </w:r>
      <w:r>
        <w:t xml:space="preserve"> </w:t>
      </w:r>
      <w:r>
        <w:rPr>
          <w:smallCaps/>
        </w:rPr>
        <w:t xml:space="preserve">Engel</w:t>
      </w:r>
      <w:r>
        <w:t xml:space="preserve"> </w:t>
      </w:r>
      <w:r>
        <w:t xml:space="preserve">de un bien normal hasta cierto nivel de renta e inferior a partir de él</w:t>
      </w:r>
    </w:p>
    <w:p>
      <w:pPr>
        <w:pStyle w:val="CaptionedFigure"/>
      </w:pPr>
      <w:r>
        <w:drawing>
          <wp:inline>
            <wp:extent cx="4948157" cy="2208016"/>
            <wp:effectExtent b="0" l="0" r="0" t="0"/>
            <wp:docPr descr="Gráfico 13.– Curva de renta-consumo y curva de Engel de un bien normal hasta cierto nivel de renta e inferior a partir de él" title="" id="157" name="Picture"/>
            <a:graphic>
              <a:graphicData uri="http://schemas.openxmlformats.org/drawingml/2006/picture">
                <pic:pic>
                  <pic:nvPicPr>
                    <pic:cNvPr descr="C:\Users\vgutierrez\Documents\src\victorgutierrezmarcos.github.io-revision\oposicion\temario\fuentes\3A08\graficos/renta-consumo-engel.png" id="158" name="Picture"/>
                    <pic:cNvPicPr>
                      <a:picLocks noChangeArrowheads="1" noChangeAspect="1"/>
                    </pic:cNvPicPr>
                  </pic:nvPicPr>
                  <pic:blipFill>
                    <a:blip r:embed="rId156"/>
                    <a:stretch>
                      <a:fillRect/>
                    </a:stretch>
                  </pic:blipFill>
                  <pic:spPr bwMode="auto">
                    <a:xfrm>
                      <a:off x="0" y="0"/>
                      <a:ext cx="4948157" cy="2208016"/>
                    </a:xfrm>
                    <a:prstGeom prst="rect">
                      <a:avLst/>
                    </a:prstGeom>
                    <a:noFill/>
                    <a:ln w="9525">
                      <a:noFill/>
                      <a:headEnd/>
                      <a:tailEnd/>
                    </a:ln>
                  </pic:spPr>
                </pic:pic>
              </a:graphicData>
            </a:graphic>
          </wp:inline>
        </w:drawing>
      </w:r>
    </w:p>
    <w:bookmarkEnd w:id="15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w:t>
      </w:r>
    </w:p>
    <w:bookmarkEnd w:id="160"/>
    <w:bookmarkStart w:id="167" w:name="sec_analisis_elasticidades_elasticidad"/>
    <w:p>
      <w:pPr>
        <w:pStyle w:val="Heading3"/>
      </w:pPr>
      <w:r>
        <w:t xml:space="preserve">II.1.2.</w:t>
      </w:r>
      <w:r>
        <w:t xml:space="preserve"> </w:t>
      </w:r>
      <w:r>
        <w:t xml:space="preserve">Análisis de elasticidades: elasticidad-renta y ley de</w:t>
      </w:r>
      <w:r>
        <w:t xml:space="preserve"> </w:t>
      </w:r>
      <w:r>
        <w:rPr>
          <w:smallCaps/>
        </w:rPr>
        <w:t xml:space="preserve">Engel</w:t>
      </w:r>
    </w:p>
    <w:p>
      <w:pPr>
        <w:numPr>
          <w:ilvl w:val="0"/>
          <w:numId w:val="1080"/>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r>
        <w:t xml:space="preserve"> </w:t>
      </w:r>
      <w:bookmarkStart w:id="161" w:name="eq_elasticidad_renta"/>
      <w:bookmarkEnd w:id="161"/>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keepNext/>
        <w:numPr>
          <w:ilvl w:val="0"/>
          <w:numId w:val="1080"/>
        </w:numPr>
      </w:pPr>
      <w:r>
        <w:t xml:space="preserve">Según su valor, los bienes se clasifican (tabla </w:t>
      </w:r>
      <w:hyperlink w:anchor="tab_clasificacion_elasticidades">
        <w:r>
          <w:rPr>
            <w:rStyle w:val="Hyperlink"/>
          </w:rPr>
          <w:t xml:space="preserve">1</w:t>
        </w:r>
      </w:hyperlink>
      <w:r>
        <w:t xml:space="preserve">) en:</w:t>
      </w:r>
    </w:p>
    <w:p>
      <w:pPr>
        <w:numPr>
          <w:ilvl w:val="1"/>
          <w:numId w:val="1081"/>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81"/>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keepNext/>
        <w:numPr>
          <w:ilvl w:val="1"/>
          <w:numId w:val="1081"/>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82"/>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82"/>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keepNext/>
        <w:numPr>
          <w:ilvl w:val="0"/>
          <w:numId w:val="1080"/>
        </w:numPr>
      </w:pPr>
      <w:r>
        <w:t xml:space="preserve">La</w:t>
      </w:r>
      <w:r>
        <w:t xml:space="preserve"> </w:t>
      </w:r>
      <w:r>
        <w:rPr>
          <w:b/>
          <w:bCs/>
        </w:rPr>
        <w:t xml:space="preserve">ley de</w:t>
      </w:r>
      <w:r>
        <w:t xml:space="preserve"> </w:t>
      </w:r>
      <w:r>
        <w:rPr>
          <w:smallCaps/>
        </w:rPr>
        <w:t xml:space="preserve">Engel</w:t>
      </w:r>
      <w:r>
        <w:t xml:space="preserve"> </w:t>
      </w:r>
      <w:r>
        <w:t xml:space="preserve">(</w:t>
      </w:r>
      <w:hyperlink w:anchor="ref_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83"/>
        </w:numPr>
      </w:pPr>
      <w:r>
        <w:t xml:space="preserve">Se sigue cumpliendo. En España, los hogares del quintil de menor gasto dedicaron en 2025 el 19,6 % de su presupuesto a alimentos y bebidas no alcohólicas, frente al 12,3 % del quintil de mayor gasto; la media fue el 16,0 % (gráfico </w:t>
      </w:r>
      <w:hyperlink w:anchor="fig_epf_alimentos_quintil">
        <w:r>
          <w:rPr>
            <w:rStyle w:val="Hyperlink"/>
          </w:rPr>
          <w:t xml:space="preserve">14</w:t>
        </w:r>
      </w:hyperlink>
      <w:r>
        <w:t xml:space="preserve">). La relación solo se rompe, ligeramente, entre los 2 primeros quintiles</w:t>
      </w:r>
      <w:r>
        <w:t xml:space="preserve"> </w:t>
      </w:r>
      <w:r>
        <w:t xml:space="preserve">(</w:t>
      </w:r>
      <w:hyperlink w:anchor="ref_INE2026EPFTabla73828">
        <w:r>
          <w:rPr>
            <w:rStyle w:val="Hyperlink"/>
            <w:smallCaps/>
          </w:rPr>
          <w:t xml:space="preserve">Instituto Nacional de Estadística</w:t>
        </w:r>
        <w:r>
          <w:rPr>
            <w:rStyle w:val="Hyperlink"/>
          </w:rPr>
          <w:t xml:space="preserve">, 2026b</w:t>
        </w:r>
      </w:hyperlink>
      <w:r>
        <w:t xml:space="preserve">,</w:t>
      </w:r>
      <w:r>
        <w:t xml:space="preserve"> </w:t>
      </w:r>
      <w:hyperlink w:anchor="ref_INE2026EPF">
        <w:r>
          <w:rPr>
            <w:rStyle w:val="Hyperlink"/>
          </w:rPr>
          <w:t xml:space="preserve">2026e</w:t>
        </w:r>
      </w:hyperlink>
      <w:r>
        <w:t xml:space="preserve">)</w:t>
      </w:r>
      <w:r>
        <w:t xml:space="preserve">.</w:t>
      </w:r>
      <w:r>
        <w:rPr>
          <w:rStyle w:val="FootnoteReference"/>
        </w:rPr>
        <w:footnoteReference w:id="162"/>
      </w:r>
    </w:p>
    <w:bookmarkStart w:id="166" w:name="fig_epf_alimentos_quintil"/>
    <w:p>
      <w:pPr>
        <w:pStyle w:val="ImageCaption"/>
      </w:pPr>
      <w:r>
        <w:t xml:space="preserve">Gráfico 14.–</w:t>
      </w:r>
      <w:r>
        <w:t xml:space="preserve"> </w:t>
      </w:r>
      <w:r>
        <w:t xml:space="preserve">Ley de</w:t>
      </w:r>
      <w:r>
        <w:t xml:space="preserve"> </w:t>
      </w:r>
      <w:r>
        <w:rPr>
          <w:smallCaps/>
        </w:rPr>
        <w:t xml:space="preserve">Engel</w:t>
      </w:r>
      <w:r>
        <w:t xml:space="preserve"> </w:t>
      </w:r>
      <w:r>
        <w:t xml:space="preserve">en España: peso de los alimentos y bebidas no alcohólicas en el gasto de los hogares, por quintiles de gasto (2025)</w:t>
      </w:r>
    </w:p>
    <w:p>
      <w:pPr>
        <w:pStyle w:val="CaptionedFigure"/>
      </w:pPr>
      <w:r>
        <w:drawing>
          <wp:inline>
            <wp:extent cx="3669832" cy="2373158"/>
            <wp:effectExtent b="0" l="0" r="0" t="0"/>
            <wp:docPr descr="Gráfico 14.– Ley de Engel en España: peso de los alimentos y bebidas no alcohólicas en el gasto de los hogares, por quintiles de gasto (2025)" title="" id="164" name="Picture"/>
            <a:graphic>
              <a:graphicData uri="http://schemas.openxmlformats.org/drawingml/2006/picture">
                <pic:pic>
                  <pic:nvPicPr>
                    <pic:cNvPr descr="C:\Users\vgutierrez\Documents\src\victorgutierrezmarcos.github.io-revision\oposicion\temario\fuentes\3A08\graficos/epf-alimentos-quintil.png" id="165" name="Picture"/>
                    <pic:cNvPicPr>
                      <a:picLocks noChangeArrowheads="1" noChangeAspect="1"/>
                    </pic:cNvPicPr>
                  </pic:nvPicPr>
                  <pic:blipFill>
                    <a:blip r:embed="rId163"/>
                    <a:stretch>
                      <a:fillRect/>
                    </a:stretch>
                  </pic:blipFill>
                  <pic:spPr bwMode="auto">
                    <a:xfrm>
                      <a:off x="0" y="0"/>
                      <a:ext cx="3669832" cy="2373158"/>
                    </a:xfrm>
                    <a:prstGeom prst="rect">
                      <a:avLst/>
                    </a:prstGeom>
                    <a:noFill/>
                    <a:ln w="9525">
                      <a:noFill/>
                      <a:headEnd/>
                      <a:tailEnd/>
                    </a:ln>
                  </pic:spPr>
                </pic:pic>
              </a:graphicData>
            </a:graphic>
          </wp:inline>
        </w:drawing>
      </w:r>
    </w:p>
    <w:bookmarkEnd w:id="166"/>
    <w:p>
      <w:pPr>
        <w:pStyle w:val="Piedeimagen"/>
      </w:pPr>
      <w:r>
        <w:t xml:space="preserve">Fuente: INE, Encuesta de Presupuestos Familiares 2025, tabla 73828 (consulta: 10/10/2026).</w:t>
      </w:r>
    </w:p>
    <w:bookmarkEnd w:id="167"/>
    <w:bookmarkStart w:id="169" w:name="sec_agregacion_engel"/>
    <w:p>
      <w:pPr>
        <w:pStyle w:val="Heading3"/>
      </w:pPr>
      <w:r>
        <w:t xml:space="preserve">II.1.3.</w:t>
      </w:r>
      <w:r>
        <w:t xml:space="preserve"> </w:t>
      </w:r>
      <w:r>
        <w:t xml:space="preserve">Agregación de</w:t>
      </w:r>
      <w:r>
        <w:t xml:space="preserve"> </w:t>
      </w:r>
      <w:r>
        <w:rPr>
          <w:smallCaps/>
        </w:rPr>
        <w:t xml:space="preserve">Engel</w:t>
      </w:r>
    </w:p>
    <w:p>
      <w:pPr>
        <w:numPr>
          <w:ilvl w:val="0"/>
          <w:numId w:val="1084"/>
        </w:numPr>
      </w:pPr>
      <w:r>
        <w:t xml:space="preserve">Además de ser continua, homogénea de grado cero y cumplir la ley de</w:t>
      </w:r>
      <w:r>
        <w:t xml:space="preserve"> </w:t>
      </w:r>
      <w:r>
        <w:rPr>
          <w:smallCaps/>
        </w:rPr>
        <w:t xml:space="preserve">Walras</w:t>
      </w:r>
      <w:r>
        <w:t xml:space="preserve"> </w:t>
      </w:r>
      <w:r>
        <w:t xml:space="preserve">(apartado </w:t>
      </w:r>
      <w:hyperlink w:anchor="sec_solucion_problema_maximizacion">
        <w:r>
          <w:rPr>
            <w:rStyle w:val="Hyperlink"/>
          </w:rPr>
          <w:t xml:space="preserve">I.3</w:t>
        </w:r>
      </w:hyperlink>
      <w:r>
        <w:t xml:space="preserve">),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r>
        <w:t xml:space="preserve"> </w:t>
      </w:r>
      <w:bookmarkStart w:id="168" w:name="eq_agregacion_engel"/>
      <w:bookmarkEnd w:id="168"/>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keepNext/>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w:t>
      </w:r>
      <w:hyperlink w:anchor="der_engel">
        <w:r>
          <w:rPr>
            <w:rStyle w:val="Hyperlink"/>
          </w:rPr>
          <w:t xml:space="preserve">B.2</w:t>
        </w:r>
      </w:hyperlink>
      <w:r>
        <w:t xml:space="preserve">).</w:t>
      </w:r>
    </w:p>
    <w:p>
      <w:pPr>
        <w:numPr>
          <w:ilvl w:val="1"/>
          <w:numId w:val="1085"/>
        </w:numPr>
      </w:pPr>
      <w:r>
        <w:t xml:space="preserve">La media de las elasticidades-renta, ponderada por las participaciones en el gasto, es igual a uno: cuando aumenta la renta, el gasto total aumenta en la misma cuantía.</w:t>
      </w:r>
    </w:p>
    <w:p>
      <w:pPr>
        <w:numPr>
          <w:ilvl w:val="1"/>
          <w:numId w:val="1085"/>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69"/>
    <w:bookmarkEnd w:id="170"/>
    <w:bookmarkStart w:id="208" w:name="sec_variaciones_precios"/>
    <w:p>
      <w:pPr>
        <w:pStyle w:val="Heading2"/>
      </w:pPr>
      <w:r>
        <w:t xml:space="preserve">II.2.</w:t>
      </w:r>
      <w:r>
        <w:t xml:space="preserve"> </w:t>
      </w:r>
      <w:r>
        <w:t xml:space="preserve">Variaciones en los precios</w:t>
      </w:r>
    </w:p>
    <w:p>
      <w:pPr>
        <w:numPr>
          <w:ilvl w:val="0"/>
          <w:numId w:val="1086"/>
        </w:numPr>
      </w:pPr>
      <w:r>
        <w:t xml:space="preserve">Una vez estudiado cómo responde la demanda a la renta, pasamos a analizar su respuesta a los precios, primero al del propio bien y después al de los demás.</w:t>
      </w:r>
    </w:p>
    <w:bookmarkStart w:id="175" w:name="sec_analisis_grafico_curva_precio"/>
    <w:p>
      <w:pPr>
        <w:pStyle w:val="Heading3"/>
      </w:pPr>
      <w:r>
        <w:t xml:space="preserve">II.2.1.</w:t>
      </w:r>
      <w:r>
        <w:t xml:space="preserve"> </w:t>
      </w:r>
      <w:r>
        <w:t xml:space="preserve">Análisis gráfico: curva de precio-consumo y curva de demanda</w:t>
      </w:r>
    </w:p>
    <w:p>
      <w:pPr>
        <w:numPr>
          <w:ilvl w:val="0"/>
          <w:numId w:val="1087"/>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87"/>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w:t>
      </w:r>
      <w:hyperlink w:anchor="fig_precio_consumo_demanda">
        <w:r>
          <w:rPr>
            <w:rStyle w:val="Hyperlink"/>
          </w:rPr>
          <w:t xml:space="preserve">15</w:t>
        </w:r>
      </w:hyperlink>
      <w:r>
        <w:t xml:space="preserve">). Un cambio en esos otros parámetros desplaza la curva.</w:t>
      </w:r>
    </w:p>
    <w:bookmarkStart w:id="174" w:name="fig_precio_consumo_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Gráfico 15.– Curva de precio-consumo (panel superior) y curva de demanda del bien 1 (panel inferior)" title="" id="172" name="Picture"/>
            <a:graphic>
              <a:graphicData uri="http://schemas.openxmlformats.org/drawingml/2006/picture">
                <pic:pic>
                  <pic:nvPicPr>
                    <pic:cNvPr descr="C:\Users\vgutierrez\Documents\src\victorgutierrezmarcos.github.io-revision\oposicion\temario\fuentes\3A08\graficos/precio-consumo-demanda.png" id="173" name="Picture"/>
                    <pic:cNvPicPr>
                      <a:picLocks noChangeArrowheads="1" noChangeAspect="1"/>
                    </pic:cNvPicPr>
                  </pic:nvPicPr>
                  <pic:blipFill>
                    <a:blip r:embed="rId171"/>
                    <a:stretch>
                      <a:fillRect/>
                    </a:stretch>
                  </pic:blipFill>
                  <pic:spPr bwMode="auto">
                    <a:xfrm>
                      <a:off x="0" y="0"/>
                      <a:ext cx="2920575" cy="4397682"/>
                    </a:xfrm>
                    <a:prstGeom prst="rect">
                      <a:avLst/>
                    </a:prstGeom>
                    <a:noFill/>
                    <a:ln w="9525">
                      <a:noFill/>
                      <a:headEnd/>
                      <a:tailEnd/>
                    </a:ln>
                  </pic:spPr>
                </pic:pic>
              </a:graphicData>
            </a:graphic>
          </wp:inline>
        </w:drawing>
      </w:r>
    </w:p>
    <w:bookmarkEnd w:id="174"/>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6</w:t>
        </w:r>
      </w:hyperlink>
      <w:r>
        <w:t xml:space="preserve">)</w:t>
      </w:r>
      <w:r>
        <w:t xml:space="preserve">.</w:t>
      </w:r>
    </w:p>
    <w:bookmarkEnd w:id="175"/>
    <w:bookmarkStart w:id="203" w:name="sec_analisis_elasticidades"/>
    <w:p>
      <w:pPr>
        <w:pStyle w:val="Heading3"/>
      </w:pPr>
      <w:r>
        <w:t xml:space="preserve">II.2.2.</w:t>
      </w:r>
      <w:r>
        <w:t xml:space="preserve"> </w:t>
      </w:r>
      <w:r>
        <w:t xml:space="preserve">Análisis de elasticidades</w:t>
      </w:r>
    </w:p>
    <w:bookmarkStart w:id="178" w:name="elasticidad_precio_propio"/>
    <w:p>
      <w:pPr>
        <w:pStyle w:val="Heading4"/>
      </w:pPr>
      <w:r>
        <w:t xml:space="preserve">Elasticidad-precio propio</w:t>
      </w:r>
    </w:p>
    <w:p>
      <w:pPr>
        <w:numPr>
          <w:ilvl w:val="0"/>
          <w:numId w:val="1088"/>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r>
        <w:t xml:space="preserve"> </w:t>
      </w:r>
      <w:bookmarkStart w:id="176" w:name="eq_elasticidad_precio"/>
      <w:bookmarkEnd w:id="176"/>
    </w:p>
    <w:p>
      <w:pPr>
        <w:pStyle w:val="BodyText"/>
        <w:keepN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keepNext/>
        <w:numPr>
          <w:ilvl w:val="1"/>
          <w:numId w:val="1089"/>
        </w:numPr>
      </w:pPr>
      <w:r>
        <w:t xml:space="preserve">Según su signo:</w:t>
      </w:r>
    </w:p>
    <w:p>
      <w:pPr>
        <w:numPr>
          <w:ilvl w:val="2"/>
          <w:numId w:val="1090"/>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w:t>
      </w:r>
    </w:p>
    <w:p>
      <w:pPr>
        <w:numPr>
          <w:ilvl w:val="2"/>
          <w:numId w:val="1090"/>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w:t>
      </w:r>
    </w:p>
    <w:p>
      <w:pPr>
        <w:numPr>
          <w:ilvl w:val="2"/>
          <w:numId w:val="1090"/>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9"/>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77" w:name="tab_clasificacion_elasticidades"/>
    <w:p>
      <w:pPr>
        <w:pStyle w:val="TableCaption"/>
      </w:pPr>
      <w:r>
        <w:t xml:space="preserve">Tabla 1.–</w:t>
      </w:r>
      <w:r>
        <w:t xml:space="preserve"> </w:t>
      </w:r>
      <w:r>
        <w:t xml:space="preserve">Clasificación de los bienes según sus elasticidades-renta y precio propio</w:t>
      </w:r>
    </w:p>
    <w:tbl>
      <w:tblPr>
        <w:tblStyle w:val="Table"/>
        <w:tblW w:type="auto" w:w="0"/>
        <w:tblLook w:firstRow="1" w:lastRow="0" w:firstColumn="0" w:lastColumn="0" w:noHBand="0" w:noVBand="0" w:val="0020"/>
        <w:tblCaption w:val="Tabla 1.– Clasificación de los bienes según sus elasticidades-renta y precio propio"/>
      </w:tblPr>
      <w:tblGrid>
        <w:gridCol w:w="2640"/>
        <w:gridCol w:w="2640"/>
        <w:gridCol w:w="2640"/>
      </w:tblGrid>
      <w:tr>
        <w:trPr>
          <w:cantSplit/>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rPr>
          <w:cantSplit/>
        </w:trP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rPr>
                <w:rStyle w:val="Textodorado"/>
              </w:rPr>
              <w:t xml:space="preserve">Inferior</w:t>
            </w:r>
          </w:p>
        </w:tc>
      </w:tr>
      <w:tr>
        <w:trPr>
          <w:cantSplit/>
        </w:trP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rPr>
          <w:cantSplit/>
        </w:trP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rPr>
                <w:rStyle w:val="Textoverde"/>
              </w:rPr>
              <w:t xml:space="preserve">Normal necesario</w:t>
            </w:r>
          </w:p>
        </w:tc>
      </w:tr>
      <w:tr>
        <w:trPr>
          <w:cantSplit/>
        </w:trPr>
        <w:tc>
          <w:tcPr/>
          <w:p>
            <w:pPr>
              <w:pStyle w:val="Compact"/>
            </w:pPr>
          </w:p>
        </w:tc>
        <w:tc>
          <w:tcPr/>
          <w:p>
            <w:pPr>
              <w:pStyle w:val="Compact"/>
              <w:jc w:val="left"/>
            </w:pPr>
            <m:oMath>
              <m:r>
                <m:rPr>
                  <m:sty m:val="p"/>
                </m:rPr>
                <m:t>&gt;</m:t>
              </m:r>
              <m:r>
                <m:t>1</m:t>
              </m:r>
            </m:oMath>
          </w:p>
        </w:tc>
        <w:tc>
          <w:tcPr/>
          <w:p>
            <w:pPr>
              <w:pStyle w:val="Compact"/>
              <w:jc w:val="left"/>
            </w:pPr>
            <w:r>
              <w:rPr>
                <w:rStyle w:val="Textoverde"/>
              </w:rPr>
              <w:t xml:space="preserve">Normal de lujo</w:t>
            </w:r>
          </w:p>
        </w:tc>
      </w:tr>
      <w:tr>
        <w:trPr>
          <w:cantSplit/>
        </w:trP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rStyle w:val="Textorojo"/>
                <w:smallCaps/>
              </w:rPr>
              <w:t xml:space="preserve">Giffen</w:t>
            </w:r>
            <w:r>
              <w:rPr>
                <w:rStyle w:val="Textorojo"/>
              </w:rPr>
              <w:t xml:space="preserve"> </w:t>
            </w:r>
            <w:r>
              <w:rPr>
                <w:rStyle w:val="Textorojo"/>
              </w:rPr>
              <w:t xml:space="preserve">(siempre inferior)</w:t>
            </w:r>
          </w:p>
        </w:tc>
      </w:tr>
      <w:tr>
        <w:trPr>
          <w:cantSplit/>
        </w:trP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rPr>
          <w:cantSplit/>
        </w:trP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rPr>
                <w:rStyle w:val="Textoazul"/>
              </w:rPr>
              <w:t xml:space="preserve">Ordinario, demanda inelástica</w:t>
            </w:r>
          </w:p>
        </w:tc>
      </w:tr>
      <w:tr>
        <w:trPr>
          <w:cantSplit/>
        </w:trPr>
        <w:tc>
          <w:tcPr/>
          <w:p>
            <w:pPr>
              <w:pStyle w:val="Compact"/>
            </w:pPr>
          </w:p>
        </w:tc>
        <w:tc>
          <w:tcPr/>
          <w:p>
            <w:pPr>
              <w:pStyle w:val="Compact"/>
              <w:jc w:val="left"/>
            </w:pPr>
            <m:oMath>
              <m:r>
                <m:rPr>
                  <m:sty m:val="p"/>
                </m:rPr>
                <m:t>&lt;</m:t>
              </m:r>
              <m:r>
                <m:rPr>
                  <m:sty m:val="p"/>
                </m:rPr>
                <m:t>−</m:t>
              </m:r>
              <m:r>
                <m:t>1</m:t>
              </m:r>
            </m:oMath>
          </w:p>
        </w:tc>
        <w:tc>
          <w:tcPr/>
          <w:p>
            <w:pPr>
              <w:pStyle w:val="Compact"/>
              <w:jc w:val="left"/>
            </w:pPr>
            <w:r>
              <w:rPr>
                <w:rStyle w:val="Textoazul"/>
              </w:rPr>
              <w:t xml:space="preserve">Ordinario, demanda elástica</w:t>
            </w:r>
          </w:p>
        </w:tc>
      </w:tr>
    </w:tbl>
    <w:bookmarkEnd w:id="177"/>
    <w:p>
      <w:pPr>
        <w:pStyle w:val="BodyText"/>
      </w:pPr>
      <w:r>
        <w:rPr>
          <w:i/>
          <w:iCs/>
        </w:rPr>
        <w:t xml:space="preserve">Fuente: elaboración propia.</w:t>
      </w:r>
    </w:p>
    <w:bookmarkEnd w:id="178"/>
    <w:bookmarkStart w:id="197" w:name="efecto_sustituci__n_y_efecto_renta_54281"/>
    <w:p>
      <w:pPr>
        <w:pStyle w:val="Heading4"/>
      </w:pPr>
      <w:r>
        <w:t xml:space="preserve">Efecto sustitución y efecto renta: la ecuación de</w:t>
      </w:r>
      <w:r>
        <w:t xml:space="preserve"> </w:t>
      </w:r>
      <w:r>
        <w:rPr>
          <w:smallCaps/>
        </w:rPr>
        <w:t xml:space="preserve">Slutsky</w:t>
      </w:r>
      <w:r>
        <w:t xml:space="preserve"> </w:t>
      </w:r>
      <w:r>
        <w:t xml:space="preserve">para el precio propio</w:t>
      </w:r>
    </w:p>
    <w:p>
      <w:pPr>
        <w:numPr>
          <w:ilvl w:val="0"/>
          <w:numId w:val="1091"/>
        </w:numPr>
      </w:pPr>
      <w:r>
        <w:t xml:space="preserve">Una variación del precio de un bien tiene 2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79"/>
      </w:r>
    </w:p>
    <w:p>
      <w:pPr>
        <w:numPr>
          <w:ilvl w:val="0"/>
          <w:numId w:val="1091"/>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hyperlink r:id="rId30">
        <w:r>
          <w:rPr>
            <w:rStyle w:val="Referenciaatema"/>
          </w:rPr>
          <w:t xml:space="preserve">[ver tema 3.A.9]</w:t>
        </w:r>
      </w:hyperlink>
      <w:r>
        <w:t xml:space="preserve">.</w:t>
      </w:r>
    </w:p>
    <w:p>
      <w:pPr>
        <w:numPr>
          <w:ilvl w:val="0"/>
          <w:numId w:val="1091"/>
        </w:numPr>
      </w:pPr>
      <w:r>
        <w:t xml:space="preserve">La</w:t>
      </w:r>
      <w:r>
        <w:t xml:space="preserve"> </w:t>
      </w:r>
      <w:r>
        <w:rPr>
          <w:b/>
          <w:bCs/>
        </w:rPr>
        <w:t xml:space="preserve">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80"/>
      </w:r>
      <w:r>
        <w:t xml:space="preserve"> </w:t>
      </w:r>
      <w:bookmarkStart w:id="181" w:name="eq_slutsky"/>
      <w:bookmarkEnd w:id="181"/>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keepNext/>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92"/>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82"/>
      </w:r>
    </w:p>
    <w:p>
      <w:pPr>
        <w:numPr>
          <w:ilvl w:val="1"/>
          <w:numId w:val="1092"/>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83"/>
      </w:r>
    </w:p>
    <w:p>
      <w:pPr>
        <w:keepNext/>
        <w:numPr>
          <w:ilvl w:val="0"/>
          <w:numId w:val="1091"/>
        </w:numPr>
      </w:pPr>
      <w:r>
        <w:t xml:space="preserve">De la combinación de ambos efectos sale la</w:t>
      </w:r>
      <w:r>
        <w:t xml:space="preserve"> </w:t>
      </w:r>
      <w:r>
        <w:rPr>
          <w:b/>
          <w:bCs/>
        </w:rPr>
        <w:t xml:space="preserve">clasificación de los bienes</w:t>
      </w:r>
      <w:r>
        <w:t xml:space="preserve"> </w:t>
      </w:r>
      <w:r>
        <w:t xml:space="preserve">(tabla </w:t>
      </w:r>
      <w:hyperlink w:anchor="tab_slutsky_propio">
        <w:r>
          <w:rPr>
            <w:rStyle w:val="Hyperlink"/>
          </w:rPr>
          <w:t xml:space="preserve">2</w:t>
        </w:r>
      </w:hyperlink>
      <w:r>
        <w:t xml:space="preserve">):</w:t>
      </w:r>
    </w:p>
    <w:p>
      <w:pPr>
        <w:numPr>
          <w:ilvl w:val="1"/>
          <w:numId w:val="1093"/>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2 efectos van en el mismo sentido (</w:t>
      </w:r>
      <w:r>
        <w:rPr>
          <w:i/>
          <w:iCs/>
        </w:rPr>
        <w:t xml:space="preserve">ley de la demanda</w:t>
      </w:r>
      <w:r>
        <w:t xml:space="preserve">);</w:t>
      </w:r>
    </w:p>
    <w:p>
      <w:pPr>
        <w:numPr>
          <w:ilvl w:val="1"/>
          <w:numId w:val="1093"/>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84"/>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85" w:name="tab_slutsky_propio"/>
    <w:p>
      <w:pPr>
        <w:pStyle w:val="TableCaption"/>
      </w:pPr>
      <w:r>
        <w:t xml:space="preserve">Tabla 2.–</w:t>
      </w:r>
      <w:r>
        <w:t xml:space="preserve"> </w:t>
      </w: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Tabla 2.– Ecuación de Slutsky para la descomposición de la variación del precio propio"/>
      </w:tblPr>
      <w:tblGrid>
        <w:gridCol w:w="2640"/>
        <w:gridCol w:w="2640"/>
        <w:gridCol w:w="2640"/>
      </w:tblGrid>
      <w:tr>
        <w:trPr>
          <w:cantSplit/>
          <w:tblHeader w:val="on"/>
        </w:trPr>
        <w:tc>
          <w:tcPr>
            <w:shd w:val="clear" w:color="auto" w:fill="E2EFD9"/>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shd w:val="clear" w:color="auto" w:fill="E2EFD9"/>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shd w:val="clear" w:color="auto" w:fill="E2EFD9"/>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rPr>
          <w:cantSplit/>
        </w:trPr>
        <w:tc>
          <w:tcPr>
            <w:shd w:val="clear" w:color="auto" w:fill="DDEBF7"/>
            <w:vAlign w:val="center"/>
          </w:tcPr>
          <w:p>
            <w:pPr>
              <w:pStyle w:val="Celdatceeazulpalido"/>
              <w:jc w:val="center"/>
            </w:pPr>
            <w:r>
              <w:rPr>
                <w:i/>
                <w:iCs/>
              </w:rPr>
              <w:t xml:space="preserve">Efecto sustitución propio</w:t>
            </w:r>
          </w:p>
        </w:tc>
        <w:tc>
          <w:tcPr>
            <w:shd w:val="clear" w:color="auto" w:fill="DDEBF7"/>
            <w:vAlign w:val="center"/>
          </w:tcPr>
          <w:p>
            <w:pPr>
              <w:pStyle w:val="Celdatceeazulpalido"/>
              <w:jc w:val="center"/>
            </w:pPr>
            <w:r>
              <w:rPr>
                <w:i/>
                <w:iCs/>
              </w:rPr>
              <w:t xml:space="preserve">Efecto renta propio</w:t>
            </w:r>
          </w:p>
        </w:tc>
        <w:tc>
          <w:tcPr>
            <w:shd w:val="clear" w:color="auto" w:fill="DDEBF7"/>
            <w:vAlign w:val="center"/>
          </w:tcPr>
          <w:p>
            <w:pPr>
              <w:pStyle w:val="Celdatceeazulpalido"/>
              <w:jc w:val="center"/>
            </w:pPr>
            <w:r>
              <w:rPr>
                <w:i/>
                <w:iCs/>
              </w:rPr>
              <w:t xml:space="preserve">Efecto total propio</w:t>
            </w:r>
          </w:p>
        </w:tc>
      </w:tr>
      <w:tr>
        <w:trPr>
          <w:cantSplit/>
        </w:trP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w:t>
            </w:r>
            <w:r>
              <w:br/>
            </w:r>
            <w:r>
              <w:rPr>
                <w:rStyle w:val="Textoverde"/>
              </w:rPr>
              <w:t xml:space="preserve">Bien normal</w:t>
            </w:r>
          </w:p>
        </w:tc>
        <w:tc>
          <w:tcPr>
            <w:vMerge w:val="restart"/>
            <w:vAlign w:val="center"/>
          </w:tcPr>
          <w:p>
            <w:pPr>
              <w:pStyle w:val="Compact"/>
              <w:jc w:val="center"/>
            </w:pPr>
            <w:r>
              <w:rPr>
                <w:rStyle w:val="Textoazul"/>
              </w:rPr>
              <w:t xml:space="preserve">≤ 0</w:t>
            </w:r>
            <w:r>
              <w:br/>
            </w:r>
            <w:r>
              <w:rPr>
                <w:rStyle w:val="Textoazul"/>
              </w:rPr>
              <w:t xml:space="preserve">Bien ordinario</w:t>
            </w:r>
          </w:p>
        </w:tc>
      </w:tr>
      <w:tr>
        <w:trPr>
          <w:cantSplit/>
        </w:trP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br/>
            </w:r>
            <w:r>
              <w:t xml:space="preserve">Bien frontera</w:t>
            </w:r>
          </w:p>
        </w:tc>
        <w:tc>
          <w:tcPr>
            <w:gridSpan w:val="1"/>
            <w:vMerge w:val="continue"/>
            <w:vAlign w:val="center"/>
          </w:tcPr>
          <w:p>
            <w:pPr/>
          </w:p>
        </w:tc>
      </w:tr>
      <w:tr>
        <w:trPr>
          <w:cantSplit/>
        </w:trP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m:t>
              </m:r>
              <m:r>
                <m:rPr>
                  <m:sty m:val="p"/>
                </m:rPr>
                <m:t>E</m:t>
              </m:r>
              <m:r>
                <m:rPr>
                  <m:sty m:val="p"/>
                </m:rPr>
                <m:t>R</m:t>
              </m:r>
            </m:oMath>
            <w:r>
              <w:t xml:space="preserve">)</w:t>
            </w:r>
          </w:p>
        </w:tc>
        <w:tc>
          <w:tcPr>
            <w:vMerge w:val="restart"/>
            <w:vAlign w:val="center"/>
          </w:tcPr>
          <w:p>
            <w:pPr>
              <w:pStyle w:val="Compact"/>
              <w:jc w:val="center"/>
            </w:pPr>
            <w:r>
              <w:rPr>
                <w:rStyle w:val="Textodorado"/>
              </w:rPr>
              <w:t xml:space="preserve">&gt; 0</w:t>
            </w:r>
            <w:r>
              <w:br/>
            </w:r>
            <w:r>
              <w:rPr>
                <w:rStyle w:val="Textodorado"/>
              </w:rPr>
              <w:t xml:space="preserve">Bien inferior</w:t>
            </w:r>
          </w:p>
        </w:tc>
        <w:tc>
          <w:tcPr>
            <w:gridSpan w:val="1"/>
            <w:vMerge w:val="continue"/>
            <w:vAlign w:val="center"/>
          </w:tcPr>
          <w:p>
            <w:pPr/>
          </w:p>
        </w:tc>
      </w:tr>
      <w:tr>
        <w:trPr>
          <w:cantSplit/>
        </w:trP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&lt;</m:t>
              </m:r>
              <m:r>
                <m:rPr>
                  <m:sty m:val="p"/>
                </m:rPr>
                <m:t>E</m:t>
              </m:r>
              <m:r>
                <m:rPr>
                  <m:sty m:val="p"/>
                </m:rPr>
                <m:t>R</m:t>
              </m:r>
            </m:oMath>
            <w:r>
              <w:t xml:space="preserve">)</w:t>
            </w:r>
          </w:p>
        </w:tc>
        <w:tc>
          <w:tcPr>
            <w:gridSpan w:val="1"/>
            <w:vMerge w:val="continue"/>
            <w:vAlign w:val="center"/>
          </w:tcPr>
          <w:p>
            <w:pPr/>
          </w:p>
        </w:tc>
        <w:tc>
          <w:tcPr>
            <w:vAlign w:val="center"/>
          </w:tcPr>
          <w:p>
            <w:pPr>
              <w:pStyle w:val="Compact"/>
              <w:jc w:val="center"/>
            </w:pPr>
            <w:r>
              <w:rPr>
                <w:rStyle w:val="Textorojo"/>
              </w:rPr>
              <w:t xml:space="preserve">&gt; 0</w:t>
            </w:r>
            <w:r>
              <w:br/>
            </w:r>
            <w:r>
              <w:rPr>
                <w:rStyle w:val="Textorojo"/>
              </w:rPr>
              <w:t xml:space="preserve">Bien</w:t>
            </w:r>
            <w:r>
              <w:rPr>
                <w:rStyle w:val="Textorojo"/>
              </w:rPr>
              <w:t xml:space="preserve"> </w:t>
            </w:r>
            <w:r>
              <w:rPr>
                <w:rStyle w:val="Textorojo"/>
                <w:smallCaps/>
              </w:rPr>
              <w:t xml:space="preserve">Giffen</w:t>
            </w:r>
          </w:p>
        </w:tc>
      </w:tr>
    </w:tbl>
    <w:bookmarkEnd w:id="185"/>
    <w:p>
      <w:pPr>
        <w:pStyle w:val="BodyText"/>
      </w:pPr>
      <w:r>
        <w:t xml:space="preserve">ES, ER y ET: efectos sustitución, renta y total. El efecto renta lleva el signo contrario al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89" w:name="fig_elasticidades_renta_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Gráfico 16.– Clasificación de los bienes por la elasticidad-renta y por la elasticidad-precio propia, y relación entre ambas" title="" id="187" name="Picture"/>
            <a:graphic>
              <a:graphicData uri="http://schemas.openxmlformats.org/drawingml/2006/picture">
                <pic:pic>
                  <pic:nvPicPr>
                    <pic:cNvPr descr="C:\Users\vgutierrez\Documents\src\victorgutierrezmarcos.github.io-revision\oposicion\temario\fuentes\3A08\graficos/elasticidades-renta-precio.png" id="188" name="Picture"/>
                    <pic:cNvPicPr>
                      <a:picLocks noChangeArrowheads="1" noChangeAspect="1"/>
                    </pic:cNvPicPr>
                  </pic:nvPicPr>
                  <pic:blipFill>
                    <a:blip r:embed="rId186"/>
                    <a:stretch>
                      <a:fillRect/>
                    </a:stretch>
                  </pic:blipFill>
                  <pic:spPr bwMode="auto">
                    <a:xfrm>
                      <a:off x="0" y="0"/>
                      <a:ext cx="4890052" cy="1905254"/>
                    </a:xfrm>
                    <a:prstGeom prst="rect">
                      <a:avLst/>
                    </a:prstGeom>
                    <a:noFill/>
                    <a:ln w="9525">
                      <a:noFill/>
                      <a:headEnd/>
                      <a:tailEnd/>
                    </a:ln>
                  </pic:spPr>
                </pic:pic>
              </a:graphicData>
            </a:graphic>
          </wp:inline>
        </w:drawing>
      </w:r>
    </w:p>
    <w:bookmarkEnd w:id="189"/>
    <w:p>
      <w:pPr>
        <w:pStyle w:val="Piedeimagen"/>
      </w:pPr>
      <w:r>
        <w:t xml:space="preserve">Fuente: elaboración propia.</w:t>
      </w:r>
    </w:p>
    <w:p>
      <w:pPr>
        <w:keepNext/>
        <w:numPr>
          <w:ilvl w:val="0"/>
          <w:numId w:val="1094"/>
        </w:numPr>
      </w:pPr>
      <w:r>
        <w:rPr>
          <w:i/>
          <w:iCs/>
        </w:rPr>
        <w:t xml:space="preserve">Gráficamente</w:t>
      </w:r>
      <w:r>
        <w:t xml:space="preserve"> </w:t>
      </w:r>
      <w:r>
        <w:t xml:space="preserve">(gráfico </w:t>
      </w:r>
      <w:hyperlink w:anchor="fig_efecto_sustitucion_renta">
        <w:r>
          <w:rPr>
            <w:rStyle w:val="Hyperlink"/>
          </w:rPr>
          <w:t xml:space="preserve">17</w:t>
        </w:r>
      </w:hyperlink>
      <w:r>
        <w:t xml:space="preserve">),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95"/>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95"/>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2 bienes son normales, el consumidor compra más de ambos.</w:t>
      </w:r>
    </w:p>
    <w:p>
      <w:pPr>
        <w:numPr>
          <w:ilvl w:val="0"/>
          <w:numId w:val="1094"/>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93" w:name="fig_efecto_sustitucion_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Gráfico 17.– Descomposición del efecto de una bajada del precio de un bien sobre su cantidad demandada: efecto sustitución (A\rightarrow B) y efecto renta (B\rightarrow C), y curvas de demanda marshalliana y hicksiana" title="" id="191" name="Picture"/>
            <a:graphic>
              <a:graphicData uri="http://schemas.openxmlformats.org/drawingml/2006/picture">
                <pic:pic>
                  <pic:nvPicPr>
                    <pic:cNvPr descr="C:\Users\vgutierrez\Documents\src\victorgutierrezmarcos.github.io-revision\oposicion\temario\fuentes\3A08\graficos/efecto-sustitucion-renta.png" id="192" name="Picture"/>
                    <pic:cNvPicPr>
                      <a:picLocks noChangeArrowheads="1" noChangeAspect="1"/>
                    </pic:cNvPicPr>
                  </pic:nvPicPr>
                  <pic:blipFill>
                    <a:blip r:embed="rId190"/>
                    <a:stretch>
                      <a:fillRect/>
                    </a:stretch>
                  </pic:blipFill>
                  <pic:spPr bwMode="auto">
                    <a:xfrm>
                      <a:off x="0" y="0"/>
                      <a:ext cx="2724850" cy="4428264"/>
                    </a:xfrm>
                    <a:prstGeom prst="rect">
                      <a:avLst/>
                    </a:prstGeom>
                    <a:noFill/>
                    <a:ln w="9525">
                      <a:noFill/>
                      <a:headEnd/>
                      <a:tailEnd/>
                    </a:ln>
                  </pic:spPr>
                </pic:pic>
              </a:graphicData>
            </a:graphic>
          </wp:inline>
        </w:drawing>
      </w:r>
    </w:p>
    <w:bookmarkEnd w:id="193"/>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8</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3.G</w:t>
        </w:r>
      </w:hyperlink>
      <w:r>
        <w:t xml:space="preserve">)</w:t>
      </w:r>
      <w:r>
        <w:t xml:space="preserve">.</w:t>
      </w:r>
    </w:p>
    <w:p>
      <w:pPr>
        <w:numPr>
          <w:ilvl w:val="0"/>
          <w:numId w:val="1096"/>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w:t>
      </w:r>
      <w:r>
        <w:rPr>
          <w:rStyle w:val="FootnoteReference"/>
        </w:rPr>
        <w:footnoteReference w:id="194"/>
      </w:r>
      <w:r>
        <w:t xml:space="preserve"> </w:t>
      </w:r>
      <w:r>
        <w:t xml:space="preserve">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w:t>
      </w:r>
      <w:hyperlink w:anchor="ref_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keepNext/>
        <w:keepLines/>
      </w:pPr>
      <w:r>
        <w:rPr>
          <w:b/>
          <w:bCs/>
        </w:rPr>
        <w:t xml:space="preserve">Para repasar</w:t>
      </w:r>
      <w:r>
        <w:t xml:space="preserve"> </w:t>
      </w:r>
      <w:r>
        <w:t xml:space="preserve">(vídeos de Policonomics):</w:t>
      </w:r>
    </w:p>
    <w:p>
      <w:pPr>
        <w:pStyle w:val="Cajadeanotaciones"/>
        <w:keepNext/>
        <w:keepLines/>
        <w:numPr>
          <w:ilvl w:val="0"/>
          <w:numId w:val="1097"/>
        </w:numPr>
      </w:pPr>
      <w:r>
        <w:t xml:space="preserve">«A.9 Efectos de renta y sustitución»:</w:t>
      </w:r>
      <w:r>
        <w:t xml:space="preserve"> </w:t>
      </w:r>
      <w:hyperlink r:id="rId195">
        <w:r>
          <w:rPr>
            <w:rStyle w:val="Hyperlink"/>
          </w:rPr>
          <w:t xml:space="preserve">https://www.youtube.com/watch?v=J0PSPX2B5FI</w:t>
        </w:r>
      </w:hyperlink>
    </w:p>
    <w:p>
      <w:pPr>
        <w:pStyle w:val="Cajadeanotaciones"/>
        <w:keepLines/>
        <w:numPr>
          <w:ilvl w:val="0"/>
          <w:numId w:val="1097"/>
        </w:numPr>
      </w:pPr>
      <w:r>
        <w:t xml:space="preserve">«A.10 Demandas marshalliana y hicksiana»:</w:t>
      </w:r>
      <w:r>
        <w:t xml:space="preserve"> </w:t>
      </w:r>
      <w:hyperlink r:id="rId196">
        <w:r>
          <w:rPr>
            <w:rStyle w:val="Hyperlink"/>
          </w:rPr>
          <w:t xml:space="preserve">https://policonomics.com/es/video-a10-demandas-marshalliana-hicksiana/</w:t>
        </w:r>
      </w:hyperlink>
    </w:p>
    <w:bookmarkEnd w:id="197"/>
    <w:bookmarkStart w:id="199" w:name="elasticidad_precio_cruzada_sustitu_35608"/>
    <w:p>
      <w:pPr>
        <w:pStyle w:val="Heading4"/>
      </w:pPr>
      <w:r>
        <w:t xml:space="preserve">Elasticidad-precio cruzada: sustitutivos y complementarios brutos</w:t>
      </w:r>
    </w:p>
    <w:p>
      <w:pPr>
        <w:numPr>
          <w:ilvl w:val="0"/>
          <w:numId w:val="1098"/>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r>
        <w:t xml:space="preserve"> </w:t>
      </w:r>
      <w:bookmarkStart w:id="198" w:name="eq_elasticidad_cruzada"/>
      <w:bookmarkEnd w:id="198"/>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9"/>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9"/>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9"/>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98"/>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99"/>
    <w:bookmarkStart w:id="202" w:name="ecuaci__n_de_slutsky_para_el_preci_77312"/>
    <w:p>
      <w:pPr>
        <w:pStyle w:val="Heading4"/>
      </w:pPr>
      <w:r>
        <w:t xml:space="preserve">Ecuación de</w:t>
      </w:r>
      <w:r>
        <w:t xml:space="preserve"> </w:t>
      </w:r>
      <w:r>
        <w:rPr>
          <w:smallCaps/>
        </w:rPr>
        <w:t xml:space="preserve">Slutsky</w:t>
      </w:r>
      <w:r>
        <w:t xml:space="preserve"> </w:t>
      </w:r>
      <w:r>
        <w:t xml:space="preserve">para el precio cruzado: sustitutivos y complementarios netos</w:t>
      </w:r>
    </w:p>
    <w:p>
      <w:pPr>
        <w:numPr>
          <w:ilvl w:val="0"/>
          <w:numId w:val="1100"/>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r>
        <w:t xml:space="preserve"> </w:t>
      </w:r>
      <w:bookmarkStart w:id="200" w:name="eq_slutsky_cruzada"/>
      <w:bookmarkEnd w:id="200"/>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keepNext/>
        <w:numPr>
          <w:ilvl w:val="0"/>
          <w:numId w:val="1100"/>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&lt;</m:t>
        </m:r>
        <m:r>
          <m:t>0</m:t>
        </m:r>
      </m:oMath>
      <w:r>
        <w:t xml:space="preserve">.</w:t>
      </w:r>
    </w:p>
    <w:p>
      <w:pPr>
        <w:numPr>
          <w:ilvl w:val="1"/>
          <w:numId w:val="1101"/>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101"/>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2 bienes, ambos son sustitutivos netos (derivación de la simetría, la negatividad y este resultado en el anexo </w:t>
      </w:r>
      <w:hyperlink w:anchor="der_matriz_slutsky">
        <w:r>
          <w:rPr>
            <w:rStyle w:val="Hyperlink"/>
          </w:rPr>
          <w:t xml:space="preserve">B.6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3.G.2 y ejercicio 3.G.4;</w:t>
      </w:r>
      <w:r>
        <w:t xml:space="preserve"> </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2</w:t>
        </w:r>
      </w:hyperlink>
      <w:r>
        <w:t xml:space="preserve">)</w:t>
      </w:r>
      <w:r>
        <w:t xml:space="preserve">.</w:t>
      </w:r>
    </w:p>
    <w:p>
      <w:pPr>
        <w:numPr>
          <w:ilvl w:val="0"/>
          <w:numId w:val="1100"/>
        </w:numPr>
      </w:pPr>
      <w:r>
        <w:t xml:space="preserve">No todas las combinaciones de relaciones netas y brutas son posibles (tabla </w:t>
      </w:r>
      <w:hyperlink w:anchor="tab_slutsky_cruzado">
        <w:r>
          <w:rPr>
            <w:rStyle w:val="Hyperlink"/>
          </w:rPr>
          <w:t xml:space="preserve">3</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201" w:name="tab_slutsky_cruzado"/>
    <w:p>
      <w:pPr>
        <w:pStyle w:val="TableCaption"/>
      </w:pPr>
      <w:r>
        <w:t xml:space="preserve">Tabla 3.–</w:t>
      </w:r>
      <w:r>
        <w:t xml:space="preserve"> </w:t>
      </w: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Tabla 3.– Ecuación de Slutsky para la descomposición de la variación del precio cruzado"/>
      </w:tblPr>
      <w:tblGrid>
        <w:gridCol w:w="2640"/>
        <w:gridCol w:w="2640"/>
        <w:gridCol w:w="2640"/>
      </w:tblGrid>
      <w:tr>
        <w:trPr>
          <w:cantSplit/>
          <w:tblHeader w:val="on"/>
        </w:trPr>
        <w:tc>
          <w:tcPr>
            <w:shd w:val="clear" w:color="auto" w:fill="E2EFD9"/>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shd w:val="clear" w:color="auto" w:fill="E2EFD9"/>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shd w:val="clear" w:color="auto" w:fill="E2EFD9"/>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rPr>
          <w:cantSplit/>
        </w:trPr>
        <w:tc>
          <w:tcPr>
            <w:shd w:val="clear" w:color="auto" w:fill="FBE4D5"/>
            <w:vAlign w:val="center"/>
          </w:tcPr>
          <w:p>
            <w:pPr>
              <w:pStyle w:val="Celdatceesalmon"/>
              <w:jc w:val="center"/>
            </w:pPr>
            <w:r>
              <w:rPr>
                <w:i/>
                <w:iCs/>
              </w:rPr>
              <w:t xml:space="preserve">Efecto sustitución cruzado</w:t>
            </w:r>
            <w:r>
              <w:br/>
            </w:r>
            <w:r>
              <w:t xml:space="preserve">(relación neta)</w:t>
            </w:r>
          </w:p>
        </w:tc>
        <w:tc>
          <w:tcPr>
            <w:shd w:val="clear" w:color="auto" w:fill="FBE4D5"/>
            <w:vAlign w:val="center"/>
          </w:tcPr>
          <w:p>
            <w:pPr>
              <w:pStyle w:val="Celdatceesalmon"/>
              <w:jc w:val="center"/>
            </w:pPr>
            <w:r>
              <w:rPr>
                <w:i/>
                <w:iCs/>
              </w:rPr>
              <w:t xml:space="preserve">Efecto renta cruzado</w:t>
            </w:r>
            <w:r>
              <w:br/>
            </w:r>
            <w:r>
              <w:t xml:space="preserve">(según el bien</w:t>
            </w:r>
            <w:r>
              <w:t xml:space="preserve"> </w:t>
            </w:r>
            <m:oMath>
              <m:r>
                <m:t>i</m:t>
              </m:r>
            </m:oMath>
            <w:r>
              <w:t xml:space="preserve">)</w:t>
            </w:r>
          </w:p>
        </w:tc>
        <w:tc>
          <w:tcPr>
            <w:shd w:val="clear" w:color="auto" w:fill="FBE4D5"/>
            <w:vAlign w:val="center"/>
          </w:tcPr>
          <w:p>
            <w:pPr>
              <w:pStyle w:val="Celdatceesalmon"/>
              <w:jc w:val="center"/>
            </w:pPr>
            <w:r>
              <w:rPr>
                <w:i/>
                <w:iCs/>
              </w:rPr>
              <w:t xml:space="preserve">Efecto total cruzado</w:t>
            </w:r>
            <w:r>
              <w:br/>
            </w:r>
            <w:r>
              <w:t xml:space="preserve">(relación bruta)</w:t>
            </w:r>
          </w:p>
        </w:tc>
      </w:tr>
      <w:tr>
        <w:trPr>
          <w:cantSplit/>
        </w:trPr>
        <w:tc>
          <w:tcPr>
            <w:vMerge w:val="restart"/>
            <w:vAlign w:val="center"/>
          </w:tcPr>
          <w:p>
            <w:pPr>
              <w:pStyle w:val="Compact"/>
              <w:jc w:val="center"/>
            </w:pPr>
            <w:r>
              <w:rPr>
                <w:rStyle w:val="Textoverde"/>
              </w:rPr>
              <w:t xml:space="preserve">&gt; 0</w:t>
            </w:r>
            <w:r>
              <w:br/>
            </w:r>
            <w:r>
              <w:rPr>
                <w:rStyle w:val="Textoverde"/>
              </w:rPr>
              <w:t xml:space="preserve">Sustitutivos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sustitutivos brutos</w:t>
            </w:r>
            <w:r>
              <w:br/>
            </w:r>
            <w:r>
              <w:t xml:space="preserve">si</w:t>
            </w:r>
            <w:r>
              <w:t xml:space="preserve"> </w:t>
            </w:r>
            <m:oMath>
              <m:r>
                <m:rPr>
                  <m:sty m:val="p"/>
                </m:rPr>
                <m:t>E</m:t>
              </m:r>
              <m:r>
                <m:rPr>
                  <m:sty m:val="p"/>
                </m:rPr>
                <m:t>S</m:t>
              </m:r>
              <m:r>
                <m:rPr>
                  <m:sty m:val="p"/>
                </m:rPr>
                <m:t>&gt;</m:t>
              </m:r>
              <m:d>
                <m:dPr>
                  <m:begChr m:val="|"/>
                  <m:sepChr m:val=""/>
                  <m:endChr m:val="|"/>
                  <m:grow/>
                </m:dPr>
                <m:e>
                  <m:r>
                    <m:rPr>
                      <m:sty m:val="p"/>
                    </m:rPr>
                    <m:t>E</m:t>
                  </m:r>
                  <m:r>
                    <m:rPr>
                      <m:sty m:val="p"/>
                    </m:rPr>
                    <m:t>R</m:t>
                  </m:r>
                </m:e>
              </m:d>
            </m:oMath>
            <w:r>
              <w:t xml:space="preserve">; si no, complementarios</w:t>
            </w:r>
          </w:p>
        </w:tc>
      </w:tr>
      <w:tr>
        <w:trPr>
          <w:cantSplit/>
        </w:trP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verde"/>
              </w:rPr>
              <w:t xml:space="preserve">&gt; 0</w:t>
            </w:r>
            <w:r>
              <w:br/>
            </w:r>
            <w:r>
              <w:rPr>
                <w:rStyle w:val="Textoverde"/>
              </w:rPr>
              <w:t xml:space="preserve">Sustitutivos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rPr>
          <w:cantSplit/>
        </w:trPr>
        <w:tc>
          <w:tcPr>
            <w:vMerge w:val="restart"/>
            <w:vAlign w:val="center"/>
          </w:tcPr>
          <w:p>
            <w:pPr>
              <w:pStyle w:val="Compact"/>
              <w:jc w:val="center"/>
            </w:pPr>
            <m:oMath>
              <m:r>
                <m:rPr>
                  <m:sty m:val="p"/>
                </m:rPr>
                <m:t>=</m:t>
              </m:r>
              <m:r>
                <m:t>0</m:t>
              </m:r>
            </m:oMath>
            <w:r>
              <w:br/>
            </w:r>
            <w:r>
              <w:t xml:space="preserve">Independientes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m:oMath>
              <m:r>
                <m:rPr>
                  <m:sty m:val="p"/>
                </m:rPr>
                <m:t>=</m:t>
              </m:r>
              <m:r>
                <m:t>0</m:t>
              </m:r>
            </m:oMath>
            <w:r>
              <w:br/>
            </w:r>
            <w:r>
              <w:t xml:space="preserve">Independientes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rPr>
          <w:cantSplit/>
        </w:trPr>
        <w:tc>
          <w:tcPr>
            <w:vMerge w:val="restart"/>
            <w:vAlign w:val="center"/>
          </w:tcPr>
          <w:p>
            <w:pPr>
              <w:pStyle w:val="Compact"/>
              <w:jc w:val="center"/>
            </w:pPr>
            <w:r>
              <w:rPr>
                <w:rStyle w:val="Textodorado"/>
              </w:rPr>
              <w:t xml:space="preserve">&lt; 0</w:t>
            </w:r>
            <w:r>
              <w:br/>
            </w:r>
            <w:r>
              <w:rPr>
                <w:rStyle w:val="Textodorado"/>
              </w:rPr>
              <w:t xml:space="preserve">Complementarios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dorado"/>
              </w:rPr>
              <w:t xml:space="preserve">&lt; 0</w:t>
            </w:r>
            <w:r>
              <w:br/>
            </w:r>
            <w:r>
              <w:rPr>
                <w:rStyle w:val="Textodorado"/>
              </w:rPr>
              <w:t xml:space="preserve">Complementarios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complementarios brutos</w:t>
            </w:r>
            <w:r>
              <w:br/>
            </w:r>
            <w:r>
              <w:t xml:space="preserve">si</w:t>
            </w:r>
            <w:r>
              <w:t xml:space="preserve"> </w:t>
            </w:r>
            <m:oMath>
              <m:d>
                <m:dPr>
                  <m:begChr m:val="|"/>
                  <m:sepChr m:val=""/>
                  <m:endChr m:val="|"/>
                  <m:grow/>
                </m:dPr>
                <m:e>
                  <m:r>
                    <m:rPr>
                      <m:sty m:val="p"/>
                    </m:rPr>
                    <m:t>E</m:t>
                  </m:r>
                  <m:r>
                    <m:rPr>
                      <m:sty m:val="p"/>
                    </m:rPr>
                    <m:t>S</m:t>
                  </m:r>
                </m:e>
              </m:d>
              <m:r>
                <m:rPr>
                  <m:sty m:val="p"/>
                </m:rPr>
                <m:t>&gt;</m:t>
              </m:r>
              <m:r>
                <m:rPr>
                  <m:sty m:val="p"/>
                </m:rPr>
                <m:t>E</m:t>
              </m:r>
              <m:r>
                <m:rPr>
                  <m:sty m:val="p"/>
                </m:rPr>
                <m:t>R</m:t>
              </m:r>
            </m:oMath>
            <w:r>
              <w:t xml:space="preserve">; si no, sustitutivos</w:t>
            </w:r>
          </w:p>
        </w:tc>
      </w:tr>
    </w:tbl>
    <w:bookmarkEnd w:id="201"/>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202"/>
    <w:bookmarkEnd w:id="203"/>
    <w:bookmarkStart w:id="207" w:name="sec_agregacion_cournot_restricciones"/>
    <w:p>
      <w:pPr>
        <w:pStyle w:val="Heading3"/>
      </w:pPr>
      <w:r>
        <w:t xml:space="preserve">II.2.3.</w:t>
      </w:r>
      <w:r>
        <w:t xml:space="preserve"> </w:t>
      </w:r>
      <w:r>
        <w:t xml:space="preserve">Agregación de</w:t>
      </w:r>
      <w:r>
        <w:t xml:space="preserve"> </w:t>
      </w:r>
      <w:r>
        <w:rPr>
          <w:smallCaps/>
        </w:rPr>
        <w:t xml:space="preserve">Cournot</w:t>
      </w:r>
      <w:r>
        <w:t xml:space="preserve"> </w:t>
      </w:r>
      <w:r>
        <w:t xml:space="preserve">y restricciones de la demanda</w:t>
      </w:r>
    </w:p>
    <w:p>
      <w:pPr>
        <w:numPr>
          <w:ilvl w:val="0"/>
          <w:numId w:val="1102"/>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r>
        <w:t xml:space="preserve"> </w:t>
      </w:r>
      <w:bookmarkStart w:id="204" w:name="eq_agregacion_cournot"/>
      <w:bookmarkEnd w:id="204"/>
    </w:p>
    <w:p>
      <w:pPr>
        <w:pStyle w:val="BodyText"/>
        <w:keepN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keepNext/>
        <w:numPr>
          <w:ilvl w:val="0"/>
          <w:numId w:val="1000"/>
        </w:numPr>
      </w:pPr>
      <w:r>
        <w:t xml:space="preserve">(derivación paso a paso en el anexo </w:t>
      </w:r>
      <w:hyperlink w:anchor="der_cournot">
        <w:r>
          <w:rPr>
            <w:rStyle w:val="Hyperlink"/>
          </w:rPr>
          <w:t xml:space="preserve">B.3</w:t>
        </w:r>
      </w:hyperlink>
      <w:r>
        <w:t xml:space="preserve">).</w:t>
      </w:r>
    </w:p>
    <w:p>
      <w:pPr>
        <w:numPr>
          <w:ilvl w:val="1"/>
          <w:numId w:val="1103"/>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205"/>
      </w:r>
    </w:p>
    <w:p>
      <w:pPr>
        <w:numPr>
          <w:ilvl w:val="0"/>
          <w:numId w:val="1102"/>
        </w:numPr>
      </w:pPr>
      <w:r>
        <w:t xml:space="preserve">Con la restricción de homogeneidad en elasticidades (apartado </w:t>
      </w:r>
      <w:hyperlink w:anchor="sec_solucion_problema_maximizacion">
        <w:r>
          <w:rPr>
            <w:rStyle w:val="Hyperlink"/>
          </w:rPr>
          <w:t xml:space="preserve">I.3</w:t>
        </w:r>
      </w:hyperlink>
      <w:r>
        <w:t xml:space="preserve">), la demanda marshalliana cumple, para todo</w:t>
      </w:r>
      <w:r>
        <w:t xml:space="preserve"> </w:t>
      </w:r>
      <m:oMath>
        <m:r>
          <m:t>i</m:t>
        </m:r>
      </m:oMath>
      <w:r>
        <w:t xml:space="preserve"> </w:t>
      </w:r>
      <w:r>
        <w:t xml:space="preserve">y todo</w:t>
      </w:r>
      <w:r>
        <w:t xml:space="preserve"> </w:t>
      </w:r>
      <m:oMath>
        <m:r>
          <m:t>j</m:t>
        </m:r>
      </m:oMath>
      <w:r>
        <w:t xml:space="preserve">:</w:t>
      </w:r>
      <w:r>
        <w:t xml:space="preserve"> </w:t>
      </w:r>
      <w:bookmarkStart w:id="206" w:name="eq_restricciones_demanda"/>
      <w:bookmarkEnd w:id="206"/>
    </w:p>
    <w:p>
      <w:pPr>
        <w:pStyle w:val="BodyText"/>
        <w:keepN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2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hyperlink r:id="rId30">
        <w:r>
          <w:rPr>
            <w:rStyle w:val="Referenciaatema"/>
          </w:rPr>
          <w:t xml:space="preserve">[ver tema 3.A.9]</w:t>
        </w:r>
      </w:hyperlink>
      <w:r>
        <w:t xml:space="preserve">. Son las</w:t>
      </w:r>
      <w:r>
        <w:t xml:space="preserve"> </w:t>
      </w:r>
      <w:r>
        <w:rPr>
          <w:i/>
          <w:iCs/>
        </w:rPr>
        <w:t xml:space="preserve">restricciones contrastables</w:t>
      </w:r>
      <w:r>
        <w:t xml:space="preserve"> </w:t>
      </w:r>
      <w:r>
        <w:t xml:space="preserve">de la teoría.</w:t>
      </w:r>
    </w:p>
    <w:p>
      <w:pPr>
        <w:pStyle w:val="Ideaclave"/>
        <w:keepLines/>
      </w:pPr>
      <w:r>
        <w:t xml:space="preserve">Un cambio de precio tiene un efecto sustitución, siempre no positivo, y un efecto renta, cuyo signo depende de que el bien sea normal o inferior (ecuación de</w:t>
      </w:r>
      <w:r>
        <w:t xml:space="preserve"> </w:t>
      </w:r>
      <w:r>
        <w:rPr>
          <w:smallCaps/>
        </w:rPr>
        <w:t xml:space="preserve">Slutsky</w:t>
      </w:r>
      <w:r>
        <w:t xml:space="preserve">). Por eso la ley de la demanda vale siempre para la demanda compensada, pero para la marshalliana solo si el efecto renta no domina: el bien</w:t>
      </w:r>
      <w:r>
        <w:t xml:space="preserve"> </w:t>
      </w:r>
      <w:r>
        <w:rPr>
          <w:smallCaps/>
        </w:rPr>
        <w:t xml:space="preserve">Giffen</w:t>
      </w:r>
      <w:r>
        <w:t xml:space="preserve"> </w:t>
      </w:r>
      <w:r>
        <w:t xml:space="preserve">es la excepción. Las relaciones netas son simétricas; las brutas, no.</w:t>
      </w:r>
    </w:p>
    <w:bookmarkEnd w:id="207"/>
    <w:bookmarkEnd w:id="208"/>
    <w:bookmarkStart w:id="209" w:name="sec_valoracion"/>
    <w:p>
      <w:pPr>
        <w:pStyle w:val="Heading2"/>
      </w:pPr>
      <w:r>
        <w:t xml:space="preserve">II.3.</w:t>
      </w:r>
      <w:r>
        <w:t xml:space="preserve"> </w:t>
      </w:r>
      <w:r>
        <w:t xml:space="preserve">Valoración</w:t>
      </w:r>
    </w:p>
    <w:p>
      <w:pPr>
        <w:keepNext/>
        <w:numPr>
          <w:ilvl w:val="0"/>
          <w:numId w:val="1104"/>
        </w:numPr>
      </w:pPr>
      <w:r>
        <w:t xml:space="preserve">Con la estática comparativa completamos la teoría ordinal; antes de pasar a sus desarrollos, conviene valorarla. 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w:t>
      </w:r>
      <w:hyperlink w:anchor="sec_otros_desarrollos_teoria">
        <w:r>
          <w:rPr>
            <w:rStyle w:val="Hyperlink"/>
          </w:rPr>
          <w:t xml:space="preserve">III</w:t>
        </w:r>
      </w:hyperlink>
      <w:r>
        <w:t xml:space="preserve">:</w:t>
      </w:r>
    </w:p>
    <w:p>
      <w:pPr>
        <w:numPr>
          <w:ilvl w:val="1"/>
          <w:numId w:val="1105"/>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w:t>
      </w:r>
      <w:hyperlink w:anchor="sec_teoria_preferencia_revelada">
        <w:r>
          <w:rPr>
            <w:rStyle w:val="Hyperlink"/>
          </w:rPr>
          <w:t xml:space="preserve">III.1</w:t>
        </w:r>
      </w:hyperlink>
      <w:r>
        <w:t xml:space="preserve">);</w:t>
      </w:r>
    </w:p>
    <w:p>
      <w:pPr>
        <w:numPr>
          <w:ilvl w:val="1"/>
          <w:numId w:val="1105"/>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w:t>
      </w:r>
      <w:hyperlink w:anchor="sec_produccion_domestica">
        <w:r>
          <w:rPr>
            <w:rStyle w:val="Hyperlink"/>
          </w:rPr>
          <w:t xml:space="preserve">III.2</w:t>
        </w:r>
      </w:hyperlink>
      <w:r>
        <w:t xml:space="preserve">);</w:t>
      </w:r>
    </w:p>
    <w:p>
      <w:pPr>
        <w:numPr>
          <w:ilvl w:val="1"/>
          <w:numId w:val="1105"/>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w:t>
      </w:r>
      <w:hyperlink w:anchor="sec_precios_hedonicos">
        <w:r>
          <w:rPr>
            <w:rStyle w:val="Hyperlink"/>
          </w:rPr>
          <w:t xml:space="preserve">III.3</w:t>
        </w:r>
      </w:hyperlink>
      <w:r>
        <w:t xml:space="preserve">);</w:t>
      </w:r>
    </w:p>
    <w:p>
      <w:pPr>
        <w:numPr>
          <w:ilvl w:val="1"/>
          <w:numId w:val="1105"/>
        </w:numPr>
      </w:pPr>
      <w:r>
        <w:t xml:space="preserve">el análisis es estático y sin incertidumbre</w:t>
      </w:r>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p>
    <w:bookmarkEnd w:id="209"/>
    <w:bookmarkEnd w:id="210"/>
    <w:bookmarkStart w:id="269" w:name="sec_otros_desarrollos_teoria"/>
    <w:p>
      <w:pPr>
        <w:pStyle w:val="Heading1"/>
      </w:pPr>
      <w:r>
        <w:t xml:space="preserve">III.</w:t>
      </w:r>
      <w:r>
        <w:t xml:space="preserve"> </w:t>
      </w:r>
      <w:r>
        <w:t xml:space="preserve">Otros desarrollos de la teoría de la demanda</w:t>
      </w:r>
      <w:r>
        <w:t xml:space="preserve"> </w:t>
      </w:r>
      <w:r>
        <w:rPr>
          <w:rStyle w:val="Minutos"/>
        </w:rPr>
        <w:t xml:space="preserve">7′30″</w:t>
      </w:r>
    </w:p>
    <w:p>
      <w:pPr>
        <w:pStyle w:val="Notaalopositor"/>
        <w:keepLines/>
      </w:pPr>
      <w:r>
        <w:rPr>
          <w:b/>
          <w:bCs/>
        </w:rPr>
        <w:t xml:space="preserve">Nota al opositor. </w:t>
      </w:r>
      <w:r>
        <w:t xml:space="preserve">En el cante: preferencia revelada (unos 3′), producción doméstica (1′30″) y precios hedónicos (3′).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w:t>
      </w:r>
      <w:hyperlink w:anchor="fig_adpr_efecto_sustitucion">
        <w:r>
          <w:rPr>
            <w:rStyle w:val="Hyperlink"/>
          </w:rPr>
          <w:t xml:space="preserve">18</w:t>
        </w:r>
      </w:hyperlink>
      <w:r>
        <w:t xml:space="preserve">), y la función hedónica de</w:t>
      </w:r>
      <w:r>
        <w:t xml:space="preserve"> </w:t>
      </w:r>
      <w:r>
        <w:rPr>
          <w:smallCaps/>
        </w:rPr>
        <w:t xml:space="preserve">Rosen</w:t>
      </w:r>
      <w:r>
        <w:t xml:space="preserve"> </w:t>
      </w:r>
      <w:r>
        <w:t xml:space="preserve">(gráfico </w:t>
      </w:r>
      <w:hyperlink w:anchor="fig_funcion_hedonica_rosen">
        <w:r>
          <w:rPr>
            <w:rStyle w:val="Hyperlink"/>
          </w:rPr>
          <w:t xml:space="preserve">21</w:t>
        </w:r>
      </w:hyperlink>
      <w:r>
        <w:t xml:space="preserve">). El axioma fuerte en gráfico y la obtención de las curvas de indiferencia son de profundización.</w:t>
      </w:r>
    </w:p>
    <w:p>
      <w:pPr>
        <w:numPr>
          <w:ilvl w:val="0"/>
          <w:numId w:val="1106"/>
        </w:numPr>
      </w:pPr>
      <w:r>
        <w:t xml:space="preserve">Una vez construida la demanda y estudiado cómo responde a la renta y a los precios, pasamos a analizar los 3 desarrollos que responden a sus limitaciones y acercan la teoría a lo observable: la preferencia revelada, la producción doméstica y los precios hedónicos.</w:t>
      </w:r>
    </w:p>
    <w:bookmarkStart w:id="239" w:name="sec_teoria_preferencia_revelada"/>
    <w:p>
      <w:pPr>
        <w:pStyle w:val="Heading2"/>
      </w:pPr>
      <w:r>
        <w:t xml:space="preserve">III.1.</w:t>
      </w:r>
      <w:r>
        <w:t xml:space="preserve"> </w:t>
      </w:r>
      <w:r>
        <w:t xml:space="preserve">La teoría de la preferencia revelada</w:t>
      </w:r>
    </w:p>
    <w:bookmarkStart w:id="213" w:name="a_idea"/>
    <w:p>
      <w:pPr>
        <w:pStyle w:val="Heading4"/>
      </w:pPr>
      <w:r>
        <w:t xml:space="preserve">a) Idea</w:t>
      </w:r>
    </w:p>
    <w:p>
      <w:pPr>
        <w:keepNext/>
        <w:numPr>
          <w:ilvl w:val="0"/>
          <w:numId w:val="1107"/>
        </w:numPr>
      </w:pPr>
      <w:r>
        <w:t xml:space="preserve">La</w:t>
      </w:r>
      <w:r>
        <w:t xml:space="preserve"> </w:t>
      </w:r>
      <w:r>
        <w:rPr>
          <w:b/>
          <w:bCs/>
        </w:rPr>
        <w:t xml:space="preserve">teoría de la preferencia revelada</w:t>
      </w:r>
      <w:r>
        <w:t xml:space="preserve">, 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w:t>
      </w:r>
      <w:r>
        <w:rPr>
          <w:rStyle w:val="FootnoteReference"/>
        </w:rPr>
        <w:footnoteReference w:id="211"/>
      </w:r>
      <w:r>
        <w:rPr>
          <w:vertAlign w:val="superscript"/>
        </w:rPr>
        <w:t xml:space="preserve">,</w:t>
      </w:r>
      <w:r>
        <w:rPr>
          <w:rStyle w:val="FootnoteReference"/>
        </w:rPr>
        <w:footnoteReference w:id="212"/>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108"/>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213"/>
    <w:bookmarkStart w:id="235" w:name="b_modelo"/>
    <w:p>
      <w:pPr>
        <w:pStyle w:val="Heading4"/>
      </w:pPr>
      <w:r>
        <w:t xml:space="preserve">b) Modelo</w:t>
      </w:r>
    </w:p>
    <w:bookmarkStart w:id="215" w:name="i_supuestos"/>
    <w:p>
      <w:pPr>
        <w:pStyle w:val="Heading5"/>
      </w:pPr>
      <w:r>
        <w:t xml:space="preserve">i) Supuestos</w:t>
      </w:r>
    </w:p>
    <w:p>
      <w:pPr>
        <w:numPr>
          <w:ilvl w:val="0"/>
          <w:numId w:val="1109"/>
        </w:numPr>
      </w:pPr>
      <w:r>
        <w:t xml:space="preserve">Se parte de un consumidor</w:t>
      </w:r>
      <w:r>
        <w:t xml:space="preserve"> </w:t>
      </w:r>
      <w:r>
        <w:rPr>
          <w:i/>
          <w:iCs/>
        </w:rPr>
        <w:t xml:space="preserve">individual</w:t>
      </w:r>
      <w:r>
        <w:rPr>
          <w:rStyle w:val="FootnoteReference"/>
        </w:rPr>
        <w:footnoteReference w:id="214"/>
      </w:r>
      <w:r>
        <w:t xml:space="preserve"> </w:t>
      </w:r>
      <w:r>
        <w:t xml:space="preserve">que, ante cada vector de precios</w:t>
      </w:r>
      <w:r>
        <w:t xml:space="preserve"> </w:t>
      </w:r>
      <m:oMath>
        <m:acc>
          <m:accPr>
            <m:chr m:val="⃗"/>
          </m:accPr>
          <m:e>
            <m:r>
              <m:t>p</m:t>
            </m:r>
          </m:e>
        </m:acc>
        <m:r>
          <m:rPr>
            <m:sty m:val="p"/>
          </m:rPr>
          <m:t>≫</m:t>
        </m:r>
        <m:acc>
          <m:accPr>
            <m:chr m:val="⃗"/>
          </m:accPr>
          <m:e>
            <m:r>
              <m:t>0</m:t>
            </m:r>
          </m:e>
        </m:acc>
      </m:oMath>
      <w:r>
        <w:t xml:space="preserve"> </w:t>
      </w:r>
      <w:r>
        <w:t xml:space="preserve">y cada renta</w:t>
      </w:r>
      <w:r>
        <w:t xml:space="preserve"> </w:t>
      </w:r>
      <m:oMath>
        <m:bar>
          <m:barPr>
            <m:pos m:val="top"/>
          </m:barPr>
          <m:e>
            <m:r>
              <m:t>W</m:t>
            </m:r>
          </m:e>
        </m:bar>
      </m:oMath>
      <w:r>
        <w:t xml:space="preserve">, elige una única cesta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215"/>
    <w:bookmarkStart w:id="226" w:name="ii_desarrollo"/>
    <w:p>
      <w:pPr>
        <w:pStyle w:val="Heading5"/>
      </w:pPr>
      <w:r>
        <w:t xml:space="preserve">ii) Desarrollo</w:t>
      </w:r>
    </w:p>
    <w:p>
      <w:pPr>
        <w:numPr>
          <w:ilvl w:val="0"/>
          <w:numId w:val="1110"/>
        </w:numPr>
      </w:pPr>
      <w:r>
        <w:t xml:space="preserve">Si, en la situación</w:t>
      </w:r>
      <w:r>
        <w:t xml:space="preserve"> </w:t>
      </w:r>
      <m:oMath>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el consumidor elige</w:t>
      </w:r>
      <w:r>
        <w:t xml:space="preserve"> </w:t>
      </w:r>
      <m:oMath>
        <m:sSup>
          <m:e>
            <m:acc>
              <m:accPr>
                <m:chr m:val="⃗"/>
              </m:accPr>
              <m:e>
                <m:r>
                  <m:t>x</m:t>
                </m:r>
              </m:e>
            </m:acc>
          </m:e>
          <m:sup>
            <m:r>
              <m:t>0</m:t>
            </m:r>
          </m:sup>
        </m:sSup>
      </m:oMath>
      <w:r>
        <w:t xml:space="preserve"> </w:t>
      </w:r>
      <w:r>
        <w:t xml:space="preserve">cuando también podía comprar otra cesta</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acc>
              <m:accPr>
                <m:chr m:val="⃗"/>
              </m:accPr>
              <m:e>
                <m:r>
                  <m:t>x</m:t>
                </m:r>
              </m:e>
            </m:acc>
          </m:e>
          <m:sup>
            <m:r>
              <m:t>1</m:t>
            </m:r>
          </m:sup>
        </m:sSup>
      </m:oMath>
      <w:r>
        <w:t xml:space="preserve">.</w:t>
      </w:r>
    </w:p>
    <w:p>
      <w:pPr>
        <w:numPr>
          <w:ilvl w:val="0"/>
          <w:numId w:val="1110"/>
        </w:numPr>
      </w:pPr>
      <w:r>
        <w:rPr>
          <w:b/>
          <w:bCs/>
        </w:rPr>
        <w:t xml:space="preserve">Axioma débil de la preferencia revelada</w:t>
      </w:r>
      <w:r>
        <w:t xml:space="preserve"> </w:t>
      </w:r>
      <w:r>
        <w:t xml:space="preserve">(ADPR): 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 entonces</w:t>
      </w:r>
      <w:r>
        <w:t xml:space="preserve"> </w:t>
      </w:r>
      <m:oMath>
        <m:sSup>
          <m:e>
            <m:acc>
              <m:accPr>
                <m:chr m:val="⃗"/>
              </m:accPr>
              <m:e>
                <m:r>
                  <m:t>x</m:t>
                </m:r>
              </m:e>
            </m:acc>
          </m:e>
          <m:sup>
            <m:r>
              <m:t>0</m:t>
            </m:r>
          </m:sup>
        </m:sSup>
      </m:oMath>
      <w:r>
        <w:t xml:space="preserve"> </w:t>
      </w:r>
      <w:r>
        <w:t xml:space="preserve">no puede ser asequible cuando se elige</w:t>
      </w:r>
      <w:r>
        <w:t xml:space="preserve"> </w:t>
      </w:r>
      <m:oMath>
        <m:sSup>
          <m:e>
            <m:acc>
              <m:accPr>
                <m:chr m:val="⃗"/>
              </m:accPr>
              <m:e>
                <m:r>
                  <m:t>x</m:t>
                </m:r>
              </m:e>
            </m:acc>
          </m:e>
          <m:sup>
            <m:r>
              <m:t>1</m:t>
            </m:r>
          </m:sup>
        </m:sSup>
      </m:oMath>
      <w:r>
        <w:t xml:space="preserve">:</w:t>
      </w:r>
      <w:r>
        <w:t xml:space="preserve"> </w:t>
      </w:r>
      <w:bookmarkStart w:id="216" w:name="eq_adpr"/>
      <w:bookmarkEnd w:id="216"/>
    </w:p>
    <w:p>
      <w:pPr>
        <w:pStyle w:val="BodyText"/>
        <w:keepNext/>
      </w:pPr>
      <m:oMathPara>
        <m:oMathParaPr>
          <m:jc m:val="center"/>
        </m:oMathParaPr>
        <m:oMath>
          <m:sSup>
            <m:e>
              <m:acc>
                <m:accPr>
                  <m:chr m:val="⃗"/>
                </m:accPr>
                <m:e>
                  <m:r>
                    <m:t>p</m:t>
                  </m:r>
                </m:e>
              </m:acc>
            </m:e>
            <m:sup>
              <m:r>
                <m:t>0</m:t>
              </m:r>
            </m:sup>
          </m:sSup>
          <m:r>
            <m:rPr>
              <m:sty m:val="p"/>
            </m:rPr>
            <m:t>⋅</m:t>
          </m:r>
          <m:sSup>
            <m:e>
              <m:acc>
                <m:accPr>
                  <m:chr m:val="⃗"/>
                </m:accPr>
                <m:e>
                  <m:r>
                    <m:t>x</m:t>
                  </m:r>
                </m:e>
              </m:acc>
            </m:e>
            <m:sup>
              <m:r>
                <m:t>1</m:t>
              </m:r>
            </m:sup>
          </m:sSup>
          <m:r>
            <m:rPr>
              <m:sty m:val="p"/>
            </m:rPr>
            <m:t>≤</m:t>
          </m:r>
          <m:sSup>
            <m:e>
              <m:acc>
                <m:accPr>
                  <m:chr m:val="⃗"/>
                </m:accPr>
                <m:e>
                  <m:r>
                    <m:t>p</m:t>
                  </m:r>
                </m:e>
              </m:acc>
            </m:e>
            <m:sup>
              <m:r>
                <m:t>0</m:t>
              </m:r>
            </m:sup>
          </m:sSup>
          <m:r>
            <m:rPr>
              <m:sty m:val="p"/>
            </m:rPr>
            <m:t>⋅</m:t>
          </m:r>
          <m:sSup>
            <m:e>
              <m:acc>
                <m:accPr>
                  <m:chr m:val="⃗"/>
                </m:accPr>
                <m:e>
                  <m:r>
                    <m:t>x</m:t>
                  </m:r>
                </m:e>
              </m:acc>
            </m:e>
            <m:sup>
              <m:r>
                <m:t>0</m:t>
              </m:r>
            </m:sup>
          </m:sSup>
          <m:r>
            <m:rPr>
              <m:sty m:val="p"/>
            </m:rPr>
            <m:t>,</m:t>
          </m:r>
          <m:r>
            <m:t> </m:t>
          </m:r>
          <m:sSup>
            <m:e>
              <m:acc>
                <m:accPr>
                  <m:chr m:val="⃗"/>
                </m:accPr>
                <m:e>
                  <m:r>
                    <m:t>x</m:t>
                  </m:r>
                </m:e>
              </m:acc>
            </m:e>
            <m:sup>
              <m:r>
                <m:t>1</m:t>
              </m:r>
            </m:sup>
          </m:sSup>
          <m:r>
            <m:rPr>
              <m:sty m:val="p"/>
            </m:rPr>
            <m:t>≠</m:t>
          </m:r>
          <m:sSup>
            <m:e>
              <m:acc>
                <m:accPr>
                  <m:chr m:val="⃗"/>
                </m:accPr>
                <m:e>
                  <m:r>
                    <m:t>x</m:t>
                  </m:r>
                </m:e>
              </m:acc>
            </m:e>
            <m:sup>
              <m:r>
                <m:t>0</m:t>
              </m:r>
            </m:sup>
          </m:sSup>
          <m:r>
            <m:t> </m:t>
          </m:r>
          <m:r>
            <m:rPr>
              <m:sty m:val="p"/>
            </m:rPr>
            <m:t>⇒</m:t>
          </m:r>
          <m:r>
            <m:t> </m:t>
          </m:r>
          <m:sSup>
            <m:e>
              <m:acc>
                <m:accPr>
                  <m:chr m:val="⃗"/>
                </m:accPr>
                <m:e>
                  <m:r>
                    <m:t>p</m:t>
                  </m:r>
                </m:e>
              </m:acc>
            </m:e>
            <m:sup>
              <m:r>
                <m:t>1</m:t>
              </m:r>
            </m:sup>
          </m:sSup>
          <m:r>
            <m:rPr>
              <m:sty m:val="p"/>
            </m:rPr>
            <m:t>⋅</m:t>
          </m:r>
          <m:sSup>
            <m:e>
              <m:acc>
                <m:accPr>
                  <m:chr m:val="⃗"/>
                </m:accPr>
                <m:e>
                  <m:r>
                    <m:t>x</m:t>
                  </m:r>
                </m:e>
              </m:acc>
            </m:e>
            <m:sup>
              <m:r>
                <m:t>0</m:t>
              </m:r>
            </m:sup>
          </m:sSup>
          <m:r>
            <m:rPr>
              <m:sty m:val="p"/>
            </m:rPr>
            <m:t>&gt;</m:t>
          </m:r>
          <m:sSup>
            <m:e>
              <m:acc>
                <m:accPr>
                  <m:chr m:val="⃗"/>
                </m:accPr>
                <m:e>
                  <m:r>
                    <m:t>p</m:t>
                  </m:r>
                </m:e>
              </m:acc>
            </m:e>
            <m:sup>
              <m:r>
                <m:t>1</m:t>
              </m:r>
            </m:sup>
          </m:sSup>
          <m:r>
            <m:rPr>
              <m:sty m:val="p"/>
            </m:rPr>
            <m:t>⋅</m:t>
          </m:r>
          <m:sSup>
            <m:e>
              <m:acc>
                <m:accPr>
                  <m:chr m:val="⃗"/>
                </m:accPr>
                <m:e>
                  <m:r>
                    <m:t>x</m:t>
                  </m:r>
                </m:e>
              </m:acc>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en otra situación, lo contrario.</w:t>
      </w:r>
      <w:r>
        <w:rPr>
          <w:rStyle w:val="FootnoteReference"/>
        </w:rPr>
        <w:footnoteReference w:id="217"/>
      </w:r>
    </w:p>
    <w:bookmarkStart w:id="221" w:name="fig_adpr_efecto_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Gráfico 18.– Axioma débil de la preferencia revelada y signo del efecto sustitución" title="" id="219" name="Picture"/>
            <a:graphic>
              <a:graphicData uri="http://schemas.openxmlformats.org/drawingml/2006/picture">
                <pic:pic>
                  <pic:nvPicPr>
                    <pic:cNvPr descr="C:\Users\vgutierrez\Documents\src\victorgutierrezmarcos.github.io-revision\oposicion\temario\fuentes\3A08\graficos/adpr-efecto-sustitucion.png" id="220" name="Picture"/>
                    <pic:cNvPicPr>
                      <a:picLocks noChangeArrowheads="1" noChangeAspect="1"/>
                    </pic:cNvPicPr>
                  </pic:nvPicPr>
                  <pic:blipFill>
                    <a:blip r:embed="rId218"/>
                    <a:stretch>
                      <a:fillRect/>
                    </a:stretch>
                  </pic:blipFill>
                  <pic:spPr bwMode="auto">
                    <a:xfrm>
                      <a:off x="0" y="0"/>
                      <a:ext cx="5370188" cy="2088746"/>
                    </a:xfrm>
                    <a:prstGeom prst="rect">
                      <a:avLst/>
                    </a:prstGeom>
                    <a:noFill/>
                    <a:ln w="9525">
                      <a:noFill/>
                      <a:headEnd/>
                      <a:tailEnd/>
                    </a:ln>
                  </pic:spPr>
                </pic:pic>
              </a:graphicData>
            </a:graphic>
          </wp:inline>
        </w:drawing>
      </w:r>
    </w:p>
    <w:bookmarkEnd w:id="221"/>
    <w:p>
      <w:pPr>
        <w:pStyle w:val="Piedeimagen"/>
      </w:pPr>
      <w:r>
        <w:t xml:space="preserve">Fuente: elaboración propia basada en</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2.F</w:t>
        </w:r>
      </w:hyperlink>
      <w:r>
        <w:t xml:space="preserve">)</w:t>
      </w:r>
      <w:r>
        <w:t xml:space="preserve">.</w:t>
      </w:r>
    </w:p>
    <w:p>
      <w:pPr>
        <w:numPr>
          <w:ilvl w:val="0"/>
          <w:numId w:val="1111"/>
        </w:numPr>
      </w:pPr>
      <w:r>
        <w:t xml:space="preserve">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a</w:t>
      </w:r>
      <w:r>
        <w:t xml:space="preserve"> </w:t>
      </w:r>
      <m:oMath>
        <m:sSup>
          <m:e>
            <m:acc>
              <m:accPr>
                <m:chr m:val="⃗"/>
              </m:accPr>
              <m:e>
                <m:r>
                  <m:t>x</m:t>
                </m:r>
              </m:e>
            </m:acc>
          </m:e>
          <m:sup>
            <m:r>
              <m:t>2</m:t>
            </m:r>
          </m:sup>
        </m:sSup>
      </m:oMath>
      <w:r>
        <w:t xml:space="preserve">, …, y</w:t>
      </w:r>
      <w:r>
        <w:t xml:space="preserve"> </w:t>
      </w:r>
      <m:oMath>
        <m:sSup>
          <m:e>
            <m:acc>
              <m:accPr>
                <m:chr m:val="⃗"/>
              </m:accPr>
              <m:e>
                <m:r>
                  <m:t>x</m:t>
                </m:r>
              </m:e>
            </m:acc>
          </m:e>
          <m:sup>
            <m:r>
              <m:t>k</m:t>
            </m:r>
            <m:r>
              <m:rPr>
                <m:sty m:val="p"/>
              </m:rPr>
              <m:t>−</m:t>
            </m:r>
            <m:r>
              <m:t>1</m:t>
            </m:r>
          </m:sup>
        </m:sSup>
      </m:oMath>
      <w:r>
        <w:t xml:space="preserve"> </w:t>
      </w:r>
      <w:r>
        <w:t xml:space="preserve">a</w:t>
      </w:r>
      <w:r>
        <w:t xml:space="preserve"> </w:t>
      </w:r>
      <m:oMath>
        <m:sSup>
          <m:e>
            <m:acc>
              <m:accPr>
                <m:chr m:val="⃗"/>
              </m:accPr>
              <m:e>
                <m:r>
                  <m:t>x</m:t>
                </m:r>
              </m:e>
            </m:acc>
          </m:e>
          <m:sup>
            <m:r>
              <m:t>k</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acc>
              <m:accPr>
                <m:chr m:val="⃗"/>
              </m:accPr>
              <m:e>
                <m:r>
                  <m:t>x</m:t>
                </m:r>
              </m:e>
            </m:acc>
          </m:e>
          <m:sup>
            <m:r>
              <m:t>k</m:t>
            </m:r>
          </m:sup>
        </m:sSup>
      </m:oMath>
      <w:r>
        <w:t xml:space="preserve">, aunque nunca se hayan comparado directamente (gráfico </w:t>
      </w:r>
      <w:hyperlink w:anchor="fig_afpr">
        <w:r>
          <w:rPr>
            <w:rStyle w:val="Hyperlink"/>
          </w:rPr>
          <w:t xml:space="preserve">19</w:t>
        </w:r>
      </w:hyperlink>
      <w:r>
        <w:t xml:space="preserve">).</w:t>
      </w:r>
    </w:p>
    <w:p>
      <w:pPr>
        <w:numPr>
          <w:ilvl w:val="0"/>
          <w:numId w:val="1111"/>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si</w:t>
      </w:r>
      <w:r>
        <w:t xml:space="preserve"> </w:t>
      </w:r>
      <m:oMath>
        <m:sSup>
          <m:e>
            <m:acc>
              <m:accPr>
                <m:chr m:val="⃗"/>
              </m:accPr>
              <m:e>
                <m:r>
                  <m:t>x</m:t>
                </m:r>
              </m:e>
            </m:acc>
          </m:e>
          <m:sup>
            <m:r>
              <m:t>0</m:t>
            </m:r>
          </m:sup>
        </m:sSup>
      </m:oMath>
      <w:r>
        <w:t xml:space="preserve"> </w:t>
      </w:r>
      <w:r>
        <w:t xml:space="preserve">se revela directa o indirectamente preferida a</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k</m:t>
            </m:r>
          </m:sup>
        </m:sSup>
      </m:oMath>
      <w:r>
        <w:t xml:space="preserve"> </w:t>
      </w:r>
      <w:r>
        <w:t xml:space="preserve">no puede revelarse preferida a</w:t>
      </w:r>
      <w:r>
        <w:t xml:space="preserve"> </w:t>
      </w:r>
      <m:oMath>
        <m:sSup>
          <m:e>
            <m:acc>
              <m:accPr>
                <m:chr m:val="⃗"/>
              </m:accPr>
              <m:e>
                <m:r>
                  <m:t>x</m:t>
                </m:r>
              </m:e>
            </m:acc>
          </m:e>
          <m:sup>
            <m:r>
              <m:t>0</m:t>
            </m:r>
          </m:sup>
        </m:sSup>
      </m:oMath>
      <w:r>
        <w:t xml:space="preserve">. Es la</w:t>
      </w:r>
      <w:r>
        <w:t xml:space="preserve"> </w:t>
      </w:r>
      <w:r>
        <w:rPr>
          <w:i/>
          <w:iCs/>
        </w:rPr>
        <w:t xml:space="preserve">transitividad</w:t>
      </w:r>
      <w:r>
        <w:t xml:space="preserve"> </w:t>
      </w:r>
      <w:r>
        <w:t xml:space="preserve">de las preferencias reveladas, y el AFPR implica el ADPR.</w:t>
      </w:r>
    </w:p>
    <w:bookmarkStart w:id="225" w:name="fig_afpr"/>
    <w:p>
      <w:pPr>
        <w:pStyle w:val="ImageCaption"/>
      </w:pPr>
      <w:r>
        <w:t xml:space="preserve">Gráfico 19.–</w:t>
      </w:r>
      <w:r>
        <w:t xml:space="preserve"> </w:t>
      </w:r>
      <w:r>
        <w:t xml:space="preserve">Axioma fuerte de la preferencia revelada:</w:t>
      </w:r>
      <w:r>
        <w:t xml:space="preserve"> </w:t>
      </w:r>
      <m:oMath>
        <m:sSup>
          <m:e>
            <m:acc>
              <m:accPr>
                <m:chr m:val="⃗"/>
              </m:accPr>
              <m:e>
                <m:r>
                  <m:t>x</m:t>
                </m:r>
              </m:e>
            </m:acc>
          </m:e>
          <m:sup>
            <m:r>
              <m:t>0</m:t>
            </m:r>
          </m:sup>
        </m:sSup>
      </m:oMath>
      <w:r>
        <w:t xml:space="preserve"> </w:t>
      </w:r>
      <w:r>
        <w:t xml:space="preserve">se revela indirectamente preferida a</w:t>
      </w:r>
      <w:r>
        <w:t xml:space="preserve"> </w:t>
      </w:r>
      <m:oMath>
        <m:sSup>
          <m:e>
            <m:acc>
              <m:accPr>
                <m:chr m:val="⃗"/>
              </m:accPr>
              <m:e>
                <m:r>
                  <m:t>x</m:t>
                </m:r>
              </m:e>
            </m:acc>
          </m:e>
          <m:sup>
            <m:r>
              <m:t>2</m:t>
            </m:r>
          </m:sup>
        </m:sSup>
      </m:oMath>
    </w:p>
    <w:p>
      <w:pPr>
        <w:pStyle w:val="CaptionedFigure"/>
      </w:pPr>
      <w:r>
        <w:drawing>
          <wp:inline>
            <wp:extent cx="3282950" cy="1884151"/>
            <wp:effectExtent b="0" l="0" r="0" t="0"/>
            <wp:docPr descr="Gráfico 19.– Axioma fuerte de la preferencia revelada: \vec{x}^0 se revela indirectamente preferida a \vec{x}^2" title="" id="223" name="Picture"/>
            <a:graphic>
              <a:graphicData uri="http://schemas.openxmlformats.org/drawingml/2006/picture">
                <pic:pic>
                  <pic:nvPicPr>
                    <pic:cNvPr descr="C:\Users\vgutierrez\Documents\src\victorgutierrezmarcos.github.io-revision\oposicion\temario\fuentes\3A08\graficos/afpr.png" id="224" name="Picture"/>
                    <pic:cNvPicPr>
                      <a:picLocks noChangeArrowheads="1" noChangeAspect="1"/>
                    </pic:cNvPicPr>
                  </pic:nvPicPr>
                  <pic:blipFill>
                    <a:blip r:embed="rId222"/>
                    <a:stretch>
                      <a:fillRect/>
                    </a:stretch>
                  </pic:blipFill>
                  <pic:spPr bwMode="auto">
                    <a:xfrm>
                      <a:off x="0" y="0"/>
                      <a:ext cx="3282950" cy="1884151"/>
                    </a:xfrm>
                    <a:prstGeom prst="rect">
                      <a:avLst/>
                    </a:prstGeom>
                    <a:noFill/>
                    <a:ln w="9525">
                      <a:noFill/>
                      <a:headEnd/>
                      <a:tailEnd/>
                    </a:ln>
                  </pic:spPr>
                </pic:pic>
              </a:graphicData>
            </a:graphic>
          </wp:inline>
        </w:drawing>
      </w:r>
    </w:p>
    <w:bookmarkEnd w:id="22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7</w:t>
        </w:r>
      </w:hyperlink>
      <w:r>
        <w:t xml:space="preserve">)</w:t>
      </w:r>
      <w:r>
        <w:t xml:space="preserve">.</w:t>
      </w:r>
    </w:p>
    <w:bookmarkEnd w:id="226"/>
    <w:bookmarkStart w:id="234" w:name="iii_implicaciones"/>
    <w:p>
      <w:pPr>
        <w:pStyle w:val="Heading5"/>
      </w:pPr>
      <w:r>
        <w:t xml:space="preserve">iii) Implicaciones</w:t>
      </w:r>
    </w:p>
    <w:p>
      <w:pPr>
        <w:keepNext/>
        <w:numPr>
          <w:ilvl w:val="0"/>
          <w:numId w:val="1112"/>
        </w:numPr>
      </w:pPr>
      <w:r>
        <w:t xml:space="preserve">Del ADPR se deducen las propiedades de la demanda sin hablar de utilidad:</w:t>
      </w:r>
    </w:p>
    <w:p>
      <w:pPr>
        <w:numPr>
          <w:ilvl w:val="1"/>
          <w:numId w:val="1113"/>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227"/>
      </w:r>
    </w:p>
    <w:p>
      <w:pPr>
        <w:numPr>
          <w:ilvl w:val="1"/>
          <w:numId w:val="1113"/>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y se compensa la renta para que el consumidor pueda seguir comprando la cesta inicial</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elige</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entonces (demostración en el anexo </w:t>
      </w:r>
      <w:hyperlink w:anchor="der_adpr">
        <w:r>
          <w:rPr>
            <w:rStyle w:val="Hyperlink"/>
          </w:rPr>
          <w:t xml:space="preserve">B.7</w:t>
        </w:r>
      </w:hyperlink>
      <w:r>
        <w:t xml:space="preserve">)</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w:t>
      </w:r>
      <w:bookmarkStart w:id="228" w:name="eq_ley_demanda_compensada"/>
      <w:bookmarkEnd w:id="228"/>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acc>
              <m:accPr>
                <m:chr m:val="⃗"/>
              </m:accPr>
              <m:e>
                <m:r>
                  <m:t>x</m:t>
                </m:r>
              </m:e>
            </m:acc>
          </m:e>
          <m:sup>
            <m:r>
              <m:t>0</m:t>
            </m:r>
          </m:sup>
        </m:sSup>
      </m:oMath>
      <w:r>
        <w:t xml:space="preserve">; las cestas de esa recta situadas a la izquierda de</w:t>
      </w:r>
      <w:r>
        <w:t xml:space="preserve"> </w:t>
      </w:r>
      <m:oMath>
        <m:sSup>
          <m:e>
            <m:acc>
              <m:accPr>
                <m:chr m:val="⃗"/>
              </m:accPr>
              <m:e>
                <m:r>
                  <m:t>x</m:t>
                </m:r>
              </m:e>
            </m:acc>
          </m:e>
          <m:sup>
            <m:r>
              <m:t>0</m:t>
            </m:r>
          </m:sup>
        </m:sSup>
      </m:oMath>
      <w:r>
        <w:t xml:space="preserve"> </w:t>
      </w:r>
      <w:r>
        <w:t xml:space="preserve">ya eran asequibles con la recta inicial y no se eligieron, así que el consumidor elegirá una cesta a la derecha de</w:t>
      </w:r>
      <w:r>
        <w:t xml:space="preserve"> </w:t>
      </w:r>
      <m:oMath>
        <m:sSup>
          <m:e>
            <m:acc>
              <m:accPr>
                <m:chr m:val="⃗"/>
              </m:accPr>
              <m:e>
                <m:r>
                  <m:t>x</m:t>
                </m:r>
              </m:e>
            </m:acc>
          </m:e>
          <m:sup>
            <m:r>
              <m:t>0</m:t>
            </m:r>
          </m:sup>
        </m:sSup>
      </m:oMath>
      <w:r>
        <w:t xml:space="preserve">, con más bien 1 (gráfico </w:t>
      </w:r>
      <w:hyperlink w:anchor="fig_adpr_efecto_sustitucion">
        <w:r>
          <w:rPr>
            <w:rStyle w:val="Hyperlink"/>
          </w:rPr>
          <w:t xml:space="preserve">18</w:t>
        </w:r>
      </w:hyperlink>
      <w:r>
        <w:t xml:space="preserve">, segunda capa). Se obtiene el resultado de la ecuación de</w:t>
      </w:r>
      <w:r>
        <w:t xml:space="preserve"> </w:t>
      </w:r>
      <w:r>
        <w:rPr>
          <w:smallCaps/>
        </w:rPr>
        <w:t xml:space="preserve">Slutsky</w:t>
      </w:r>
      <w:r>
        <w:t xml:space="preserve"> </w:t>
      </w:r>
      <w:r>
        <w:t xml:space="preserve">sin hablar de utilidad.</w:t>
      </w:r>
    </w:p>
    <w:p>
      <w:pPr>
        <w:numPr>
          <w:ilvl w:val="1"/>
          <w:numId w:val="1113"/>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2.F.2)</w:t>
      </w:r>
      <w:r>
        <w:t xml:space="preserve">. Por eso, con más de 2 bienes, no basta para que exista una utilidad que racionalice la demanda; con 2 bienes, sí</w:t>
      </w:r>
      <w:r>
        <w:t xml:space="preserve"> </w:t>
      </w:r>
      <w:r>
        <w:t xml:space="preserve">(</w:t>
      </w:r>
      <w:hyperlink w:anchor="ref_Rose1958Consistency">
        <w:r>
          <w:rPr>
            <w:rStyle w:val="Hyperlink"/>
            <w:smallCaps/>
          </w:rPr>
          <w:t xml:space="preserve">Rose</w:t>
        </w:r>
        <w:r>
          <w:rPr>
            <w:rStyle w:val="Hyperlink"/>
          </w:rPr>
          <w:t xml:space="preserve">, 1958</w:t>
        </w:r>
      </w:hyperlink>
      <w:r>
        <w:t xml:space="preserve">)</w:t>
      </w:r>
      <w:r>
        <w:t xml:space="preserve">.</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hyperlink r:id="rId30">
        <w:r>
          <w:rPr>
            <w:rStyle w:val="Referenciaatema"/>
          </w:rPr>
          <w:t xml:space="preserve">[ver tema 3.A.9]</w:t>
        </w:r>
      </w:hyperlink>
      <w:r>
        <w:t xml:space="preserve">.</w:t>
      </w:r>
    </w:p>
    <w:p>
      <w:pPr>
        <w:numPr>
          <w:ilvl w:val="0"/>
          <w:numId w:val="1114"/>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229"/>
      </w:r>
    </w:p>
    <w:p>
      <w:pPr>
        <w:numPr>
          <w:ilvl w:val="0"/>
          <w:numId w:val="1114"/>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acc>
              <m:accPr>
                <m:chr m:val="⃗"/>
              </m:accPr>
              <m:e>
                <m:r>
                  <m:t>x</m:t>
                </m:r>
              </m:e>
            </m:acc>
          </m:e>
          <m:sup>
            <m:r>
              <m:t>0</m:t>
            </m:r>
          </m:sup>
        </m:sSup>
      </m:oMath>
      <w:r>
        <w:t xml:space="preserve"> </w:t>
      </w:r>
      <w:r>
        <w:t xml:space="preserve">se revelan peores que</w:t>
      </w:r>
      <w:r>
        <w:t xml:space="preserve"> </w:t>
      </w:r>
      <m:oMath>
        <m:sSup>
          <m:e>
            <m:acc>
              <m:accPr>
                <m:chr m:val="⃗"/>
              </m:accPr>
              <m:e>
                <m:r>
                  <m:t>x</m:t>
                </m:r>
              </m:e>
            </m:acc>
          </m:e>
          <m:sup>
            <m:r>
              <m:t>0</m:t>
            </m:r>
          </m:sup>
        </m:sSup>
      </m:oMath>
      <w:r>
        <w:t xml:space="preserve">, y las que se revelan preferidas a</w:t>
      </w:r>
      <w:r>
        <w:t xml:space="preserve"> </w:t>
      </w:r>
      <m:oMath>
        <m:sSup>
          <m:e>
            <m:acc>
              <m:accPr>
                <m:chr m:val="⃗"/>
              </m:accPr>
              <m:e>
                <m:r>
                  <m:t>x</m:t>
                </m:r>
              </m:e>
            </m:acc>
          </m:e>
          <m:sup>
            <m:r>
              <m:t>0</m:t>
            </m:r>
          </m:sup>
        </m:sSup>
      </m:oMath>
      <w:r>
        <w:t xml:space="preserve"> </w:t>
      </w:r>
      <w:r>
        <w:t xml:space="preserve">(directa o indirectamente, o porque tienen más de todos los bienes) son mejores. La curva de indiferencia que pasa por</w:t>
      </w:r>
      <w:r>
        <w:t xml:space="preserve"> </w:t>
      </w:r>
      <m:oMath>
        <m:sSup>
          <m:e>
            <m:acc>
              <m:accPr>
                <m:chr m:val="⃗"/>
              </m:accPr>
              <m:e>
                <m:r>
                  <m:t>x</m:t>
                </m:r>
              </m:e>
            </m:acc>
          </m:e>
          <m:sup>
            <m:r>
              <m:t>0</m:t>
            </m:r>
          </m:sup>
        </m:sSup>
      </m:oMath>
      <w:r>
        <w:t xml:space="preserve"> </w:t>
      </w:r>
      <w:r>
        <w:t xml:space="preserve">está entre ambas regiones. Con más observaciones, a precios distintos, las 2 regiones se acercan y acotan la curva cada vez mejor, que resulta convexa (gráfico </w:t>
      </w:r>
      <w:hyperlink w:anchor="fig_preferencia_revelada_indiferencia">
        <w:r>
          <w:rPr>
            <w:rStyle w:val="Hyperlink"/>
          </w:rPr>
          <w:t xml:space="preserve">20</w:t>
        </w:r>
      </w:hyperlink>
      <w:r>
        <w:t xml:space="preserve">).</w:t>
      </w:r>
    </w:p>
    <w:bookmarkStart w:id="233" w:name="fig_preferencia_revelada_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Gráfico 20.– Obtención de una curva de indiferencia a partir de la preferencia revelada" title="" id="231" name="Picture"/>
            <a:graphic>
              <a:graphicData uri="http://schemas.openxmlformats.org/drawingml/2006/picture">
                <pic:pic>
                  <pic:nvPicPr>
                    <pic:cNvPr descr="C:\Users\vgutierrez\Documents\src\victorgutierrezmarcos.github.io-revision\oposicion\temario\fuentes\3A08\graficos/preferencia-revelada-indiferencia.png" id="232" name="Picture"/>
                    <pic:cNvPicPr>
                      <a:picLocks noChangeArrowheads="1" noChangeAspect="1"/>
                    </pic:cNvPicPr>
                  </pic:nvPicPr>
                  <pic:blipFill>
                    <a:blip r:embed="rId230"/>
                    <a:stretch>
                      <a:fillRect/>
                    </a:stretch>
                  </pic:blipFill>
                  <pic:spPr bwMode="auto">
                    <a:xfrm>
                      <a:off x="0" y="0"/>
                      <a:ext cx="2798247" cy="2055106"/>
                    </a:xfrm>
                    <a:prstGeom prst="rect">
                      <a:avLst/>
                    </a:prstGeom>
                    <a:noFill/>
                    <a:ln w="9525">
                      <a:noFill/>
                      <a:headEnd/>
                      <a:tailEnd/>
                    </a:ln>
                  </pic:spPr>
                </pic:pic>
              </a:graphicData>
            </a:graphic>
          </wp:inline>
        </w:drawing>
      </w:r>
    </w:p>
    <w:bookmarkEnd w:id="233"/>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8Consumption">
        <w:r>
          <w:rPr>
            <w:rStyle w:val="Hyperlink"/>
          </w:rPr>
          <w:t xml:space="preserve">1948</w:t>
        </w:r>
      </w:hyperlink>
      <w:r>
        <w:t xml:space="preserve">)</w:t>
      </w:r>
      <w:r>
        <w:t xml:space="preserve">.</w:t>
      </w:r>
    </w:p>
    <w:bookmarkEnd w:id="234"/>
    <w:bookmarkEnd w:id="235"/>
    <w:bookmarkStart w:id="236" w:name="c_extensiones"/>
    <w:p>
      <w:pPr>
        <w:pStyle w:val="Heading4"/>
      </w:pPr>
      <w:r>
        <w:t xml:space="preserve">c) Extensiones</w:t>
      </w:r>
    </w:p>
    <w:p>
      <w:pPr>
        <w:numPr>
          <w:ilvl w:val="0"/>
          <w:numId w:val="1115"/>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que admite empates. Es la base del contraste no paramétrico de la teoría con datos reales.</w:t>
      </w:r>
    </w:p>
    <w:p>
      <w:pPr>
        <w:numPr>
          <w:ilvl w:val="0"/>
          <w:numId w:val="1115"/>
        </w:numPr>
      </w:pPr>
      <w:r>
        <w:rPr>
          <w:i/>
          <w:i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hyperlink r:id="rId30">
        <w:r>
          <w:rPr>
            <w:rStyle w:val="Referenciaatema"/>
          </w:rPr>
          <w:t xml:space="preserve">[ver tema 3.A.9]</w:t>
        </w:r>
      </w:hyperlink>
      <w:r>
        <w:t xml:space="preserve">.</w:t>
      </w:r>
    </w:p>
    <w:bookmarkEnd w:id="236"/>
    <w:bookmarkStart w:id="237" w:name="d_evidencia_emp__rica"/>
    <w:p>
      <w:pPr>
        <w:pStyle w:val="Heading4"/>
      </w:pPr>
      <w:r>
        <w:t xml:space="preserve">d) Evidencia empírica</w:t>
      </w:r>
    </w:p>
    <w:p>
      <w:pPr>
        <w:numPr>
          <w:ilvl w:val="0"/>
          <w:numId w:val="1116"/>
        </w:numPr>
      </w:pP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w:t>
      </w:r>
      <w:r>
        <w:t xml:space="preserve">convierte el teorema de</w:t>
      </w:r>
      <w:r>
        <w:t xml:space="preserve"> </w:t>
      </w:r>
      <w:r>
        <w:rPr>
          <w:smallCaps/>
        </w:rPr>
        <w:t xml:space="preserve">Afriat</w:t>
      </w:r>
      <w:r>
        <w:t xml:space="preserve"> </w:t>
      </w:r>
      <w:r>
        <w:t xml:space="preserve">en un procedimiento práctico: comprobar si una serie de precios y cantidades cumple el GARP, sin suponer ninguna forma funcional, y, si lo cumple, acotar las preferencias que la generan. Es el método con el que se contrasta la racionalidad de las elecciones con datos de hogares y en experimentos.</w:t>
      </w:r>
    </w:p>
    <w:bookmarkEnd w:id="237"/>
    <w:bookmarkStart w:id="238" w:name="e_valoraci__n"/>
    <w:p>
      <w:pPr>
        <w:pStyle w:val="Heading4"/>
      </w:pPr>
      <w:r>
        <w:t xml:space="preserve">e) Valoración</w:t>
      </w:r>
    </w:p>
    <w:p>
      <w:pPr>
        <w:numPr>
          <w:ilvl w:val="0"/>
          <w:numId w:val="1117"/>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0"/>
          <w:numId w:val="1117"/>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0"/>
          <w:numId w:val="1117"/>
        </w:numPr>
      </w:pPr>
      <w:r>
        <w:t xml:space="preserve">su principal crítica es que identifica elección y preferencia</w:t>
      </w:r>
      <w:r>
        <w:t xml:space="preserve"> </w:t>
      </w:r>
      <w:r>
        <w:t xml:space="preserve">(</w:t>
      </w:r>
      <w:hyperlink w:anchor="ref_Sen1973Behaviour">
        <w:r>
          <w:rPr>
            <w:rStyle w:val="Hyperlink"/>
            <w:smallCaps/>
          </w:rPr>
          <w:t xml:space="preserve">Sen</w:t>
        </w:r>
        <w:r>
          <w:rPr>
            <w:rStyle w:val="Hyperlink"/>
          </w:rPr>
          <w:t xml:space="preserve">, 1973</w:t>
        </w:r>
      </w:hyperlink>
      <w:r>
        <w:t xml:space="preserve">)</w:t>
      </w:r>
      <w:r>
        <w:t xml:space="preserve">: si la elección depende del contexto, de normas o de compromisos, lo que se «revela» no es necesariamente el bienestar del consumidor;</w:t>
      </w:r>
    </w:p>
    <w:p>
      <w:pPr>
        <w:numPr>
          <w:ilvl w:val="0"/>
          <w:numId w:val="1117"/>
        </w:numPr>
      </w:pPr>
      <w:r>
        <w:t xml:space="preserve">como la teoría ordinal, supone que el consumidor solo compra bienes y no dedica</w:t>
      </w:r>
      <w:r>
        <w:t xml:space="preserve"> </w:t>
      </w:r>
      <w:r>
        <w:rPr>
          <w:i/>
          <w:iCs/>
        </w:rPr>
        <w:t xml:space="preserve">tiempo</w:t>
      </w:r>
      <w:r>
        <w:t xml:space="preserve"> </w:t>
      </w:r>
      <w:r>
        <w:t xml:space="preserve">a consumirlos: es lo que incorpora la producción doméstica.</w:t>
      </w:r>
    </w:p>
    <w:bookmarkEnd w:id="238"/>
    <w:bookmarkEnd w:id="239"/>
    <w:bookmarkStart w:id="251" w:name="sec_produccion_domestica"/>
    <w:p>
      <w:pPr>
        <w:pStyle w:val="Heading2"/>
      </w:pPr>
      <w:r>
        <w:t xml:space="preserve">III.2.</w:t>
      </w:r>
      <w:r>
        <w:t xml:space="preserve"> </w:t>
      </w:r>
      <w:r>
        <w:t xml:space="preserve">La producción doméstica</w:t>
      </w:r>
    </w:p>
    <w:bookmarkStart w:id="242" w:name="a_idea_1"/>
    <w:p>
      <w:pPr>
        <w:pStyle w:val="Heading4"/>
      </w:pPr>
      <w:r>
        <w:t xml:space="preserve">a) Idea</w:t>
      </w:r>
    </w:p>
    <w:p>
      <w:pPr>
        <w:keepNext/>
        <w:numPr>
          <w:ilvl w:val="0"/>
          <w:numId w:val="1118"/>
        </w:numPr>
      </w:pPr>
      <w:r>
        <w:t xml:space="preserve">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19"/>
        </w:numPr>
      </w:pPr>
      <w:r>
        <w:rPr>
          <w:smallCaps/>
        </w:rPr>
        <w:t xml:space="preserve">Becker</w:t>
      </w:r>
      <w:r>
        <w:t xml:space="preserve"> </w:t>
      </w:r>
      <w:r>
        <w:t xml:space="preserve">(</w:t>
      </w:r>
      <w:hyperlink w:anchor="ref_Becker1965Allocation">
        <w:r>
          <w:rPr>
            <w:rStyle w:val="Hyperlink"/>
          </w:rPr>
          <w:t xml:space="preserve">1965</w:t>
        </w:r>
      </w:hyperlink>
      <w:r>
        <w:t xml:space="preserve">)</w:t>
      </w:r>
      <w:r>
        <w:rPr>
          <w:rStyle w:val="FootnoteReference"/>
        </w:rPr>
        <w:footnoteReference w:id="240"/>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19"/>
        </w:numPr>
      </w:pP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acc>
          <m:accPr>
            <m:chr m:val="⃗"/>
          </m:accPr>
          <m:e>
            <m:r>
              <m:t>z</m:t>
            </m:r>
          </m:e>
        </m:acc>
        <m:r>
          <m:rPr>
            <m:sty m:val="p"/>
          </m:rPr>
          <m:t>=</m:t>
        </m:r>
        <m:r>
          <m:t>B</m:t>
        </m:r>
        <m:acc>
          <m:accPr>
            <m:chr m:val="⃗"/>
          </m:accPr>
          <m:e>
            <m:r>
              <m:t>x</m:t>
            </m:r>
          </m:e>
        </m:acc>
      </m:oMath>
      <w:r>
        <w:t xml:space="preserve">, y la utilidad depende de las características. Su modelo está en el anexo </w:t>
      </w:r>
      <w:hyperlink w:anchor="anexo_lancaster">
        <w:r>
          <w:rPr>
            <w:rStyle w:val="Hyperlink"/>
          </w:rPr>
          <w:t xml:space="preserve">F</w:t>
        </w:r>
      </w:hyperlink>
      <w:r>
        <w:t xml:space="preserve"> </w:t>
      </w:r>
      <w:r>
        <w:t xml:space="preserve">y su papel en la diferenciación de productos, en</w:t>
      </w:r>
      <w:r>
        <w:t xml:space="preserve"> </w:t>
      </w:r>
      <w:hyperlink r:id="rId241">
        <w:r>
          <w:rPr>
            <w:rStyle w:val="Referenciaatema"/>
          </w:rPr>
          <w:t xml:space="preserve">[ver tema 3.A.18]</w:t>
        </w:r>
      </w:hyperlink>
      <w:r>
        <w:t xml:space="preserve">; aquí es el antecedente de los precios hedónicos (</w:t>
      </w:r>
      <w:hyperlink w:anchor="sec_precios_hedonicos">
        <w:r>
          <w:rPr>
            <w:rStyle w:val="Hyperlink"/>
          </w:rPr>
          <w:t xml:space="preserve">III.3</w:t>
        </w:r>
      </w:hyperlink>
      <w:r>
        <w:t xml:space="preserve">).</w:t>
      </w:r>
    </w:p>
    <w:bookmarkEnd w:id="242"/>
    <w:bookmarkStart w:id="248" w:name="b_modelo_1"/>
    <w:p>
      <w:pPr>
        <w:pStyle w:val="Heading4"/>
      </w:pPr>
      <w:r>
        <w:t xml:space="preserve">b) Modelo</w:t>
      </w:r>
    </w:p>
    <w:bookmarkStart w:id="243" w:name="i_supuestos_1"/>
    <w:p>
      <w:pPr>
        <w:pStyle w:val="Heading5"/>
      </w:pPr>
      <w:r>
        <w:t xml:space="preserve">i) Supuestos</w:t>
      </w:r>
    </w:p>
    <w:p>
      <w:pPr>
        <w:numPr>
          <w:ilvl w:val="0"/>
          <w:numId w:val="1120"/>
        </w:numPr>
      </w:pPr>
      <w:r>
        <w:t xml:space="preserve">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w:t>
      </w:r>
    </w:p>
    <w:p>
      <w:pPr>
        <w:numPr>
          <w:ilvl w:val="0"/>
          <w:numId w:val="1120"/>
        </w:numPr>
      </w:pPr>
      <w:r>
        <w:t xml:space="preserve">Dispone de un tiempo total</w:t>
      </w:r>
      <w:r>
        <w:t xml:space="preserve"> </w:t>
      </w:r>
      <m:oMath>
        <m:r>
          <m:t>T</m:t>
        </m:r>
      </m:oMath>
      <w:r>
        <w:t xml:space="preserve">, que reparte entre el trabajo en el mercado,</w:t>
      </w:r>
      <w:r>
        <w:t xml:space="preserve"> </w:t>
      </w:r>
      <m:oMath>
        <m:sSub>
          <m:e>
            <m:r>
              <m:t>t</m:t>
            </m:r>
          </m:e>
          <m:sub>
            <m:r>
              <m:t>w</m:t>
            </m:r>
          </m:sub>
        </m:sSub>
      </m:oMath>
      <w:r>
        <w:t xml:space="preserve">, pagado al salario</w:t>
      </w:r>
      <w:r>
        <w:t xml:space="preserve"> </w:t>
      </w:r>
      <m:oMath>
        <m:r>
          <m:t>w</m:t>
        </m:r>
      </m:oMath>
      <w:r>
        <w:t xml:space="preserve">, y la producción de cada</w:t>
      </w:r>
      <w:r>
        <w:t xml:space="preserve"> </w:t>
      </w:r>
      <w:r>
        <w:rPr>
          <w:i/>
          <w:iCs/>
        </w:rPr>
        <w:t xml:space="preserve">commodity</w:t>
      </w:r>
      <w:r>
        <w:t xml:space="preserve">,</w:t>
      </w:r>
      <w:r>
        <w:t xml:space="preserve"> </w:t>
      </w:r>
      <m:oMath>
        <m:sSub>
          <m:e>
            <m:r>
              <m:t>t</m:t>
            </m:r>
          </m:e>
          <m:sub>
            <m:r>
              <m:t>i</m:t>
            </m:r>
          </m:sub>
        </m:sSub>
      </m:oMath>
      <w:r>
        <w:t xml:space="preserve">, y de una renta no laboral (exógena)</w:t>
      </w:r>
      <w:r>
        <w:t xml:space="preserve"> </w:t>
      </w:r>
      <m:oMath>
        <m:bar>
          <m:barPr>
            <m:pos m:val="top"/>
          </m:barPr>
          <m:e>
            <m:r>
              <m:t>W</m:t>
            </m:r>
          </m:e>
        </m:bar>
      </m:oMath>
      <w:r>
        <w:t xml:space="preserve">.</w:t>
      </w:r>
    </w:p>
    <w:bookmarkEnd w:id="243"/>
    <w:bookmarkStart w:id="246" w:name="ii_desarrollo_1"/>
    <w:p>
      <w:pPr>
        <w:pStyle w:val="Heading5"/>
      </w:pPr>
      <w:r>
        <w:t xml:space="preserve">ii) Desarrollo</w:t>
      </w:r>
    </w:p>
    <w:p>
      <w:pPr>
        <w:numPr>
          <w:ilvl w:val="0"/>
          <w:numId w:val="1121"/>
        </w:numPr>
      </w:pPr>
      <w:r>
        <w:t xml:space="preserve">El hogar elige los bienes, el tiempo de cada actividad y las horas de trabajo sujeto a la tecnología del hogar y a 2 restricciones, de presupuesto y de tiempo:</w:t>
      </w:r>
      <w:r>
        <w:t xml:space="preserve"> </w:t>
      </w:r>
      <w:bookmarkStart w:id="244" w:name="eq_becker_restricciones"/>
      <w:bookmarkEnd w:id="244"/>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sSub>
                      <m:e>
                        <m:r>
                          <m:t>t</m:t>
                        </m:r>
                      </m:e>
                      <m:sub>
                        <m:r>
                          <m:t>i</m:t>
                        </m:r>
                      </m:sub>
                    </m:sSub>
                    <m:sSubSup>
                      <m:e>
                        <m:r>
                          <m:rPr>
                            <m:sty m:val="p"/>
                          </m:rPr>
                          <m:t>}</m:t>
                        </m:r>
                      </m:e>
                      <m:sub>
                        <m:r>
                          <m:t>i</m:t>
                        </m:r>
                        <m:r>
                          <m:rPr>
                            <m:sty m:val="p"/>
                          </m:rPr>
                          <m:t>=</m:t>
                        </m:r>
                        <m:r>
                          <m:t>1</m:t>
                        </m:r>
                      </m:sub>
                      <m:sup>
                        <m:r>
                          <m:t>m</m:t>
                        </m:r>
                      </m:sup>
                    </m:sSubSup>
                    <m:r>
                      <m:rPr>
                        <m:sty m:val="p"/>
                      </m:rPr>
                      <m:t>,</m:t>
                    </m:r>
                    <m:r>
                      <m:t> </m:t>
                    </m:r>
                    <m:sSub>
                      <m:e>
                        <m:r>
                          <m:t>t</m:t>
                        </m:r>
                      </m:e>
                      <m:sub>
                        <m:r>
                          <m:t>w</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e>
            </m:mr>
            <m:mr>
              <m:e>
                <m:r>
                  <m:rPr>
                    <m:nor/>
                    <m:sty m:val="p"/>
                  </m:rPr>
                  <m:t>s.a.</m:t>
                </m:r>
              </m:e>
              <m:e>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r>
                  <m:rPr>
                    <m:sty m:val="p"/>
                  </m:rPr>
                  <m:t>,</m:t>
                </m:r>
                <m:r>
                  <m:t> </m:t>
                </m:r>
                <m:r>
                  <m:t>i</m:t>
                </m:r>
                <m:r>
                  <m:rPr>
                    <m:sty m:val="p"/>
                  </m:rPr>
                  <m:t>=</m:t>
                </m:r>
                <m:r>
                  <m:t>1</m:t>
                </m:r>
                <m:r>
                  <m:rPr>
                    <m:sty m:val="p"/>
                  </m:rPr>
                  <m:t>,</m:t>
                </m:r>
                <m:r>
                  <m:rPr>
                    <m:sty m:val="p"/>
                  </m:rPr>
                  <m:t>…</m:t>
                </m:r>
                <m:r>
                  <m:rPr>
                    <m:sty m:val="p"/>
                  </m:rPr>
                  <m:t>,</m:t>
                </m:r>
                <m:r>
                  <m:t>m</m:t>
                </m:r>
              </m:e>
            </m:mr>
            <m:mr>
              <m:e/>
              <m:e>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e>
            </m:mr>
            <m:mr>
              <m:e/>
              <m:e>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e>
            </m:mr>
          </m:m>
        </m:oMath>
      </m:oMathPara>
    </w:p>
    <w:p>
      <w:pPr>
        <w:numPr>
          <w:ilvl w:val="0"/>
          <w:numId w:val="1000"/>
        </w:numPr>
      </w:pPr>
      <w:r>
        <w:t xml:space="preserve">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r>
        <w:t xml:space="preserve"> </w:t>
      </w:r>
      <w:bookmarkStart w:id="245" w:name="eq_renta_completa"/>
      <w:bookmarkEnd w:id="245"/>
    </w:p>
    <w:p>
      <w:pPr>
        <w:pStyle w:val="BodyText"/>
        <w:keepN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22"/>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 </w:t>
      </w:r>
      <w:r>
        <w:t xml:space="preserve">unidades de bienes y</w:t>
      </w:r>
      <w:r>
        <w:t xml:space="preserve"> </w:t>
      </w:r>
      <m:oMath>
        <m:sSub>
          <m:e>
            <m:r>
              <m:t>t</m:t>
            </m:r>
          </m:e>
          <m:sub>
            <m:r>
              <m:t>i</m:t>
            </m:r>
          </m:sub>
        </m:sSub>
        <m:r>
          <m:rPr>
            <m:sty m:val="p"/>
          </m:rPr>
          <m:t>=</m:t>
        </m:r>
        <m:sSub>
          <m:e>
            <m:r>
              <m:rPr>
                <m:sty m:val="p"/>
              </m:rPr>
              <m:t>ℓ</m:t>
            </m:r>
          </m:e>
          <m:sub>
            <m:r>
              <m:t>i</m:t>
            </m:r>
          </m:sub>
        </m:sSub>
        <m:sSub>
          <m:e>
            <m:r>
              <m:t>Z</m:t>
            </m:r>
          </m:e>
          <m:sub>
            <m:r>
              <m:t>i</m:t>
            </m:r>
          </m:sub>
        </m:sSub>
      </m:oMath>
      <w:r>
        <w:t xml:space="preserve"> </w:t>
      </w:r>
      <w:r>
        <w:t xml:space="preserve">horas),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rPr>
                <m:sty m:val="p"/>
              </m:rPr>
              <m:t>ℓ</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bookmarkEnd w:id="246"/>
    <w:bookmarkStart w:id="247" w:name="iii_implicaciones_1"/>
    <w:p>
      <w:pPr>
        <w:pStyle w:val="Heading5"/>
      </w:pPr>
      <w:r>
        <w:t xml:space="preserve">iii) Implicaciones</w:t>
      </w:r>
    </w:p>
    <w:p>
      <w:pPr>
        <w:numPr>
          <w:ilvl w:val="0"/>
          <w:numId w:val="1123"/>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es también una decisión de oferta de trabajo</w:t>
      </w:r>
      <w:r>
        <w:t xml:space="preserve"> </w:t>
      </w:r>
      <w:hyperlink r:id="rId37">
        <w:r>
          <w:rPr>
            <w:rStyle w:val="Referenciaatema"/>
          </w:rPr>
          <w:t xml:space="preserve">[ver tema 3.A.25]</w:t>
        </w:r>
      </w:hyperlink>
      <w:r>
        <w:t xml:space="preserve">.</w:t>
      </w:r>
    </w:p>
    <w:p>
      <w:pPr>
        <w:numPr>
          <w:ilvl w:val="0"/>
          <w:numId w:val="1123"/>
        </w:numPr>
      </w:pPr>
      <w:r>
        <w:t xml:space="preserve">Un cambio de precios afecta a la demanda de bienes también a través de la tecnología del hogar, lo que da lugar a nuevos efectos sustitución.</w:t>
      </w:r>
    </w:p>
    <w:bookmarkEnd w:id="247"/>
    <w:bookmarkEnd w:id="248"/>
    <w:bookmarkStart w:id="249" w:name="c_extensiones_1"/>
    <w:p>
      <w:pPr>
        <w:pStyle w:val="Heading4"/>
      </w:pPr>
      <w:r>
        <w:t xml:space="preserve">c) Extensiones</w:t>
      </w:r>
    </w:p>
    <w:p>
      <w:pPr>
        <w:numPr>
          <w:ilvl w:val="0"/>
          <w:numId w:val="1124"/>
        </w:numPr>
      </w:pP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distingue entre trabajo doméstico y ocio: el tiempo no dedicado al mercado no es todo ocio.</w:t>
      </w:r>
    </w:p>
    <w:bookmarkEnd w:id="249"/>
    <w:bookmarkStart w:id="250" w:name="d_valoraci__n"/>
    <w:p>
      <w:pPr>
        <w:pStyle w:val="Heading4"/>
      </w:pPr>
      <w:r>
        <w:t xml:space="preserve">d) Valoración</w:t>
      </w:r>
    </w:p>
    <w:p>
      <w:pPr>
        <w:numPr>
          <w:ilvl w:val="0"/>
          <w:numId w:val="1125"/>
        </w:numPr>
      </w:pPr>
      <w:r>
        <w:t xml:space="preserve">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p>
      <w:pPr>
        <w:numPr>
          <w:ilvl w:val="0"/>
          <w:numId w:val="1125"/>
        </w:numPr>
      </w:pPr>
      <w:r>
        <w:t xml:space="preserve">Pero sigue tratando cada bien como homogéneo,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es lo que miden los precios hedónicos.</w:t>
      </w:r>
    </w:p>
    <w:bookmarkEnd w:id="250"/>
    <w:bookmarkEnd w:id="251"/>
    <w:bookmarkStart w:id="268" w:name="sec_precios_hedonicos"/>
    <w:p>
      <w:pPr>
        <w:pStyle w:val="Heading2"/>
      </w:pPr>
      <w:r>
        <w:t xml:space="preserve">III.3.</w:t>
      </w:r>
      <w:r>
        <w:t xml:space="preserve"> </w:t>
      </w:r>
      <w:r>
        <w:t xml:space="preserve">Precios hedónicos</w:t>
      </w:r>
    </w:p>
    <w:bookmarkStart w:id="252" w:name="a_idea_2"/>
    <w:p>
      <w:pPr>
        <w:pStyle w:val="Heading4"/>
      </w:pPr>
      <w:r>
        <w:t xml:space="preserve">a) Idea</w:t>
      </w:r>
    </w:p>
    <w:p>
      <w:pPr>
        <w:keepNext/>
        <w:numPr>
          <w:ilvl w:val="0"/>
          <w:numId w:val="1126"/>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27"/>
        </w:numPr>
      </w:pPr>
      <w:r>
        <w:t xml:space="preserve">Su fundamento es el enfoque de características de</w:t>
      </w:r>
      <w:r>
        <w:t xml:space="preserve"> </w:t>
      </w:r>
      <w:r>
        <w:rPr>
          <w:smallCaps/>
        </w:rPr>
        <w:t xml:space="preserve">Lancaster</w:t>
      </w:r>
      <w:r>
        <w:t xml:space="preserve"> </w:t>
      </w:r>
      <w:r>
        <w:t xml:space="preserve">(</w:t>
      </w:r>
      <w:hyperlink w:anchor="sec_produccion_domestica">
        <w:r>
          <w:rPr>
            <w:rStyle w:val="Hyperlink"/>
          </w:rPr>
          <w:t xml:space="preserve">III.2</w:t>
        </w:r>
      </w:hyperlink>
      <w:r>
        <w:t xml:space="preserve"> </w:t>
      </w:r>
      <w:r>
        <w:t xml:space="preserve">y anexo </w:t>
      </w:r>
      <w:hyperlink w:anchor="anexo_lancaster">
        <w:r>
          <w:rPr>
            <w:rStyle w:val="Hyperlink"/>
          </w:rPr>
          <w:t xml:space="preserve">F</w:t>
        </w:r>
      </w:hyperlink>
      <w:r>
        <w:t xml:space="preserve">):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27"/>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keepNext/>
        <w:numPr>
          <w:ilvl w:val="1"/>
          <w:numId w:val="1127"/>
        </w:numPr>
      </w:pPr>
      <w:r>
        <w:t xml:space="preserve">Su historia tiene 3 pasos:</w:t>
      </w:r>
    </w:p>
    <w:p>
      <w:pPr>
        <w:numPr>
          <w:ilvl w:val="2"/>
          <w:numId w:val="1128"/>
        </w:numPr>
      </w:pP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_Goodman1998Court">
        <w:r>
          <w:rPr>
            <w:rStyle w:val="Hyperlink"/>
            <w:smallCaps/>
          </w:rPr>
          <w:t xml:space="preserve">Goodman</w:t>
        </w:r>
        <w:r>
          <w:rPr>
            <w:rStyle w:val="Hyperlink"/>
          </w:rPr>
          <w:t xml:space="preserve">, 1998</w:t>
        </w:r>
      </w:hyperlink>
      <w:r>
        <w:t xml:space="preserve">)</w:t>
      </w:r>
      <w:r>
        <w:t xml:space="preserve">;</w:t>
      </w:r>
    </w:p>
    <w:p>
      <w:pPr>
        <w:numPr>
          <w:ilvl w:val="2"/>
          <w:numId w:val="1128"/>
        </w:numPr>
      </w:pP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_Griliches1971Price">
        <w:r>
          <w:rPr>
            <w:rStyle w:val="Hyperlink"/>
            <w:smallCaps/>
          </w:rPr>
          <w:t xml:space="preserve">Griliches</w:t>
        </w:r>
        <w:r>
          <w:rPr>
            <w:rStyle w:val="Hyperlink"/>
          </w:rPr>
          <w:t xml:space="preserve">, 1971</w:t>
        </w:r>
      </w:hyperlink>
      <w:r>
        <w:t xml:space="preserve">)</w:t>
      </w:r>
      <w:r>
        <w:t xml:space="preserve">;</w:t>
      </w:r>
    </w:p>
    <w:p>
      <w:pPr>
        <w:numPr>
          <w:ilvl w:val="2"/>
          <w:numId w:val="1128"/>
        </w:numPr>
      </w:pPr>
      <w:r>
        <w:t xml:space="preserve">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bookmarkEnd w:id="252"/>
    <w:bookmarkStart w:id="262" w:name="b_modelo_2"/>
    <w:p>
      <w:pPr>
        <w:pStyle w:val="Heading4"/>
      </w:pPr>
      <w:r>
        <w:t xml:space="preserve">b) Modelo</w:t>
      </w:r>
    </w:p>
    <w:bookmarkStart w:id="253" w:name="i_supuestos_2"/>
    <w:p>
      <w:pPr>
        <w:pStyle w:val="Heading5"/>
      </w:pPr>
      <w:r>
        <w:t xml:space="preserve">i) Supuestos</w:t>
      </w:r>
    </w:p>
    <w:p>
      <w:pPr>
        <w:numPr>
          <w:ilvl w:val="0"/>
          <w:numId w:val="1129"/>
        </w:numPr>
      </w:pPr>
      <w:r>
        <w:t xml:space="preserve">Un mercado competitivo de un producto diferenciado, con muchas variedades que solo se distinguen por sus características; consumidores y productores son precio-aceptantes y conocen las características de cada variedad.</w:t>
      </w:r>
    </w:p>
    <w:p>
      <w:pPr>
        <w:numPr>
          <w:ilvl w:val="0"/>
          <w:numId w:val="1129"/>
        </w:numPr>
      </w:pPr>
      <w:r>
        <w:t xml:space="preserve">El consumidor tiene una utilidad</w:t>
      </w:r>
      <w:r>
        <w:t xml:space="preserve"> </w:t>
      </w:r>
      <m:oMath>
        <m:r>
          <m:t>U</m:t>
        </m:r>
        <m:d>
          <m:dPr>
            <m:begChr m:val="("/>
            <m:sepChr m:val=""/>
            <m:endChr m:val=")"/>
            <m:grow/>
          </m:dPr>
          <m:e>
            <m:acc>
              <m:accPr>
                <m:chr m:val="⃗"/>
              </m:accPr>
              <m:e>
                <m:r>
                  <m:t>z</m:t>
                </m:r>
              </m:e>
            </m:acc>
            <m:r>
              <m:rPr>
                <m:sty m:val="p"/>
              </m:rPr>
              <m:t>,</m:t>
            </m:r>
            <m:r>
              <m:t>y</m:t>
            </m:r>
          </m:e>
        </m:d>
      </m:oMath>
      <w:r>
        <w:t xml:space="preserve"> </w:t>
      </w:r>
      <w:r>
        <w:t xml:space="preserve">sobre las características de la variedad que compra y un bien numerario</w:t>
      </w:r>
      <w:r>
        <w:t xml:space="preserve"> </w:t>
      </w:r>
      <m:oMath>
        <m:r>
          <m:t>y</m:t>
        </m:r>
      </m:oMath>
      <w:r>
        <w:t xml:space="preserve">, y compra una sola unidad del bien diferenciado.</w:t>
      </w:r>
    </w:p>
    <w:bookmarkEnd w:id="253"/>
    <w:bookmarkStart w:id="260" w:name="ii_desarrollo_2"/>
    <w:p>
      <w:pPr>
        <w:pStyle w:val="Heading5"/>
      </w:pPr>
      <w:r>
        <w:t xml:space="preserve">ii) Desarrollo</w:t>
      </w:r>
    </w:p>
    <w:p>
      <w:pPr>
        <w:numPr>
          <w:ilvl w:val="0"/>
          <w:numId w:val="1130"/>
        </w:numPr>
      </w:pPr>
      <w:r>
        <w:t xml:space="preserve">Si un bien se describe por un vector de características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acc>
              <m:accPr>
                <m:chr m:val="⃗"/>
              </m:accPr>
              <m:e>
                <m:r>
                  <m:t>z</m:t>
                </m:r>
              </m:e>
            </m:acc>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57" w:name="fig_funcion_hedonica_rosen"/>
    <w:p>
      <w:pPr>
        <w:pStyle w:val="ImageCaption"/>
      </w:pPr>
      <w:r>
        <w:t xml:space="preserve">Gráfico 21.–</w:t>
      </w:r>
      <w:r>
        <w:t xml:space="preserve"> </w:t>
      </w:r>
      <w:r>
        <w:t xml:space="preserve">La función hedónica como envolvente de curvas de puja y de oferta (</w:t>
      </w:r>
      <w:r>
        <w:rPr>
          <w:smallCaps/>
        </w:rPr>
        <w:t xml:space="preserve">Rosen</w:t>
      </w:r>
      <w:r>
        <w:t xml:space="preserve">, 1974)</w:t>
      </w:r>
    </w:p>
    <w:p>
      <w:pPr>
        <w:pStyle w:val="CaptionedFigure"/>
      </w:pPr>
      <w:r>
        <w:drawing>
          <wp:inline>
            <wp:extent cx="3162172" cy="2492428"/>
            <wp:effectExtent b="0" l="0" r="0" t="0"/>
            <wp:docPr descr="Gráfico 21.– La función hedónica como envolvente de curvas de puja y de oferta (Rosen, 1974)" title="" id="255" name="Picture"/>
            <a:graphic>
              <a:graphicData uri="http://schemas.openxmlformats.org/drawingml/2006/picture">
                <pic:pic>
                  <pic:nvPicPr>
                    <pic:cNvPr descr="C:\Users\vgutierrez\Documents\src\victorgutierrezmarcos.github.io-revision\oposicion\temario\fuentes\3A08\graficos/funcion-hedonica-rosen.png" id="256" name="Picture"/>
                    <pic:cNvPicPr>
                      <a:picLocks noChangeArrowheads="1" noChangeAspect="1"/>
                    </pic:cNvPicPr>
                  </pic:nvPicPr>
                  <pic:blipFill>
                    <a:blip r:embed="rId254"/>
                    <a:stretch>
                      <a:fillRect/>
                    </a:stretch>
                  </pic:blipFill>
                  <pic:spPr bwMode="auto">
                    <a:xfrm>
                      <a:off x="0" y="0"/>
                      <a:ext cx="3162172" cy="2492428"/>
                    </a:xfrm>
                    <a:prstGeom prst="rect">
                      <a:avLst/>
                    </a:prstGeom>
                    <a:noFill/>
                    <a:ln w="9525">
                      <a:noFill/>
                      <a:headEnd/>
                      <a:tailEnd/>
                    </a:ln>
                  </pic:spPr>
                </pic:pic>
              </a:graphicData>
            </a:graphic>
          </wp:inline>
        </w:drawing>
      </w:r>
    </w:p>
    <w:bookmarkEnd w:id="257"/>
    <w:p>
      <w:pPr>
        <w:pStyle w:val="Piedeimagen"/>
      </w:pPr>
      <w:r>
        <w:t xml:space="preserve">Fuente: elaboración propia basada en</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w:t>
      </w:r>
    </w:p>
    <w:p>
      <w:pPr>
        <w:keepNext/>
        <w:numPr>
          <w:ilvl w:val="0"/>
          <w:numId w:val="1131"/>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32"/>
        </w:numPr>
      </w:pPr>
      <w:r>
        <w:rPr>
          <w:i/>
          <w:iCs/>
        </w:rPr>
        <w:t xml:space="preserve">Demanda</w:t>
      </w:r>
      <w:r>
        <w:t xml:space="preserve">: el consumidor elige la variedad</w:t>
      </w:r>
      <w:r>
        <w:t xml:space="preserve"> </w:t>
      </w:r>
      <m:oMath>
        <m:acc>
          <m:accPr>
            <m:chr m:val="⃗"/>
          </m:accPr>
          <m:e>
            <m:r>
              <m:t>z</m:t>
            </m:r>
          </m:e>
        </m:acc>
      </m:oMath>
      <w:r>
        <w:t xml:space="preserve"> </w:t>
      </w:r>
      <w:r>
        <w:t xml:space="preserve">y el bien numerario</w:t>
      </w:r>
      <w:r>
        <w:t xml:space="preserve"> </w:t>
      </w:r>
      <m:oMath>
        <m:r>
          <m:t>y</m:t>
        </m:r>
      </m:oMath>
      <w:r>
        <w:t xml:space="preserve">,</w:t>
      </w:r>
      <w:r>
        <w:t xml:space="preserve"> </w:t>
      </w:r>
      <w:bookmarkStart w:id="258" w:name="eq_rosen_pmu"/>
      <w:bookmarkEnd w:id="2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r>
                      <m:rPr>
                        <m:sty m:val="p"/>
                      </m:rPr>
                      <m:t>,</m:t>
                    </m:r>
                    <m:r>
                      <m:t> </m:t>
                    </m:r>
                    <m:r>
                      <m:t>y</m:t>
                    </m:r>
                  </m:lim>
                </m:limLow>
              </m:e>
              <m:e>
                <m:r>
                  <m:t>U</m:t>
                </m:r>
                <m:d>
                  <m:dPr>
                    <m:begChr m:val="("/>
                    <m:sepChr m:val=""/>
                    <m:endChr m:val=")"/>
                    <m:grow/>
                  </m:dPr>
                  <m:e>
                    <m:acc>
                      <m:accPr>
                        <m:chr m:val="⃗"/>
                      </m:accPr>
                      <m:e>
                        <m:r>
                          <m:t>z</m:t>
                        </m:r>
                      </m:e>
                    </m:acc>
                    <m:r>
                      <m:rPr>
                        <m:sty m:val="p"/>
                      </m:rPr>
                      <m:t>,</m:t>
                    </m:r>
                    <m:r>
                      <m:t>y</m:t>
                    </m:r>
                  </m:e>
                </m:d>
              </m:e>
            </m:mr>
            <m:mr>
              <m:e>
                <m:r>
                  <m:rPr>
                    <m:nor/>
                    <m:sty m:val="p"/>
                  </m:rPr>
                  <m:t>s.a.</m:t>
                </m:r>
              </m:e>
              <m:e>
                <m:r>
                  <m:t>p</m:t>
                </m:r>
                <m:d>
                  <m:dPr>
                    <m:begChr m:val="("/>
                    <m:sepChr m:val=""/>
                    <m:endChr m:val=")"/>
                    <m:grow/>
                  </m:dPr>
                  <m:e>
                    <m:acc>
                      <m:accPr>
                        <m:chr m:val="⃗"/>
                      </m:accPr>
                      <m:e>
                        <m:r>
                          <m:t>z</m:t>
                        </m:r>
                      </m:e>
                    </m:acc>
                  </m:e>
                </m:d>
                <m:r>
                  <m:rPr>
                    <m:sty m:val="p"/>
                  </m:rPr>
                  <m:t>+</m:t>
                </m:r>
                <m:r>
                  <m:t>y</m:t>
                </m:r>
                <m:r>
                  <m:rPr>
                    <m:sty m:val="p"/>
                  </m:rPr>
                  <m:t>=</m:t>
                </m:r>
                <m:bar>
                  <m:barPr>
                    <m:pos m:val="top"/>
                  </m:barPr>
                  <m:e>
                    <m:r>
                      <m:t>W</m:t>
                    </m:r>
                  </m:e>
                </m:bar>
              </m:e>
            </m:mr>
          </m:m>
        </m:oMath>
      </m:oMathPara>
    </w:p>
    <w:p>
      <w:pPr>
        <w:numPr>
          <w:ilvl w:val="1"/>
          <w:numId w:val="1000"/>
        </w:numPr>
      </w:pPr>
      <w:r>
        <w:t xml:space="preserve">En el óptimo, para cada característica,</w:t>
      </w:r>
      <w:r>
        <w:t xml:space="preserve"> </w:t>
      </w:r>
      <w:bookmarkStart w:id="259" w:name="eq_hedonico"/>
      <w:bookmarkEnd w:id="259"/>
    </w:p>
    <w:p>
      <w:pPr>
        <w:pStyle w:val="BodyText"/>
        <w:keepN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acc>
                    <m:accPr>
                      <m:chr m:val="⃗"/>
                    </m:accPr>
                    <m:e>
                      <m:r>
                        <m:t>z</m:t>
                      </m:r>
                    </m:e>
                  </m:acc>
                </m:e>
              </m:d>
            </m:num>
            <m:den>
              <m:r>
                <m:rPr>
                  <m:sty m:val="p"/>
                </m:rPr>
                <m:t>∂</m:t>
              </m:r>
              <m:sSub>
                <m:e>
                  <m:r>
                    <m:t>z</m:t>
                  </m:r>
                </m:e>
                <m:sub>
                  <m:r>
                    <m:t>j</m:t>
                  </m:r>
                </m:sub>
              </m:sSub>
            </m:den>
          </m:f>
          <m:r>
            <m:rPr>
              <m:sty m:val="p"/>
            </m:rPr>
            <m:t>,</m:t>
          </m:r>
        </m:oMath>
      </m:oMathPara>
    </w:p>
    <w:p>
      <w:pPr>
        <w:numPr>
          <w:ilvl w:val="1"/>
          <w:numId w:val="1000"/>
        </w:numPr>
      </w:pPr>
      <w:r>
        <w:t xml:space="preserve">es decir, la relación marginal de sustitución entre la característica y el numerario se iguala a su precio implícito. Es la misma condición de tangencia del apartado </w:t>
      </w:r>
      <w:hyperlink w:anchor="sec_problema_maximizacion_utilidad">
        <w:r>
          <w:rPr>
            <w:rStyle w:val="Hyperlink"/>
          </w:rPr>
          <w:t xml:space="preserve">I.2</w:t>
        </w:r>
      </w:hyperlink>
      <w:r>
        <w:t xml:space="preserve"> </w:t>
      </w:r>
      <w:r>
        <w:t xml:space="preserve">(ecuación (</w:t>
      </w:r>
      <w:hyperlink w:anchor="eq_tangencia">
        <w:r>
          <w:rPr>
            <w:rStyle w:val="Hyperlink"/>
          </w:rPr>
          <w:t xml:space="preserve">13</w:t>
        </w:r>
      </w:hyperlink>
      <w:r>
        <w:t xml:space="preserve">)), ahora sobre una «restricción presupuestaria» no lineal,</w:t>
      </w:r>
      <w:r>
        <w:t xml:space="preserve"> </w:t>
      </w:r>
      <m:oMath>
        <m:r>
          <m:t>p</m:t>
        </m:r>
        <m:d>
          <m:dPr>
            <m:begChr m:val="("/>
            <m:sepChr m:val=""/>
            <m:endChr m:val=")"/>
            <m:grow/>
          </m:dPr>
          <m:e>
            <m:acc>
              <m:accPr>
                <m:chr m:val="⃗"/>
              </m:accPr>
              <m:e>
                <m:r>
                  <m:t>z</m:t>
                </m:r>
              </m:e>
            </m:acc>
          </m:e>
        </m:d>
      </m:oMath>
      <w:r>
        <w:t xml:space="preserve">.</w:t>
      </w:r>
    </w:p>
    <w:p>
      <w:pPr>
        <w:numPr>
          <w:ilvl w:val="1"/>
          <w:numId w:val="1132"/>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acc>
              <m:accPr>
                <m:chr m:val="⃗"/>
              </m:accPr>
              <m:e>
                <m:r>
                  <m:t>z</m:t>
                </m:r>
              </m:e>
            </m:acc>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acc>
          <m:accPr>
            <m:chr m:val="⃗"/>
          </m:accPr>
          <m:e>
            <m:r>
              <m:t>z</m:t>
            </m:r>
          </m:e>
        </m:acc>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acc>
              <m:accPr>
                <m:chr m:val="⃗"/>
              </m:accPr>
              <m:e>
                <m:r>
                  <m:t>z</m:t>
                </m:r>
              </m:e>
            </m:acc>
            <m:r>
              <m:rPr>
                <m:sty m:val="p"/>
              </m:rPr>
              <m:t>;</m:t>
            </m:r>
            <m:r>
              <m:t>B</m:t>
            </m:r>
          </m:e>
        </m:d>
      </m:oMath>
      <w:r>
        <w:t xml:space="preserve">, lo mínimo que aceptaría por cada</w:t>
      </w:r>
      <w:r>
        <w:t xml:space="preserve"> </w:t>
      </w:r>
      <m:oMath>
        <m:acc>
          <m:accPr>
            <m:chr m:val="⃗"/>
          </m:accPr>
          <m:e>
            <m:r>
              <m:t>z</m:t>
            </m:r>
          </m:e>
        </m:acc>
      </m:oMath>
      <w:r>
        <w:t xml:space="preserve"> </w:t>
      </w:r>
      <w:r>
        <w:t xml:space="preserve">obteniendo un beneficio</w:t>
      </w:r>
      <w:r>
        <w:t xml:space="preserve"> </w:t>
      </w:r>
      <m:oMath>
        <m:r>
          <m:t>B</m:t>
        </m:r>
      </m:oMath>
      <w:r>
        <w:t xml:space="preserve">.</w:t>
      </w:r>
    </w:p>
    <w:p>
      <w:pPr>
        <w:numPr>
          <w:ilvl w:val="1"/>
          <w:numId w:val="1132"/>
        </w:numPr>
      </w:pPr>
      <w:r>
        <w:rPr>
          <w:i/>
          <w:iCs/>
        </w:rPr>
        <w:t xml:space="preserve">Equilibrio</w:t>
      </w:r>
      <w:r>
        <w:t xml:space="preserve">: la función hedónica</w:t>
      </w:r>
      <w:r>
        <w:t xml:space="preserve"> </w:t>
      </w:r>
      <m:oMath>
        <m:r>
          <m:t>p</m:t>
        </m:r>
        <m:d>
          <m:dPr>
            <m:begChr m:val="("/>
            <m:sepChr m:val=""/>
            <m:endChr m:val=")"/>
            <m:grow/>
          </m:dPr>
          <m:e>
            <m:acc>
              <m:accPr>
                <m:chr m:val="⃗"/>
              </m:accPr>
              <m:e>
                <m:r>
                  <m:t>z</m:t>
                </m:r>
              </m:e>
            </m:acc>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acc>
              <m:accPr>
                <m:chr m:val="⃗"/>
              </m:accPr>
              <m:e>
                <m:r>
                  <m:t>z</m:t>
                </m:r>
              </m:e>
            </m:acc>
          </m:e>
        </m:d>
      </m:oMath>
      <w:r>
        <w:t xml:space="preserve"> </w:t>
      </w:r>
      <w:r>
        <w:t xml:space="preserve">(gráfico </w:t>
      </w:r>
      <w:hyperlink w:anchor="fig_funcion_hedonica_rosen">
        <w:r>
          <w:rPr>
            <w:rStyle w:val="Hyperlink"/>
          </w:rPr>
          <w:t xml:space="preserve">21</w:t>
        </w:r>
      </w:hyperlink>
      <w:r>
        <w:t xml:space="preserve">).</w:t>
      </w:r>
    </w:p>
    <w:bookmarkEnd w:id="260"/>
    <w:bookmarkStart w:id="261" w:name="iii_implicaciones_2"/>
    <w:p>
      <w:pPr>
        <w:pStyle w:val="Heading5"/>
      </w:pPr>
      <w:r>
        <w:t xml:space="preserve">iii) Implicaciones</w:t>
      </w:r>
    </w:p>
    <w:p>
      <w:pPr>
        <w:numPr>
          <w:ilvl w:val="0"/>
          <w:numId w:val="1133"/>
        </w:numPr>
      </w:pPr>
      <w:r>
        <w:t xml:space="preserve">En el equilibrio, el precio implícito de cada característica es a la vez la valoración marginal del consumidor que la compra y el coste marginal del productor que la vende: por eso los precios de mercado revelan cuánto se valora cada característica.</w:t>
      </w:r>
    </w:p>
    <w:p>
      <w:pPr>
        <w:numPr>
          <w:ilvl w:val="0"/>
          <w:numId w:val="1133"/>
        </w:numPr>
      </w:pPr>
      <m:oMath>
        <m:r>
          <m:t>p</m:t>
        </m:r>
        <m:d>
          <m:dPr>
            <m:begChr m:val="("/>
            <m:sepChr m:val=""/>
            <m:endChr m:val=")"/>
            <m:grow/>
          </m:dPr>
          <m:e>
            <m:acc>
              <m:accPr>
                <m:chr m:val="⃗"/>
              </m:accPr>
              <m:e>
                <m:r>
                  <m:t>z</m:t>
                </m:r>
              </m:e>
            </m:acc>
          </m:e>
        </m:d>
      </m:oMath>
      <w:r>
        <w:t xml:space="preserve"> </w:t>
      </w:r>
      <w:r>
        <w:t xml:space="preserve">no es una curva de demanda ni de oferta, sino un lugar geométrico de equilibrios: con los precios implícitos estimados no se recuperan directamente las preferencias.</w:t>
      </w:r>
    </w:p>
    <w:bookmarkEnd w:id="261"/>
    <w:bookmarkEnd w:id="262"/>
    <w:bookmarkStart w:id="265" w:name="c_extensiones_2"/>
    <w:p>
      <w:pPr>
        <w:pStyle w:val="Heading4"/>
      </w:pPr>
      <w:r>
        <w:t xml:space="preserve">c) Extensiones</w:t>
      </w:r>
    </w:p>
    <w:p>
      <w:pPr>
        <w:numPr>
          <w:ilvl w:val="0"/>
          <w:numId w:val="1134"/>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63"/>
      </w:r>
      <w:r>
        <w:t xml:space="preserve"> </w:t>
      </w:r>
      <w:r>
        <w:t xml:space="preserve">Es una herramienta habitual del análisis coste-beneficio</w:t>
      </w:r>
      <w:r>
        <w:t xml:space="preserve"> </w:t>
      </w:r>
      <w:hyperlink r:id="rId264">
        <w:r>
          <w:rPr>
            <w:rStyle w:val="Referenciaatema"/>
          </w:rPr>
          <w:t xml:space="preserve">[ver tema 4.B.6]</w:t>
        </w:r>
      </w:hyperlink>
      <w:r>
        <w:t xml:space="preserve">.</w:t>
      </w:r>
    </w:p>
    <w:p>
      <w:pPr>
        <w:numPr>
          <w:ilvl w:val="0"/>
          <w:numId w:val="1134"/>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65"/>
    <w:bookmarkStart w:id="266" w:name="d_evidencia_emp__rica_1"/>
    <w:p>
      <w:pPr>
        <w:pStyle w:val="Heading4"/>
      </w:pPr>
      <w:r>
        <w:t xml:space="preserve">d) Evidencia empírica</w:t>
      </w:r>
    </w:p>
    <w:p>
      <w:pPr>
        <w:keepNext/>
        <w:numPr>
          <w:ilvl w:val="0"/>
          <w:numId w:val="1135"/>
        </w:numPr>
      </w:pPr>
      <w:r>
        <w:rPr>
          <w:i/>
          <w:iCs/>
        </w:rPr>
        <w:t xml:space="preserve">Estimación</w:t>
      </w:r>
      <w:r>
        <w:t xml:space="preserve">, en 2 etapas:</w:t>
      </w:r>
    </w:p>
    <w:p>
      <w:pPr>
        <w:numPr>
          <w:ilvl w:val="1"/>
          <w:numId w:val="1136"/>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1"/>
          <w:numId w:val="1136"/>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_EkelandHeckmanNesheim2004">
        <w:r>
          <w:rPr>
            <w:rStyle w:val="Hyperlink"/>
            <w:smallCaps/>
          </w:rPr>
          <w:t xml:space="preserve">Ekeland</w:t>
        </w:r>
        <w:r>
          <w:rPr>
            <w:rStyle w:val="Hyperlink"/>
          </w:rPr>
          <w:t xml:space="preserve">,</w:t>
        </w:r>
        <w:r>
          <w:rPr>
            <w:rStyle w:val="Hyperlink"/>
          </w:rPr>
          <w:t xml:space="preserve"> </w:t>
        </w:r>
        <w:r>
          <w:rPr>
            <w:rStyle w:val="Hyperlink"/>
            <w:smallCaps/>
          </w:rPr>
          <w:t xml:space="preserve">Heckman</w:t>
        </w:r>
        <w:r>
          <w:rPr>
            <w:rStyle w:val="Hyperlink"/>
          </w:rPr>
          <w:t xml:space="preserve"> </w:t>
        </w:r>
        <w:r>
          <w:rPr>
            <w:rStyle w:val="Hyperlink"/>
          </w:rPr>
          <w:t xml:space="preserve">y</w:t>
        </w:r>
        <w:r>
          <w:rPr>
            <w:rStyle w:val="Hyperlink"/>
          </w:rPr>
          <w:t xml:space="preserve"> </w:t>
        </w:r>
        <w:r>
          <w:rPr>
            <w:rStyle w:val="Hyperlink"/>
            <w:smallCaps/>
          </w:rPr>
          <w:t xml:space="preserve">Nesheim</w:t>
        </w:r>
        <w:r>
          <w:rPr>
            <w:rStyle w:val="Hyperlink"/>
          </w:rPr>
          <w:t xml:space="preserve">, 2004</w:t>
        </w:r>
      </w:hyperlink>
      <w:r>
        <w:t xml:space="preserve">)</w:t>
      </w:r>
      <w:r>
        <w:t xml:space="preserve">.</w:t>
      </w:r>
    </w:p>
    <w:p>
      <w:pPr>
        <w:keepNext/>
        <w:numPr>
          <w:ilvl w:val="0"/>
          <w:numId w:val="1135"/>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37"/>
        </w:numPr>
      </w:pPr>
      <w:r>
        <w:t xml:space="preserve">El informe de</w:t>
      </w:r>
      <w:r>
        <w:t xml:space="preserve"> </w:t>
      </w:r>
      <w:r>
        <w:rPr>
          <w:smallCaps/>
        </w:rPr>
        <w:t xml:space="preserve">Boskin</w:t>
      </w:r>
      <w:r>
        <w:t xml:space="preserve"> </w:t>
      </w:r>
      <w:r>
        <w:t xml:space="preserve">et al. (</w:t>
      </w:r>
      <w:hyperlink w:anchor="ref_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37"/>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_Eurostat2024HICPManual">
        <w:r>
          <w:rPr>
            <w:rStyle w:val="Hyperlink"/>
            <w:smallCaps/>
          </w:rPr>
          <w:t xml:space="preserve">Eurostat</w:t>
        </w:r>
        <w:r>
          <w:rPr>
            <w:rStyle w:val="Hyperlink"/>
          </w:rPr>
          <w:t xml:space="preserve">, 2024</w:t>
        </w:r>
      </w:hyperlink>
      <w:r>
        <w:t xml:space="preserve">;</w:t>
      </w:r>
      <w:r>
        <w:t xml:space="preserve"> </w:t>
      </w:r>
      <w:hyperlink w:anchor="ref_Triplett2006Handbook">
        <w:r>
          <w:rPr>
            <w:rStyle w:val="Hyperlink"/>
            <w:smallCaps/>
          </w:rPr>
          <w:t xml:space="preserve">Triplett</w:t>
        </w:r>
        <w:r>
          <w:rPr>
            <w:rStyle w:val="Hyperlink"/>
          </w:rPr>
          <w:t xml:space="preserve">,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_BLS2026QualityAdjustment">
        <w:r>
          <w:rPr>
            <w:rStyle w:val="Hyperlink"/>
            <w:smallCaps/>
          </w:rPr>
          <w:t xml:space="preserve">U.S. Bureau of Labor Statistics</w:t>
        </w:r>
        <w:r>
          <w:rPr>
            <w:rStyle w:val="Hyperlink"/>
          </w:rPr>
          <w:t xml:space="preserve">, 2026</w:t>
        </w:r>
      </w:hyperlink>
      <w:r>
        <w:t xml:space="preserve">)</w:t>
      </w:r>
      <w:r>
        <w:t xml:space="preserve">. El IPC español, en cambio, recurre sobre todo a los precios de solapamiento, la opinión de expertos y la imputación</w:t>
      </w:r>
      <w:r>
        <w:t xml:space="preserve"> </w:t>
      </w:r>
      <w:r>
        <w:t xml:space="preserve">(</w:t>
      </w:r>
      <w:hyperlink w:anchor="ref_INE2026IPCMetodologia">
        <w:r>
          <w:rPr>
            <w:rStyle w:val="Hyperlink"/>
            <w:smallCaps/>
          </w:rPr>
          <w:t xml:space="preserve">Instituto Nacional de Estadística</w:t>
        </w:r>
        <w:r>
          <w:rPr>
            <w:rStyle w:val="Hyperlink"/>
          </w:rPr>
          <w:t xml:space="preserve">, 2026c, 40-41</w:t>
        </w:r>
      </w:hyperlink>
      <w:r>
        <w:t xml:space="preserve">)</w:t>
      </w:r>
      <w:r>
        <w:t xml:space="preserve">.</w:t>
      </w:r>
    </w:p>
    <w:p>
      <w:pPr>
        <w:numPr>
          <w:ilvl w:val="1"/>
          <w:numId w:val="1137"/>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_INE2026IPVMetodologia">
        <w:r>
          <w:rPr>
            <w:rStyle w:val="Hyperlink"/>
            <w:smallCaps/>
          </w:rPr>
          <w:t xml:space="preserve">Instituto Nacional de Estadística</w:t>
        </w:r>
        <w:r>
          <w:rPr>
            <w:rStyle w:val="Hyperlink"/>
          </w:rPr>
          <w:t xml:space="preserve">, 2026d</w:t>
        </w:r>
      </w:hyperlink>
      <w:r>
        <w:t xml:space="preserve">)</w:t>
      </w:r>
      <w:r>
        <w:t xml:space="preserve">.</w:t>
      </w:r>
    </w:p>
    <w:bookmarkEnd w:id="266"/>
    <w:bookmarkStart w:id="267" w:name="e_valoraci__n_1"/>
    <w:p>
      <w:pPr>
        <w:pStyle w:val="Heading4"/>
      </w:pPr>
      <w:r>
        <w:t xml:space="preserve">e) Valoración</w:t>
      </w:r>
    </w:p>
    <w:p>
      <w:pPr>
        <w:numPr>
          <w:ilvl w:val="0"/>
          <w:numId w:val="1138"/>
        </w:numPr>
      </w:pPr>
      <w:r>
        <w:t xml:space="preserve">El resultado depende de la forma funcional y de las características que se incluyan (sesgo por variables omitidas, multicolinealidad entre características).</w:t>
      </w:r>
    </w:p>
    <w:p>
      <w:pPr>
        <w:numPr>
          <w:ilvl w:val="0"/>
          <w:numId w:val="1138"/>
        </w:numPr>
      </w:pPr>
      <w:r>
        <w:t xml:space="preserve">La segunda etapa está mal identificada.</w:t>
      </w:r>
    </w:p>
    <w:p>
      <w:pPr>
        <w:numPr>
          <w:ilvl w:val="0"/>
          <w:numId w:val="1138"/>
        </w:numPr>
      </w:pPr>
      <w:r>
        <w:t xml:space="preserve">Supone un mercado en equilibrio, competitivo y con información perfecta sobre las características, algo dudoso, por ejemplo, en la vivienda.</w:t>
      </w:r>
    </w:p>
    <w:p>
      <w:pPr>
        <w:numPr>
          <w:ilvl w:val="0"/>
          <w:numId w:val="1138"/>
        </w:numPr>
      </w:pPr>
      <w:r>
        <w:t xml:space="preserve">Los precios implícitos son marginales: no sirven para valorar cambios grandes.</w:t>
      </w:r>
    </w:p>
    <w:p>
      <w:pPr>
        <w:pStyle w:val="Ideaclave"/>
        <w:keepNext/>
        <w:keepLines/>
      </w:pPr>
      <w:r>
        <w:t xml:space="preserve">Los 3 desarrollos acercan la teoría a lo observable:</w:t>
      </w:r>
    </w:p>
    <w:p>
      <w:pPr>
        <w:pStyle w:val="Ideaclave"/>
        <w:keepNext/>
        <w:keepLines/>
        <w:numPr>
          <w:ilvl w:val="0"/>
          <w:numId w:val="1139"/>
        </w:numPr>
      </w:pPr>
      <w:r>
        <w:t xml:space="preserve">la preferencia revelada reconstruye las preferencias a partir de las elecciones y permite contrastarlas con datos (</w:t>
      </w:r>
      <w:r>
        <w:rPr>
          <w:smallCaps/>
        </w:rPr>
        <w:t xml:space="preserve">Afriat</w:t>
      </w:r>
      <w:r>
        <w:t xml:space="preserve">);</w:t>
      </w:r>
    </w:p>
    <w:p>
      <w:pPr>
        <w:pStyle w:val="Ideaclave"/>
        <w:keepNext/>
        <w:keepLines/>
        <w:numPr>
          <w:ilvl w:val="0"/>
          <w:numId w:val="1139"/>
        </w:numPr>
      </w:pPr>
      <w:r>
        <w:t xml:space="preserve">la producción doméstica introduce el coste del tiempo;</w:t>
      </w:r>
    </w:p>
    <w:p>
      <w:pPr>
        <w:pStyle w:val="Ideaclave"/>
        <w:keepLines/>
        <w:numPr>
          <w:ilvl w:val="0"/>
          <w:numId w:val="1139"/>
        </w:numPr>
      </w:pPr>
      <w:r>
        <w:t xml:space="preserve">y los precios hedónicos miden cuánto se paga por cada característica de un bien.</w:t>
      </w:r>
    </w:p>
    <w:bookmarkEnd w:id="267"/>
    <w:bookmarkEnd w:id="268"/>
    <w:bookmarkEnd w:id="269"/>
    <w:bookmarkStart w:id="273" w:name="conclusi__n"/>
    <w:p>
      <w:pPr>
        <w:pStyle w:val="Heading1"/>
      </w:pPr>
      <w:r>
        <w:t xml:space="preserve">Conclusión</w:t>
      </w:r>
      <w:r>
        <w:t xml:space="preserve"> </w:t>
      </w:r>
      <w:r>
        <w:rPr>
          <w:rStyle w:val="Minutos"/>
        </w:rPr>
        <w:t xml:space="preserve">1′</w:t>
      </w:r>
    </w:p>
    <w:p>
      <w:pPr>
        <w:keepNext/>
        <w:numPr>
          <w:ilvl w:val="0"/>
          <w:numId w:val="1140"/>
        </w:numPr>
      </w:pPr>
      <w:r>
        <w:rPr>
          <w:b/>
          <w:bCs/>
          <w:i/>
          <w:iCs/>
        </w:rPr>
        <w:t xml:space="preserve">Recapitulación</w:t>
      </w:r>
      <w:r>
        <w:t xml:space="preserve">:</w:t>
      </w:r>
    </w:p>
    <w:p>
      <w:pPr>
        <w:numPr>
          <w:ilvl w:val="1"/>
          <w:numId w:val="1141"/>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w:t>
      </w:r>
      <w:hyperlink w:anchor="sec_analisis_teoria_neoclasica">
        <w:r>
          <w:rPr>
            <w:rStyle w:val="Hyperlink"/>
          </w:rPr>
          <w:t xml:space="preserve">I</w:t>
        </w:r>
      </w:hyperlink>
      <w:r>
        <w:t xml:space="preserve">).</w:t>
      </w:r>
    </w:p>
    <w:p>
      <w:pPr>
        <w:numPr>
          <w:ilvl w:val="1"/>
          <w:numId w:val="1141"/>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w:t>
      </w:r>
      <w:hyperlink w:anchor="sec_analisis_teoria_neoclasica_demanda">
        <w:r>
          <w:rPr>
            <w:rStyle w:val="Hyperlink"/>
          </w:rPr>
          <w:t xml:space="preserve">II</w:t>
        </w:r>
      </w:hyperlink>
      <w:r>
        <w:t xml:space="preserve">).</w:t>
      </w:r>
    </w:p>
    <w:p>
      <w:pPr>
        <w:numPr>
          <w:ilvl w:val="1"/>
          <w:numId w:val="1141"/>
        </w:numPr>
      </w:pPr>
      <w:r>
        <w:t xml:space="preserve">Y hemos visto 3 desarrollos que acercan la teoría a lo observable: la preferencia revelada, la producción doméstica y los precios hedónicos (</w:t>
      </w:r>
      <w:hyperlink w:anchor="sec_otros_desarrollos_teoria">
        <w:r>
          <w:rPr>
            <w:rStyle w:val="Hyperlink"/>
          </w:rPr>
          <w:t xml:space="preserve">III</w:t>
        </w:r>
      </w:hyperlink>
      <w:r>
        <w:t xml:space="preserve">).</w:t>
      </w:r>
    </w:p>
    <w:p>
      <w:pPr>
        <w:keepNext/>
        <w:numPr>
          <w:ilvl w:val="0"/>
          <w:numId w:val="1140"/>
        </w:numPr>
      </w:pPr>
      <w:r>
        <w:rPr>
          <w:b/>
          <w:bCs/>
          <w:i/>
          <w:iCs/>
        </w:rPr>
        <w:t xml:space="preserve">Valoración</w:t>
      </w:r>
      <w:r>
        <w:t xml:space="preserve">:</w:t>
      </w:r>
    </w:p>
    <w:p>
      <w:pPr>
        <w:numPr>
          <w:ilvl w:val="1"/>
          <w:numId w:val="1142"/>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hyperlink r:id="rId30">
        <w:r>
          <w:rPr>
            <w:rStyle w:val="Referenciaatema"/>
          </w:rPr>
          <w:t xml:space="preserve">[ver tema 3.A.9]</w:t>
        </w:r>
      </w:hyperlink>
      <w:r>
        <w:t xml:space="preserve"> </w:t>
      </w:r>
      <w:r>
        <w:t xml:space="preserve">puede recorrerse el camino inverso, de la conducta observada a unas preferencias que la generan.</w:t>
      </w:r>
    </w:p>
    <w:p>
      <w:pPr>
        <w:keepNext/>
        <w:numPr>
          <w:ilvl w:val="1"/>
          <w:numId w:val="1142"/>
        </w:numPr>
      </w:pPr>
      <w:r>
        <w:t xml:space="preserve">Su estatus empírico es más discutible:</w:t>
      </w:r>
    </w:p>
    <w:p>
      <w:pPr>
        <w:numPr>
          <w:ilvl w:val="2"/>
          <w:numId w:val="1143"/>
        </w:numPr>
      </w:pPr>
      <w:r>
        <w:t xml:space="preserve">las restricciones de homogeneidad y simetría se han rechazado con frecuencia al estimar sistemas de demanda con datos agregados, en parte por los problemas de agregación (</w:t>
      </w:r>
      <w:hyperlink w:anchor="sec_solucion_problema_maximizacion">
        <w:r>
          <w:rPr>
            <w:rStyle w:val="Hyperlink"/>
          </w:rPr>
          <w:t xml:space="preserve">I.3</w:t>
        </w:r>
      </w:hyperlink>
      <w:r>
        <w:t xml:space="preserve">)</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2"/>
          <w:numId w:val="1143"/>
        </w:numPr>
      </w:pPr>
      <w:r>
        <w:rPr>
          <w:smallCaps/>
        </w:rPr>
        <w:t xml:space="preserve">Friedman</w:t>
      </w:r>
      <w:r>
        <w:t xml:space="preserve"> </w:t>
      </w:r>
      <w:r>
        <w:t xml:space="preserve">(</w:t>
      </w:r>
      <w:hyperlink w:anchor="ref_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43"/>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con la aversión a las pérdidas y la dependencia del marco</w:t>
      </w:r>
      <w:r>
        <w:t xml:space="preserve"> </w:t>
      </w:r>
      <w:hyperlink r:id="rId26">
        <w:r>
          <w:rPr>
            <w:rStyle w:val="Referenciaatema"/>
          </w:rPr>
          <w:t xml:space="preserve">[ver tema 3.A.10]</w:t>
        </w:r>
      </w:hyperlink>
      <w:r>
        <w:t xml:space="preserve">,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Thaler</w:t>
      </w:r>
      <w:r>
        <w:t xml:space="preserve"> </w:t>
      </w:r>
      <w:r>
        <w:t xml:space="preserve">(</w:t>
      </w:r>
      <w:hyperlink w:anchor="ref_Thaler1980Positive">
        <w:r>
          <w:rPr>
            <w:rStyle w:val="Hyperlink"/>
          </w:rPr>
          <w:t xml:space="preserve">1980</w:t>
        </w:r>
      </w:hyperlink>
      <w:r>
        <w:t xml:space="preserve">,</w:t>
      </w:r>
      <w:r>
        <w:t xml:space="preserve"> </w:t>
      </w:r>
      <w:hyperlink w:anchor="ref_Thaler1985Mental">
        <w:r>
          <w:rPr>
            <w:rStyle w:val="Hyperlink"/>
          </w:rPr>
          <w:t xml:space="preserve">1985</w:t>
        </w:r>
      </w:hyperlink>
      <w:r>
        <w:t xml:space="preserve">)</w:t>
      </w:r>
      <w:r>
        <w:t xml:space="preserve">;</w:t>
      </w:r>
      <w:r>
        <w:rPr>
          <w:rStyle w:val="FootnoteReference"/>
        </w:rPr>
        <w:footnoteReference w:id="270"/>
      </w:r>
    </w:p>
    <w:p>
      <w:pPr>
        <w:numPr>
          <w:ilvl w:val="2"/>
          <w:numId w:val="1143"/>
        </w:numPr>
      </w:pPr>
      <w:r>
        <w:t xml:space="preserve">y</w:t>
      </w:r>
      <w:r>
        <w:t xml:space="preserve"> </w:t>
      </w:r>
      <w:r>
        <w:rPr>
          <w:smallCaps/>
        </w:rPr>
        <w:t xml:space="preserve">Sen</w:t>
      </w:r>
      <w:r>
        <w:t xml:space="preserve"> </w:t>
      </w:r>
      <w:r>
        <w:t xml:space="preserve">(</w:t>
      </w:r>
      <w:hyperlink w:anchor="ref_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keepNext/>
        <w:numPr>
          <w:ilvl w:val="1"/>
          <w:numId w:val="1142"/>
        </w:numPr>
      </w:pPr>
      <w:r>
        <w:t xml:space="preserve">Aun así, sigue siendo el punto de partida del análisis:</w:t>
      </w:r>
    </w:p>
    <w:p>
      <w:pPr>
        <w:numPr>
          <w:ilvl w:val="2"/>
          <w:numId w:val="1144"/>
        </w:numPr>
      </w:pPr>
      <w:r>
        <w:t xml:space="preserve">los desarrollos conductuales la amplían más que sustituirla;</w:t>
      </w:r>
    </w:p>
    <w:p>
      <w:pPr>
        <w:numPr>
          <w:ilvl w:val="2"/>
          <w:numId w:val="1144"/>
        </w:numPr>
      </w:pPr>
      <w:r>
        <w:t xml:space="preserve">el teorema de</w:t>
      </w:r>
      <w:r>
        <w:t xml:space="preserve"> </w:t>
      </w:r>
      <w:r>
        <w:rPr>
          <w:smallCaps/>
        </w:rPr>
        <w:t xml:space="preserve">Afriat</w:t>
      </w:r>
      <w:r>
        <w:t xml:space="preserve"> </w:t>
      </w:r>
      <w:r>
        <w:t xml:space="preserve">permite contrastarla con datos sin suponer formas funcionales;</w:t>
      </w:r>
    </w:p>
    <w:p>
      <w:pPr>
        <w:numPr>
          <w:ilvl w:val="2"/>
          <w:numId w:val="1144"/>
        </w:numPr>
      </w:pPr>
      <w:r>
        <w:t xml:space="preserve">y herramientas como los precios hedónicos la llevan a la medición de precios y del bienestar.</w:t>
      </w:r>
    </w:p>
    <w:p>
      <w:pPr>
        <w:keepNext/>
        <w:numPr>
          <w:ilvl w:val="0"/>
          <w:numId w:val="1140"/>
        </w:numPr>
      </w:pPr>
      <w:r>
        <w:rPr>
          <w:b/>
          <w:bCs/>
          <w:i/>
          <w:iCs/>
        </w:rPr>
        <w:t xml:space="preserve">Extensiones y relación con otras partes del temario</w:t>
      </w:r>
      <w:r>
        <w:t xml:space="preserve">:</w:t>
      </w:r>
    </w:p>
    <w:p>
      <w:pPr>
        <w:numPr>
          <w:ilvl w:val="1"/>
          <w:numId w:val="1145"/>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w:t>
      </w:r>
      <w:hyperlink w:anchor="anexo_sistemas">
        <w:r>
          <w:rPr>
            <w:rStyle w:val="Hyperlink"/>
          </w:rPr>
          <w:t xml:space="preserve">D</w:t>
        </w:r>
      </w:hyperlink>
      <w:r>
        <w:t xml:space="preserve">)</w:t>
      </w:r>
      <w:r>
        <w:t xml:space="preserve"> </w:t>
      </w:r>
      <w:hyperlink r:id="rId30">
        <w:r>
          <w:rPr>
            <w:rStyle w:val="Referenciaatema"/>
          </w:rPr>
          <w:t xml:space="preserve">[ver tema 3.A.9]</w:t>
        </w:r>
      </w:hyperlink>
      <w:r>
        <w:t xml:space="preserve">.</w:t>
      </w:r>
      <w:r>
        <w:rPr>
          <w:rStyle w:val="FootnoteReference"/>
        </w:rPr>
        <w:footnoteReference w:id="271"/>
      </w:r>
    </w:p>
    <w:p>
      <w:pPr>
        <w:numPr>
          <w:ilvl w:val="1"/>
          <w:numId w:val="1145"/>
        </w:numPr>
      </w:pPr>
      <w:r>
        <w:t xml:space="preserve">La elección en condiciones de</w:t>
      </w:r>
      <w:r>
        <w:t xml:space="preserve"> </w:t>
      </w:r>
      <w:r>
        <w:rPr>
          <w:b/>
          <w:bCs/>
        </w:rPr>
        <w:t xml:space="preserve">riesgo e incertidumbre</w:t>
      </w:r>
      <w:r>
        <w:t xml:space="preserve"> </w:t>
      </w:r>
      <w:hyperlink r:id="rId26">
        <w:r>
          <w:rPr>
            <w:rStyle w:val="Referenciaatema"/>
          </w:rPr>
          <w:t xml:space="preserve">[ver tema 3.A.10]</w:t>
        </w:r>
      </w:hyperlink>
      <w:r>
        <w:t xml:space="preserve"> </w:t>
      </w:r>
      <w:r>
        <w:t xml:space="preserve">y las decisiones</w:t>
      </w:r>
      <w:r>
        <w:t xml:space="preserve"> </w:t>
      </w:r>
      <w:r>
        <w:rPr>
          <w:b/>
          <w:bCs/>
        </w:rPr>
        <w:t xml:space="preserve">intertemporales</w:t>
      </w:r>
      <w:r>
        <w:t xml:space="preserve"> </w:t>
      </w:r>
      <w:hyperlink r:id="rId38">
        <w:r>
          <w:rPr>
            <w:rStyle w:val="Referenciaatema"/>
          </w:rPr>
          <w:t xml:space="preserve">[ver tema 3.A.29]</w:t>
        </w:r>
      </w:hyperlink>
      <w:r>
        <w:t xml:space="preserve">, con su aplicación al consumo agregado y a los bienes duraderos</w:t>
      </w:r>
      <w:r>
        <w:t xml:space="preserve"> </w:t>
      </w:r>
      <w:hyperlink r:id="rId40">
        <w:r>
          <w:rPr>
            <w:rStyle w:val="Referenciaatema"/>
          </w:rPr>
          <w:t xml:space="preserve">[ver tema 3.A.33]</w:t>
        </w:r>
      </w:hyperlink>
      <w:r>
        <w:t xml:space="preserve">.</w:t>
      </w:r>
    </w:p>
    <w:p>
      <w:pPr>
        <w:keepNext/>
        <w:numPr>
          <w:ilvl w:val="1"/>
          <w:numId w:val="1145"/>
        </w:numPr>
      </w:pPr>
      <w:r>
        <w:t xml:space="preserve">Enlaces con otros temas:</w:t>
      </w:r>
    </w:p>
    <w:p>
      <w:pPr>
        <w:numPr>
          <w:ilvl w:val="2"/>
          <w:numId w:val="1146"/>
        </w:numPr>
      </w:pPr>
      <w:r>
        <w:t xml:space="preserve">la demanda de mercado es una pieza del</w:t>
      </w:r>
      <w:r>
        <w:t xml:space="preserve"> </w:t>
      </w:r>
      <w:r>
        <w:rPr>
          <w:b/>
          <w:bCs/>
        </w:rPr>
        <w:t xml:space="preserve">equilibrio parcial</w:t>
      </w:r>
      <w:r>
        <w:t xml:space="preserve"> </w:t>
      </w:r>
      <w:hyperlink r:id="rId22">
        <w:r>
          <w:rPr>
            <w:rStyle w:val="Referenciaatema"/>
          </w:rPr>
          <w:t xml:space="preserve">[ver tema 3.A.16]</w:t>
        </w:r>
      </w:hyperlink>
      <w:r>
        <w:t xml:space="preserve"> </w:t>
      </w:r>
      <w:r>
        <w:t xml:space="preserve">y</w:t>
      </w:r>
      <w:r>
        <w:t xml:space="preserve"> </w:t>
      </w:r>
      <w:r>
        <w:rPr>
          <w:b/>
          <w:bCs/>
        </w:rPr>
        <w:t xml:space="preserve">general</w:t>
      </w:r>
      <w:r>
        <w:t xml:space="preserve"> </w:t>
      </w:r>
      <w:hyperlink r:id="rId23">
        <w:r>
          <w:rPr>
            <w:rStyle w:val="Referenciaatema"/>
          </w:rPr>
          <w:t xml:space="preserve">[ver tema 3.A.21]</w:t>
        </w:r>
      </w:hyperlink>
      <w:r>
        <w:t xml:space="preserve">;</w:t>
      </w:r>
    </w:p>
    <w:p>
      <w:pPr>
        <w:numPr>
          <w:ilvl w:val="2"/>
          <w:numId w:val="1146"/>
        </w:numPr>
      </w:pPr>
      <w:r>
        <w:t xml:space="preserve">la asignación del tiempo entre trabajo y ocio, de la</w:t>
      </w:r>
      <w:r>
        <w:t xml:space="preserve"> </w:t>
      </w:r>
      <w:r>
        <w:rPr>
          <w:b/>
          <w:bCs/>
        </w:rPr>
        <w:t xml:space="preserve">oferta de trabajo</w:t>
      </w:r>
      <w:r>
        <w:t xml:space="preserve"> </w:t>
      </w:r>
      <w:hyperlink r:id="rId37">
        <w:r>
          <w:rPr>
            <w:rStyle w:val="Referenciaatema"/>
          </w:rPr>
          <w:t xml:space="preserve">[ver tema 3.A.25]</w:t>
        </w:r>
      </w:hyperlink>
      <w:r>
        <w:t xml:space="preserve">;</w:t>
      </w:r>
    </w:p>
    <w:p>
      <w:pPr>
        <w:numPr>
          <w:ilvl w:val="2"/>
          <w:numId w:val="1146"/>
        </w:numPr>
      </w:pPr>
      <w:r>
        <w:t xml:space="preserve">y la demanda de características (anexo </w:t>
      </w:r>
      <w:hyperlink w:anchor="anexo_lancaster">
        <w:r>
          <w:rPr>
            <w:rStyle w:val="Hyperlink"/>
          </w:rPr>
          <w:t xml:space="preserve">F</w:t>
        </w:r>
      </w:hyperlink>
      <w:r>
        <w:t xml:space="preserve">), de la</w:t>
      </w:r>
      <w:r>
        <w:t xml:space="preserve"> </w:t>
      </w:r>
      <w:r>
        <w:rPr>
          <w:b/>
          <w:bCs/>
        </w:rPr>
        <w:t xml:space="preserve">diferenciación de productos</w:t>
      </w:r>
      <w:r>
        <w:t xml:space="preserve"> </w:t>
      </w:r>
      <w:hyperlink r:id="rId241">
        <w:r>
          <w:rPr>
            <w:rStyle w:val="Referenciaatema"/>
          </w:rPr>
          <w:t xml:space="preserve">[ver tema 3.A.18]</w:t>
        </w:r>
      </w:hyperlink>
      <w:r>
        <w:t xml:space="preserve">.</w:t>
      </w:r>
    </w:p>
    <w:p>
      <w:pPr>
        <w:numPr>
          <w:ilvl w:val="1"/>
          <w:numId w:val="1145"/>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hyperlink r:id="rId272">
        <w:r>
          <w:rPr>
            <w:rStyle w:val="Referenciaatema"/>
          </w:rPr>
          <w:t xml:space="preserve">[ver tema 3.A.11]</w:t>
        </w:r>
      </w:hyperlink>
      <w:r>
        <w:t xml:space="preserve">.</w:t>
      </w:r>
    </w:p>
    <w:p>
      <w:pPr>
        <w:numPr>
          <w:ilvl w:val="0"/>
          <w:numId w:val="1140"/>
        </w:numPr>
      </w:pPr>
      <w:r>
        <w:rPr>
          <w:b/>
          <w:bCs/>
          <w:i/>
          <w:iCs/>
        </w:rPr>
        <w:t xml:space="preserve">Idea final</w:t>
      </w:r>
      <w:r>
        <w:t xml:space="preserve">: ¿puede, entonces, una teoría explicar lo que elegimos sin ver lo que queremos? Sí, con matices: sobre gustos no hay nada escrito, pero sobre cómo se elige, sí. Las elecciones delatan las preferencias, y basta pedirles coherencia para obtener una demanda que los datos pueden refutar. Por eso la teoría de la demanda es el primer ladrillo del análisis de los mercados: sin ella no puede explicarse cómo se forman los precios, ni medirse la inflación con bienes cuya calidad cambia, ni valorarse el bienestar que una política gana o pierde. Lo que esa coherencia no recoge (el riesgo, el tiempo o los sesgos) es lo que el resto de la teoría económica viene a explicar.</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3"/>
    <w:bookmarkStart w:id="278" w:name="anexo_r3"/>
    <w:p>
      <w:pPr>
        <w:pStyle w:val="Heading1"/>
      </w:pPr>
      <w:r>
        <w:t xml:space="preserve">A. Anexo: representación gráfica en tres dimensiones del problema de maximización de la utilidad</w:t>
      </w:r>
    </w:p>
    <w:p>
      <w:pPr>
        <w:pStyle w:val="Notaalopositor"/>
        <w:keepLines/>
      </w:pPr>
      <w:r>
        <w:rPr>
          <w:b/>
          <w:bCs/>
        </w:rPr>
        <w:t xml:space="preserve">Nota al opositor. </w:t>
      </w:r>
      <w:r>
        <w:t xml:space="preserve">Este anexo no se canta: complementa el apartado </w:t>
      </w:r>
      <w:hyperlink w:anchor="sec_problema_maximizacion_utilidad">
        <w:r>
          <w:rPr>
            <w:rStyle w:val="Hyperlink"/>
          </w:rPr>
          <w:t xml:space="preserve">I.2</w:t>
        </w:r>
      </w:hyperlink>
      <w:r>
        <w:t xml:space="preserve"> </w:t>
      </w:r>
      <w:r>
        <w:t xml:space="preserve">y el gráfico de la superficie de utilidad (gráfico </w:t>
      </w:r>
      <w:hyperlink w:anchor="fig_superficie_utilidad">
        <w:r>
          <w:rPr>
            <w:rStyle w:val="Hyperlink"/>
          </w:rPr>
          <w:t xml:space="preserve">6</w:t>
        </w:r>
      </w:hyperlink>
      <w:r>
        <w:t xml:space="preserve">). Sirve para explicar en la pizarra, si lo pide el tribunal, por qué la restricción presupuestaria se satura y qué significa</w:t>
      </w:r>
      <w:r>
        <w:t xml:space="preserve"> </w:t>
      </w:r>
      <m:oMath>
        <m:r>
          <m:t>λ</m:t>
        </m:r>
      </m:oMath>
      <w:r>
        <w:t xml:space="preserve">.</w:t>
      </w:r>
    </w:p>
    <w:p>
      <w:pPr>
        <w:numPr>
          <w:ilvl w:val="0"/>
          <w:numId w:val="1147"/>
        </w:numPr>
      </w:pPr>
      <w:r>
        <w:t xml:space="preserve">Con 2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un triángulo en ese plano. Resolver el PMU es buscar el punto más alto de la superficie entre los que están sobre ese triángulo (gráfico </w:t>
      </w:r>
      <w:hyperlink w:anchor="fig_pmu_r3">
        <w:r>
          <w:rPr>
            <w:rStyle w:val="Hyperlink"/>
          </w:rPr>
          <w:t xml:space="preserve">22</w:t>
        </w:r>
      </w:hyperlink>
      <w:r>
        <w:t xml:space="preserve">).</w:t>
      </w:r>
    </w:p>
    <w:p>
      <w:pPr>
        <w:numPr>
          <w:ilvl w:val="0"/>
          <w:numId w:val="1147"/>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&lt;</m:t>
        </m:r>
        <m:bar>
          <m:barPr>
            <m:pos m:val="top"/>
          </m:barPr>
          <m:e>
            <m:r>
              <m:t>W</m:t>
            </m:r>
          </m:e>
        </m:bar>
      </m:oMath>
      <w:r>
        <w:t xml:space="preserve">, y por la holgura complementaria (</w:t>
      </w:r>
      <w:hyperlink w:anchor="eq_kt2">
        <w:r>
          <w:rPr>
            <w:rStyle w:val="Hyperlink"/>
          </w:rPr>
          <w:t xml:space="preserve">11</w:t>
        </w:r>
      </w:hyperlink>
      <w:r>
        <w:t xml:space="preserve">)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47"/>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47"/>
        </w:numPr>
      </w:pPr>
      <w:r>
        <w:t xml:space="preserve">Por eso, con preferencias localmente insaciables, el PMU puede escribirse con la restricción en igualdad,</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00"/>
        </w:numPr>
      </w:pPr>
      <w:r>
        <w:t xml:space="preserve">y resolverse con la lagrangiana (</w:t>
      </w:r>
      <w:hyperlink w:anchor="eq_lagrangiana">
        <w:r>
          <w:rPr>
            <w:rStyle w:val="Hyperlink"/>
          </w:rPr>
          <w:t xml:space="preserve">9</w:t>
        </w:r>
      </w:hyperlink>
      <w:r>
        <w:t xml:space="preserve">) con la restricción de no negatividad. Proyectando los cortes horizontales de la superficie sobre el plano (gráfico </w:t>
      </w:r>
      <w:hyperlink w:anchor="fig_superficie_utilidad">
        <w:r>
          <w:rPr>
            <w:rStyle w:val="Hyperlink"/>
          </w:rPr>
          <w:t xml:space="preserve">6</w:t>
        </w:r>
      </w:hyperlink>
      <w:r>
        <w:t xml:space="preserve">), el punto más alto sobre la recta de balance es aquel en que la recta toca la curva de indiferencia más alta: la tangencia de la solución interior (</w:t>
      </w:r>
      <w:hyperlink w:anchor="eq_tangencia">
        <w:r>
          <w:rPr>
            <w:rStyle w:val="Hyperlink"/>
          </w:rPr>
          <w:t xml:space="preserve">13</w:t>
        </w:r>
      </w:hyperlink>
      <w:r>
        <w:t xml:space="preserve">).</w:t>
      </w:r>
    </w:p>
    <w:bookmarkStart w:id="277" w:name="fig_pmu_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3170233"/>
            <wp:effectExtent b="0" l="0" r="0" t="0"/>
            <wp:docPr descr="Gráfico 22.– El problema de maximización de la utilidad en tres dimensiones: restricción no operativa (\lambda=0) y operativa (\lambda&gt;0)" title="" id="275" name="Picture"/>
            <a:graphic>
              <a:graphicData uri="http://schemas.openxmlformats.org/drawingml/2006/picture">
                <pic:pic>
                  <pic:nvPicPr>
                    <pic:cNvPr descr="C:\Users\vgutierrez\Documents\src\victorgutierrezmarcos.github.io-revision\oposicion\temario\fuentes\3A08\graficos/pmu-r3.png" id="276" name="Picture"/>
                    <pic:cNvPicPr>
                      <a:picLocks noChangeArrowheads="1" noChangeAspect="1"/>
                    </pic:cNvPicPr>
                  </pic:nvPicPr>
                  <pic:blipFill>
                    <a:blip r:embed="rId274"/>
                    <a:stretch>
                      <a:fillRect/>
                    </a:stretch>
                  </pic:blipFill>
                  <pic:spPr bwMode="auto">
                    <a:xfrm>
                      <a:off x="0" y="0"/>
                      <a:ext cx="4775200" cy="3170233"/>
                    </a:xfrm>
                    <a:prstGeom prst="rect">
                      <a:avLst/>
                    </a:prstGeom>
                    <a:noFill/>
                    <a:ln w="9525">
                      <a:noFill/>
                      <a:headEnd/>
                      <a:tailEnd/>
                    </a:ln>
                  </pic:spPr>
                </pic:pic>
              </a:graphicData>
            </a:graphic>
          </wp:inline>
        </w:drawing>
      </w:r>
    </w:p>
    <w:bookmarkEnd w:id="27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3.D</w:t>
        </w:r>
      </w:hyperlink>
      <w:r>
        <w:t xml:space="preserve">)</w:t>
      </w:r>
      <w:r>
        <w:t xml:space="preserve"> </w:t>
      </w:r>
      <w:r>
        <w:t xml:space="preserve">y</w:t>
      </w:r>
      <w:r>
        <w:t xml:space="preserve"> </w:t>
      </w:r>
      <w:r>
        <w:rPr>
          <w:smallCaps/>
        </w:rPr>
        <w:t xml:space="preserve">Sydsæter</w:t>
      </w:r>
      <w:r>
        <w:t xml:space="preserve"> </w:t>
      </w:r>
      <w:r>
        <w:t xml:space="preserve">et al. (</w:t>
      </w:r>
      <w:hyperlink w:anchor="ref_SydsaeterEtAl2008Further">
        <w:r>
          <w:rPr>
            <w:rStyle w:val="Hyperlink"/>
          </w:rPr>
          <w:t xml:space="preserve">2008, cap. 3</w:t>
        </w:r>
      </w:hyperlink>
      <w:r>
        <w:t xml:space="preserve">)</w:t>
      </w:r>
      <w:r>
        <w:t xml:space="preserve">.</w:t>
      </w:r>
    </w:p>
    <w:bookmarkEnd w:id="278"/>
    <w:bookmarkStart w:id="288" w:name="anexo_derivaciones"/>
    <w:p>
      <w:pPr>
        <w:pStyle w:val="Heading1"/>
      </w:pPr>
      <w:r>
        <w:t xml:space="preserve">B. Anexo: derivaciones</w:t>
      </w:r>
    </w:p>
    <w:p>
      <w:pPr>
        <w:pStyle w:val="Notaalopositor"/>
        <w:keepLines/>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la función de gasto</w:t>
      </w:r>
      <w:r>
        <w:t xml:space="preserve"> </w:t>
      </w:r>
      <w:hyperlink r:id="rId30">
        <w:r>
          <w:rPr>
            <w:rStyle w:val="Referenciaatema"/>
          </w:rPr>
          <w:t xml:space="preserve">[ver tema 3.A.9]</w:t>
        </w:r>
      </w:hyperlink>
      <w:r>
        <w:t xml:space="preserve">.</w:t>
      </w:r>
    </w:p>
    <w:bookmarkStart w:id="279" w:name="der_homogeneidad"/>
    <w:p>
      <w:pPr>
        <w:pStyle w:val="Heading2"/>
      </w:pPr>
      <w:r>
        <w:t xml:space="preserve">B.1. Homogeneidad de grado cero: restricción en elasticidades (teorema de</w:t>
      </w:r>
      <w:r>
        <w:t xml:space="preserve"> </w:t>
      </w:r>
      <w:r>
        <w:rPr>
          <w:smallCaps/>
        </w:rPr>
        <w:t xml:space="preserve">Euler</w:t>
      </w:r>
      <w:r>
        <w:t xml:space="preserve">)</w:t>
      </w:r>
    </w:p>
    <w:p>
      <w:pPr>
        <w:numPr>
          <w:ilvl w:val="0"/>
          <w:numId w:val="1148"/>
        </w:numPr>
      </w:pPr>
      <w:r>
        <w:t xml:space="preserve">Por la homogeneidad de grado cero (apartado </w:t>
      </w:r>
      <w:hyperlink w:anchor="sec_problema_maximizacion_utilidad">
        <w:r>
          <w:rPr>
            <w:rStyle w:val="Hyperlink"/>
          </w:rPr>
          <w:t xml:space="preserve">I.2</w:t>
        </w:r>
      </w:hyperlink>
      <w:r>
        <w:t xml:space="preserve">),</w:t>
      </w:r>
      <w:r>
        <w:t xml:space="preserve"> </w:t>
      </w:r>
      <m:oMath>
        <m:sSub>
          <m:e>
            <m:r>
              <m:t>x</m:t>
            </m:r>
          </m:e>
          <m:sub>
            <m:r>
              <m:t>i</m:t>
            </m:r>
          </m:sub>
        </m:sSub>
        <m:d>
          <m:dPr>
            <m:begChr m:val="("/>
            <m:sepChr m:val=""/>
            <m:endChr m:val=")"/>
            <m:grow/>
          </m:dPr>
          <m:e>
            <m:r>
              <m:t>κ</m:t>
            </m:r>
            <m:acc>
              <m:accPr>
                <m:chr m:val="⃗"/>
              </m:accPr>
              <m:e>
                <m:r>
                  <m:t>p</m:t>
                </m:r>
              </m:e>
            </m:acc>
            <m:r>
              <m:rPr>
                <m:sty m:val="p"/>
              </m:rPr>
              <m:t>,</m:t>
            </m:r>
            <m:r>
              <m:t>κ</m:t>
            </m:r>
            <m:bar>
              <m:barPr>
                <m:pos m:val="top"/>
              </m:barPr>
              <m:e>
                <m:r>
                  <m:t>W</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Derivando respecto a</w:t>
      </w:r>
      <w:r>
        <w:t xml:space="preserve"> </w:t>
      </w:r>
      <m:oMath>
        <m:r>
          <m:t>κ</m:t>
        </m:r>
      </m:oMath>
      <w:r>
        <w:t xml:space="preserve"> </w:t>
      </w:r>
      <w:r>
        <w:t xml:space="preserve">y evaluando en</w:t>
      </w:r>
      <w:r>
        <w:t xml:space="preserve"> </w:t>
      </w:r>
      <m:oMath>
        <m:r>
          <m:t>κ</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48"/>
        </w:numPr>
      </w:pPr>
      <w:r>
        <w:t xml:space="preserve">Dividiendo entre</w:t>
      </w:r>
      <w:r>
        <w:t xml:space="preserve"> </w:t>
      </w:r>
      <m:oMath>
        <m:sSub>
          <m:e>
            <m:r>
              <m:t>x</m:t>
            </m:r>
          </m:e>
          <m:sub>
            <m:r>
              <m:t>i</m:t>
            </m:r>
          </m:sub>
        </m:sSub>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 ∎</w:t>
      </w:r>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79"/>
    <w:bookmarkStart w:id="280" w:name="der_engel"/>
    <w:p>
      <w:pPr>
        <w:pStyle w:val="Heading2"/>
      </w:pPr>
      <w:r>
        <w:t xml:space="preserve">B.2. Agregación de</w:t>
      </w:r>
      <w:r>
        <w:t xml:space="preserve"> </w:t>
      </w:r>
      <w:r>
        <w:rPr>
          <w:smallCaps/>
        </w:rPr>
        <w:t xml:space="preserve">Engel</w:t>
      </w:r>
    </w:p>
    <w:p>
      <w:pPr>
        <w:numPr>
          <w:ilvl w:val="0"/>
          <w:numId w:val="1149"/>
        </w:numPr>
      </w:pPr>
      <w:r>
        <w:t xml:space="preserve">Se parte de la ley de</w:t>
      </w:r>
      <w:r>
        <w:t xml:space="preserve"> </w:t>
      </w:r>
      <w:r>
        <w:rPr>
          <w:smallCaps/>
        </w:rPr>
        <w:t xml:space="preserve">Walras</w:t>
      </w:r>
      <w:r>
        <w:t xml:space="preserve">, que se cumple por la insaciabilidad local. Con 2 bienes,</w:t>
      </w:r>
      <w:r>
        <w:t xml:space="preserve"> </w:t>
      </w:r>
      <m:oMath>
        <m:sSub>
          <m:e>
            <m:r>
              <m:t>p</m:t>
            </m:r>
          </m:e>
          <m:sub>
            <m:r>
              <m:t>1</m:t>
            </m:r>
          </m:sub>
        </m:sSub>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keepN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49"/>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w:t>
      </w:r>
      <w:hyperlink w:anchor="eq_agregacion_engel">
        <w:r>
          <w:rPr>
            <w:rStyle w:val="Hyperlink"/>
          </w:rPr>
          <w:t xml:space="preserve">20</w:t>
        </w:r>
      </w:hyperlink>
      <w:r>
        <w:t xml:space="preserve">) del tema, que con</w:t>
      </w:r>
      <w:r>
        <w:t xml:space="preserve"> </w:t>
      </w:r>
      <m:oMath>
        <m:r>
          <m:t>n</m:t>
        </m:r>
      </m:oMath>
      <w:r>
        <w:t xml:space="preserve"> </w:t>
      </w:r>
      <w:r>
        <w:t xml:space="preserve">bienes se obtiene igual. ∎</w:t>
      </w:r>
    </w:p>
    <w:p>
      <w:pPr>
        <w:numPr>
          <w:ilvl w:val="0"/>
          <w:numId w:val="1000"/>
        </w:numPr>
      </w:pPr>
      <w:r>
        <w:t xml:space="preserve">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80"/>
    <w:bookmarkStart w:id="281" w:name="der_cournot"/>
    <w:p>
      <w:pPr>
        <w:pStyle w:val="Heading2"/>
      </w:pPr>
      <w:r>
        <w:t xml:space="preserve">B.3. Agregación de</w:t>
      </w:r>
      <w:r>
        <w:t xml:space="preserve"> </w:t>
      </w:r>
      <w:r>
        <w:rPr>
          <w:smallCaps/>
        </w:rPr>
        <w:t xml:space="preserve">Cournot</w:t>
      </w:r>
    </w:p>
    <w:p>
      <w:pPr>
        <w:numPr>
          <w:ilvl w:val="0"/>
          <w:numId w:val="1150"/>
        </w:numPr>
      </w:pPr>
      <w:r>
        <w:t xml:space="preserve">Con 2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keepN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50"/>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keepN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50"/>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w:t>
      </w:r>
      <w:hyperlink w:anchor="eq_agregacion_cournot">
        <w:r>
          <w:rPr>
            <w:rStyle w:val="Hyperlink"/>
          </w:rPr>
          <w:t xml:space="preserve">25</w:t>
        </w:r>
      </w:hyperlink>
      <w:r>
        <w:t xml:space="preserve">) del tema. ∎</w:t>
      </w:r>
    </w:p>
    <w:p>
      <w:pPr>
        <w:numPr>
          <w:ilvl w:val="0"/>
          <w:numId w:val="1000"/>
        </w:numPr>
      </w:pPr>
      <w:r>
        <w:t xml:space="preserve">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81"/>
    <w:bookmarkStart w:id="282" w:name="der_roy"/>
    <w:p>
      <w:pPr>
        <w:pStyle w:val="Heading2"/>
      </w:pPr>
      <w:r>
        <w:t xml:space="preserve">B.4. Identidad de</w:t>
      </w:r>
      <w:r>
        <w:t xml:space="preserve"> </w:t>
      </w:r>
      <w:r>
        <w:rPr>
          <w:smallCaps/>
        </w:rPr>
        <w:t xml:space="preserve">Roy</w:t>
      </w:r>
    </w:p>
    <w:p>
      <w:pPr>
        <w:numPr>
          <w:ilvl w:val="0"/>
          <w:numId w:val="1151"/>
        </w:numPr>
      </w:pPr>
      <w:r>
        <w:t xml:space="preserve">La función indirecta de utilidad es el valor óptimo del PMU,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51"/>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w:t>
      </w:r>
      <w:hyperlink w:anchor="eq_roy">
        <w:r>
          <w:rPr>
            <w:rStyle w:val="Hyperlink"/>
          </w:rPr>
          <w:t xml:space="preserve">16</w:t>
        </w:r>
      </w:hyperlink>
      <w:r>
        <w:t xml:space="preserv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 ∎</w:t>
      </w:r>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82"/>
    <w:bookmarkStart w:id="283" w:name="der_slutsky"/>
    <w:p>
      <w:pPr>
        <w:pStyle w:val="Heading2"/>
      </w:pPr>
      <w:r>
        <w:t xml:space="preserve">B.5. Ecuación de</w:t>
      </w:r>
      <w:r>
        <w:t xml:space="preserve"> </w:t>
      </w:r>
      <w:r>
        <w:rPr>
          <w:smallCaps/>
        </w:rPr>
        <w:t xml:space="preserve">Slutsky</w:t>
      </w:r>
    </w:p>
    <w:p>
      <w:pPr>
        <w:numPr>
          <w:ilvl w:val="0"/>
          <w:numId w:val="1152"/>
        </w:numPr>
      </w:pPr>
      <w:r>
        <w:t xml:space="preserve">Sea</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keepNext/>
      </w:pPr>
      <m:oMathPara>
        <m:oMathParaPr>
          <m:jc m:val="center"/>
        </m:oMathParaP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t>  </m:t>
          </m:r>
          <m:r>
            <m:rPr>
              <m:nor/>
              <m:sty m:val="p"/>
            </m:rPr>
            <m:t>para todo </m:t>
          </m:r>
          <m:acc>
            <m:accPr>
              <m:chr m:val="⃗"/>
            </m:accPr>
            <m:e>
              <m:r>
                <m:t>p</m:t>
              </m:r>
            </m:e>
          </m:acc>
          <m:r>
            <m:rPr>
              <m:sty m:val="p"/>
            </m:rPr>
            <m:t>.</m:t>
          </m:r>
        </m:oMath>
      </m:oMathPara>
    </w:p>
    <w:p>
      <w:pPr>
        <w:numPr>
          <w:ilvl w:val="0"/>
          <w:numId w:val="1152"/>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keepNext/>
      </w:pPr>
      <m:oMathPara>
        <m:oMathParaPr>
          <m:jc m:val="center"/>
        </m:oMathParaPr>
        <m:oMath>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bar>
            <m:barPr>
              <m:pos m:val="top"/>
            </m:barPr>
            <m:e>
              <m:r>
                <m:t>W</m:t>
              </m:r>
            </m:e>
          </m:ba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oMath>
      </m:oMathPara>
    </w:p>
    <w:p>
      <w:pPr>
        <w:numPr>
          <w:ilvl w:val="0"/>
          <w:numId w:val="1152"/>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Sustituyendo y despejando:</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w:t>
      </w:r>
      <w:hyperlink w:anchor="eq_slutsky">
        <w:r>
          <w:rPr>
            <w:rStyle w:val="Hyperlink"/>
          </w:rPr>
          <w:t xml:space="preserve">22</w:t>
        </w:r>
      </w:hyperlink>
      <w:r>
        <w:t xml:space="preserve">) y con</w:t>
      </w:r>
      <w:r>
        <w:t xml:space="preserve"> </w:t>
      </w:r>
      <m:oMath>
        <m:r>
          <m:t>j</m:t>
        </m:r>
        <m:r>
          <m:rPr>
            <m:sty m:val="p"/>
          </m:rPr>
          <m:t>≠</m:t>
        </m:r>
        <m:r>
          <m:t>i</m:t>
        </m:r>
      </m:oMath>
      <w:r>
        <w:t xml:space="preserve"> </w:t>
      </w:r>
      <w:r>
        <w:t xml:space="preserve">la (</w:t>
      </w:r>
      <w:hyperlink w:anchor="eq_slutsky_cruzada">
        <w:r>
          <w:rPr>
            <w:rStyle w:val="Hyperlink"/>
          </w:rPr>
          <w:t xml:space="preserve">24</w:t>
        </w:r>
      </w:hyperlink>
      <w:r>
        <w:t xml:space="preserve">). ∎</w:t>
      </w:r>
    </w:p>
    <w:p>
      <w:pPr>
        <w:numPr>
          <w:ilvl w:val="0"/>
          <w:numId w:val="1152"/>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 ∎</w:t>
      </w:r>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83"/>
    <w:bookmarkStart w:id="284" w:name="der_matriz_slutsky"/>
    <w:p>
      <w:pPr>
        <w:pStyle w:val="Heading2"/>
      </w:pPr>
      <w:r>
        <w:t xml:space="preserve">B.6. Propiedades de la matriz de</w:t>
      </w:r>
      <w:r>
        <w:t xml:space="preserve"> </w:t>
      </w:r>
      <w:r>
        <w:rPr>
          <w:smallCaps/>
        </w:rPr>
        <w:t xml:space="preserve">Slutsky</w:t>
      </w:r>
      <w:r>
        <w:t xml:space="preserve">: negatividad, simetría y sustitutivos netos</w:t>
      </w:r>
    </w:p>
    <w:p>
      <w:pPr>
        <w:numPr>
          <w:ilvl w:val="0"/>
          <w:numId w:val="1153"/>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keepN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es decir, la matriz de</w:t>
      </w:r>
      <w:r>
        <w:t xml:space="preserve"> </w:t>
      </w:r>
      <w:r>
        <w:rPr>
          <w:smallCaps/>
        </w:rPr>
        <w:t xml:space="preserve">Slutsky</w:t>
      </w:r>
      <w:r>
        <w:t xml:space="preserve"> </w:t>
      </w:r>
      <w:r>
        <w:t xml:space="preserve">es la matriz hessiana de la función de gasto respecto a los precios.</w:t>
      </w:r>
    </w:p>
    <w:p>
      <w:pPr>
        <w:numPr>
          <w:ilvl w:val="0"/>
          <w:numId w:val="1153"/>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53"/>
        </w:numPr>
      </w:pPr>
      <w:r>
        <w:rPr>
          <w:i/>
          <w:iCs/>
        </w:rPr>
        <w:t xml:space="preserve">Negatividad</w:t>
      </w:r>
      <w:r>
        <w:t xml:space="preserve">: la función de gasto es cóncava en</w:t>
      </w:r>
      <w:r>
        <w:t xml:space="preserve"> </w:t>
      </w:r>
      <m:oMath>
        <m:acc>
          <m:accPr>
            <m:chr m:val="⃗"/>
          </m:accPr>
          <m:e>
            <m:r>
              <m:t>p</m:t>
            </m:r>
          </m:e>
        </m:acc>
      </m:oMath>
      <w:r>
        <w:t xml:space="preserve">. Si</w:t>
      </w:r>
      <w:r>
        <w:t xml:space="preserve"> </w:t>
      </w:r>
      <m:oMath>
        <m:acc>
          <m:accPr>
            <m:chr m:val="⃗"/>
          </m:accPr>
          <m:e>
            <m:r>
              <m:t>h</m:t>
            </m:r>
          </m:e>
        </m:acc>
      </m:oMath>
      <w:r>
        <w:t xml:space="preserve"> </w:t>
      </w:r>
      <w:r>
        <w:t xml:space="preserve">es la cesta que minimiza el gasto a los precios promedio</w:t>
      </w:r>
      <w:r>
        <w:t xml:space="preserve"> </w:t>
      </w:r>
      <m:oMath>
        <m:sSup>
          <m:e>
            <m:acc>
              <m:accPr>
                <m:chr m:val="⃗"/>
              </m:accPr>
              <m:e>
                <m:r>
                  <m:t>p</m:t>
                </m:r>
              </m:e>
            </m:acc>
          </m:e>
          <m:sup>
            <m:r>
              <m:t>τ</m:t>
            </m:r>
          </m:sup>
        </m:sSup>
        <m:r>
          <m:rPr>
            <m:sty m:val="p"/>
          </m:rPr>
          <m:t>=</m:t>
        </m:r>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oMath>
      <w:r>
        <w:t xml:space="preserve">, con</w:t>
      </w:r>
      <w:r>
        <w:t xml:space="preserve"> </w:t>
      </w:r>
      <m:oMath>
        <m:r>
          <m:t>τ</m:t>
        </m:r>
        <m:r>
          <m:rPr>
            <m:sty m:val="p"/>
          </m:rPr>
          <m:t>∈</m:t>
        </m:r>
        <m:d>
          <m:dPr>
            <m:begChr m:val="["/>
            <m:sepChr m:val=""/>
            <m:endChr m:val="]"/>
            <m:grow/>
          </m:dPr>
          <m:e>
            <m:r>
              <m:t>0</m:t>
            </m:r>
            <m:r>
              <m:rPr>
                <m:sty m:val="p"/>
              </m:rPr>
              <m:t>,</m:t>
            </m:r>
            <m:r>
              <m:t>1</m:t>
            </m:r>
          </m:e>
        </m:d>
      </m:oMath>
      <w:r>
        <w:t xml:space="preserve">, entonces</w:t>
      </w:r>
    </w:p>
    <w:p>
      <w:pPr>
        <w:pStyle w:val="BodyText"/>
        <w:keepNext/>
      </w:pPr>
      <m:oMathPara>
        <m:oMathParaPr>
          <m:jc m:val="center"/>
        </m:oMathParaPr>
        <m:oMath>
          <m:r>
            <m:t>E</m:t>
          </m:r>
          <m:d>
            <m:dPr>
              <m:begChr m:val="("/>
              <m:sepChr m:val=""/>
              <m:endChr m:val=")"/>
              <m:grow/>
            </m:dPr>
            <m:e>
              <m:sSup>
                <m:e>
                  <m:acc>
                    <m:accPr>
                      <m:chr m:val="⃗"/>
                    </m:accPr>
                    <m:e>
                      <m:r>
                        <m:t>p</m:t>
                      </m:r>
                    </m:e>
                  </m:acc>
                </m:e>
                <m:sup>
                  <m:r>
                    <m:t>τ</m:t>
                  </m:r>
                </m:sup>
              </m:sSup>
              <m:r>
                <m:rPr>
                  <m:sty m:val="p"/>
                </m:rPr>
                <m:t>,</m:t>
              </m:r>
              <m:bar>
                <m:barPr>
                  <m:pos m:val="top"/>
                </m:barPr>
                <m:e>
                  <m:r>
                    <m:t>U</m:t>
                  </m:r>
                </m:e>
              </m:bar>
            </m:e>
          </m:d>
          <m:r>
            <m:rPr>
              <m:sty m:val="p"/>
            </m:rPr>
            <m:t>=</m:t>
          </m:r>
          <m:r>
            <m:t>τ</m:t>
          </m:r>
          <m:r>
            <m:t> </m:t>
          </m:r>
          <m:acc>
            <m:accPr>
              <m:chr m:val="⃗"/>
            </m:accPr>
            <m:e>
              <m:r>
                <m:t>p</m:t>
              </m:r>
            </m:e>
          </m:acc>
          <m:r>
            <m:rPr>
              <m:sty m:val="p"/>
            </m:rPr>
            <m:t>⋅</m:t>
          </m:r>
          <m:acc>
            <m:accPr>
              <m:chr m:val="⃗"/>
            </m:accPr>
            <m:e>
              <m:r>
                <m:t>h</m:t>
              </m:r>
            </m:e>
          </m:acc>
          <m:r>
            <m:rPr>
              <m:sty m:val="p"/>
            </m:rPr>
            <m:t>+</m:t>
          </m:r>
          <m:d>
            <m:dPr>
              <m:begChr m:val="("/>
              <m:sepChr m:val=""/>
              <m:endChr m:val=")"/>
              <m:grow/>
            </m:dPr>
            <m:e>
              <m:r>
                <m:t>1</m:t>
              </m:r>
              <m:r>
                <m:rPr>
                  <m:sty m:val="p"/>
                </m:rPr>
                <m:t>−</m:t>
              </m:r>
              <m:r>
                <m:t>τ</m:t>
              </m:r>
            </m:e>
          </m:d>
          <m:r>
            <m:t> </m:t>
          </m:r>
          <m:acc>
            <m:accPr>
              <m:chr m:val="⃗"/>
            </m:accPr>
            <m:e>
              <m:r>
                <m:t>p</m:t>
              </m:r>
            </m:e>
          </m:acc>
          <m:r>
            <m:rPr>
              <m:sty m:val="p"/>
            </m:rPr>
            <m:t>′</m:t>
          </m:r>
          <m:r>
            <m:rPr>
              <m:sty m:val="p"/>
            </m:rPr>
            <m:t>⋅</m:t>
          </m:r>
          <m:acc>
            <m:accPr>
              <m:chr m:val="⃗"/>
            </m:accPr>
            <m:e>
              <m:r>
                <m:t>h</m:t>
              </m:r>
            </m:e>
          </m:acc>
          <m:r>
            <m:rPr>
              <m:sty m:val="p"/>
            </m:rPr>
            <m:t>≥</m:t>
          </m:r>
          <m:r>
            <m:t>τ</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r>
                <m:t>τ</m:t>
              </m:r>
            </m:e>
          </m:d>
          <m:r>
            <m:t>E</m:t>
          </m:r>
          <m:d>
            <m:dPr>
              <m:begChr m:val="("/>
              <m:sepChr m:val=""/>
              <m:endChr m:val=")"/>
              <m:grow/>
            </m:dPr>
            <m:e>
              <m:acc>
                <m:accPr>
                  <m:chr m:val="⃗"/>
                </m:accPr>
                <m:e>
                  <m:r>
                    <m:t>p</m:t>
                  </m:r>
                </m:e>
              </m:acc>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acc>
          <m:accPr>
            <m:chr m:val="⃗"/>
          </m:accPr>
          <m:e>
            <m:r>
              <m:t>h</m:t>
            </m:r>
          </m:e>
        </m:acc>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el efecto sustitución propio. ∎</w:t>
      </w:r>
    </w:p>
    <w:p>
      <w:pPr>
        <w:numPr>
          <w:ilvl w:val="0"/>
          <w:numId w:val="1153"/>
        </w:numPr>
      </w:pPr>
      <w:r>
        <w:rPr>
          <w:i/>
          <w:iCs/>
        </w:rPr>
        <w:t xml:space="preserve">Sustitutivos netos</w:t>
      </w:r>
      <w:r>
        <w:t xml:space="preserve">: la demanda hicksiana es homogénea de grado cero en los precios (si todos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2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netos. ∎</w:t>
      </w:r>
    </w:p>
    <w:bookmarkEnd w:id="284"/>
    <w:bookmarkStart w:id="285" w:name="der_adpr"/>
    <w:p>
      <w:pPr>
        <w:pStyle w:val="Heading2"/>
      </w:pPr>
      <w:r>
        <w:t xml:space="preserve">B.7. Ley de la demanda compensada a partir del axioma débil</w:t>
      </w:r>
    </w:p>
    <w:p>
      <w:pPr>
        <w:numPr>
          <w:ilvl w:val="0"/>
          <w:numId w:val="1154"/>
        </w:numPr>
      </w:pPr>
      <w:r>
        <w:t xml:space="preserve">Sean</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Descomponemos</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1</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oMath>
      </m:oMathPara>
    </w:p>
    <w:p>
      <w:pPr>
        <w:numPr>
          <w:ilvl w:val="0"/>
          <w:numId w:val="1154"/>
        </w:numPr>
      </w:pPr>
      <w:r>
        <w:t xml:space="preserve">El primer término es nulo: por la ley de</w:t>
      </w:r>
      <w:r>
        <w:t xml:space="preserve"> </w:t>
      </w:r>
      <w:r>
        <w:rPr>
          <w:smallCaps/>
        </w:rPr>
        <w:t xml:space="preserve">Walras</w:t>
      </w:r>
      <w:r>
        <w:t xml:space="preserve">,</w:t>
      </w:r>
      <w:r>
        <w:t xml:space="preserve"> </w:t>
      </w:r>
      <m:oMath>
        <m:sSup>
          <m:e>
            <m:acc>
              <m:accPr>
                <m:chr m:val="⃗"/>
              </m:accPr>
              <m:e>
                <m:r>
                  <m:t>p</m:t>
                </m:r>
              </m:e>
            </m:acc>
          </m:e>
          <m:sup>
            <m:r>
              <m:t>1</m:t>
            </m:r>
          </m:sup>
        </m:sSup>
        <m:r>
          <m:rPr>
            <m:sty m:val="p"/>
          </m:rPr>
          <m:t>⋅</m:t>
        </m:r>
        <m:sSup>
          <m:e>
            <m:acc>
              <m:accPr>
                <m:chr m:val="⃗"/>
              </m:accPr>
              <m:e>
                <m:r>
                  <m:t>x</m:t>
                </m:r>
              </m:e>
            </m:acc>
          </m:e>
          <m:sup>
            <m:r>
              <m:t>1</m:t>
            </m:r>
          </m:sup>
        </m:sSup>
        <m:r>
          <m:rPr>
            <m:sty m:val="p"/>
          </m:rPr>
          <m:t>=</m:t>
        </m:r>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w:t>
      </w:r>
    </w:p>
    <w:p>
      <w:pPr>
        <w:numPr>
          <w:ilvl w:val="0"/>
          <w:numId w:val="1154"/>
        </w:numPr>
      </w:pPr>
      <w:r>
        <w:t xml:space="preserve">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todo es cero.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 cesta</w:t>
      </w:r>
      <w:r>
        <w:t xml:space="preserve"> </w:t>
      </w:r>
      <m:oMath>
        <m:sSup>
          <m:e>
            <m:acc>
              <m:accPr>
                <m:chr m:val="⃗"/>
              </m:accPr>
              <m:e>
                <m:r>
                  <m:t>x</m:t>
                </m:r>
              </m:e>
            </m:acc>
          </m:e>
          <m:sup>
            <m:r>
              <m:t>0</m:t>
            </m:r>
          </m:sup>
        </m:sSup>
      </m:oMath>
      <w:r>
        <w:t xml:space="preserve"> </w:t>
      </w:r>
      <w:r>
        <w:t xml:space="preserve">era asequible en</w:t>
      </w:r>
      <w:r>
        <w:t xml:space="preserve"> </w:t>
      </w:r>
      <m:oMath>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se revela preferida a</w:t>
      </w:r>
      <w:r>
        <w:t xml:space="preserve"> </w:t>
      </w:r>
      <m:oMath>
        <m:sSup>
          <m:e>
            <m:acc>
              <m:accPr>
                <m:chr m:val="⃗"/>
              </m:accPr>
              <m:e>
                <m:r>
                  <m:t>x</m:t>
                </m:r>
              </m:e>
            </m:acc>
          </m:e>
          <m:sup>
            <m:r>
              <m:t>0</m:t>
            </m:r>
          </m:sup>
        </m:sSup>
      </m:oMath>
      <w:r>
        <w:t xml:space="preserve">. Por el ADPR,</w:t>
      </w:r>
      <w:r>
        <w:t xml:space="preserve"> </w:t>
      </w:r>
      <m:oMath>
        <m:sSup>
          <m:e>
            <m:acc>
              <m:accPr>
                <m:chr m:val="⃗"/>
              </m:accPr>
              <m:e>
                <m:r>
                  <m:t>x</m:t>
                </m:r>
              </m:e>
            </m:acc>
          </m:e>
          <m:sup>
            <m:r>
              <m:t>1</m:t>
            </m:r>
          </m:sup>
        </m:sSup>
      </m:oMath>
      <w:r>
        <w:t xml:space="preserve"> </w:t>
      </w:r>
      <w:r>
        <w:t xml:space="preserve">no puede ser asequible cuando se eligió</w:t>
      </w:r>
      <w:r>
        <w:t xml:space="preserve"> </w:t>
      </w:r>
      <m:oMath>
        <m:sSup>
          <m:e>
            <m:acc>
              <m:accPr>
                <m:chr m:val="⃗"/>
              </m:accPr>
              <m:e>
                <m:r>
                  <m:t>x</m:t>
                </m:r>
              </m:e>
            </m:acc>
          </m:e>
          <m:sup>
            <m:r>
              <m:t>0</m:t>
            </m:r>
          </m:sup>
        </m:sSup>
      </m:oMath>
      <w:r>
        <w:t xml:space="preserve">:</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&gt;</m:t>
        </m:r>
        <m:sSup>
          <m:e>
            <m:bar>
              <m:barPr>
                <m:pos m:val="top"/>
              </m:barPr>
              <m:e>
                <m:r>
                  <m:t>W</m:t>
                </m:r>
              </m:e>
            </m:bar>
          </m:e>
          <m:sup>
            <m:r>
              <m:t>0</m:t>
            </m:r>
          </m:sup>
        </m:sSup>
        <m:r>
          <m:rPr>
            <m:sty m:val="p"/>
          </m:rPr>
          <m:t>=</m:t>
        </m:r>
        <m:sSup>
          <m:e>
            <m:acc>
              <m:accPr>
                <m:chr m:val="⃗"/>
              </m:accPr>
              <m:e>
                <m:r>
                  <m:t>p</m:t>
                </m:r>
              </m:e>
            </m:acc>
          </m:e>
          <m:sup>
            <m:r>
              <m:t>0</m:t>
            </m:r>
          </m:sup>
        </m:sSup>
        <m:r>
          <m:rPr>
            <m:sty m:val="p"/>
          </m:rPr>
          <m:t>⋅</m:t>
        </m:r>
        <m:sSup>
          <m:e>
            <m:acc>
              <m:accPr>
                <m:chr m:val="⃗"/>
              </m:accPr>
              <m:e>
                <m:r>
                  <m:t>x</m:t>
                </m:r>
              </m:e>
            </m:acc>
          </m:e>
          <m:sup>
            <m:r>
              <m:t>0</m:t>
            </m:r>
          </m:sup>
        </m:sSup>
      </m:oMath>
      <w:r>
        <w:t xml:space="preserve">, es decir,</w:t>
      </w:r>
      <w:r>
        <w:t xml:space="preserve"> </w:t>
      </w:r>
      <m:oMath>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&gt;</m:t>
        </m:r>
        <m:r>
          <m:t>0</m:t>
        </m:r>
      </m:oMath>
      <w:r>
        <w:t xml:space="preserve">. Por tanto,</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&lt;</m:t>
          </m:r>
          <m:r>
            <m:t>0</m:t>
          </m:r>
          <m:r>
            <m:rPr>
              <m:sty m:val="p"/>
            </m:rPr>
            <m:t>,</m:t>
          </m:r>
        </m:oMath>
      </m:oMathPara>
    </w:p>
    <w:p>
      <w:pPr>
        <w:numPr>
          <w:ilvl w:val="0"/>
          <w:numId w:val="1000"/>
        </w:numPr>
      </w:pPr>
      <w:r>
        <w:t xml:space="preserve">la ecuación (</w:t>
      </w:r>
      <w:hyperlink w:anchor="eq_ley_demanda_compensada">
        <w:r>
          <w:rPr>
            <w:rStyle w:val="Hyperlink"/>
          </w:rPr>
          <w:t xml:space="preserve">28</w:t>
        </w:r>
      </w:hyperlink>
      <w:r>
        <w:t xml:space="preserve">), con desigualdad estricta cuando la cesta elegida cambia. ∎</w:t>
      </w:r>
    </w:p>
    <w:p>
      <w:pPr>
        <w:numPr>
          <w:ilvl w:val="0"/>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85"/>
    <w:bookmarkStart w:id="286" w:name="der_cobb_douglas"/>
    <w:p>
      <w:pPr>
        <w:pStyle w:val="Heading2"/>
      </w:pPr>
      <w:r>
        <w:t xml:space="preserve">B.8. Demandas de la</w:t>
      </w:r>
      <w:r>
        <w:t xml:space="preserve"> </w:t>
      </w:r>
      <w:r>
        <w:rPr>
          <w:smallCaps/>
        </w:rPr>
        <w:t xml:space="preserve">Cobb</w:t>
      </w:r>
      <w:r>
        <w:t xml:space="preserve">-</w:t>
      </w:r>
      <w:r>
        <w:rPr>
          <w:smallCaps/>
        </w:rPr>
        <w:t xml:space="preserve">Douglas</w:t>
      </w:r>
    </w:p>
    <w:p>
      <w:pPr>
        <w:numPr>
          <w:ilvl w:val="0"/>
          <w:numId w:val="1155"/>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w:t>
      </w:r>
      <w:hyperlink w:anchor="eq_tangencia">
        <w:r>
          <w:rPr>
            <w:rStyle w:val="Hyperlink"/>
          </w:rPr>
          <w:t xml:space="preserve">13</w:t>
        </w:r>
      </w:hyperlink>
      <w:r>
        <w:t xml:space="preserve">) es</w:t>
      </w:r>
    </w:p>
    <w:p>
      <w:pPr>
        <w:pStyle w:val="BodyText"/>
        <w:keepNext/>
      </w:pPr>
      <m:oMathPara>
        <m:oMathParaPr>
          <m:jc m:val="center"/>
        </m:oMathParaPr>
        <m:oMath>
          <m:sSub>
            <m:e>
              <m:r>
                <m:rPr>
                  <m:sty m:val="p"/>
                </m:rPr>
                <m:t>R</m:t>
              </m:r>
              <m:r>
                <m:rPr>
                  <m:sty m:val="p"/>
                </m:rPr>
                <m:t>M</m:t>
              </m:r>
              <m:r>
                <m:rPr>
                  <m:sty m:val="p"/>
                </m:rP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55"/>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w:t>
      </w:r>
      <w:hyperlink w:anchor="eq_demandas_cobb_douglas">
        <w:r>
          <w:rPr>
            <w:rStyle w:val="Hyperlink"/>
          </w:rPr>
          <w:t xml:space="preserve">33</w:t>
        </w:r>
      </w:hyperlink>
      <w:r>
        <w:t xml:space="preserve">):</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 ∎</w:t>
      </w:r>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86"/>
    <w:bookmarkStart w:id="287" w:name="der_ces"/>
    <w:p>
      <w:pPr>
        <w:pStyle w:val="Heading2"/>
      </w:pPr>
      <w:r>
        <w:t xml:space="preserve">B.9. La</w:t>
      </w:r>
      <w:r>
        <w:t xml:space="preserve"> </w:t>
      </w:r>
      <w:r>
        <w:rPr>
          <w:smallCaps/>
        </w:rPr>
        <w:t xml:space="preserve">Cobb</w:t>
      </w:r>
      <w:r>
        <w:t xml:space="preserve">-</w:t>
      </w:r>
      <w:r>
        <w:rPr>
          <w:smallCaps/>
        </w:rPr>
        <w:t xml:space="preserve">Douglas</w:t>
      </w:r>
      <w:r>
        <w:t xml:space="preserve"> </w:t>
      </w:r>
      <w:r>
        <w:t xml:space="preserve">como límite de la CES</w:t>
      </w:r>
    </w:p>
    <w:p>
      <w:pPr>
        <w:numPr>
          <w:ilvl w:val="0"/>
          <w:numId w:val="1156"/>
        </w:numPr>
      </w:pPr>
      <w:r>
        <w:t xml:space="preserve">Con 2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keepN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56"/>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w:t>
      </w:r>
      <w:r>
        <w:t xml:space="preserve"> </w:t>
      </w:r>
      <w:r>
        <w:rPr>
          <w:smallCaps/>
        </w:rPr>
        <w:t xml:space="preserve">Cobb</w:t>
      </w:r>
      <w:r>
        <w:t xml:space="preserve">-</w:t>
      </w:r>
      <w:r>
        <w:rPr>
          <w:smallCaps/>
        </w:rPr>
        <w:t xml:space="preserve">Douglas</w:t>
      </w:r>
      <w:r>
        <w:t xml:space="preserve"> </w:t>
      </w:r>
      <w:r>
        <w:t xml:space="preserve">con</w:t>
      </w:r>
      <w:r>
        <w:t xml:space="preserve"> </w:t>
      </w:r>
      <m:oMath>
        <m:r>
          <m:t>α</m:t>
        </m:r>
        <m:r>
          <m:rPr>
            <m:sty m:val="p"/>
          </m:rPr>
          <m:t>=</m:t>
        </m:r>
        <m:sSub>
          <m:e>
            <m:r>
              <m:t>a</m:t>
            </m:r>
          </m:e>
          <m:sub>
            <m:r>
              <m:t>1</m:t>
            </m:r>
          </m:sub>
        </m:sSub>
      </m:oMath>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w:t>
      </w:r>
    </w:p>
    <w:p>
      <w:pPr>
        <w:numPr>
          <w:ilvl w:val="0"/>
          <w:numId w:val="1000"/>
        </w:numPr>
      </w:pPr>
      <w:r>
        <w:t xml:space="preserve">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87"/>
    <w:bookmarkEnd w:id="288"/>
    <w:bookmarkStart w:id="298" w:name="anexo_formas"/>
    <w:p>
      <w:pPr>
        <w:pStyle w:val="Heading1"/>
      </w:pPr>
      <w:r>
        <w:t xml:space="preserve">C. Anexo: formas comunes de la función de utilidad</w:t>
      </w:r>
    </w:p>
    <w:p>
      <w:pPr>
        <w:keepNext/>
        <w:numPr>
          <w:ilvl w:val="0"/>
          <w:numId w:val="1157"/>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apartado </w:t>
      </w:r>
      <w:hyperlink w:anchor="sec_solucion_problema_maximizacion">
        <w:r>
          <w:rPr>
            <w:rStyle w:val="Hyperlink"/>
          </w:rPr>
          <w:t xml:space="preserve">I.3</w:t>
        </w:r>
      </w:hyperlink>
      <w:r>
        <w:t xml:space="preserve">): curvas de</w:t>
      </w:r>
      <w:r>
        <w:t xml:space="preserve"> </w:t>
      </w:r>
      <w:r>
        <w:rPr>
          <w:smallCaps/>
        </w:rPr>
        <w:t xml:space="preserve">Engel</w:t>
      </w:r>
      <w:r>
        <w:t xml:space="preserve"> </w:t>
      </w:r>
      <w:r>
        <w:t xml:space="preserve">rectas. Incluye:</w:t>
      </w:r>
    </w:p>
    <w:p>
      <w:pPr>
        <w:numPr>
          <w:ilvl w:val="1"/>
          <w:numId w:val="1158"/>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2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keepNext/>
        <w:numPr>
          <w:ilvl w:val="1"/>
          <w:numId w:val="1158"/>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acc>
                  <m:accPr>
                    <m:chr m:val="⃗"/>
                  </m:accPr>
                  <m:e>
                    <m:r>
                      <m:t>x</m:t>
                    </m:r>
                  </m:e>
                </m:acc>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w:t>
      </w:r>
      <w:hyperlink w:anchor="eq_ces">
        <w:r>
          <w:rPr>
            <w:rStyle w:val="Hyperlink"/>
          </w:rPr>
          <w:t xml:space="preserve">6</w:t>
        </w:r>
      </w:hyperlink>
      <w:r>
        <w:t xml:space="preserve">):</w:t>
      </w:r>
    </w:p>
    <w:p>
      <w:pPr>
        <w:numPr>
          <w:ilvl w:val="2"/>
          <w:numId w:val="1159"/>
        </w:numPr>
      </w:pPr>
      <m:oMath>
        <m:r>
          <m:t>σ</m:t>
        </m:r>
        <m:r>
          <m:rPr>
            <m:sty m:val="p"/>
          </m:rPr>
          <m:t>→</m:t>
        </m:r>
        <m:r>
          <m:t>0</m:t>
        </m:r>
      </m:oMath>
      <w:r>
        <w:t xml:space="preserve">:</w:t>
      </w:r>
      <w:r>
        <w:t xml:space="preserve"> </w:t>
      </w:r>
      <w:r>
        <w:rPr>
          <w:i/>
          <w:iCs/>
          <w:smallCap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59"/>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keepNext/>
        <w:numPr>
          <w:ilvl w:val="2"/>
          <w:numId w:val="1159"/>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89"/>
      </w:r>
      <w:r>
        <w:t xml:space="preserve"> </w:t>
      </w:r>
      <w:r>
        <w:t xml:space="preserve">Sus propiedades:</w:t>
      </w:r>
    </w:p>
    <w:p>
      <w:pPr>
        <w:numPr>
          <w:ilvl w:val="3"/>
          <w:numId w:val="1160"/>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60"/>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60"/>
        </w:numPr>
      </w:pPr>
      <w:r>
        <w:t xml:space="preserve">su elasticidad de sustitución es constante e igual a uno;</w:t>
      </w:r>
    </w:p>
    <w:p>
      <w:pPr>
        <w:numPr>
          <w:ilvl w:val="3"/>
          <w:numId w:val="1160"/>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r>
        <w:t xml:space="preserve"> </w:t>
      </w:r>
      <w:bookmarkStart w:id="290" w:name="eq_demandas_cobb_douglas"/>
      <w:bookmarkEnd w:id="290"/>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w:t>
      </w:r>
      <w:hyperlink w:anchor="der_cobb_douglas">
        <w:r>
          <w:rPr>
            <w:rStyle w:val="Hyperlink"/>
          </w:rPr>
          <w:t xml:space="preserve">B.8</w:t>
        </w:r>
      </w:hyperlink>
      <w:r>
        <w:t xml:space="preserve">);</w:t>
      </w:r>
    </w:p>
    <w:p>
      <w:pPr>
        <w:numPr>
          <w:ilvl w:val="3"/>
          <w:numId w:val="1160"/>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58"/>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w:t>
      </w:r>
      <w:r>
        <w:t xml:space="preserve"> </w:t>
      </w:r>
      <w:r>
        <w:rPr>
          <w:smallCaps/>
        </w:rPr>
        <w:t xml:space="preserve">Cobb</w:t>
      </w:r>
      <w:r>
        <w:t xml:space="preserve">-</w:t>
      </w:r>
      <w:r>
        <w:rPr>
          <w:smallCaps/>
        </w:rPr>
        <w:t xml:space="preserve">Douglas</w:t>
      </w:r>
      <w:r>
        <w:t xml:space="preserve">.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 </w:t>
      </w:r>
      <w:r>
        <w:t xml:space="preserve">(anexo </w:t>
      </w:r>
      <w:hyperlink w:anchor="anexo_sistemas">
        <w:r>
          <w:rPr>
            <w:rStyle w:val="Hyperlink"/>
          </w:rPr>
          <w:t xml:space="preserve">D</w:t>
        </w:r>
      </w:hyperlink>
      <w:r>
        <w:t xml:space="preserve">).</w:t>
      </w:r>
    </w:p>
    <w:p>
      <w:pPr>
        <w:numPr>
          <w:ilvl w:val="0"/>
          <w:numId w:val="1157"/>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 </w:t>
      </w:r>
      <w:r>
        <w:t xml:space="preserve">es una aproximación de segundo orden en logaritmos;</w:t>
      </w:r>
      <w:r>
        <w:rPr>
          <w:rStyle w:val="FootnoteReference"/>
        </w:rPr>
        <w:footnoteReference w:id="291"/>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w:t>
      </w:r>
      <w:r>
        <w:t xml:space="preserve">parte de preferencias PIGLOG. Su uso empírico se resume en el anexo </w:t>
      </w:r>
      <w:hyperlink w:anchor="anexo_sistemas">
        <w:r>
          <w:rPr>
            <w:rStyle w:val="Hyperlink"/>
          </w:rPr>
          <w:t xml:space="preserve">D</w:t>
        </w:r>
      </w:hyperlink>
      <w:r>
        <w:t xml:space="preserve"> </w:t>
      </w:r>
      <w:hyperlink r:id="rId30">
        <w:r>
          <w:rPr>
            <w:rStyle w:val="Referenciaatema"/>
          </w:rPr>
          <w:t xml:space="preserve">[ver tema 3.A.9]</w:t>
        </w:r>
      </w:hyperlink>
      <w:r>
        <w:t xml:space="preserve">.</w:t>
      </w:r>
    </w:p>
    <w:p>
      <w:pPr>
        <w:numPr>
          <w:ilvl w:val="0"/>
          <w:numId w:val="1157"/>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r>
        <w:t xml:space="preserve"> </w:t>
      </w:r>
      <w:bookmarkStart w:id="292" w:name="eq_crra"/>
      <w:bookmarkEnd w:id="292"/>
    </w:p>
    <w:p>
      <w:pPr>
        <w:pStyle w:val="BodyText"/>
        <w:keepN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r>
        <w:rPr>
          <w:rStyle w:val="FootnoteReference"/>
        </w:rPr>
        <w:footnoteReference w:id="293"/>
      </w:r>
    </w:p>
    <w:p>
      <w:pPr>
        <w:keepNext/>
        <w:numPr>
          <w:ilvl w:val="0"/>
          <w:numId w:val="1157"/>
        </w:numPr>
      </w:pPr>
      <w:r>
        <w:rPr>
          <w:b/>
          <w:bCs/>
        </w:rPr>
        <w:t xml:space="preserve">Preferencias entre consumo y trabajo en macroeconomía</w:t>
      </w:r>
      <w:r>
        <w:t xml:space="preserve"> </w:t>
      </w:r>
      <w:r>
        <w:t xml:space="preserve">(para el test)</w:t>
      </w:r>
      <w:r>
        <w:t xml:space="preserve"> </w:t>
      </w:r>
      <w:hyperlink r:id="rId38">
        <w:r>
          <w:rPr>
            <w:rStyle w:val="Referenciaatema"/>
          </w:rPr>
          <w:t xml:space="preserve">[ver tema 3.A.29]</w:t>
        </w:r>
      </w:hyperlink>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61"/>
        </w:numPr>
      </w:pPr>
      <w:r>
        <w:t xml:space="preserve">Preferencias</w:t>
      </w:r>
      <w:r>
        <w:t xml:space="preserve"> </w:t>
      </w:r>
      <w:r>
        <w:rPr>
          <w:i/>
          <w:iCs/>
        </w:rPr>
        <w:t xml:space="preserve">KPR</w:t>
      </w:r>
      <w:r>
        <w:t xml:space="preserv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1988Production">
        <w:r>
          <w:rPr>
            <w:rStyle w:val="Hyperlink"/>
          </w:rPr>
          <w:t xml:space="preserve">1988</w:t>
        </w:r>
      </w:hyperlink>
      <w:r>
        <w:t xml:space="preserve">)</w:t>
      </w:r>
      <w:r>
        <w:t xml:space="preserve"> </w:t>
      </w:r>
      <w:r>
        <w:t xml:space="preserve">(con el apéndice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2002Appendix">
        <w:r>
          <w:rPr>
            <w:rStyle w:val="Hyperlink"/>
          </w:rPr>
          <w:t xml:space="preserve">2002</w:t>
        </w:r>
      </w:hyperlink>
      <w:r>
        <w:t xml:space="preserve">)</w:t>
      </w:r>
      <w:r>
        <w:t xml:space="preserve">):</w:t>
      </w:r>
      <w:r>
        <w:t xml:space="preserve"> </w:t>
      </w:r>
      <w:bookmarkStart w:id="294" w:name="eq_kpr"/>
      <w:bookmarkEnd w:id="294"/>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61"/>
        </w:numPr>
      </w:pPr>
      <w:r>
        <w:t xml:space="preserve">Preferencias</w:t>
      </w:r>
      <w:r>
        <w:t xml:space="preserve"> </w:t>
      </w:r>
      <w:r>
        <w:rPr>
          <w:i/>
          <w:iCs/>
        </w:rPr>
        <w:t xml:space="preserve">GHH</w:t>
      </w:r>
      <w:r>
        <w:t xml:space="preserve">, de</w:t>
      </w:r>
      <w:r>
        <w:t xml:space="preserve"> </w:t>
      </w:r>
      <w:r>
        <w:rPr>
          <w:smallCaps/>
        </w:rPr>
        <w:t xml:space="preserve">Greenwood</w:t>
      </w:r>
      <w:r>
        <w:t xml:space="preserve">,</w:t>
      </w:r>
      <w:r>
        <w:t xml:space="preserve"> </w:t>
      </w:r>
      <w:r>
        <w:rPr>
          <w:smallCaps/>
        </w:rPr>
        <w:t xml:space="preserve">Hercowitz</w:t>
      </w:r>
      <w:r>
        <w:t xml:space="preserve"> </w:t>
      </w:r>
      <w:r>
        <w:t xml:space="preserve">y</w:t>
      </w:r>
      <w:r>
        <w:t xml:space="preserve"> </w:t>
      </w:r>
      <w:r>
        <w:rPr>
          <w:smallCaps/>
        </w:rPr>
        <w:t xml:space="preserve">Huffman</w:t>
      </w:r>
      <w:r>
        <w:t xml:space="preserve"> </w:t>
      </w:r>
      <w:r>
        <w:t xml:space="preserve">(</w:t>
      </w:r>
      <w:hyperlink w:anchor="ref_GreenwoodHercowitzHuffman1988">
        <w:r>
          <w:rPr>
            <w:rStyle w:val="Hyperlink"/>
          </w:rPr>
          <w:t xml:space="preserve">1988</w:t>
        </w:r>
      </w:hyperlink>
      <w:r>
        <w:t xml:space="preserve">)</w:t>
      </w:r>
      <w:r>
        <w:t xml:space="preserve">:</w:t>
      </w:r>
      <w:r>
        <w:t xml:space="preserve"> </w:t>
      </w:r>
      <w:bookmarkStart w:id="295" w:name="eq_ghh"/>
      <w:bookmarkEnd w:id="295"/>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61"/>
        </w:numPr>
      </w:pPr>
      <w:r>
        <w:t xml:space="preserve">Preferencias</w:t>
      </w:r>
      <w:r>
        <w:t xml:space="preserve"> </w:t>
      </w:r>
      <w:r>
        <w:rPr>
          <w:i/>
          <w:iCs/>
        </w:rPr>
        <w:t xml:space="preserve">JR</w:t>
      </w:r>
      <w:r>
        <w:t xml:space="preserve">, de</w:t>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w:t>
      </w:r>
      <w:r>
        <w:t xml:space="preserve"> </w:t>
      </w:r>
      <w:bookmarkStart w:id="296" w:name="eq_jr"/>
      <w:bookmarkEnd w:id="296"/>
    </w:p>
    <w:p>
      <w:pPr>
        <w:pStyle w:val="BodyText"/>
        <w:keepN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97"/>
      </w:r>
    </w:p>
    <w:bookmarkEnd w:id="298"/>
    <w:bookmarkStart w:id="303" w:name="anexo_sistemas"/>
    <w:p>
      <w:pPr>
        <w:pStyle w:val="Heading1"/>
      </w:pPr>
      <w:r>
        <w:t xml:space="preserve">D. Anexo: estimación de sistemas completos de ecuaciones de demanda</w:t>
      </w:r>
    </w:p>
    <w:p>
      <w:pPr>
        <w:pStyle w:val="Notaalopositor"/>
        <w:keepLines/>
      </w:pPr>
      <w:r>
        <w:rPr>
          <w:b/>
          <w:bCs/>
        </w:rPr>
        <w:t xml:space="preserve">Nota al opositor. </w:t>
      </w:r>
      <w:r>
        <w:t xml:space="preserve">Este anexo no se canta: es una aplicación empírica de la teoría de la demanda</w:t>
      </w:r>
      <w:r>
        <w:t xml:space="preserve"> </w:t>
      </w:r>
      <w:hyperlink r:id="rId30">
        <w:r>
          <w:rPr>
            <w:rStyle w:val="Referenciaatema"/>
          </w:rPr>
          <w:t xml:space="preserve">[ver tema 3.A.9]</w:t>
        </w:r>
      </w:hyperlink>
      <w:r>
        <w:t xml:space="preserve">, cuyo título incluye los «sistemas de demanda utilizados en estudios empíricos». Aquí basta conocer los pasos y las formas funcionales principales.</w:t>
      </w:r>
    </w:p>
    <w:bookmarkStart w:id="299" w:name="a_idea_3"/>
    <w:p>
      <w:pPr>
        <w:pStyle w:val="Heading4"/>
      </w:pPr>
      <w:r>
        <w:t xml:space="preserve">a) Idea</w:t>
      </w:r>
    </w:p>
    <w:p>
      <w:pPr>
        <w:keepNext/>
        <w:numPr>
          <w:ilvl w:val="0"/>
          <w:numId w:val="1162"/>
        </w:numPr>
      </w:pPr>
      <w:r>
        <w:t xml:space="preserve">Estimar a la vez las demandas de todos los bienes (o grupos de bienes) con una forma funcional que se derive de un problema de maximización de la utilidad. Permite</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 caps. 1 y 3;</w:t>
      </w:r>
      <w:r>
        <w:t xml:space="preserve"> </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w:t>
        </w:r>
      </w:hyperlink>
      <w:r>
        <w:t xml:space="preserve">)</w:t>
      </w:r>
      <w:r>
        <w:t xml:space="preserve">:</w:t>
      </w:r>
    </w:p>
    <w:p>
      <w:pPr>
        <w:numPr>
          <w:ilvl w:val="1"/>
          <w:numId w:val="1163"/>
        </w:numPr>
      </w:pPr>
      <w:r>
        <w:t xml:space="preserve">estudiar las pautas de consumo;</w:t>
      </w:r>
    </w:p>
    <w:p>
      <w:pPr>
        <w:numPr>
          <w:ilvl w:val="1"/>
          <w:numId w:val="1163"/>
        </w:numPr>
      </w:pPr>
      <w:r>
        <w:t xml:space="preserve">obtener las elasticidades-renta y precio, propias y cruzadas, que necesitan, por ejemplo, el diseño de la imposición indirecta o los índices de precios;</w:t>
      </w:r>
    </w:p>
    <w:p>
      <w:pPr>
        <w:numPr>
          <w:ilvl w:val="1"/>
          <w:numId w:val="1163"/>
        </w:numPr>
      </w:pPr>
      <w:r>
        <w:t xml:space="preserve">y contrastar las restricciones de la teoría.</w:t>
      </w:r>
    </w:p>
    <w:bookmarkEnd w:id="299"/>
    <w:bookmarkStart w:id="302" w:name="b_modelo_los_pasos_que_sigue_la_li_28866"/>
    <w:p>
      <w:pPr>
        <w:pStyle w:val="Heading4"/>
      </w:pPr>
      <w:r>
        <w:t xml:space="preserve">b) Modelo: los pasos que sigue la literatura</w:t>
      </w:r>
    </w:p>
    <w:p>
      <w:pPr>
        <w:keepNext/>
        <w:numPr>
          <w:ilvl w:val="0"/>
          <w:numId w:val="1164"/>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1"/>
          <w:numId w:val="1165"/>
        </w:numPr>
      </w:pPr>
      <w:r>
        <w:rPr>
          <w:b/>
          <w:bCs/>
          <w:smallCaps/>
        </w:rPr>
        <w:t xml:space="preserve">Cobb</w:t>
      </w:r>
      <w:r>
        <w:rPr>
          <w:b/>
          <w:bCs/>
        </w:rPr>
        <w:t xml:space="preserve">-</w:t>
      </w:r>
      <w:r>
        <w:rPr>
          <w:b/>
          <w:bCs/>
          <w:smallCaps/>
        </w:rPr>
        <w:t xml:space="preserve">Douglas</w:t>
      </w:r>
      <w:r>
        <w:t xml:space="preserve">, en logaritmos,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w:t>
      </w:r>
      <w:hyperlink w:anchor="der_cobb_douglas">
        <w:r>
          <w:rPr>
            <w:rStyle w:val="Hyperlink"/>
          </w:rPr>
          <w:t xml:space="preserve">B.8</w:t>
        </w:r>
      </w:hyperlink>
      <w:r>
        <w:t xml:space="preserve">). No recoge, por ejemplo, la ley de</w:t>
      </w:r>
      <w:r>
        <w:t xml:space="preserve"> </w:t>
      </w:r>
      <w:r>
        <w:rPr>
          <w:smallCaps/>
        </w:rPr>
        <w:t xml:space="preserve">Engel</w:t>
      </w:r>
      <w:r>
        <w:t xml:space="preserve">.</w:t>
      </w:r>
    </w:p>
    <w:p>
      <w:pPr>
        <w:numPr>
          <w:ilvl w:val="1"/>
          <w:numId w:val="1165"/>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BodyText"/>
        <w:keepN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netos, y con preferencias aditivas las elasticidades-precio quedan prácticamente ligadas a las elasticidades-renta, algo que los datos rechazan</w:t>
      </w:r>
      <w:r>
        <w:t xml:space="preserve"> </w:t>
      </w:r>
      <w:r>
        <w:t xml:space="preserve">(</w:t>
      </w:r>
      <w:hyperlink w:anchor="ref_Deaton1974Analysis">
        <w:r>
          <w:rPr>
            <w:rStyle w:val="Hyperlink"/>
            <w:smallCaps/>
          </w:rPr>
          <w:t xml:space="preserve">Deaton</w:t>
        </w:r>
        <w:r>
          <w:rPr>
            <w:rStyle w:val="Hyperlink"/>
          </w:rPr>
          <w:t xml:space="preserve">, 1974</w:t>
        </w:r>
      </w:hyperlink>
      <w:r>
        <w:t xml:space="preserve">)</w:t>
      </w:r>
      <w:r>
        <w:t xml:space="preserve">.</w:t>
      </w:r>
    </w:p>
    <w:p>
      <w:pPr>
        <w:numPr>
          <w:ilvl w:val="1"/>
          <w:numId w:val="1165"/>
        </w:numPr>
      </w:pPr>
      <w:r>
        <w:rPr>
          <w:b/>
          <w:bCs/>
        </w:rPr>
        <w:t xml:space="preserve">Modelo de Rotterdam</w:t>
      </w:r>
      <w:r>
        <w:t xml:space="preserve"> </w:t>
      </w:r>
      <w:r>
        <w:t xml:space="preserve">(</w:t>
      </w:r>
      <w:hyperlink w:anchor="ref_Theil1965Information">
        <w:r>
          <w:rPr>
            <w:rStyle w:val="Hyperlink"/>
            <w:smallCaps/>
          </w:rPr>
          <w:t xml:space="preserve">Theil</w:t>
        </w:r>
        <w:r>
          <w:rPr>
            <w:rStyle w:val="Hyperlink"/>
          </w:rPr>
          <w:t xml:space="preserve">, 1965</w:t>
        </w:r>
      </w:hyperlink>
      <w:r>
        <w:t xml:space="preserve">;</w:t>
      </w:r>
      <w:r>
        <w:t xml:space="preserve"> </w:t>
      </w:r>
      <w:hyperlink w:anchor="ref_Barten1967Slutsky">
        <w:r>
          <w:rPr>
            <w:rStyle w:val="Hyperlink"/>
            <w:smallCaps/>
          </w:rPr>
          <w:t xml:space="preserve">Barten</w:t>
        </w:r>
        <w:r>
          <w:rPr>
            <w:rStyle w:val="Hyperlink"/>
          </w:rPr>
          <w:t xml:space="preserve">, 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w:t>
      </w:r>
      <w:r>
        <w:t xml:space="preserve">contrastó la homogeneidad y la simetría con datos de los Países Bajos.</w:t>
      </w:r>
    </w:p>
    <w:p>
      <w:pPr>
        <w:numPr>
          <w:ilvl w:val="1"/>
          <w:numId w:val="1165"/>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1"/>
          <w:numId w:val="1165"/>
        </w:numPr>
      </w:pPr>
      <w:r>
        <w:rPr>
          <w:b/>
          <w:bCs/>
        </w:rPr>
        <w:t xml:space="preserve">Sistema casi ideal de demanda</w:t>
      </w:r>
      <w:r>
        <w:t xml:space="preserve"> </w:t>
      </w:r>
      <w:r>
        <w:t xml:space="preserve">(AIDS)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1"/>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_Muellbauer1975Aggregation">
        <w:r>
          <w:rPr>
            <w:rStyle w:val="Hyperlink"/>
            <w:smallCaps/>
          </w:rPr>
          <w:t xml:space="preserve">Muellbauer</w:t>
        </w:r>
        <w:r>
          <w:rPr>
            <w:rStyle w:val="Hyperlink"/>
          </w:rPr>
          <w:t xml:space="preserve">, 1975</w:t>
        </w:r>
      </w:hyperlink>
      <w:r>
        <w:t xml:space="preserve">,</w:t>
      </w:r>
      <w:r>
        <w:t xml:space="preserve"> </w:t>
      </w:r>
      <w:hyperlink w:anchor="ref_Muellbauer1976Community">
        <w:r>
          <w:rPr>
            <w:rStyle w:val="Hyperlink"/>
          </w:rPr>
          <w:t xml:space="preserve">1976</w:t>
        </w:r>
      </w:hyperlink>
      <w:r>
        <w:t xml:space="preserve">)</w:t>
      </w:r>
      <w:r>
        <w:t xml:space="preserve"> </w:t>
      </w:r>
      <w:r>
        <w:t xml:space="preserve">(apartado </w:t>
      </w:r>
      <w:hyperlink w:anchor="sec_solucion_problema_maximizacion">
        <w:r>
          <w:rPr>
            <w:rStyle w:val="Hyperlink"/>
          </w:rPr>
          <w:t xml:space="preserve">I.3</w:t>
        </w:r>
      </w:hyperlink>
      <w:r>
        <w:t xml:space="preserve">).</w:t>
      </w:r>
      <w:r>
        <w:rPr>
          <w:rStyle w:val="FootnoteReference"/>
        </w:rPr>
        <w:footnoteReference w:id="300"/>
      </w:r>
    </w:p>
    <w:p>
      <w:pPr>
        <w:numPr>
          <w:ilvl w:val="0"/>
          <w:numId w:val="1164"/>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2 etapas: primero se reparte el gasto entre grupos y luego, dentro de cada grupo</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5</w:t>
        </w:r>
      </w:hyperlink>
      <w:r>
        <w:t xml:space="preserve">)</w:t>
      </w:r>
      <w:r>
        <w:t xml:space="preserve">.</w:t>
      </w:r>
    </w:p>
    <w:p>
      <w:pPr>
        <w:numPr>
          <w:ilvl w:val="0"/>
          <w:numId w:val="1164"/>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2 años seguidos, lo que da un panel corto; sustituyó a la Encuesta Continua de Presupuestos Familiares</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0"/>
          <w:numId w:val="1164"/>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numPr>
          <w:ilvl w:val="0"/>
          <w:numId w:val="1164"/>
        </w:numPr>
      </w:pPr>
      <w:r>
        <w:rPr>
          <w:i/>
          <w:iCs/>
        </w:rPr>
        <w:t xml:space="preserve">Resultados</w:t>
      </w:r>
      <w:r>
        <w:t xml:space="preserve">. Se obtienen las elasticidades</w:t>
      </w:r>
      <w:r>
        <w:rPr>
          <w:rStyle w:val="FootnoteReference"/>
        </w:rPr>
        <w:footnoteReference w:id="301"/>
      </w:r>
      <w:r>
        <w:t xml:space="preserve"> </w:t>
      </w:r>
      <w:r>
        <w:t xml:space="preserve">y se contrastan las restricciones que la forma funcional no impone (homogeneidad, simetría, negatividad), es decir, la integrabilidad de la demanda</w:t>
      </w:r>
      <w:r>
        <w:t xml:space="preserve"> </w:t>
      </w:r>
      <w:hyperlink r:id="rId30">
        <w:r>
          <w:rPr>
            <w:rStyle w:val="Referenciaatema"/>
          </w:rPr>
          <w:t xml:space="preserve">[ver tema 3.A.9]</w:t>
        </w:r>
      </w:hyperlink>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_Barten1967Slutsky">
        <w:r>
          <w:rPr>
            <w:rStyle w:val="Hyperlink"/>
            <w:smallCaps/>
          </w:rPr>
          <w:t xml:space="preserve">Barten</w:t>
        </w:r>
        <w:r>
          <w:rPr>
            <w:rStyle w:val="Hyperlink"/>
          </w:rPr>
          <w:t xml:space="preserve">, 1967</w:t>
        </w:r>
      </w:hyperlink>
      <w:r>
        <w:t xml:space="preserve">;</w:t>
      </w:r>
      <w:r>
        <w:t xml:space="preserve"> </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bookmarkEnd w:id="302"/>
    <w:bookmarkEnd w:id="303"/>
    <w:bookmarkStart w:id="317" w:name="anexo_cardinal"/>
    <w:p>
      <w:pPr>
        <w:pStyle w:val="Heading1"/>
      </w:pPr>
      <w:r>
        <w:t xml:space="preserve">E. Anexo: el enfoque cardinal de</w:t>
      </w:r>
      <w:r>
        <w:t xml:space="preserve"> </w:t>
      </w:r>
      <w:r>
        <w:rPr>
          <w:smallCaps/>
        </w:rPr>
        <w:t xml:space="preserve">Marshall</w:t>
      </w:r>
    </w:p>
    <w:p>
      <w:pPr>
        <w:pStyle w:val="Notaalopositor"/>
        <w:keepLines/>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bookmarkStart w:id="304" w:name="a_idea_4"/>
    <w:p>
      <w:pPr>
        <w:pStyle w:val="Heading4"/>
      </w:pPr>
      <w:r>
        <w:t xml:space="preserve">a) Idea</w:t>
      </w:r>
    </w:p>
    <w:p>
      <w:pPr>
        <w:numPr>
          <w:ilvl w:val="0"/>
          <w:numId w:val="1166"/>
        </w:numPr>
      </w:pPr>
      <w:r>
        <w:t xml:space="preserve">El enfoque cardinal, desarrollado por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bookmarkEnd w:id="304"/>
    <w:bookmarkStart w:id="315" w:name="b_modelo_3"/>
    <w:p>
      <w:pPr>
        <w:pStyle w:val="Heading4"/>
      </w:pPr>
      <w:r>
        <w:t xml:space="preserve">b) Modelo</w:t>
      </w:r>
    </w:p>
    <w:bookmarkStart w:id="306" w:name="i_supuestos_3"/>
    <w:p>
      <w:pPr>
        <w:pStyle w:val="Heading5"/>
      </w:pPr>
      <w:r>
        <w:t xml:space="preserve">i) Supuestos</w:t>
      </w:r>
    </w:p>
    <w:p>
      <w:pPr>
        <w:keepNext/>
        <w:numPr>
          <w:ilvl w:val="0"/>
          <w:numId w:val="1167"/>
        </w:numPr>
      </w:pPr>
      <w:r>
        <w:t xml:space="preserve">Sobre la función de utilidad:</w:t>
      </w:r>
    </w:p>
    <w:p>
      <w:pPr>
        <w:numPr>
          <w:ilvl w:val="1"/>
          <w:numId w:val="1168"/>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305"/>
      </w:r>
    </w:p>
    <w:p>
      <w:pPr>
        <w:numPr>
          <w:ilvl w:val="1"/>
          <w:numId w:val="1168"/>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68"/>
        </w:numPr>
      </w:pPr>
      <w:r>
        <w:rPr>
          <w:i/>
          <w:iCs/>
        </w:rPr>
        <w:t xml:space="preserve">creciente</w:t>
      </w:r>
      <w:r>
        <w:t xml:space="preserve"> </w:t>
      </w:r>
      <w:r>
        <w:t xml:space="preserve">en cada bien y en el dinero;</w:t>
      </w:r>
    </w:p>
    <w:p>
      <w:pPr>
        <w:numPr>
          <w:ilvl w:val="1"/>
          <w:numId w:val="1168"/>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68"/>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bookmarkEnd w:id="306"/>
    <w:bookmarkStart w:id="313" w:name="ii_desarrollo_3"/>
    <w:p>
      <w:pPr>
        <w:pStyle w:val="Heading5"/>
      </w:pPr>
      <w:r>
        <w:t xml:space="preserve">ii) Desarrollo</w:t>
      </w:r>
    </w:p>
    <w:p>
      <w:pPr>
        <w:numPr>
          <w:ilvl w:val="0"/>
          <w:numId w:val="1169"/>
        </w:numPr>
      </w:pPr>
      <w:r>
        <w:t xml:space="preserve">Con 2 bienes y una renta</w:t>
      </w:r>
      <w:r>
        <w:t xml:space="preserve"> </w:t>
      </w:r>
      <m:oMath>
        <m:r>
          <m:t>Y</m:t>
        </m:r>
      </m:oMath>
      <w:r>
        <w:t xml:space="preserve">,</w:t>
      </w:r>
      <w:r>
        <w:t xml:space="preserve"> </w:t>
      </w:r>
      <w:bookmarkStart w:id="307" w:name="eq_cardinal"/>
      <w:bookmarkEnd w:id="30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sSub>
                      <m:e>
                        <m:r>
                          <m:t>x</m:t>
                        </m:r>
                      </m:e>
                      <m:sub>
                        <m:r>
                          <m:t>2</m:t>
                        </m:r>
                      </m:sub>
                    </m:sSub>
                    <m:r>
                      <m:rPr>
                        <m:sty m:val="p"/>
                      </m:rPr>
                      <m:t>,</m:t>
                    </m:r>
                    <m:r>
                      <m:t>M</m:t>
                    </m:r>
                  </m:lim>
                </m:limLow>
              </m:e>
              <m:e>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e>
            </m:mr>
            <m:mr>
              <m:e>
                <m:r>
                  <m:rPr>
                    <m:nor/>
                    <m:sty m:val="p"/>
                  </m:rPr>
                  <m:t>s.a.</m:t>
                </m:r>
              </m:e>
              <m:e>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e>
            </m:mr>
          </m:m>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r>
        <w:t xml:space="preserve"> </w:t>
      </w:r>
      <w:bookmarkStart w:id="308" w:name="eq_demanda_cardinal"/>
      <w:bookmarkEnd w:id="308"/>
    </w:p>
    <w:p>
      <w:pPr>
        <w:pStyle w:val="BodyText"/>
        <w:keepN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es decir, el consumidor compra cada bien hasta que su utilidad marginal, medida en dinero, iguala su precio. La curva de demanda es la curva de utilidad marginal (gráfico </w:t>
      </w:r>
      <w:hyperlink w:anchor="fig_demanda_cardinal">
        <w:r>
          <w:rPr>
            <w:rStyle w:val="Hyperlink"/>
          </w:rPr>
          <w:t xml:space="preserve">23</w:t>
        </w:r>
      </w:hyperlink>
      <w:r>
        <w:t xml:space="preserve">)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312" w:name="fig_demanda_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Gráfico 23.– Función de demanda en el enfoque cardinal: p_i=u_i'(x_i)" title="" id="310" name="Picture"/>
            <a:graphic>
              <a:graphicData uri="http://schemas.openxmlformats.org/drawingml/2006/picture">
                <pic:pic>
                  <pic:nvPicPr>
                    <pic:cNvPr descr="C:\Users\vgutierrez\Documents\src\victorgutierrezmarcos.github.io-revision\oposicion\temario\fuentes\3A08\graficos/demanda-cardinal.png" id="311" name="Picture"/>
                    <pic:cNvPicPr>
                      <a:picLocks noChangeArrowheads="1" noChangeAspect="1"/>
                    </pic:cNvPicPr>
                  </pic:nvPicPr>
                  <pic:blipFill>
                    <a:blip r:embed="rId309"/>
                    <a:stretch>
                      <a:fillRect/>
                    </a:stretch>
                  </pic:blipFill>
                  <pic:spPr bwMode="auto">
                    <a:xfrm>
                      <a:off x="0" y="0"/>
                      <a:ext cx="2960331" cy="2672861"/>
                    </a:xfrm>
                    <a:prstGeom prst="rect">
                      <a:avLst/>
                    </a:prstGeom>
                    <a:noFill/>
                    <a:ln w="9525">
                      <a:noFill/>
                      <a:headEnd/>
                      <a:tailEnd/>
                    </a:ln>
                  </pic:spPr>
                </pic:pic>
              </a:graphicData>
            </a:graphic>
          </wp:inline>
        </w:drawing>
      </w:r>
    </w:p>
    <w:bookmarkEnd w:id="312"/>
    <w:p>
      <w:pPr>
        <w:pStyle w:val="Piedeimagen"/>
      </w:pPr>
      <w:r>
        <w:t xml:space="preserve">Fuente: elaboración propia basada en</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bookmarkEnd w:id="313"/>
    <w:bookmarkStart w:id="314" w:name="iii_implicaciones_3"/>
    <w:p>
      <w:pPr>
        <w:pStyle w:val="Heading5"/>
      </w:pPr>
      <w:r>
        <w:t xml:space="preserve">iii) Implicaciones</w:t>
      </w:r>
    </w:p>
    <w:p>
      <w:pPr>
        <w:numPr>
          <w:ilvl w:val="0"/>
          <w:numId w:val="1170"/>
        </w:numPr>
      </w:pPr>
      <w:r>
        <w:t xml:space="preserve">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w:t>
      </w:r>
      <w:hyperlink w:anchor="sec_solucion_problema_maximizacion">
        <w:r>
          <w:rPr>
            <w:rStyle w:val="Hyperlink"/>
          </w:rPr>
          <w:t xml:space="preserve">I.3</w:t>
        </w:r>
      </w:hyperlink>
      <w:r>
        <w:t xml:space="preserve">): por eso el excedente del consumidor es en él una medida exacta del bienestar.</w:t>
      </w:r>
    </w:p>
    <w:bookmarkEnd w:id="314"/>
    <w:bookmarkEnd w:id="315"/>
    <w:bookmarkStart w:id="316" w:name="c_valoraci__n"/>
    <w:p>
      <w:pPr>
        <w:pStyle w:val="Heading4"/>
      </w:pPr>
      <w:r>
        <w:t xml:space="preserve">c) Valoración</w:t>
      </w:r>
    </w:p>
    <w:p>
      <w:pPr>
        <w:numPr>
          <w:ilvl w:val="0"/>
          <w:numId w:val="1171"/>
        </w:numPr>
      </w:pPr>
      <w:r>
        <w:t xml:space="preserve">la utilidad cardinal exige más información de la necesaria: para derivar la demanda basta con ordenar las cestas;</w:t>
      </w:r>
    </w:p>
    <w:p>
      <w:pPr>
        <w:numPr>
          <w:ilvl w:val="0"/>
          <w:numId w:val="1171"/>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0"/>
          <w:numId w:val="1171"/>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keepLi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316"/>
    <w:bookmarkEnd w:id="317"/>
    <w:bookmarkStart w:id="332" w:name="anexo_lancaster"/>
    <w:p>
      <w:pPr>
        <w:pStyle w:val="Heading1"/>
      </w:pPr>
      <w:r>
        <w:t xml:space="preserve">F. Anexo: la teoría de la demanda de características de</w:t>
      </w:r>
      <w:r>
        <w:t xml:space="preserve"> </w:t>
      </w:r>
      <w:r>
        <w:rPr>
          <w:smallCaps/>
        </w:rPr>
        <w:t xml:space="preserve">Lancaster</w:t>
      </w:r>
    </w:p>
    <w:p>
      <w:pPr>
        <w:pStyle w:val="Notaalopositor"/>
        <w:keepLines/>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w:t>
      </w:r>
      <w:hyperlink w:anchor="sec_produccion_domestica">
        <w:r>
          <w:rPr>
            <w:rStyle w:val="Hyperlink"/>
          </w:rPr>
          <w:t xml:space="preserve">III.2</w:t>
        </w:r>
      </w:hyperlink>
      <w:r>
        <w:t xml:space="preserve">) y como fundamento de los precios hedónicos (</w:t>
      </w:r>
      <w:hyperlink w:anchor="sec_precios_hedonicos">
        <w:r>
          <w:rPr>
            <w:rStyle w:val="Hyperlink"/>
          </w:rPr>
          <w:t xml:space="preserve">III.3</w:t>
        </w:r>
      </w:hyperlink>
      <w:r>
        <w:t xml:space="preserve">). Su papel en la diferenciación de productos, en</w:t>
      </w:r>
      <w:r>
        <w:t xml:space="preserve"> </w:t>
      </w:r>
      <w:hyperlink r:id="rId241">
        <w:r>
          <w:rPr>
            <w:rStyle w:val="Referenciaatema"/>
          </w:rPr>
          <w:t xml:space="preserve">[ver tema 3.A.18]</w:t>
        </w:r>
      </w:hyperlink>
      <w:r>
        <w:t xml:space="preserve">.</w:t>
      </w:r>
    </w:p>
    <w:bookmarkStart w:id="318" w:name="a_idea_5"/>
    <w:p>
      <w:pPr>
        <w:pStyle w:val="Heading4"/>
      </w:pPr>
      <w:r>
        <w:t xml:space="preserve">a) Idea</w:t>
      </w:r>
    </w:p>
    <w:p>
      <w:pPr>
        <w:keepNext/>
        <w:numPr>
          <w:ilvl w:val="0"/>
          <w:numId w:val="1172"/>
        </w:numPr>
      </w:pPr>
      <w:r>
        <w:t xml:space="preserve">La teoría tradicional trata los bienes como homogéneos y distintos entre sí solo por su precio y por la utilidad que dan.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w:t>
      </w:r>
    </w:p>
    <w:p>
      <w:pPr>
        <w:numPr>
          <w:ilvl w:val="1"/>
          <w:numId w:val="1173"/>
        </w:numPr>
      </w:pPr>
      <w:r>
        <w:t xml:space="preserve">la aparición de</w:t>
      </w:r>
      <w:r>
        <w:t xml:space="preserve"> </w:t>
      </w:r>
      <w:r>
        <w:rPr>
          <w:i/>
          <w:iCs/>
        </w:rPr>
        <w:t xml:space="preserve">bienes nuevos</w:t>
      </w:r>
      <w:r>
        <w:t xml:space="preserve"> </w:t>
      </w:r>
      <w:r>
        <w:t xml:space="preserve">(no hay que redefinir las preferencias, basta añadir un vector de características);</w:t>
      </w:r>
    </w:p>
    <w:p>
      <w:pPr>
        <w:numPr>
          <w:ilvl w:val="1"/>
          <w:numId w:val="1173"/>
        </w:numPr>
      </w:pPr>
      <w:r>
        <w:t xml:space="preserve">las diferencias de</w:t>
      </w:r>
      <w:r>
        <w:t xml:space="preserve"> </w:t>
      </w:r>
      <w:r>
        <w:rPr>
          <w:i/>
          <w:iCs/>
        </w:rPr>
        <w:t xml:space="preserve">calidad</w:t>
      </w:r>
      <w:r>
        <w:t xml:space="preserve">;</w:t>
      </w:r>
    </w:p>
    <w:p>
      <w:pPr>
        <w:numPr>
          <w:ilvl w:val="1"/>
          <w:numId w:val="1173"/>
        </w:numPr>
      </w:pPr>
      <w:r>
        <w:t xml:space="preserve">y las relaciones de sustitución entre bienes, que son estrechas cuando comparten características.</w:t>
      </w:r>
    </w:p>
    <w:bookmarkEnd w:id="318"/>
    <w:bookmarkStart w:id="324" w:name="b_modelo_4"/>
    <w:p>
      <w:pPr>
        <w:pStyle w:val="Heading4"/>
      </w:pPr>
      <w:r>
        <w:t xml:space="preserve">b) Modelo</w:t>
      </w:r>
    </w:p>
    <w:bookmarkStart w:id="319" w:name="i_supuestos_4"/>
    <w:p>
      <w:pPr>
        <w:pStyle w:val="Heading5"/>
      </w:pPr>
      <w:r>
        <w:t xml:space="preserve">i) Supuestos</w:t>
      </w:r>
    </w:p>
    <w:p>
      <w:pPr>
        <w:numPr>
          <w:ilvl w:val="0"/>
          <w:numId w:val="1174"/>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0"/>
          <w:numId w:val="1174"/>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0"/>
          <w:numId w:val="1174"/>
        </w:numPr>
      </w:pPr>
      <w:r>
        <w:t xml:space="preserve">la utilidad, ordinal y con las propiedades habituales, depende de las características, no de los bienes.</w:t>
      </w:r>
    </w:p>
    <w:bookmarkEnd w:id="319"/>
    <w:bookmarkStart w:id="321" w:name="ii_desarrollo_4"/>
    <w:p>
      <w:pPr>
        <w:pStyle w:val="Heading5"/>
      </w:pPr>
      <w:r>
        <w:t xml:space="preserve">ii) Desarrollo</w:t>
      </w:r>
    </w:p>
    <w:p>
      <w:pPr>
        <w:numPr>
          <w:ilvl w:val="0"/>
          <w:numId w:val="1175"/>
        </w:numPr>
      </w:pPr>
      <w:r>
        <w:t xml:space="preserve">Con</w:t>
      </w:r>
      <w:r>
        <w:t xml:space="preserve"> </w:t>
      </w:r>
      <m:oMath>
        <m:r>
          <m:t>n</m:t>
        </m:r>
      </m:oMath>
      <w:r>
        <w:t xml:space="preserve"> </w:t>
      </w:r>
      <w:r>
        <w:t xml:space="preserve">bienes y</w:t>
      </w:r>
      <w:r>
        <w:t xml:space="preserve"> </w:t>
      </w:r>
      <m:oMath>
        <m:r>
          <m:t>k</m:t>
        </m:r>
      </m:oMath>
      <w:r>
        <w:t xml:space="preserve"> </w:t>
      </w:r>
      <w:r>
        <w:t xml:space="preserve">características,</w:t>
      </w:r>
      <w:r>
        <w:t xml:space="preserve"> </w:t>
      </w:r>
      <w:bookmarkStart w:id="320" w:name="eq_lancaster"/>
      <w:bookmarkEnd w:id="32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rPr>
                    <m:sty m:val="p"/>
                  </m:rPr>
                  <m:t>,</m:t>
                </m:r>
                <m:r>
                  <m:t> </m:t>
                </m:r>
                <m:r>
                  <m:t>j</m:t>
                </m:r>
                <m:r>
                  <m:rPr>
                    <m:sty m:val="p"/>
                  </m:rPr>
                  <m:t>=</m:t>
                </m:r>
                <m:r>
                  <m:t>1</m:t>
                </m:r>
                <m:r>
                  <m:rPr>
                    <m:sty m:val="p"/>
                  </m:rPr>
                  <m:t>,</m:t>
                </m:r>
                <m:r>
                  <m:rPr>
                    <m:sty m:val="p"/>
                  </m:rPr>
                  <m:t>…</m:t>
                </m:r>
                <m:r>
                  <m:rPr>
                    <m:sty m:val="p"/>
                  </m:rPr>
                  <m:t>,</m:t>
                </m:r>
                <m:r>
                  <m:t>k</m:t>
                </m: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acc>
          <m:accPr>
            <m:chr m:val="⃗"/>
          </m:accPr>
          <m:e>
            <m:r>
              <m:t>z</m:t>
            </m:r>
          </m:e>
        </m:acc>
        <m:r>
          <m:rPr>
            <m:sty m:val="p"/>
          </m:rPr>
          <m:t>=</m:t>
        </m:r>
        <m:r>
          <m:t>B</m:t>
        </m:r>
        <m:acc>
          <m:accPr>
            <m:chr m:val="⃗"/>
          </m:accPr>
          <m:e>
            <m:r>
              <m:t>x</m:t>
            </m:r>
          </m:e>
        </m:acc>
      </m:oMath>
      <w:r>
        <w:t xml:space="preserve">.</w:t>
      </w:r>
    </w:p>
    <w:p>
      <w:pPr>
        <w:numPr>
          <w:ilvl w:val="0"/>
          <w:numId w:val="1175"/>
        </w:numPr>
      </w:pPr>
      <w:r>
        <w:rPr>
          <w:i/>
          <w:iCs/>
        </w:rPr>
        <w:t xml:space="preserve">Gráficamente</w:t>
      </w:r>
      <w:r>
        <w:t xml:space="preserve"> </w:t>
      </w:r>
      <w:r>
        <w:t xml:space="preserve">(gráfico </w:t>
      </w:r>
      <w:hyperlink w:anchor="fig_lancaster_caracteristicas">
        <w:r>
          <w:rPr>
            <w:rStyle w:val="Hyperlink"/>
          </w:rPr>
          <w:t xml:space="preserve">24</w:t>
        </w:r>
      </w:hyperlink>
      <w:r>
        <w:t xml:space="preserve">): con 2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bookmarkEnd w:id="321"/>
    <w:bookmarkStart w:id="323" w:name="iii_implicaciones_4"/>
    <w:p>
      <w:pPr>
        <w:pStyle w:val="Heading5"/>
      </w:pPr>
      <w:r>
        <w:t xml:space="preserve">iii) Implicaciones</w:t>
      </w:r>
    </w:p>
    <w:p>
      <w:pPr>
        <w:numPr>
          <w:ilvl w:val="0"/>
          <w:numId w:val="1176"/>
        </w:numPr>
      </w:pPr>
      <w:r>
        <w:t xml:space="preserve">la elección tiene 2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0"/>
          <w:numId w:val="1176"/>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0"/>
          <w:numId w:val="1176"/>
        </w:numPr>
      </w:pPr>
      <w:r>
        <w:t xml:space="preserve">un bien nuevo es un rayo nuevo: tiene mercado si amplía la frontera de eficiencia;</w:t>
      </w:r>
    </w:p>
    <w:p>
      <w:pPr>
        <w:numPr>
          <w:ilvl w:val="0"/>
          <w:numId w:val="1176"/>
        </w:numPr>
      </w:pPr>
      <w:r>
        <w:t xml:space="preserve">para las empresas, la diferenciación consiste en elegir la combinación de características (estrategias de segmentación o de nicho) y la publicidad, en informar sobre ellas o influir en su valoración</w:t>
      </w:r>
      <w:r>
        <w:t xml:space="preserve"> </w:t>
      </w:r>
      <w:hyperlink r:id="rId241">
        <w:r>
          <w:rPr>
            <w:rStyle w:val="Referenciaatema"/>
          </w:rPr>
          <w:t xml:space="preserve">[ver tema 3.A.18]</w:t>
        </w:r>
      </w:hyperlink>
      <w:r>
        <w:t xml:space="preserve">.</w:t>
      </w:r>
      <w:r>
        <w:rPr>
          <w:rStyle w:val="FootnoteReference"/>
        </w:rPr>
        <w:footnoteReference w:id="322"/>
      </w:r>
    </w:p>
    <w:bookmarkEnd w:id="323"/>
    <w:bookmarkEnd w:id="324"/>
    <w:bookmarkStart w:id="326" w:name="c_extensiones_3"/>
    <w:p>
      <w:pPr>
        <w:pStyle w:val="Heading4"/>
      </w:pPr>
      <w:r>
        <w:t xml:space="preserve">c) Extensiones</w:t>
      </w:r>
    </w:p>
    <w:p>
      <w:pPr>
        <w:numPr>
          <w:ilvl w:val="0"/>
          <w:numId w:val="1178"/>
        </w:numPr>
      </w:pPr>
      <w:r>
        <w:t xml:space="preserve">el</w:t>
      </w:r>
      <w:r>
        <w:t xml:space="preserve"> </w:t>
      </w:r>
      <w:r>
        <w:rPr>
          <w:i/>
          <w:iCs/>
        </w:rPr>
        <w:t xml:space="preserve">método de los precios hedónicos</w:t>
      </w:r>
      <w:r>
        <w:t xml:space="preserve">, que estima cuánto se paga por cada característica de un bien (apartado </w:t>
      </w:r>
      <w:hyperlink w:anchor="sec_precios_hedonicos">
        <w:r>
          <w:rPr>
            <w:rStyle w:val="Hyperlink"/>
          </w:rPr>
          <w:t xml:space="preserve">III.3</w:t>
        </w:r>
      </w:hyperlink>
      <w:r>
        <w:t xml:space="preserve">);</w:t>
      </w:r>
    </w:p>
    <w:p>
      <w:pPr>
        <w:numPr>
          <w:ilvl w:val="0"/>
          <w:numId w:val="1178"/>
        </w:numPr>
      </w:pPr>
      <w:r>
        <w:t xml:space="preserve">la</w:t>
      </w:r>
      <w:r>
        <w:t xml:space="preserve"> </w:t>
      </w:r>
      <w:r>
        <w:rPr>
          <w:i/>
          <w:iCs/>
        </w:rPr>
        <w:t xml:space="preserve">elección de cartera</w:t>
      </w:r>
      <w:r>
        <w:t xml:space="preserve">: un activo financiero puede verse como un conjunto de 2 características, la rentabilidad esperada y el riesgo, y el modelo de media y varianza de</w:t>
      </w:r>
      <w:r>
        <w:t xml:space="preserve"> </w:t>
      </w:r>
      <w:r>
        <w:rPr>
          <w:smallCaps/>
        </w:rPr>
        <w:t xml:space="preserve">Markowitz</w:t>
      </w:r>
      <w:r>
        <w:t xml:space="preserve"> </w:t>
      </w:r>
      <w:r>
        <w:t xml:space="preserve">(</w:t>
      </w:r>
      <w:hyperlink w:anchor="ref_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hyperlink r:id="rId26">
        <w:r>
          <w:rPr>
            <w:rStyle w:val="Referenciaatema"/>
          </w:rPr>
          <w:t xml:space="preserve">[ver tema 3.A.10]</w:t>
        </w:r>
      </w:hyperlink>
      <w:r>
        <w:t xml:space="preserve"> </w:t>
      </w:r>
      <w:hyperlink r:id="rId325">
        <w:r>
          <w:rPr>
            <w:rStyle w:val="Referenciaatema"/>
          </w:rPr>
          <w:t xml:space="preserve">[ver tema 3.B.23]</w:t>
        </w:r>
      </w:hyperlink>
      <w:r>
        <w:t xml:space="preserve">.</w:t>
      </w:r>
    </w:p>
    <w:bookmarkEnd w:id="326"/>
    <w:bookmarkStart w:id="331" w:name="d_valoraci__n_1"/>
    <w:p>
      <w:pPr>
        <w:pStyle w:val="Heading4"/>
      </w:pPr>
      <w:r>
        <w:t xml:space="preserve">d) Valoración</w:t>
      </w:r>
    </w:p>
    <w:p>
      <w:pPr>
        <w:numPr>
          <w:ilvl w:val="0"/>
          <w:numId w:val="1179"/>
        </w:numPr>
      </w:pPr>
      <w:r>
        <w:t xml:space="preserve">Extiende la teoría a los bienes diferenciados, a la calidad y a los bienes nuevos, y da fundamento a la medición hedónica.</w:t>
      </w:r>
    </w:p>
    <w:p>
      <w:pPr>
        <w:keepNext/>
        <w:numPr>
          <w:ilvl w:val="0"/>
          <w:numId w:val="1179"/>
        </w:numPr>
      </w:pPr>
      <w:r>
        <w:t xml:space="preserve">Sus límites</w:t>
      </w:r>
      <w:r>
        <w:t xml:space="preserve"> </w:t>
      </w:r>
      <w:r>
        <w:t xml:space="preserve">(</w:t>
      </w:r>
      <w:hyperlink w:anchor="ref_Lancaster1966New">
        <w:r>
          <w:rPr>
            <w:rStyle w:val="Hyperlink"/>
            <w:smallCaps/>
          </w:rPr>
          <w:t xml:space="preserve">Lancaster</w:t>
        </w:r>
        <w:r>
          <w:rPr>
            <w:rStyle w:val="Hyperlink"/>
          </w:rPr>
          <w:t xml:space="preserve">, 1966</w:t>
        </w:r>
      </w:hyperlink>
      <w:r>
        <w:t xml:space="preserve">)</w:t>
      </w:r>
      <w:r>
        <w:t xml:space="preserve">:</w:t>
      </w:r>
    </w:p>
    <w:p>
      <w:pPr>
        <w:numPr>
          <w:ilvl w:val="1"/>
          <w:numId w:val="1180"/>
        </w:numPr>
      </w:pPr>
      <w:r>
        <w:t xml:space="preserve">supone características objetivas y medibles;</w:t>
      </w:r>
    </w:p>
    <w:p>
      <w:pPr>
        <w:numPr>
          <w:ilvl w:val="1"/>
          <w:numId w:val="1180"/>
        </w:numPr>
      </w:pPr>
      <w:r>
        <w:t xml:space="preserve">supone una tecnología lineal y aditiva (no siempre se pueden «mezclar» bienes para obtener combinaciones intermedias de características, como ocurre con los coches o las viviendas);</w:t>
      </w:r>
    </w:p>
    <w:p>
      <w:pPr>
        <w:numPr>
          <w:ilvl w:val="1"/>
          <w:numId w:val="1180"/>
        </w:numPr>
      </w:pPr>
      <w:r>
        <w:t xml:space="preserve">y deja fuera las características que el consumidor no percibe.</w:t>
      </w:r>
    </w:p>
    <w:bookmarkStart w:id="330" w:name="fig_lancaster_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Gráfico 24.– Demanda de características: frontera de eficiencia, elección del consumidor y pérdida de eficiencia de un bien al subir su precio" title="" id="328" name="Picture"/>
            <a:graphic>
              <a:graphicData uri="http://schemas.openxmlformats.org/drawingml/2006/picture">
                <pic:pic>
                  <pic:nvPicPr>
                    <pic:cNvPr descr="C:\Users\vgutierrez\Documents\src\victorgutierrezmarcos.github.io-revision\oposicion\temario\fuentes\3A08\graficos/lancaster-caracteristicas.png" id="329" name="Picture"/>
                    <pic:cNvPicPr>
                      <a:picLocks noChangeArrowheads="1" noChangeAspect="1"/>
                    </pic:cNvPicPr>
                  </pic:nvPicPr>
                  <pic:blipFill>
                    <a:blip r:embed="rId327"/>
                    <a:stretch>
                      <a:fillRect/>
                    </a:stretch>
                  </pic:blipFill>
                  <pic:spPr bwMode="auto">
                    <a:xfrm>
                      <a:off x="0" y="0"/>
                      <a:ext cx="3039844" cy="2483253"/>
                    </a:xfrm>
                    <a:prstGeom prst="rect">
                      <a:avLst/>
                    </a:prstGeom>
                    <a:noFill/>
                    <a:ln w="9525">
                      <a:noFill/>
                      <a:headEnd/>
                      <a:tailEnd/>
                    </a:ln>
                  </pic:spPr>
                </pic:pic>
              </a:graphicData>
            </a:graphic>
          </wp:inline>
        </w:drawing>
      </w:r>
    </w:p>
    <w:bookmarkEnd w:id="330"/>
    <w:p>
      <w:pPr>
        <w:pStyle w:val="Piedeimagen"/>
      </w:pPr>
      <w:r>
        <w:t xml:space="preserve">Fuente: elaboración propia basada en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331"/>
    <w:bookmarkEnd w:id="332"/>
    <w:bookmarkStart w:id="340" w:name="anexo_thaler"/>
    <w:p>
      <w:pPr>
        <w:pStyle w:val="Heading1"/>
      </w:pPr>
      <w:r>
        <w:t xml:space="preserve">G. Anexo: psicología y economía (</w:t>
      </w:r>
      <w:r>
        <w:rPr>
          <w:smallCaps/>
        </w:rPr>
        <w:t xml:space="preserve">Thaler</w:t>
      </w:r>
      <w:r>
        <w:t xml:space="preserve">)</w:t>
      </w:r>
    </w:p>
    <w:p>
      <w:pPr>
        <w:pStyle w:val="Notaalopositor"/>
        <w:keepLines/>
      </w:pPr>
      <w:r>
        <w:rPr>
          <w:b/>
          <w:bCs/>
        </w:rPr>
        <w:t xml:space="preserve">Nota al opositor. </w:t>
      </w:r>
      <w:r>
        <w:t xml:space="preserve">Este anexo no se canta: amplía la valoración de la Conclusión.</w:t>
      </w:r>
    </w:p>
    <w:bookmarkStart w:id="333" w:name="a_idea_6"/>
    <w:p>
      <w:pPr>
        <w:pStyle w:val="Heading4"/>
      </w:pPr>
      <w:r>
        <w:t xml:space="preserve">a) Idea</w:t>
      </w:r>
    </w:p>
    <w:p>
      <w:pPr>
        <w:numPr>
          <w:ilvl w:val="0"/>
          <w:numId w:val="1181"/>
        </w:numPr>
      </w:pPr>
      <w:r>
        <w:t xml:space="preserve">Richard</w:t>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cuestionan los axiomas sobre las preferencias (apartado </w:t>
      </w:r>
      <w:hyperlink w:anchor="sec_ingredientes">
        <w:r>
          <w:rPr>
            <w:rStyle w:val="Hyperlink"/>
          </w:rPr>
          <w:t xml:space="preserve">I.1</w:t>
        </w:r>
      </w:hyperlink>
      <w:r>
        <w:t xml:space="preserve">).</w:t>
      </w:r>
    </w:p>
    <w:bookmarkEnd w:id="333"/>
    <w:bookmarkStart w:id="337" w:name="b_modelo_5"/>
    <w:p>
      <w:pPr>
        <w:pStyle w:val="Heading4"/>
      </w:pPr>
      <w:r>
        <w:t xml:space="preserve">b) Modelo</w:t>
      </w:r>
    </w:p>
    <w:bookmarkStart w:id="334" w:name="i_supuestos_5"/>
    <w:p>
      <w:pPr>
        <w:pStyle w:val="Heading5"/>
      </w:pPr>
      <w:r>
        <w:t xml:space="preserve">i) Supuestos</w:t>
      </w:r>
    </w:p>
    <w:p>
      <w:pPr>
        <w:keepNext/>
        <w:numPr>
          <w:ilvl w:val="0"/>
          <w:numId w:val="1182"/>
        </w:numPr>
      </w:pPr>
      <w:r>
        <w:t xml:space="preserve">Frente al consumidor neoclásico, el de la economía conductual:</w:t>
      </w:r>
    </w:p>
    <w:p>
      <w:pPr>
        <w:numPr>
          <w:ilvl w:val="1"/>
          <w:numId w:val="1183"/>
        </w:numPr>
      </w:pPr>
      <w:r>
        <w:t xml:space="preserve">tiene una</w:t>
      </w:r>
      <w:r>
        <w:t xml:space="preserve"> </w:t>
      </w:r>
      <w:r>
        <w:rPr>
          <w:i/>
          <w:i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1955</w:t>
        </w:r>
      </w:hyperlink>
      <w:r>
        <w:t xml:space="preserve">)</w:t>
      </w:r>
      <w:r>
        <w:t xml:space="preserve">;</w:t>
      </w:r>
    </w:p>
    <w:p>
      <w:pPr>
        <w:numPr>
          <w:ilvl w:val="1"/>
          <w:numId w:val="1183"/>
        </w:numPr>
      </w:pPr>
      <w:r>
        <w:t xml:space="preserve">valora los resultados respecto a un punto de referencia, con aversión a las pérdidas</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w:t>
      </w:r>
    </w:p>
    <w:p>
      <w:pPr>
        <w:numPr>
          <w:ilvl w:val="1"/>
          <w:numId w:val="1183"/>
        </w:numPr>
      </w:pPr>
      <w:r>
        <w:t xml:space="preserve">y tiene en cuenta lo que considera justo.</w:t>
      </w:r>
    </w:p>
    <w:bookmarkEnd w:id="334"/>
    <w:bookmarkStart w:id="335" w:name="ii_desarrollo_las_3_aportaciones_d_37619"/>
    <w:p>
      <w:pPr>
        <w:pStyle w:val="Heading5"/>
      </w:pPr>
      <w:r>
        <w:t xml:space="preserve">ii) Desarrollo: las 3 aportaciones de</w:t>
      </w:r>
      <w:r>
        <w:t xml:space="preserve"> </w:t>
      </w:r>
      <w:r>
        <w:rPr>
          <w:smallCaps/>
        </w:rPr>
        <w:t xml:space="preserve">Thaler</w:t>
      </w:r>
    </w:p>
    <w:p>
      <w:pPr>
        <w:numPr>
          <w:ilvl w:val="0"/>
          <w:numId w:val="1184"/>
        </w:numPr>
      </w:pPr>
      <w:r>
        <w:rPr>
          <w:b/>
          <w:bCs/>
        </w:rPr>
        <w:t xml:space="preserve">Contabilidad mental</w:t>
      </w:r>
      <w:r>
        <w:t xml:space="preserve"> </w:t>
      </w:r>
      <w:r>
        <w:t xml:space="preserve">(</w:t>
      </w:r>
      <w:hyperlink w:anchor="ref_Thaler1985Mental">
        <w:r>
          <w:rPr>
            <w:rStyle w:val="Hyperlink"/>
            <w:smallCaps/>
          </w:rPr>
          <w:t xml:space="preserve">Thaler</w:t>
        </w:r>
        <w:r>
          <w:rPr>
            <w:rStyle w:val="Hyperlink"/>
          </w:rPr>
          <w:t xml:space="preserve">, 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w:t>
      </w:r>
    </w:p>
    <w:p>
      <w:pPr>
        <w:numPr>
          <w:ilvl w:val="0"/>
          <w:numId w:val="1184"/>
        </w:numPr>
      </w:pPr>
      <w:r>
        <w:rPr>
          <w:b/>
          <w:bCs/>
        </w:rPr>
        <w:t xml:space="preserve">Efecto dotación</w:t>
      </w:r>
      <w:r>
        <w:t xml:space="preserve"> </w:t>
      </w:r>
      <w:r>
        <w:t xml:space="preserve">(</w:t>
      </w:r>
      <w:hyperlink w:anchor="ref_Thaler1980Positive">
        <w:r>
          <w:rPr>
            <w:rStyle w:val="Hyperlink"/>
            <w:smallCaps/>
          </w:rPr>
          <w:t xml:space="preserve">Thaler</w:t>
        </w:r>
        <w:r>
          <w:rPr>
            <w:rStyle w:val="Hyperlink"/>
          </w:rPr>
          <w:t xml:space="preserve">, 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1990</w:t>
        </w:r>
      </w:hyperlink>
      <w:r>
        <w:t xml:space="preserve">)</w:t>
      </w:r>
      <w:r>
        <w:t xml:space="preserve"> </w:t>
      </w:r>
      <w:hyperlink r:id="rId26">
        <w:r>
          <w:rPr>
            <w:rStyle w:val="Referenciaatema"/>
          </w:rPr>
          <w:t xml:space="preserve">[ver tema 3.A.10]</w:t>
        </w:r>
      </w:hyperlink>
      <w:r>
        <w:t xml:space="preserve">. Contradice que las curvas de indiferencia no dependan de la dotación inicial.</w:t>
      </w:r>
    </w:p>
    <w:p>
      <w:pPr>
        <w:numPr>
          <w:ilvl w:val="0"/>
          <w:numId w:val="1184"/>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1986</w:t>
        </w:r>
      </w:hyperlink>
      <w:r>
        <w:t xml:space="preserve">)</w:t>
      </w:r>
      <w:r>
        <w:t xml:space="preserve">.</w:t>
      </w:r>
    </w:p>
    <w:bookmarkEnd w:id="335"/>
    <w:bookmarkStart w:id="336" w:name="iii_implicaciones_5"/>
    <w:p>
      <w:pPr>
        <w:pStyle w:val="Heading5"/>
      </w:pPr>
      <w:r>
        <w:t xml:space="preserve">iii) Implicaciones</w:t>
      </w:r>
    </w:p>
    <w:p>
      <w:pPr>
        <w:numPr>
          <w:ilvl w:val="0"/>
          <w:numId w:val="1185"/>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336"/>
    <w:bookmarkEnd w:id="337"/>
    <w:bookmarkStart w:id="338" w:name="c_evidencia_emp__rica"/>
    <w:p>
      <w:pPr>
        <w:pStyle w:val="Heading4"/>
      </w:pPr>
      <w:r>
        <w:t xml:space="preserve">c) Evidencia empírica</w:t>
      </w:r>
    </w:p>
    <w:p>
      <w:pPr>
        <w:numPr>
          <w:ilvl w:val="0"/>
          <w:numId w:val="1186"/>
        </w:numPr>
      </w:pPr>
      <w:r>
        <w:t xml:space="preserve">El efecto dotación se ha medido en experimentos de laboratorio: en los de</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_KahnemanKnetschThaler1990Endowment">
        <w:r>
          <w:rPr>
            <w:rStyle w:val="Hyperlink"/>
          </w:rPr>
          <w:t xml:space="preserve">1990</w:t>
        </w:r>
      </w:hyperlink>
      <w:r>
        <w:t xml:space="preserve">)</w:t>
      </w:r>
      <w:r>
        <w:t xml:space="preserve">, los participantes a los que se regalaba una taza pedían por venderla más del doble de lo que los demás estaban dispuestos a pagar por ella, aunque las tazas se repartían al azar.</w:t>
      </w:r>
    </w:p>
    <w:bookmarkEnd w:id="338"/>
    <w:bookmarkStart w:id="339" w:name="d_valoraci__n_2"/>
    <w:p>
      <w:pPr>
        <w:pStyle w:val="Heading4"/>
      </w:pPr>
      <w:r>
        <w:t xml:space="preserve">d) Valoración</w:t>
      </w:r>
    </w:p>
    <w:p>
      <w:pPr>
        <w:numPr>
          <w:ilvl w:val="0"/>
          <w:numId w:val="1187"/>
        </w:numPr>
      </w:pPr>
      <w:r>
        <w:t xml:space="preserve">Sus resultados se repiten en el laboratorio, pero se discute cuánto pesan en los mercados reales; por eso amplía la teoría neoclásica, que sigue siendo el punto de partida (Conclusión), más que sustituirla.</w:t>
      </w:r>
    </w:p>
    <w:bookmarkEnd w:id="339"/>
    <w:bookmarkEnd w:id="340"/>
    <w:bookmarkStart w:id="347" w:name="anexo_test"/>
    <w:p>
      <w:pPr>
        <w:pStyle w:val="Heading1"/>
      </w:pPr>
      <w:r>
        <w:t xml:space="preserve">H. Anexo: aspectos relevantes para el test</w:t>
      </w:r>
    </w:p>
    <w:p>
      <w:pPr>
        <w:pStyle w:val="Cajadeanotaciones"/>
        <w:keepLines/>
      </w:pPr>
      <w:r>
        <w:t xml:space="preserve">Preguntas tipo test:</w:t>
      </w:r>
      <w:r>
        <w:t xml:space="preserve"> </w:t>
      </w:r>
      <w:hyperlink r:id="rId341">
        <w:r>
          <w:rPr>
            <w:rStyle w:val="Hyperlink"/>
          </w:rPr>
          <w:t xml:space="preserve">simulador de test</w:t>
        </w:r>
      </w:hyperlink>
      <w:r>
        <w:t xml:space="preserve">.</w:t>
      </w:r>
    </w:p>
    <w:bookmarkStart w:id="343" w:name="anexo_bienes_males_bienes"/>
    <w:p>
      <w:pPr>
        <w:pStyle w:val="Heading2"/>
      </w:pPr>
      <w:r>
        <w:t xml:space="preserve">H.1. Bienes, males y bienes neutrales</w:t>
      </w:r>
    </w:p>
    <w:p>
      <w:pPr>
        <w:pStyle w:val="FirstParagraph"/>
      </w:pPr>
      <w:r>
        <w:t xml:space="preserve">Se mira el signo de las utilidades marginales:</w:t>
      </w:r>
    </w:p>
    <w:bookmarkStart w:id="342" w:name="tab_bienes_males"/>
    <w:p>
      <w:pPr>
        <w:pStyle w:val="TableCaption"/>
      </w:pPr>
      <w:r>
        <w:t xml:space="preserve">Tabla 4.–</w:t>
      </w:r>
      <w:r>
        <w:t xml:space="preserve"> </w:t>
      </w:r>
      <w:r>
        <w:t xml:space="preserve">Bienes, males y bienes neutrales</w:t>
      </w:r>
    </w:p>
    <w:tbl>
      <w:tblPr>
        <w:tblStyle w:val="Table"/>
        <w:tblW w:type="auto" w:w="0"/>
        <w:tblLook w:firstRow="1" w:lastRow="0" w:firstColumn="0" w:lastColumn="0" w:noHBand="0" w:noVBand="0" w:val="0020"/>
        <w:tblCaption w:val="Tabla 4.– Bienes, males y bienes neutrales"/>
      </w:tblPr>
      <w:tblGrid>
        <w:gridCol w:w="2640"/>
        <w:gridCol w:w="2640"/>
        <w:gridCol w:w="2640"/>
      </w:tblGrid>
      <w:tr>
        <w:trPr>
          <w:cantSplit/>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rPr>
          <w:cantSplit/>
        </w:trP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rPr>
          <w:cantSplit/>
        </w:trP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rPr>
          <w:cantSplit/>
        </w:trP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342"/>
    <w:p>
      <w:pPr>
        <w:pStyle w:val="BodyText"/>
        <w:keepNext/>
      </w:pPr>
      <w:r>
        <w:rPr>
          <w:i/>
          <w:iCs/>
        </w:rPr>
        <w:t xml:space="preserve">Fuente: elaboración propia.</w:t>
      </w:r>
    </w:p>
    <w:p>
      <w:pPr>
        <w:keepNext/>
        <w:numPr>
          <w:ilvl w:val="0"/>
          <w:numId w:val="1188"/>
        </w:numPr>
      </w:pPr>
      <w:r>
        <w:t xml:space="preserve">Según el tipo de los 2 bienes:</w:t>
      </w:r>
    </w:p>
    <w:p>
      <w:pPr>
        <w:numPr>
          <w:ilvl w:val="1"/>
          <w:numId w:val="1189"/>
        </w:numPr>
      </w:pPr>
      <w:r>
        <w:t xml:space="preserve">si los dos son bienes, las preferencias son monótonas (se prefiere más a menos) y las cestas preferidas están al nordeste;</w:t>
      </w:r>
    </w:p>
    <w:p>
      <w:pPr>
        <w:numPr>
          <w:ilvl w:val="1"/>
          <w:numId w:val="1189"/>
        </w:numPr>
      </w:pPr>
      <w:r>
        <w:t xml:space="preserve">si los dos son males, las curvas son decrecientes, pero la satisfacción aumenta hacia el origen;</w:t>
      </w:r>
    </w:p>
    <w:p>
      <w:pPr>
        <w:numPr>
          <w:ilvl w:val="1"/>
          <w:numId w:val="1189"/>
        </w:numPr>
      </w:pPr>
      <w:r>
        <w:t xml:space="preserve">si un bien es neutral, toda la renta se gasta en el otro.</w:t>
      </w:r>
    </w:p>
    <w:p>
      <w:pPr>
        <w:numPr>
          <w:ilvl w:val="0"/>
          <w:numId w:val="1188"/>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343"/>
    <w:bookmarkStart w:id="344" w:name="anexo_pendiente_curva_indiferencia"/>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sSub>
          <m:e>
            <m:r>
              <m:rPr>
                <m:sty m:val="p"/>
              </m:rPr>
              <m:t>R</m:t>
            </m:r>
            <m:r>
              <m:rPr>
                <m:sty m:val="p"/>
              </m:rPr>
              <m:t>M</m:t>
            </m:r>
            <m:r>
              <m:rPr>
                <m:sty m:val="p"/>
              </m:rPr>
              <m:t>S</m:t>
            </m:r>
          </m:e>
          <m:sub>
            <m:r>
              <m:t>x</m:t>
            </m:r>
            <m:r>
              <m:t>y</m:t>
            </m:r>
          </m:sub>
        </m:sSub>
        <m:r>
          <m:rPr>
            <m:sty m:val="p"/>
          </m:rPr>
          <m:t>=</m:t>
        </m:r>
        <m:r>
          <m:rPr>
            <m:sty m:val="p"/>
          </m:rPr>
          <m:t>−</m:t>
        </m:r>
        <m:r>
          <m:t>m</m:t>
        </m:r>
      </m:oMath>
      <w:r>
        <w:t xml:space="preserve"> </w:t>
      </w:r>
      <w:r>
        <w:t xml:space="preserve">(ecuación (</w:t>
      </w:r>
      <w:hyperlink w:anchor="eq_rms">
        <w:r>
          <w:rPr>
            <w:rStyle w:val="Hyperlink"/>
          </w:rPr>
          <w:t xml:space="preserve">4</w:t>
        </w:r>
      </w:hyperlink>
      <w:r>
        <w:t xml:space="preserve">)).</w:t>
      </w:r>
    </w:p>
    <w:bookmarkEnd w:id="344"/>
    <w:bookmarkStart w:id="346" w:name="anexo_curvatura_curvas_indiferencia"/>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2 bienes (</w:t>
      </w:r>
      <m:oMath>
        <m:r>
          <m:t>m</m:t>
        </m:r>
        <m:r>
          <m:rPr>
            <m:sty m:val="p"/>
          </m:rPr>
          <m:t>&lt;</m:t>
        </m:r>
        <m:r>
          <m:t>0</m:t>
        </m:r>
      </m:oMath>
      <w:r>
        <w:t xml:space="preserve">), las condiciones de la tabla </w:t>
      </w:r>
      <w:hyperlink w:anchor="tab_curvatura">
        <w:r>
          <w:rPr>
            <w:rStyle w:val="Hyperlink"/>
          </w:rPr>
          <w:t xml:space="preserve">5</w:t>
        </w:r>
      </w:hyperlink>
      <w:r>
        <w:t xml:space="preserve"> </w:t>
      </w:r>
      <w:r>
        <w:t xml:space="preserve">la garantizan, pero</w:t>
      </w:r>
      <w:r>
        <w:t xml:space="preserve"> </w:t>
      </w:r>
      <w:r>
        <w:rPr>
          <w:i/>
          <w:iCs/>
        </w:rPr>
        <w:t xml:space="preserve">no son necesarias</w:t>
      </w:r>
      <w:r>
        <w:t xml:space="preserve">: lo que decide es la derivada total.</w:t>
      </w:r>
    </w:p>
    <w:bookmarkStart w:id="345" w:name="tab_curvatura"/>
    <w:p>
      <w:pPr>
        <w:pStyle w:val="TableCaption"/>
      </w:pPr>
      <w:r>
        <w:t xml:space="preserve">Tabla 5.–</w:t>
      </w:r>
      <w:r>
        <w:t xml:space="preserve"> </w:t>
      </w:r>
      <w:r>
        <w:t xml:space="preserve">Condiciones suficientes sobre la curvatura de las curvas de indiferencia (2 bienes)</w:t>
      </w:r>
    </w:p>
    <w:tbl>
      <w:tblPr>
        <w:tblStyle w:val="Table"/>
        <w:tblW w:type="auto" w:w="0"/>
        <w:tblLook w:firstRow="1" w:lastRow="0" w:firstColumn="0" w:lastColumn="0" w:noHBand="0" w:noVBand="0" w:val="0020"/>
        <w:tblCaption w:val="Tabla 5.– Condiciones suficientes sobre la curvatura de las curvas de indiferencia (2 bienes)"/>
      </w:tblPr>
      <w:tblGrid>
        <w:gridCol w:w="2640"/>
        <w:gridCol w:w="2640"/>
        <w:gridCol w:w="2640"/>
      </w:tblGrid>
      <w:tr>
        <w:trPr>
          <w:cantSplit/>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rPr>
          <w:cantSplit/>
        </w:trP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&lt;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&gt;</m:t>
              </m:r>
              <m:r>
                <m:t>0</m:t>
              </m:r>
            </m:oMath>
          </w:p>
        </w:tc>
        <w:tc>
          <w:tcPr/>
          <w:p>
            <w:pPr>
              <w:pStyle w:val="Compact"/>
              <w:jc w:val="left"/>
            </w:pPr>
            <w:r>
              <w:t xml:space="preserve">Convexa</w:t>
            </w:r>
          </w:p>
        </w:tc>
      </w:tr>
      <w:tr>
        <w:trPr>
          <w:cantSplit/>
        </w:trP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m:t>
              </m:r>
              <m:r>
                <m:t>0</m:t>
              </m:r>
            </m:oMath>
          </w:p>
        </w:tc>
        <w:tc>
          <w:tcPr/>
          <w:p>
            <w:pPr>
              <w:pStyle w:val="Compact"/>
              <w:jc w:val="left"/>
            </w:pPr>
            <w:r>
              <w:t xml:space="preserve">Lineal (sustitutivos perfectos)</w:t>
            </w:r>
          </w:p>
        </w:tc>
      </w:tr>
      <w:tr>
        <w:trPr>
          <w:cantSplit/>
        </w:trP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&gt;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345"/>
    <w:p>
      <w:pPr>
        <w:pStyle w:val="BodyText"/>
        <w:keepN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keepNext/>
        <w:numPr>
          <w:ilvl w:val="0"/>
          <w:numId w:val="1190"/>
        </w:numPr>
      </w:pPr>
      <w:r>
        <w:t xml:space="preserve">Ejemplos rápidos:</w:t>
      </w:r>
    </w:p>
    <w:p>
      <w:pPr>
        <w:numPr>
          <w:ilvl w:val="1"/>
          <w:numId w:val="1191"/>
        </w:numPr>
      </w:pPr>
      <m:oMath>
        <m:r>
          <m:t>U</m:t>
        </m:r>
        <m:r>
          <m:rPr>
            <m:sty m:val="p"/>
          </m:rPr>
          <m:t>=</m:t>
        </m:r>
        <m:r>
          <m:t>x</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p>
    <w:p>
      <w:pPr>
        <w:numPr>
          <w:ilvl w:val="1"/>
          <w:numId w:val="1191"/>
        </w:numPr>
      </w:pPr>
      <m:oMath>
        <m:r>
          <m:t>U</m:t>
        </m:r>
        <m:r>
          <m:rPr>
            <m:sty m:val="p"/>
          </m:rPr>
          <m:t>=</m:t>
        </m:r>
        <m:r>
          <m:t>a</m:t>
        </m:r>
        <m:r>
          <m:t>x</m:t>
        </m:r>
        <m:r>
          <m:rPr>
            <m:sty m:val="p"/>
          </m:rPr>
          <m:t>+</m:t>
        </m:r>
        <m:r>
          <m:t>b</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a</m:t>
        </m:r>
        <m:r>
          <m:rPr>
            <m:sty m:val="p"/>
          </m:rPr>
          <m:t>/</m:t>
        </m:r>
        <m:r>
          <m:t>b</m:t>
        </m:r>
      </m:oMath>
      <w:r>
        <w:t xml:space="preserve"> </w:t>
      </w:r>
      <w:r>
        <w:t xml:space="preserve">(lineal);</w:t>
      </w:r>
    </w:p>
    <w:p>
      <w:pPr>
        <w:numPr>
          <w:ilvl w:val="1"/>
          <w:numId w:val="1191"/>
        </w:numPr>
      </w:pP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x</m:t>
        </m:r>
        <m:r>
          <m:rPr>
            <m:sty m:val="p"/>
          </m:rPr>
          <m:t>/</m:t>
        </m:r>
        <m:r>
          <m:t>y</m:t>
        </m:r>
      </m:oMath>
      <w:r>
        <w:t xml:space="preserve"> </w:t>
      </w:r>
      <w:r>
        <w:t xml:space="preserve">(cóncava).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46"/>
    <w:bookmarkEnd w:id="347"/>
    <w:bookmarkStart w:id="518" w:name="bibliografia"/>
    <w:p>
      <w:pPr>
        <w:pStyle w:val="Heading1"/>
      </w:pPr>
      <w:r>
        <w:t xml:space="preserve">Bibliografía</w:t>
      </w:r>
    </w:p>
    <w:bookmarkStart w:id="517" w:name="refs"/>
    <w:bookmarkStart w:id="349"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348">
        <w:r>
          <w:rPr>
            <w:rStyle w:val="Hyperlink"/>
          </w:rPr>
          <w:t xml:space="preserve">https://doi.org/10.2307/2525382</w:t>
        </w:r>
      </w:hyperlink>
      <w:r>
        <w:t xml:space="preserve">.</w:t>
      </w:r>
    </w:p>
    <w:bookmarkEnd w:id="349"/>
    <w:bookmarkStart w:id="351"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350">
        <w:r>
          <w:rPr>
            <w:rStyle w:val="Hyperlink"/>
          </w:rPr>
          <w:t xml:space="preserve">https://presidencia.gva.es/documents/166658342/166714754/Ejemplar+3070/2957e02b-f135-4235-98a6-bfc909292066</w:t>
        </w:r>
      </w:hyperlink>
      <w:r>
        <w:t xml:space="preserve">.</w:t>
      </w:r>
    </w:p>
    <w:bookmarkEnd w:id="351"/>
    <w:bookmarkStart w:id="352"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352"/>
    <w:bookmarkStart w:id="354"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353">
        <w:r>
          <w:rPr>
            <w:rStyle w:val="Hyperlink"/>
          </w:rPr>
          <w:t xml:space="preserve">https://doi.org/10.2307/1927286</w:t>
        </w:r>
      </w:hyperlink>
      <w:r>
        <w:t xml:space="preserve">.</w:t>
      </w:r>
    </w:p>
    <w:bookmarkEnd w:id="354"/>
    <w:bookmarkStart w:id="355"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355"/>
    <w:bookmarkStart w:id="356" w:name="ref_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56"/>
    <w:bookmarkStart w:id="358"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357">
        <w:r>
          <w:rPr>
            <w:rStyle w:val="Hyperlink"/>
          </w:rPr>
          <w:t xml:space="preserve">https://doi.org/10.2307/1937885</w:t>
        </w:r>
      </w:hyperlink>
      <w:r>
        <w:t xml:space="preserve">.</w:t>
      </w:r>
    </w:p>
    <w:bookmarkEnd w:id="358"/>
    <w:bookmarkStart w:id="360"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359">
        <w:r>
          <w:rPr>
            <w:rStyle w:val="Hyperlink"/>
          </w:rPr>
          <w:t xml:space="preserve">https://doi.org/10.1016/0014-2921(69)90017-8</w:t>
        </w:r>
      </w:hyperlink>
      <w:r>
        <w:t xml:space="preserve">.</w:t>
      </w:r>
    </w:p>
    <w:bookmarkEnd w:id="360"/>
    <w:bookmarkStart w:id="362"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61">
        <w:r>
          <w:rPr>
            <w:rStyle w:val="Hyperlink"/>
          </w:rPr>
          <w:t xml:space="preserve">https://doi.org/10.2307/2228949</w:t>
        </w:r>
      </w:hyperlink>
      <w:r>
        <w:t xml:space="preserve">.</w:t>
      </w:r>
    </w:p>
    <w:bookmarkEnd w:id="362"/>
    <w:bookmarkStart w:id="364"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63">
        <w:r>
          <w:rPr>
            <w:rStyle w:val="Hyperlink"/>
          </w:rPr>
          <w:t xml:space="preserve">https://doi.org/10.2307/1909829</w:t>
        </w:r>
      </w:hyperlink>
      <w:r>
        <w:t xml:space="preserve">.</w:t>
      </w:r>
    </w:p>
    <w:bookmarkEnd w:id="364"/>
    <w:bookmarkStart w:id="365"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65"/>
    <w:bookmarkStart w:id="366"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66"/>
    <w:bookmarkStart w:id="367"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67"/>
    <w:bookmarkStart w:id="368"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68"/>
    <w:bookmarkStart w:id="370" w:name="ref_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69">
        <w:r>
          <w:rPr>
            <w:rStyle w:val="Hyperlink"/>
          </w:rPr>
          <w:t xml:space="preserve">https://allengoodman.wayne.edu/Research/PUBS/Court_Hedonic.pdf</w:t>
        </w:r>
      </w:hyperlink>
      <w:r>
        <w:t xml:space="preserve">.</w:t>
      </w:r>
    </w:p>
    <w:bookmarkEnd w:id="370"/>
    <w:bookmarkStart w:id="372"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371">
        <w:r>
          <w:rPr>
            <w:rStyle w:val="Hyperlink"/>
          </w:rPr>
          <w:t xml:space="preserve">https://doi.org/10.2307/1911983</w:t>
        </w:r>
      </w:hyperlink>
      <w:r>
        <w:t xml:space="preserve">.</w:t>
      </w:r>
    </w:p>
    <w:bookmarkEnd w:id="372"/>
    <w:bookmarkStart w:id="373"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73"/>
    <w:bookmarkStart w:id="374"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374"/>
    <w:bookmarkStart w:id="376"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75">
        <w:r>
          <w:rPr>
            <w:rStyle w:val="Hyperlink"/>
          </w:rPr>
          <w:t xml:space="preserve">https://cowles.yale.edu/sites/default/files/2022-09/m17-all.pdf</w:t>
        </w:r>
      </w:hyperlink>
      <w:r>
        <w:t xml:space="preserve">.</w:t>
      </w:r>
    </w:p>
    <w:bookmarkEnd w:id="376"/>
    <w:bookmarkStart w:id="377"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77"/>
    <w:bookmarkStart w:id="379"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78">
        <w:r>
          <w:rPr>
            <w:rStyle w:val="Hyperlink"/>
          </w:rPr>
          <w:t xml:space="preserve">https://doi.org/10.1086/260489</w:t>
        </w:r>
      </w:hyperlink>
      <w:r>
        <w:t xml:space="preserve">.</w:t>
      </w:r>
    </w:p>
    <w:bookmarkEnd w:id="379"/>
    <w:bookmarkStart w:id="380"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80"/>
    <w:bookmarkStart w:id="381"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81"/>
    <w:bookmarkStart w:id="382" w:name="ref_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82"/>
    <w:bookmarkStart w:id="383"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83"/>
    <w:bookmarkStart w:id="384" w:name="ref_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84"/>
    <w:bookmarkStart w:id="386" w:name="ref_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85">
        <w:r>
          <w:rPr>
            <w:rStyle w:val="Hyperlink"/>
          </w:rPr>
          <w:t xml:space="preserve">https://doi.org/10.2785/055028</w:t>
        </w:r>
      </w:hyperlink>
      <w:r>
        <w:t xml:space="preserve">.</w:t>
      </w:r>
    </w:p>
    <w:bookmarkEnd w:id="386"/>
    <w:bookmarkStart w:id="388"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87">
        <w:r>
          <w:rPr>
            <w:rStyle w:val="Hyperlink"/>
          </w:rPr>
          <w:t xml:space="preserve">https://ec.europa.eu/eurostat/databrowser/view/nama_10_gdp/default/table</w:t>
        </w:r>
      </w:hyperlink>
      <w:r>
        <w:t xml:space="preserve">.</w:t>
      </w:r>
    </w:p>
    <w:bookmarkEnd w:id="388"/>
    <w:bookmarkStart w:id="389" w:name="ref_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89"/>
    <w:bookmarkStart w:id="390" w:name="ref_Fisher1918Utility"/>
    <w:p>
      <w:pPr>
        <w:pStyle w:val="Bibliography"/>
      </w:pPr>
      <w:r>
        <w:t xml:space="preserve">Fisher, Irving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90"/>
    <w:bookmarkStart w:id="391" w:name="ref_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91"/>
    <w:bookmarkStart w:id="393"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92">
        <w:r>
          <w:rPr>
            <w:rStyle w:val="Hyperlink"/>
          </w:rPr>
          <w:t xml:space="preserve">https://web.archive.org/web/20260106065001/http://www2.hawaii.edu/~fuleky/anatomy/anatomy.html</w:t>
        </w:r>
      </w:hyperlink>
      <w:r>
        <w:t xml:space="preserve">.</w:t>
      </w:r>
    </w:p>
    <w:bookmarkEnd w:id="393"/>
    <w:bookmarkStart w:id="395"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94">
        <w:r>
          <w:rPr>
            <w:rStyle w:val="Hyperlink"/>
          </w:rPr>
          <w:t xml:space="preserve">https://doi.org/10.2307/2296107</w:t>
        </w:r>
      </w:hyperlink>
      <w:r>
        <w:t xml:space="preserve">.</w:t>
      </w:r>
    </w:p>
    <w:bookmarkEnd w:id="395"/>
    <w:bookmarkStart w:id="397" w:name="ref_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96">
        <w:r>
          <w:rPr>
            <w:rStyle w:val="Hyperlink"/>
          </w:rPr>
          <w:t xml:space="preserve">https://doi.org/10.1006/juec.1997.2071</w:t>
        </w:r>
      </w:hyperlink>
      <w:r>
        <w:t xml:space="preserve">.</w:t>
      </w:r>
    </w:p>
    <w:bookmarkEnd w:id="397"/>
    <w:bookmarkStart w:id="399"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98">
        <w:r>
          <w:rPr>
            <w:rStyle w:val="Hyperlink"/>
          </w:rPr>
          <w:t xml:space="preserve">https://doi.org/10.2307/1906943</w:t>
        </w:r>
      </w:hyperlink>
      <w:r>
        <w:t xml:space="preserve">.</w:t>
      </w:r>
    </w:p>
    <w:bookmarkEnd w:id="399"/>
    <w:bookmarkStart w:id="401" w:name="ref_Gorman1961Class"/>
    <w:p>
      <w:pPr>
        <w:pStyle w:val="Bibliography"/>
      </w:pPr>
      <w:r>
        <w:t xml:space="preserve">Gorman, William M.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400">
        <w:r>
          <w:rPr>
            <w:rStyle w:val="Hyperlink"/>
          </w:rPr>
          <w:t xml:space="preserve">https://doi.org/10.1111/j.1467-999X.1961.tb00819.x</w:t>
        </w:r>
      </w:hyperlink>
      <w:r>
        <w:t xml:space="preserve">.</w:t>
      </w:r>
    </w:p>
    <w:bookmarkEnd w:id="401"/>
    <w:bookmarkStart w:id="402" w:name="ref_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402"/>
    <w:bookmarkStart w:id="403" w:name="ref_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403"/>
    <w:bookmarkStart w:id="405" w:name="ref_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404">
        <w:r>
          <w:rPr>
            <w:rStyle w:val="Hyperlink"/>
          </w:rPr>
          <w:t xml:space="preserve">https://www.nber.org/system/files/chapters/c6492/c6492.pdf</w:t>
        </w:r>
      </w:hyperlink>
      <w:r>
        <w:t xml:space="preserve">.</w:t>
      </w:r>
    </w:p>
    <w:bookmarkEnd w:id="405"/>
    <w:bookmarkStart w:id="406" w:name="ref_Griliches1971Price"/>
    <w:p>
      <w:pPr>
        <w:pStyle w:val="Bibliography"/>
      </w:pPr>
      <w:r>
        <w:t xml:space="preserve">Griliches, Zvi, ed. (1971).</w:t>
      </w:r>
      <w:r>
        <w:t xml:space="preserve"> </w:t>
      </w:r>
      <w:r>
        <w:rPr>
          <w:i/>
          <w:iCs/>
        </w:rPr>
        <w:t xml:space="preserve">Price Indexes and Quality Change: Studies in New Methods of Measurement</w:t>
      </w:r>
      <w:r>
        <w:t xml:space="preserve">. Cambridge (Mass.): Harvard University Press.</w:t>
      </w:r>
    </w:p>
    <w:bookmarkEnd w:id="406"/>
    <w:bookmarkStart w:id="408"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407">
        <w:r>
          <w:rPr>
            <w:rStyle w:val="Hyperlink"/>
          </w:rPr>
          <w:t xml:space="preserve">https://doi.org/10.1086/260629</w:t>
        </w:r>
      </w:hyperlink>
      <w:r>
        <w:t xml:space="preserve">.</w:t>
      </w:r>
    </w:p>
    <w:bookmarkEnd w:id="408"/>
    <w:bookmarkStart w:id="410"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409">
        <w:r>
          <w:rPr>
            <w:rStyle w:val="Hyperlink"/>
          </w:rPr>
          <w:t xml:space="preserve">https://doi.org/10.2307/2548574</w:t>
        </w:r>
      </w:hyperlink>
      <w:r>
        <w:t xml:space="preserve">.</w:t>
      </w:r>
    </w:p>
    <w:bookmarkEnd w:id="410"/>
    <w:bookmarkStart w:id="412"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411">
        <w:r>
          <w:rPr>
            <w:rStyle w:val="Hyperlink"/>
          </w:rPr>
          <w:t xml:space="preserve">https://doi.org/10.2307/2549382</w:t>
        </w:r>
      </w:hyperlink>
      <w:r>
        <w:t xml:space="preserve">.</w:t>
      </w:r>
    </w:p>
    <w:bookmarkEnd w:id="412"/>
    <w:bookmarkStart w:id="413"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413"/>
    <w:bookmarkStart w:id="415"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414">
        <w:r>
          <w:rPr>
            <w:rStyle w:val="Hyperlink"/>
          </w:rPr>
          <w:t xml:space="preserve">https://www.ine.es/daco/daco42/daco4213/resmeto06.pdf</w:t>
        </w:r>
      </w:hyperlink>
      <w:r>
        <w:t xml:space="preserve">.</w:t>
      </w:r>
    </w:p>
    <w:bookmarkEnd w:id="415"/>
    <w:bookmarkStart w:id="417" w:name="ref_INE2026CNTRDemanda"/>
    <w:p>
      <w:pPr>
        <w:pStyle w:val="Bibliography"/>
      </w:pPr>
      <w:r>
        <w:t xml:space="preserve">Instituto Nacional de Estadística (2026a).</w:t>
      </w:r>
      <w:r>
        <w:t xml:space="preserve"> </w:t>
      </w:r>
      <w:r>
        <w:t xml:space="preserve">«Contabilidad Nacional Trimestral de España: principales agregados. PIB pm. Demanda (precios corrientes) (tabla 67823)»</w:t>
      </w:r>
      <w:r>
        <w:t xml:space="preserve">. 2026.</w:t>
      </w:r>
      <w:r>
        <w:t xml:space="preserve"> </w:t>
      </w:r>
      <w:hyperlink r:id="rId416">
        <w:r>
          <w:rPr>
            <w:rStyle w:val="Hyperlink"/>
          </w:rPr>
          <w:t xml:space="preserve">https://www.ine.es/jaxiT3/Tabla.htm?t=67823</w:t>
        </w:r>
      </w:hyperlink>
      <w:r>
        <w:t xml:space="preserve">.</w:t>
      </w:r>
    </w:p>
    <w:bookmarkEnd w:id="417"/>
    <w:bookmarkStart w:id="419" w:name="ref_INE2026EPFTabla73828"/>
    <w:p>
      <w:pPr>
        <w:pStyle w:val="Bibliography"/>
      </w:pPr>
      <w:r>
        <w:t xml:space="preserve">Instituto Nacional de Estadística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418">
        <w:r>
          <w:rPr>
            <w:rStyle w:val="Hyperlink"/>
          </w:rPr>
          <w:t xml:space="preserve">https://www.ine.es/jaxiT3/Tabla.htm?t=73828</w:t>
        </w:r>
      </w:hyperlink>
      <w:r>
        <w:t xml:space="preserve">.</w:t>
      </w:r>
    </w:p>
    <w:bookmarkEnd w:id="419"/>
    <w:bookmarkStart w:id="421" w:name="ref_INE2026IPCMetodologia"/>
    <w:p>
      <w:pPr>
        <w:pStyle w:val="Bibliography"/>
      </w:pPr>
      <w:r>
        <w:t xml:space="preserve">Instituto Nacional de Estadística (2026c).</w:t>
      </w:r>
      <w:r>
        <w:t xml:space="preserve"> </w:t>
      </w:r>
      <w:r>
        <w:t xml:space="preserve">«Índice de Precios de Consumo. Base 2025. Metodología»</w:t>
      </w:r>
      <w:r>
        <w:t xml:space="preserve">. enero de 2026.</w:t>
      </w:r>
      <w:r>
        <w:t xml:space="preserve"> </w:t>
      </w:r>
      <w:hyperlink r:id="rId420">
        <w:r>
          <w:rPr>
            <w:rStyle w:val="Hyperlink"/>
          </w:rPr>
          <w:t xml:space="preserve">https://www.ine.es/metodologia/t25/metodologia_IPC_base_2025.pdf</w:t>
        </w:r>
      </w:hyperlink>
      <w:r>
        <w:t xml:space="preserve">.</w:t>
      </w:r>
    </w:p>
    <w:bookmarkEnd w:id="421"/>
    <w:bookmarkStart w:id="423" w:name="ref_INE2026IPVMetodologia"/>
    <w:p>
      <w:pPr>
        <w:pStyle w:val="Bibliography"/>
      </w:pPr>
      <w:r>
        <w:t xml:space="preserve">Instituto Nacional de Estadística (2026d).</w:t>
      </w:r>
      <w:r>
        <w:t xml:space="preserve"> </w:t>
      </w:r>
      <w:r>
        <w:t xml:space="preserve">«Índice de Precios de Vivienda. Base 2025. Metodología»</w:t>
      </w:r>
      <w:r>
        <w:t xml:space="preserve">. junio de 2026.</w:t>
      </w:r>
      <w:r>
        <w:t xml:space="preserve"> </w:t>
      </w:r>
      <w:hyperlink r:id="rId422">
        <w:r>
          <w:rPr>
            <w:rStyle w:val="Hyperlink"/>
          </w:rPr>
          <w:t xml:space="preserve">https://www.ine.es/daco/daco42/ipv/metodologia2025.pdf</w:t>
        </w:r>
      </w:hyperlink>
      <w:r>
        <w:t xml:space="preserve">.</w:t>
      </w:r>
    </w:p>
    <w:bookmarkEnd w:id="423"/>
    <w:bookmarkStart w:id="425" w:name="ref_INE2026EPF"/>
    <w:p>
      <w:pPr>
        <w:pStyle w:val="Bibliography"/>
      </w:pPr>
      <w:r>
        <w:t xml:space="preserve">Instituto Nacional de Estadística (2026e).</w:t>
      </w:r>
      <w:r>
        <w:t xml:space="preserve"> </w:t>
      </w:r>
      <w:r>
        <w:t xml:space="preserve">«Encuesta de Presupuestos Familiares (EPF). Año 2025. Resultados definitivos. Nota de prensa»</w:t>
      </w:r>
      <w:r>
        <w:t xml:space="preserve">. 25 de junio de 2026.</w:t>
      </w:r>
      <w:r>
        <w:t xml:space="preserve"> </w:t>
      </w:r>
      <w:hyperlink r:id="rId424">
        <w:r>
          <w:rPr>
            <w:rStyle w:val="Hyperlink"/>
          </w:rPr>
          <w:t xml:space="preserve">https://www.ine.es/dyngs/Prensa/EPF2025.htm</w:t>
        </w:r>
      </w:hyperlink>
      <w:r>
        <w:t xml:space="preserve">.</w:t>
      </w:r>
    </w:p>
    <w:bookmarkEnd w:id="425"/>
    <w:bookmarkStart w:id="427"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426">
        <w:r>
          <w:rPr>
            <w:rStyle w:val="Hyperlink"/>
          </w:rPr>
          <w:t xml:space="preserve">https://www.ine.es/metodologia/t25/t2530p458.pdf</w:t>
        </w:r>
      </w:hyperlink>
      <w:r>
        <w:t xml:space="preserve">.</w:t>
      </w:r>
    </w:p>
    <w:bookmarkEnd w:id="427"/>
    <w:bookmarkStart w:id="429" w:name="ref_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428">
        <w:r>
          <w:rPr>
            <w:rStyle w:val="Hyperlink"/>
          </w:rPr>
          <w:t xml:space="preserve">https://doi.org/10.1257/aer.99.4.1097</w:t>
        </w:r>
      </w:hyperlink>
      <w:r>
        <w:t xml:space="preserve">.</w:t>
      </w:r>
    </w:p>
    <w:bookmarkEnd w:id="429"/>
    <w:bookmarkStart w:id="43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430"/>
    <w:bookmarkStart w:id="431" w:name="ref_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431"/>
    <w:bookmarkStart w:id="432"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432"/>
    <w:bookmarkStart w:id="434" w:name="ref_KahnemanKnetschThaler1990Endowment"/>
    <w:p>
      <w:pPr>
        <w:pStyle w:val="Bibliography"/>
      </w:pPr>
      <w:r>
        <w:t xml:space="preserve">Kahneman, Daniel, Jack L. Knetsch y Richard H. Thaler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433">
        <w:r>
          <w:rPr>
            <w:rStyle w:val="Hyperlink"/>
          </w:rPr>
          <w:t xml:space="preserve">https://doi.org/10.1086/261737</w:t>
        </w:r>
      </w:hyperlink>
      <w:r>
        <w:t xml:space="preserve">.</w:t>
      </w:r>
    </w:p>
    <w:bookmarkEnd w:id="434"/>
    <w:bookmarkStart w:id="436"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435">
        <w:r>
          <w:rPr>
            <w:rStyle w:val="Hyperlink"/>
          </w:rPr>
          <w:t xml:space="preserve">https://doi.org/10.2307/1914185</w:t>
        </w:r>
      </w:hyperlink>
      <w:r>
        <w:t xml:space="preserve">.</w:t>
      </w:r>
    </w:p>
    <w:bookmarkEnd w:id="436"/>
    <w:bookmarkStart w:id="438" w:name="ref_KahnemanTversky1984Choices"/>
    <w:p>
      <w:pPr>
        <w:pStyle w:val="Bibliography"/>
      </w:pPr>
      <w:r>
        <w:t xml:space="preserve">Kahneman, Daniel y Amos Tversky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437">
        <w:r>
          <w:rPr>
            <w:rStyle w:val="Hyperlink"/>
          </w:rPr>
          <w:t xml:space="preserve">https://doi.org/10.1037/0003-066X.39.4.341</w:t>
        </w:r>
      </w:hyperlink>
      <w:r>
        <w:t xml:space="preserve">.</w:t>
      </w:r>
    </w:p>
    <w:bookmarkEnd w:id="438"/>
    <w:bookmarkStart w:id="440"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439">
        <w:r>
          <w:rPr>
            <w:rStyle w:val="Hyperlink"/>
          </w:rPr>
          <w:t xml:space="preserve">https://doi.org/10.2307/1911539</w:t>
        </w:r>
      </w:hyperlink>
      <w:r>
        <w:t xml:space="preserve">.</w:t>
      </w:r>
    </w:p>
    <w:bookmarkEnd w:id="440"/>
    <w:bookmarkStart w:id="442" w:name="ref_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441">
        <w:r>
          <w:rPr>
            <w:rStyle w:val="Hyperlink"/>
          </w:rPr>
          <w:t xml:space="preserve">https://doi.org/10.1016/0304-3932(88)90030-X</w:t>
        </w:r>
      </w:hyperlink>
      <w:r>
        <w:t xml:space="preserve">.</w:t>
      </w:r>
    </w:p>
    <w:bookmarkEnd w:id="442"/>
    <w:bookmarkStart w:id="444" w:name="ref_KingPlosserRebelo2002Appendix"/>
    <w:p>
      <w:pPr>
        <w:pStyle w:val="Bibliography"/>
      </w:pPr>
      <w:r>
        <w:t xml:space="preserve">King, Robert G., Charles I. Plosser y Sergio T. Rebelo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443">
        <w:r>
          <w:rPr>
            <w:rStyle w:val="Hyperlink"/>
          </w:rPr>
          <w:t xml:space="preserve">https://doi.org/10.1023/A:1020529028761</w:t>
        </w:r>
      </w:hyperlink>
      <w:r>
        <w:t xml:space="preserve">.</w:t>
      </w:r>
    </w:p>
    <w:bookmarkEnd w:id="444"/>
    <w:bookmarkStart w:id="445" w:name="ref_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445"/>
    <w:bookmarkStart w:id="447"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446">
        <w:r>
          <w:rPr>
            <w:rStyle w:val="Hyperlink"/>
          </w:rPr>
          <w:t xml:space="preserve">https://www.nobelprize.org/prizes/economic-sciences/2017/press-release/</w:t>
        </w:r>
      </w:hyperlink>
      <w:r>
        <w:t xml:space="preserve">.</w:t>
      </w:r>
    </w:p>
    <w:bookmarkEnd w:id="447"/>
    <w:bookmarkStart w:id="449"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448">
        <w:r>
          <w:rPr>
            <w:rStyle w:val="Hyperlink"/>
          </w:rPr>
          <w:t xml:space="preserve">https://doi.org/10.1086/259131</w:t>
        </w:r>
      </w:hyperlink>
      <w:r>
        <w:t xml:space="preserve">.</w:t>
      </w:r>
    </w:p>
    <w:bookmarkEnd w:id="449"/>
    <w:bookmarkStart w:id="450" w:name="ref_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450"/>
    <w:bookmarkStart w:id="451"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451"/>
    <w:bookmarkStart w:id="453" w:name="ref_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452">
        <w:r>
          <w:rPr>
            <w:rStyle w:val="Hyperlink"/>
          </w:rPr>
          <w:t xml:space="preserve">https://doi.org/10.2307/2975974</w:t>
        </w:r>
      </w:hyperlink>
      <w:r>
        <w:t xml:space="preserve">.</w:t>
      </w:r>
    </w:p>
    <w:bookmarkEnd w:id="453"/>
    <w:bookmarkStart w:id="45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54">
        <w:r>
          <w:rPr>
            <w:rStyle w:val="Hyperlink"/>
          </w:rPr>
          <w:t xml:space="preserve">https://www.marxists.org/reference/subject/economics/marshall/bk1ch01.htm</w:t>
        </w:r>
      </w:hyperlink>
      <w:r>
        <w:t xml:space="preserve">.</w:t>
      </w:r>
    </w:p>
    <w:bookmarkEnd w:id="455"/>
    <w:bookmarkStart w:id="45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56"/>
    <w:bookmarkStart w:id="458"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457">
        <w:r>
          <w:rPr>
            <w:rStyle w:val="Hyperlink"/>
          </w:rPr>
          <w:t xml:space="preserve">https://doi.org/10.2307/2296792</w:t>
        </w:r>
      </w:hyperlink>
      <w:r>
        <w:t xml:space="preserve">.</w:t>
      </w:r>
    </w:p>
    <w:bookmarkEnd w:id="458"/>
    <w:bookmarkStart w:id="460"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459">
        <w:r>
          <w:rPr>
            <w:rStyle w:val="Hyperlink"/>
          </w:rPr>
          <w:t xml:space="preserve">https://doi.org/10.2307/1911540</w:t>
        </w:r>
      </w:hyperlink>
      <w:r>
        <w:t xml:space="preserve">.</w:t>
      </w:r>
    </w:p>
    <w:bookmarkEnd w:id="460"/>
    <w:bookmarkStart w:id="462" w:name="ref_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461">
        <w:r>
          <w:rPr>
            <w:rStyle w:val="Hyperlink"/>
          </w:rPr>
          <w:t xml:space="preserve">https://doi.org/10.11647/OBP.0204</w:t>
        </w:r>
      </w:hyperlink>
      <w:r>
        <w:t xml:space="preserve">.</w:t>
      </w:r>
    </w:p>
    <w:bookmarkEnd w:id="462"/>
    <w:bookmarkStart w:id="463" w:name="ref_Pareto1896Cours"/>
    <w:p>
      <w:pPr>
        <w:pStyle w:val="Bibliography"/>
      </w:pPr>
      <w:r>
        <w:t xml:space="preserve">Pareto, Vilfredo (1896).</w:t>
      </w:r>
      <w:r>
        <w:t xml:space="preserve"> </w:t>
      </w:r>
      <w:r>
        <w:rPr>
          <w:i/>
          <w:iCs/>
        </w:rPr>
        <w:t xml:space="preserve">Cours d’économie politique</w:t>
      </w:r>
      <w:r>
        <w:t xml:space="preserve">. Lausana: F. Rouge.</w:t>
      </w:r>
    </w:p>
    <w:bookmarkEnd w:id="463"/>
    <w:bookmarkStart w:id="46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464"/>
    <w:bookmarkStart w:id="46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65"/>
    <w:bookmarkStart w:id="466" w:name="ref_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66"/>
    <w:bookmarkStart w:id="468" w:name="ref_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67">
        <w:r>
          <w:rPr>
            <w:rStyle w:val="Hyperlink"/>
          </w:rPr>
          <w:t xml:space="preserve">https://doi.org/10.1086/260169</w:t>
        </w:r>
      </w:hyperlink>
      <w:r>
        <w:t xml:space="preserve">.</w:t>
      </w:r>
    </w:p>
    <w:bookmarkEnd w:id="468"/>
    <w:bookmarkStart w:id="469" w:name="ref_Rosen1999Potato"/>
    <w:p>
      <w:pPr>
        <w:pStyle w:val="Bibliography"/>
      </w:pPr>
      <w:r>
        <w:t xml:space="preserve">Rosen, Sherwin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69"/>
    <w:bookmarkStart w:id="471"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70">
        <w:r>
          <w:rPr>
            <w:rStyle w:val="Hyperlink"/>
          </w:rPr>
          <w:t xml:space="preserve">https://doi.org/10.2307/1905479</w:t>
        </w:r>
      </w:hyperlink>
      <w:r>
        <w:t xml:space="preserve">.</w:t>
      </w:r>
    </w:p>
    <w:bookmarkEnd w:id="471"/>
    <w:bookmarkStart w:id="473"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72">
        <w:r>
          <w:rPr>
            <w:rStyle w:val="Hyperlink"/>
          </w:rPr>
          <w:t xml:space="preserve">https://doi.org/10.2307/2548836</w:t>
        </w:r>
      </w:hyperlink>
      <w:r>
        <w:t xml:space="preserve">.</w:t>
      </w:r>
    </w:p>
    <w:bookmarkEnd w:id="473"/>
    <w:bookmarkStart w:id="475"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74">
        <w:r>
          <w:rPr>
            <w:rStyle w:val="Hyperlink"/>
          </w:rPr>
          <w:t xml:space="preserve">https://doi.org/10.2307/2549561</w:t>
        </w:r>
      </w:hyperlink>
      <w:r>
        <w:t xml:space="preserve">.</w:t>
      </w:r>
    </w:p>
    <w:bookmarkEnd w:id="475"/>
    <w:bookmarkStart w:id="47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76"/>
    <w:bookmarkStart w:id="477" w:name="ref_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77"/>
    <w:bookmarkStart w:id="478" w:name="ref_Sen1977Rational"/>
    <w:p>
      <w:pPr>
        <w:pStyle w:val="Bibliography"/>
      </w:pPr>
      <w:r>
        <w:t xml:space="preserve">Sen, Amartya K.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78"/>
    <w:bookmarkStart w:id="480"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79">
        <w:r>
          <w:rPr>
            <w:rStyle w:val="Hyperlink"/>
          </w:rPr>
          <w:t xml:space="preserve">https://doi.org/10.2307/1884852</w:t>
        </w:r>
      </w:hyperlink>
      <w:r>
        <w:t xml:space="preserve">.</w:t>
      </w:r>
    </w:p>
    <w:bookmarkEnd w:id="480"/>
    <w:bookmarkStart w:id="481"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81"/>
    <w:bookmarkStart w:id="483"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82">
        <w:r>
          <w:rPr>
            <w:rStyle w:val="Hyperlink"/>
          </w:rPr>
          <w:t xml:space="preserve">https://doi.org/10.2307/1913184</w:t>
        </w:r>
      </w:hyperlink>
      <w:r>
        <w:t xml:space="preserve">.</w:t>
      </w:r>
    </w:p>
    <w:bookmarkEnd w:id="483"/>
    <w:bookmarkStart w:id="485"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84">
        <w:r>
          <w:rPr>
            <w:rStyle w:val="Hyperlink"/>
          </w:rPr>
          <w:t xml:space="preserve">https://doi.org/10.1016/0022-0531(73)90066-5</w:t>
        </w:r>
      </w:hyperlink>
      <w:r>
        <w:t xml:space="preserve">.</w:t>
      </w:r>
    </w:p>
    <w:bookmarkEnd w:id="485"/>
    <w:bookmarkStart w:id="487"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86">
        <w:r>
          <w:rPr>
            <w:rStyle w:val="Hyperlink"/>
          </w:rPr>
          <w:t xml:space="preserve">https://doi.org/10.2307/1909201</w:t>
        </w:r>
      </w:hyperlink>
      <w:r>
        <w:t xml:space="preserve">.</w:t>
      </w:r>
    </w:p>
    <w:bookmarkEnd w:id="487"/>
    <w:bookmarkStart w:id="48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88">
        <w:r>
          <w:rPr>
            <w:rStyle w:val="Hyperlink"/>
          </w:rPr>
          <w:t xml:space="preserve">https://doi.org/10.1086/258464</w:t>
        </w:r>
      </w:hyperlink>
      <w:r>
        <w:t xml:space="preserve">.</w:t>
      </w:r>
    </w:p>
    <w:bookmarkEnd w:id="489"/>
    <w:bookmarkStart w:id="49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90">
        <w:r>
          <w:rPr>
            <w:rStyle w:val="Hyperlink"/>
          </w:rPr>
          <w:t xml:space="preserve">https://doi.org/10.2307/2227743</w:t>
        </w:r>
      </w:hyperlink>
      <w:r>
        <w:t xml:space="preserve">.</w:t>
      </w:r>
    </w:p>
    <w:bookmarkEnd w:id="491"/>
    <w:bookmarkStart w:id="492"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92"/>
    <w:bookmarkStart w:id="494" w:name="ref_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93">
        <w:r>
          <w:rPr>
            <w:rStyle w:val="Hyperlink"/>
          </w:rPr>
          <w:t xml:space="preserve">https://doi.org/10.1016/0167-2681(80)90051-7</w:t>
        </w:r>
      </w:hyperlink>
      <w:r>
        <w:t xml:space="preserve">.</w:t>
      </w:r>
    </w:p>
    <w:bookmarkEnd w:id="494"/>
    <w:bookmarkStart w:id="496" w:name="ref_Thaler1985Mental"/>
    <w:p>
      <w:pPr>
        <w:pStyle w:val="Bibliography"/>
      </w:pPr>
      <w:r>
        <w:t xml:space="preserve">Thaler, Richard H.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95">
        <w:r>
          <w:rPr>
            <w:rStyle w:val="Hyperlink"/>
          </w:rPr>
          <w:t xml:space="preserve">https://doi.org/10.1287/mksc.4.3.199</w:t>
        </w:r>
      </w:hyperlink>
      <w:r>
        <w:t xml:space="preserve">.</w:t>
      </w:r>
    </w:p>
    <w:bookmarkEnd w:id="496"/>
    <w:bookmarkStart w:id="498"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97">
        <w:r>
          <w:rPr>
            <w:rStyle w:val="Hyperlink"/>
          </w:rPr>
          <w:t xml:space="preserve">https://www.nobelprize.org/prizes/economic-sciences/1970/summary/</w:t>
        </w:r>
      </w:hyperlink>
      <w:r>
        <w:t xml:space="preserve">.</w:t>
      </w:r>
    </w:p>
    <w:bookmarkEnd w:id="498"/>
    <w:bookmarkStart w:id="500" w:name="ref_Nobel1992Becker"/>
    <w:p>
      <w:pPr>
        <w:pStyle w:val="Bibliography"/>
      </w:pPr>
      <w:r>
        <w:t xml:space="preserve">The Nobel Prize (1992).</w:t>
      </w:r>
      <w:r>
        <w:t xml:space="preserve"> </w:t>
      </w:r>
      <w:r>
        <w:t xml:space="preserve">«The Sveriges Riksbank Prize in Economic Sciences in Memory of Alfred Nobel 1992: Gary S. Becker»</w:t>
      </w:r>
      <w:r>
        <w:t xml:space="preserve">. 1992.</w:t>
      </w:r>
      <w:r>
        <w:t xml:space="preserve"> </w:t>
      </w:r>
      <w:hyperlink r:id="rId499">
        <w:r>
          <w:rPr>
            <w:rStyle w:val="Hyperlink"/>
          </w:rPr>
          <w:t xml:space="preserve">https://www.nobelprize.org/prizes/economic-sciences/1992/summary/</w:t>
        </w:r>
      </w:hyperlink>
      <w:r>
        <w:t xml:space="preserve">.</w:t>
      </w:r>
    </w:p>
    <w:bookmarkEnd w:id="500"/>
    <w:bookmarkStart w:id="502"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501">
        <w:r>
          <w:rPr>
            <w:rStyle w:val="Hyperlink"/>
          </w:rPr>
          <w:t xml:space="preserve">https://www.nobelprize.org/prizes/economic-sciences/2015/summary/</w:t>
        </w:r>
      </w:hyperlink>
      <w:r>
        <w:t xml:space="preserve">.</w:t>
      </w:r>
    </w:p>
    <w:bookmarkEnd w:id="502"/>
    <w:bookmarkStart w:id="504"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503">
        <w:r>
          <w:rPr>
            <w:rStyle w:val="Hyperlink"/>
          </w:rPr>
          <w:t xml:space="preserve">https://doi.org/10.2307/1911889</w:t>
        </w:r>
      </w:hyperlink>
      <w:r>
        <w:t xml:space="preserve">.</w:t>
      </w:r>
    </w:p>
    <w:bookmarkEnd w:id="504"/>
    <w:bookmarkStart w:id="506" w:name="ref_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505">
        <w:r>
          <w:rPr>
            <w:rStyle w:val="Hyperlink"/>
          </w:rPr>
          <w:t xml:space="preserve">https://doi.org/10.1787/9789264028159-en</w:t>
        </w:r>
      </w:hyperlink>
      <w:r>
        <w:t xml:space="preserve">.</w:t>
      </w:r>
    </w:p>
    <w:bookmarkEnd w:id="506"/>
    <w:bookmarkStart w:id="508"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507">
        <w:r>
          <w:rPr>
            <w:rStyle w:val="Hyperlink"/>
          </w:rPr>
          <w:t xml:space="preserve">https://doi.org/10.1126/science.7455683</w:t>
        </w:r>
      </w:hyperlink>
      <w:r>
        <w:t xml:space="preserve">.</w:t>
      </w:r>
    </w:p>
    <w:bookmarkEnd w:id="508"/>
    <w:bookmarkStart w:id="510" w:name="ref_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509">
        <w:r>
          <w:rPr>
            <w:rStyle w:val="Hyperlink"/>
          </w:rPr>
          <w:t xml:space="preserve">https://www.bls.gov/cpi/quality-adjustment/</w:t>
        </w:r>
      </w:hyperlink>
      <w:r>
        <w:t xml:space="preserve">.</w:t>
      </w:r>
    </w:p>
    <w:bookmarkEnd w:id="510"/>
    <w:bookmarkStart w:id="512" w:name="ref_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511">
        <w:r>
          <w:rPr>
            <w:rStyle w:val="Hyperlink"/>
          </w:rPr>
          <w:t xml:space="preserve">https://doi.org/10.2307/1912771</w:t>
        </w:r>
      </w:hyperlink>
      <w:r>
        <w:t xml:space="preserve">.</w:t>
      </w:r>
    </w:p>
    <w:bookmarkEnd w:id="512"/>
    <w:bookmarkStart w:id="513" w:name="ref_Varian2016Intermedia"/>
    <w:p>
      <w:pPr>
        <w:pStyle w:val="Bibliography"/>
      </w:pPr>
      <w:r>
        <w:t xml:space="preserve">Varian, Hal R. (2016).</w:t>
      </w:r>
      <w:r>
        <w:t xml:space="preserve"> </w:t>
      </w:r>
      <w:r>
        <w:rPr>
          <w:i/>
          <w:iCs/>
        </w:rPr>
        <w:t xml:space="preserve">Microeconomía intermedia: un enfoque actual</w:t>
      </w:r>
      <w:r>
        <w:t xml:space="preserve">. Traducido por María Esther Rabasco. 9.ª ed. Barcelona: Antoni Bosch.</w:t>
      </w:r>
    </w:p>
    <w:bookmarkEnd w:id="513"/>
    <w:bookmarkStart w:id="514"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514"/>
    <w:bookmarkStart w:id="515" w:name="ref_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515"/>
    <w:bookmarkStart w:id="516"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516"/>
    <w:bookmarkEnd w:id="517"/>
    <w:bookmarkEnd w:id="51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hyperlink r:id="rId22">
        <w:r>
          <w:rPr>
            <w:rStyle w:val="Referenciaatema"/>
          </w:rPr>
          <w:t xml:space="preserve">[ver tema 3.A.16]</w:t>
        </w:r>
      </w:hyperlink>
      <w:r>
        <w:t xml:space="preserve"> </w:t>
      </w:r>
      <w:r>
        <w:t xml:space="preserve">y del equilibrio general</w:t>
      </w:r>
      <w:r>
        <w:t xml:space="preserve"> </w:t>
      </w:r>
      <w:hyperlink r:id="rId23">
        <w:r>
          <w:rPr>
            <w:rStyle w:val="Referenciaatema"/>
          </w:rPr>
          <w:t xml:space="preserve">[ver tema 3.A.21]</w:t>
        </w:r>
      </w:hyperlink>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4">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5">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8">
    <w:p>
      <w:pPr>
        <w:pStyle w:val="FootnoteText"/>
      </w:pPr>
      <w:r>
        <w:rPr>
          <w:rStyle w:val="FootnoteReference"/>
        </w:rPr>
        <w:footnoteRef/>
      </w:r>
      <w:r>
        <w:t xml:space="preserve"> </w:t>
      </w:r>
      <w:r>
        <w:t xml:space="preserve">Francis Ysidro</w:t>
      </w:r>
      <w:r>
        <w:t xml:space="preserve"> </w:t>
      </w:r>
      <w:r>
        <w:rPr>
          <w:smallCaps/>
        </w:rPr>
        <w:t xml:space="preserve">Edgeworth</w:t>
      </w:r>
      <w:r>
        <w:t xml:space="preserve">. El nombre de «Ysidro» se debe a su madre, Rosa Florentina</w:t>
      </w:r>
      <w:r>
        <w:t xml:space="preserve"> </w:t>
      </w:r>
      <w:r>
        <w:rPr>
          <w:smallCaps/>
        </w:rPr>
        <w:t xml:space="preserve">Eroles</w:t>
      </w:r>
      <w:r>
        <w:t xml:space="preserve">, hija de un exiliado catalán de ideas liberales refugiado en Londres huyendo del absolutismo de Fernando VII</w:t>
      </w:r>
      <w:r>
        <w:t xml:space="preserve"> </w:t>
      </w:r>
      <w:r>
        <w:t xml:space="preserve">(</w:t>
      </w:r>
      <w:hyperlink w:anchor="ref_Barbe2006Edgeworth">
        <w:r>
          <w:rPr>
            <w:rStyle w:val="Hyperlink"/>
            <w:smallCaps/>
          </w:rPr>
          <w:t xml:space="preserve">Barbé</w:t>
        </w:r>
        <w:r>
          <w:rPr>
            <w:rStyle w:val="Hyperlink"/>
          </w:rPr>
          <w:t xml:space="preserve">, 2006</w:t>
        </w:r>
      </w:hyperlink>
      <w:r>
        <w:t xml:space="preserve">)</w:t>
      </w:r>
      <w:r>
        <w:t xml:space="preserve">. Es una de las pocas apariciones de España en la historia del pensamiento económico.</w:t>
      </w:r>
    </w:p>
  </w:footnote>
  <w:footnote w:id="29">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32">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9">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hyperlink r:id="rId40">
        <w:r>
          <w:rPr>
            <w:rStyle w:val="Referenciaatema"/>
          </w:rPr>
          <w:t xml:space="preserve">[ver tema 3.A.33]</w:t>
        </w:r>
      </w:hyperlink>
      <w:r>
        <w:t xml:space="preserve">. Tampoco se analiza la elección entre ocio y trabajo</w:t>
      </w:r>
      <w:r>
        <w:t xml:space="preserve"> </w:t>
      </w:r>
      <w:hyperlink r:id="rId37">
        <w:r>
          <w:rPr>
            <w:rStyle w:val="Referenciaatema"/>
          </w:rPr>
          <w:t xml:space="preserve">[ver tema 3.A.25]</w:t>
        </w:r>
      </w:hyperlink>
      <w:r>
        <w:t xml:space="preserve">.</w:t>
      </w:r>
    </w:p>
  </w:footnote>
  <w:footnote w:id="41">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4</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2.C</w:t>
        </w:r>
      </w:hyperlink>
      <w:r>
        <w:t xml:space="preserve">)</w:t>
      </w:r>
      <w:r>
        <w:t xml:space="preserve">.</w:t>
      </w:r>
    </w:p>
  </w:footnote>
  <w:footnote w:id="57">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2.</w:t>
      </w:r>
    </w:p>
  </w:footnote>
  <w:footnote w:id="58">
    <w:p>
      <w:pPr>
        <w:pStyle w:val="FootnoteText"/>
      </w:pPr>
      <w:r>
        <w:rPr>
          <w:rStyle w:val="FootnoteReference"/>
        </w:rPr>
        <w:footnoteRef/>
      </w:r>
      <w:r>
        <w:t xml:space="preserve"> </w:t>
      </w:r>
      <w:r>
        <w:t xml:space="preserve">En algunos manuales la reflexividad se presenta como corolario de la completitud.</w:t>
      </w:r>
    </w:p>
  </w:footnote>
  <w:footnote w:id="59">
    <w:p>
      <w:pPr>
        <w:pStyle w:val="FootnoteText"/>
      </w:pPr>
      <w:r>
        <w:rPr>
          <w:rStyle w:val="FootnoteReference"/>
        </w:rPr>
        <w:footnoteRef/>
      </w:r>
      <w:r>
        <w:t xml:space="preserve"> </w:t>
      </w:r>
      <w:r>
        <w:t xml:space="preserve">Es decir,</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pero</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w:t>
      </w:r>
    </w:p>
  </w:footnote>
  <w:footnote w:id="60">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9"/>
        </w:numPr>
      </w:pPr>
      <w:r>
        <w:t xml:space="preserve">las</w:t>
      </w:r>
      <w:r>
        <w:t xml:space="preserve"> </w:t>
      </w:r>
      <w:r>
        <w:rPr>
          <w:i/>
          <w:iCs/>
        </w:rPr>
        <w:t xml:space="preserve">diferencias apenas perceptibles</w:t>
      </w:r>
      <w:r>
        <w:t xml:space="preserve">: si ofrecemos a alguien elegir entre 2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9"/>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1981</w:t>
        </w:r>
      </w:hyperlink>
      <w:r>
        <w:t xml:space="preserve">;</w:t>
      </w:r>
      <w:r>
        <w:t xml:space="preserve"> </w:t>
      </w:r>
      <w:hyperlink w:anchor="ref_KahnemanTversky1984Choices">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1984</w:t>
        </w:r>
      </w:hyperlink>
      <w:r>
        <w:t xml:space="preserve">)</w:t>
      </w:r>
      <w:r>
        <w:t xml:space="preserve">;</w:t>
      </w:r>
    </w:p>
    <w:p>
      <w:pPr>
        <w:pStyle w:val="FootnoteText"/>
        <w:numPr>
          <w:ilvl w:val="0"/>
          <w:numId w:val="1029"/>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hyperlink r:id="rId61">
        <w:r>
          <w:rPr>
            <w:rStyle w:val="Referenciaatema"/>
          </w:rPr>
          <w:t xml:space="preserve">[ver tema 3.A.24]</w:t>
        </w:r>
      </w:hyperlink>
      <w:r>
        <w:t xml:space="preserve">.</w:t>
      </w:r>
    </w:p>
  </w:footnote>
  <w:footnote w:id="62">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y aquí 2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64">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6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66">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ejemplo 3.C.1)</w:t>
      </w:r>
      <w:r>
        <w:t xml:space="preserve">;</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footnote>
  <w:footnote w:id="67">
    <w:p>
      <w:pPr>
        <w:pStyle w:val="FootnoteText"/>
      </w:pPr>
      <w:r>
        <w:rPr>
          <w:rStyle w:val="FootnoteReference"/>
        </w:rPr>
        <w:footnoteRef/>
      </w:r>
      <w:r>
        <w:t xml:space="preserve"> </w:t>
      </w:r>
      <w:r>
        <w:t xml:space="preserve">Es el teorema de</w:t>
      </w:r>
      <w:r>
        <w:t xml:space="preserve"> </w:t>
      </w:r>
      <w:r>
        <w:rPr>
          <w:smallCaps/>
        </w:rPr>
        <w:t xml:space="preserve">Arrow</w:t>
      </w:r>
      <w:r>
        <w:t xml:space="preserve"> </w:t>
      </w:r>
      <w:r>
        <w:t xml:space="preserve">y</w:t>
      </w:r>
      <w:r>
        <w:t xml:space="preserve"> </w:t>
      </w:r>
      <w:r>
        <w:rPr>
          <w:smallCaps/>
        </w:rPr>
        <w:t xml:space="preserve">Enthoven</w:t>
      </w:r>
      <w:r>
        <w:t xml:space="preserve"> </w:t>
      </w:r>
      <w:r>
        <w:t xml:space="preserve">(</w:t>
      </w:r>
      <w:hyperlink w:anchor="ref_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hyperlink r:id="rId68">
        <w:r>
          <w:rPr>
            <w:rStyle w:val="Referenciaatema"/>
          </w:rPr>
          <w:t xml:space="preserve">[ver tema 3.A.22]</w:t>
        </w:r>
      </w:hyperlink>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 Con muchos consumidores, la no convexidad de las preferencias individuales pierde importancia</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w:t>
      </w:r>
    </w:p>
  </w:footnote>
  <w:footnote w:id="69">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75">
    <w:p>
      <w:pPr>
        <w:pStyle w:val="FootnoteText"/>
      </w:pPr>
      <w:r>
        <w:rPr>
          <w:rStyle w:val="FootnoteReference"/>
        </w:rPr>
        <w:footnoteRef/>
      </w:r>
      <w:r>
        <w:t xml:space="preserve"> </w:t>
      </w: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_Pareto1896Cours">
        <w:r>
          <w:rPr>
            <w:rStyle w:val="Hyperlink"/>
            <w:smallCaps/>
          </w:rPr>
          <w:t xml:space="preserve">Pareto</w:t>
        </w:r>
        <w:r>
          <w:rPr>
            <w:rStyle w:val="Hyperlink"/>
          </w:rPr>
          <w:t xml:space="preserve">, 1896</w:t>
        </w:r>
      </w:hyperlink>
      <w:r>
        <w:t xml:space="preserve">)</w:t>
      </w:r>
      <w:r>
        <w:t xml:space="preserve">.</w:t>
      </w:r>
      <w:r>
        <w:t xml:space="preserve"> </w:t>
      </w:r>
      <w:r>
        <w:rPr>
          <w:smallCaps/>
        </w:rPr>
        <w:t xml:space="preserve">Fisher</w:t>
      </w:r>
      <w:r>
        <w:t xml:space="preserve"> </w:t>
      </w:r>
      <w:r>
        <w:t xml:space="preserve">(</w:t>
      </w:r>
      <w:hyperlink w:anchor="ref_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76">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82">
    <w:p>
      <w:pPr>
        <w:pStyle w:val="FootnoteText"/>
      </w:pPr>
      <w:r>
        <w:rPr>
          <w:rStyle w:val="FootnoteReference"/>
        </w:rPr>
        <w:footnoteRef/>
      </w:r>
      <w:r>
        <w:t xml:space="preserve"> </w:t>
      </w:r>
      <w:r>
        <w:t xml:space="preserve">Véase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3.C</w:t>
        </w:r>
      </w:hyperlink>
      <w:r>
        <w:t xml:space="preserve">)</w:t>
      </w:r>
      <w:r>
        <w:t xml:space="preserve"> </w:t>
      </w:r>
      <w:r>
        <w:t xml:space="preserve">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1</w:t>
        </w:r>
      </w:hyperlink>
      <w:r>
        <w:t xml:space="preserve">)</w:t>
      </w:r>
      <w:r>
        <w:t xml:space="preserve">. Una presentación gráfica de la concavidad y la cuasiconcavidad en</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el criterio de la hessiana y de la hessiana orlada, en</w:t>
      </w:r>
      <w:r>
        <w:t xml:space="preserve"> </w:t>
      </w:r>
      <w:hyperlink r:id="rId30">
        <w:r>
          <w:rPr>
            <w:rStyle w:val="Referenciaatema"/>
          </w:rPr>
          <w:t xml:space="preserve">[ver tema 3.A.9]</w:t>
        </w:r>
      </w:hyperlink>
      <w:r>
        <w:t xml:space="preserve"> </w:t>
      </w:r>
      <w:r>
        <w:t xml:space="preserve">(anexo).</w:t>
      </w:r>
    </w:p>
  </w:footnote>
  <w:footnote w:id="8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8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96">
    <w:p>
      <w:pPr>
        <w:pStyle w:val="FootnoteText"/>
      </w:pPr>
      <w:r>
        <w:rPr>
          <w:rStyle w:val="FootnoteReference"/>
        </w:rPr>
        <w:footnoteRef/>
      </w:r>
      <w:r>
        <w:t xml:space="preserve"> </w:t>
      </w:r>
      <w:r>
        <w:t xml:space="preserve">Habitualmente la RMS se define en valor absoluto porque, con 2 bienes, la pendiente de la curva de indiferencia es negativa. Así lo haremos en todo el tema: la pendiente de la curva es</w:t>
      </w:r>
      <w:r>
        <w:t xml:space="preserve"> </w:t>
      </w:r>
      <m:oMath>
        <m:r>
          <m:rPr>
            <m:sty m:val="p"/>
          </m:rPr>
          <m:t>−</m:t>
        </m:r>
        <m:sSub>
          <m:e>
            <m:r>
              <m:rPr>
                <m:sty m:val="p"/>
              </m:rPr>
              <m:t>R</m:t>
            </m:r>
            <m:r>
              <m:rPr>
                <m:sty m:val="p"/>
              </m:rPr>
              <m:t>M</m:t>
            </m:r>
            <m:r>
              <m:rPr>
                <m:sty m:val="p"/>
              </m:rPr>
              <m:t>S</m:t>
            </m:r>
          </m:e>
          <m:sub>
            <m:r>
              <m:t>12</m:t>
            </m:r>
          </m:sub>
        </m:sSub>
      </m:oMath>
      <w:r>
        <w:t xml:space="preserve">.</w:t>
      </w:r>
    </w:p>
  </w:footnote>
  <w:footnote w:id="106">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hyperlink r:id="rId30">
        <w:r>
          <w:rPr>
            <w:rStyle w:val="Referenciaatema"/>
          </w:rPr>
          <w:t xml:space="preserve">[ver tema 3.A.9]</w:t>
        </w:r>
      </w:hyperlink>
      <w:r>
        <w:t xml:space="preserve">.</w:t>
      </w:r>
    </w:p>
  </w:footnote>
  <w:footnote w:id="108">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109">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18">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w:t>
      </w:r>
      <w:hyperlink w:anchor="anexo_cardinal">
        <w:r>
          <w:rPr>
            <w:rStyle w:val="Hyperlink"/>
          </w:rPr>
          <w:t xml:space="preserve">E</w:t>
        </w:r>
      </w:hyperlink>
      <w:r>
        <w:t xml:space="preserve">).</w:t>
      </w:r>
    </w:p>
  </w:footnote>
  <w:footnote w:id="131">
    <w:p>
      <w:pPr>
        <w:pStyle w:val="FootnoteText"/>
      </w:pPr>
      <w:r>
        <w:rPr>
          <w:rStyle w:val="FootnoteReference"/>
        </w:rPr>
        <w:footnoteRef/>
      </w:r>
      <w:r>
        <w:t xml:space="preserve"> </w:t>
      </w:r>
      <w:r>
        <w:t xml:space="preserve">Esto permitirá, en el apartado </w:t>
      </w:r>
      <w:hyperlink w:anchor="sec_analisis_teoria_neoclasica_demanda">
        <w:r>
          <w:rPr>
            <w:rStyle w:val="Hyperlink"/>
          </w:rPr>
          <w:t xml:space="preserve">II</w:t>
        </w:r>
      </w:hyperlink>
      <w:r>
        <w:t xml:space="preserve">, hacer estática comparativa: estudiar cómo cambian las demandas ante cambios en los parámetros del problema.</w:t>
      </w:r>
    </w:p>
  </w:footnote>
  <w:footnote w:id="133">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34">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35">
    <w:p>
      <w:pPr>
        <w:pStyle w:val="FootnoteText"/>
      </w:pPr>
      <w:r>
        <w:rPr>
          <w:rStyle w:val="FootnoteReference"/>
        </w:rPr>
        <w:footnoteRef/>
      </w:r>
      <w:r>
        <w:t xml:space="preserve"> </w:t>
      </w:r>
      <w:r>
        <w:t xml:space="preserve">Si se multiplican precios y renta por</w:t>
      </w:r>
      <w:r>
        <w:t xml:space="preserve"> </w:t>
      </w:r>
      <m:oMath>
        <m:r>
          <m:t>κ</m:t>
        </m:r>
        <m:r>
          <m:rPr>
            <m:sty m:val="p"/>
          </m:rPr>
          <m:t>&gt;</m:t>
        </m:r>
        <m:r>
          <m:t>0</m:t>
        </m:r>
      </m:oMath>
      <w:r>
        <w:t xml:space="preserve">, el conjunto presupuestario no cambia:</w:t>
      </w:r>
      <w:r>
        <w:t xml:space="preserve"> </w:t>
      </w:r>
      <m:oMath>
        <m:r>
          <m:rPr>
            <m:sty m:val="p"/>
          </m:rPr>
          <m:t>{</m:t>
        </m:r>
        <m:acc>
          <m:accPr>
            <m:chr m:val="⃗"/>
          </m:accPr>
          <m:e>
            <m:r>
              <m:t>x</m:t>
            </m:r>
          </m:e>
        </m:acc>
        <m:r>
          <m:rPr>
            <m:sty m:val="p"/>
          </m:rPr>
          <m:t>:</m:t>
        </m:r>
        <m:r>
          <m:t>κ</m:t>
        </m:r>
        <m:acc>
          <m:accPr>
            <m:chr m:val="⃗"/>
          </m:accPr>
          <m:e>
            <m:r>
              <m:t>p</m:t>
            </m:r>
          </m:e>
        </m:acc>
        <m:r>
          <m:rPr>
            <m:sty m:val="p"/>
          </m:rPr>
          <m:t>⋅</m:t>
        </m:r>
        <m:acc>
          <m:accPr>
            <m:chr m:val="⃗"/>
          </m:accPr>
          <m:e>
            <m:r>
              <m:t>x</m:t>
            </m:r>
          </m:e>
        </m:acc>
        <m:r>
          <m:rPr>
            <m:sty m:val="p"/>
          </m:rPr>
          <m:t>≤</m:t>
        </m:r>
        <m:r>
          <m:t>κ</m:t>
        </m:r>
        <m:bar>
          <m:barPr>
            <m:pos m:val="top"/>
          </m:barPr>
          <m:e>
            <m:r>
              <m:t>W</m:t>
            </m:r>
          </m:e>
        </m:bar>
        <m:r>
          <m:rPr>
            <m:sty m:val="p"/>
          </m:rPr>
          <m:t>}</m:t>
        </m:r>
        <m:r>
          <m:rPr>
            <m:sty m:val="p"/>
          </m:rPr>
          <m:t>=</m:t>
        </m:r>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w:t>
      </w:r>
      <w:hyperlink w:anchor="sec_analisis_teoria_neoclasica_demanda">
        <w:r>
          <w:rPr>
            <w:rStyle w:val="Hyperlink"/>
          </w:rPr>
          <w:t xml:space="preserve">II</w:t>
        </w:r>
      </w:hyperlink>
      <w:r>
        <w:t xml:space="preserve"> </w:t>
      </w:r>
      <w:r>
        <w:t xml:space="preserve">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w:t>
      </w:r>
      <w:hyperlink w:anchor="der_homogeneidad">
        <w:r>
          <w:rPr>
            <w:rStyle w:val="Hyperlink"/>
          </w:rPr>
          <w:t xml:space="preserve">B.1</w:t>
        </w:r>
      </w:hyperlink>
      <w:r>
        <w:t xml:space="preserve">).</w:t>
      </w:r>
    </w:p>
  </w:footnote>
  <w:footnote w:id="136">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que no es sino la suma de las restricciones presupuestarias de todos los consumidores: en el agregado también se agotan todos los recursos</w:t>
      </w:r>
      <w:r>
        <w:t xml:space="preserve"> </w:t>
      </w:r>
      <w:hyperlink r:id="rId23">
        <w:r>
          <w:rPr>
            <w:rStyle w:val="Referenciaatema"/>
          </w:rPr>
          <w:t xml:space="preserve">[ver tema 3.A.21]</w:t>
        </w:r>
      </w:hyperlink>
      <w:r>
        <w:t xml:space="preserve">.</w:t>
      </w:r>
    </w:p>
  </w:footnote>
  <w:footnote w:id="137">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acc>
                  <m:accPr>
                    <m:chr m:val="⃗"/>
                  </m:accPr>
                  <m:e>
                    <m:r>
                      <m:t>x</m:t>
                    </m:r>
                  </m:e>
                </m:acc>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acc>
              <m:accPr>
                <m:chr m:val="⃗"/>
              </m:accPr>
              <m:e>
                <m:r>
                  <m:t>x</m:t>
                </m:r>
              </m:e>
            </m:acc>
          </m:e>
          <m:sup>
            <m:r>
              <m:rPr>
                <m:sty m:val="p"/>
              </m:rPr>
              <m:t>*</m:t>
            </m:r>
          </m:sup>
        </m:sSup>
      </m:oMath>
      <w:r>
        <w:t xml:space="preserve"> </w:t>
      </w:r>
      <w:r>
        <w:t xml:space="preserve">es distinto de cero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1.5)</w:t>
      </w:r>
      <w:r>
        <w:t xml:space="preserve">.</w:t>
      </w:r>
    </w:p>
  </w:footnote>
  <w:footnote w:id="143">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45">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w:t>
      </w:r>
      <w:hyperlink w:anchor="eq_gorman">
        <w:r>
          <w:rPr>
            <w:rStyle w:val="Hyperlink"/>
          </w:rPr>
          <w:t xml:space="preserve">18</w:t>
        </w:r>
      </w:hyperlink>
      <w:r>
        <w:t xml:space="preserve">) y una demanda positiva de cada bien, las demandas pueden agregarse y representarse por las de un hogar representativo con FIU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donde</w:t>
      </w:r>
      <w:r>
        <w:t xml:space="preserve"> </w:t>
      </w:r>
      <m:oMath>
        <m:r>
          <m:t>a</m:t>
        </m:r>
        <m:d>
          <m:dPr>
            <m:begChr m:val="("/>
            <m:sepChr m:val=""/>
            <m:endChr m:val=")"/>
            <m:grow/>
          </m:dPr>
          <m:e>
            <m:acc>
              <m:accPr>
                <m:chr m:val="⃗"/>
              </m:accPr>
              <m:e>
                <m:r>
                  <m:t>p</m:t>
                </m:r>
              </m:e>
            </m:acc>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acc>
              <m:accPr>
                <m:chr m:val="⃗"/>
              </m:accPr>
              <m:e>
                <m:r>
                  <m:t>p</m:t>
                </m:r>
              </m:e>
            </m:acc>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53">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Marshall</w:t>
      </w:r>
      <w:r>
        <w:t xml:space="preserve"> </w:t>
      </w:r>
      <w:r>
        <w:t xml:space="preserve">(</w:t>
      </w:r>
      <w:hyperlink w:anchor="ref_Marshall1890Principles">
        <w:r>
          <w:rPr>
            <w:rStyle w:val="Hyperlink"/>
          </w:rPr>
          <w:t xml:space="preserve">1890, lib. III</w:t>
        </w:r>
      </w:hyperlink>
      <w:r>
        <w:t xml:space="preserve">, cap. IV)</w:t>
      </w:r>
      <w:r>
        <w:t xml:space="preserve">.</w:t>
      </w:r>
    </w:p>
  </w:footnote>
  <w:footnote w:id="154">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acc>
              <m:accPr>
                <m:chr m:val="⃗"/>
              </m:accPr>
              <m:e>
                <m:r>
                  <m:t>p</m:t>
                </m:r>
              </m:e>
            </m:acc>
          </m:e>
        </m:d>
        <m:r>
          <m:rPr>
            <m:sty m:val="p"/>
          </m:rPr>
          <m:t>=</m:t>
        </m:r>
        <m:r>
          <m:t>0</m:t>
        </m:r>
      </m:oMath>
      <w:r>
        <w:t xml:space="preserve"> </w:t>
      </w:r>
      <w:r>
        <w:t xml:space="preserve">(apartado </w:t>
      </w:r>
      <w:hyperlink w:anchor="sec_solucion_problema_maximizacion">
        <w:r>
          <w:rPr>
            <w:rStyle w:val="Hyperlink"/>
          </w:rPr>
          <w:t xml:space="preserve">I.3</w:t>
        </w:r>
      </w:hyperlink>
      <w:r>
        <w:t xml:space="preserve">, ecuación (</w:t>
      </w:r>
      <w:hyperlink w:anchor="eq_gorman">
        <w:r>
          <w:rPr>
            <w:rStyle w:val="Hyperlink"/>
          </w:rPr>
          <w:t xml:space="preserve">18</w:t>
        </w:r>
      </w:hyperlink>
      <w:r>
        <w:t xml:space="preserve">)).</w:t>
      </w:r>
    </w:p>
  </w:footnote>
  <w:footnote w:id="15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w:t>
      </w:r>
      <w:r>
        <w:rPr>
          <w:i/>
          <w:iCs/>
        </w:rPr>
        <w:t xml:space="preserve"> </w:t>
      </w:r>
      <w:r>
        <w:rPr>
          <w:i/>
          <w:iCs/>
          <w:smallCaps/>
        </w:rPr>
        <w:t xml:space="preserve">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62">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2 años consecutivos, lo que permite construir un panel corto</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w:t>
      </w:r>
    </w:p>
  </w:footnote>
  <w:footnote w:id="179">
    <w:p>
      <w:pPr>
        <w:pStyle w:val="FootnoteText"/>
      </w:pPr>
      <w:r>
        <w:rPr>
          <w:rStyle w:val="FootnoteReference"/>
        </w:rPr>
        <w:footnoteRef/>
      </w:r>
      <w:r>
        <w:t xml:space="preserve"> </w:t>
      </w:r>
      <w:r>
        <w:t xml:space="preserve">Hay 2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8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donde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hyperlink r:id="rId30">
        <w:r>
          <w:rPr>
            <w:rStyle w:val="Referenciaatema"/>
          </w:rPr>
          <w:t xml:space="preserve">[ver tema 3.A.9]</w:t>
        </w:r>
      </w:hyperlink>
      <w:r>
        <w:t xml:space="preserve">. La derivación completa está en el anexo </w:t>
      </w:r>
      <w:hyperlink w:anchor="der_slutsky">
        <w:r>
          <w:rPr>
            <w:rStyle w:val="Hyperlink"/>
          </w:rPr>
          <w:t xml:space="preserve">B.5</w:t>
        </w:r>
      </w:hyperlink>
      <w:r>
        <w:t xml:space="preserve">.</w:t>
      </w:r>
    </w:p>
  </w:footnote>
  <w:footnote w:id="182">
    <w:p>
      <w:pPr>
        <w:pStyle w:val="FootnoteText"/>
      </w:pPr>
      <w:r>
        <w:rPr>
          <w:rStyle w:val="FootnoteReference"/>
        </w:rPr>
        <w:footnoteRef/>
      </w:r>
      <w:r>
        <w:t xml:space="preserve"> </w:t>
      </w:r>
      <w:r>
        <w:t xml:space="preserve">Se debe a la concavidad de la función de gasto</w:t>
      </w:r>
      <w:r>
        <w:t xml:space="preserve"> </w:t>
      </w:r>
      <w:hyperlink r:id="rId30">
        <w:r>
          <w:rPr>
            <w:rStyle w:val="Referenciaatema"/>
          </w:rPr>
          <w:t xml:space="preserve">[ver tema 3.A.9]</w:t>
        </w:r>
      </w:hyperlink>
      <w:r>
        <w:t xml:space="preserve">. En el apartado </w:t>
      </w:r>
      <w:hyperlink w:anchor="sec_teoria_preferencia_revelada">
        <w:r>
          <w:rPr>
            <w:rStyle w:val="Hyperlink"/>
          </w:rPr>
          <w:t xml:space="preserve">III.1</w:t>
        </w:r>
      </w:hyperlink>
      <w:r>
        <w:t xml:space="preserve"> </w:t>
      </w:r>
      <w:r>
        <w:t xml:space="preserve">se obtiene el mismo resultado con el axioma débil de la preferencia revelada, sin recurrir a la utilidad.</w:t>
      </w:r>
    </w:p>
  </w:footnote>
  <w:footnote w:id="183">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w:t>
      </w:r>
      <w:hyperlink w:anchor="der_slutsky">
        <w:r>
          <w:rPr>
            <w:rStyle w:val="Hyperlink"/>
          </w:rPr>
          <w:t xml:space="preserve">B.5</w:t>
        </w:r>
      </w:hyperlink>
      <w:r>
        <w:t xml:space="preserve">).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84">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_Rosen1999Potato">
        <w:r>
          <w:rPr>
            <w:rStyle w:val="Hyperlink"/>
            <w:smallCaps/>
          </w:rPr>
          <w:t xml:space="preserve">Rosen</w:t>
        </w:r>
        <w:r>
          <w:rPr>
            <w:rStyle w:val="Hyperlink"/>
          </w:rPr>
          <w:t xml:space="preserve">, 1999</w:t>
        </w:r>
      </w:hyperlink>
      <w:r>
        <w:t xml:space="preserve">)</w:t>
      </w:r>
      <w:r>
        <w:t xml:space="preserve">. 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w:t>
      </w:r>
      <w:hyperlink w:anchor="ref_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94">
    <w:p>
      <w:pPr>
        <w:pStyle w:val="FootnoteText"/>
      </w:pPr>
      <w:r>
        <w:rPr>
          <w:rStyle w:val="FootnoteReference"/>
        </w:rPr>
        <w:footnoteRef/>
      </w:r>
      <w:r>
        <w:t xml:space="preserve"> </w:t>
      </w:r>
      <w:r>
        <w:t xml:space="preserve">Suelen ponerse como ejemplo los automóviles, los relojes o la ropa de lujo, cuyo consumo se asocia al prestigio, al estatus o a la exclusividad. En sentido estricto, más que de</w:t>
      </w:r>
      <w:r>
        <w:t xml:space="preserve"> </w:t>
      </w:r>
      <w:r>
        <w:rPr>
          <w:i/>
          <w:iCs/>
        </w:rPr>
        <w:t xml:space="preserve">bienes</w:t>
      </w:r>
      <w:r>
        <w:t xml:space="preserve"> </w:t>
      </w:r>
      <w:r>
        <w:rPr>
          <w:smallCaps/>
        </w:rPr>
        <w:t xml:space="preserve">Veblen</w:t>
      </w:r>
      <w:r>
        <w:t xml:space="preserve"> </w:t>
      </w:r>
      <w:r>
        <w:t xml:space="preserve">habría que hablar de</w:t>
      </w:r>
      <w:r>
        <w:t xml:space="preserve"> </w:t>
      </w:r>
      <w:r>
        <w:rPr>
          <w:i/>
          <w:iCs/>
        </w:rPr>
        <w:t xml:space="preserve">comportamientos</w:t>
      </w:r>
      <w:r>
        <w:t xml:space="preserve">: la demanda solo tiene pendiente positiva en ciertos tramos de precios, y su elasticidad, como siempre, depende del punto en que se mida.</w:t>
      </w:r>
    </w:p>
  </w:footnote>
  <w:footnote w:id="205">
    <w:p>
      <w:pPr>
        <w:pStyle w:val="FootnoteText"/>
      </w:pPr>
      <w:r>
        <w:rPr>
          <w:rStyle w:val="FootnoteReference"/>
        </w:rPr>
        <w:footnoteRef/>
      </w:r>
      <w:r>
        <w:t xml:space="preserve"> </w:t>
      </w:r>
      <w:r>
        <w:t xml:space="preserve">Por ejemplo,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211">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hyperlink r:id="rId30">
        <w:r>
          <w:rPr>
            <w:rStyle w:val="Referenciaatema"/>
          </w:rPr>
          <w:t xml:space="preserve">[ver tema 3.A.9]</w:t>
        </w:r>
      </w:hyperlink>
      <w:r>
        <w:t xml:space="preserve">.</w:t>
      </w:r>
    </w:p>
  </w:footnote>
  <w:footnote w:id="212">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14">
    <w:p>
      <w:pPr>
        <w:pStyle w:val="FootnoteText"/>
      </w:pPr>
      <w:r>
        <w:rPr>
          <w:rStyle w:val="FootnoteReference"/>
        </w:rPr>
        <w:footnoteRef/>
      </w:r>
      <w:r>
        <w:t xml:space="preserve"> </w:t>
      </w:r>
      <w:r>
        <w:t xml:space="preserve">No del consumidor representativo: la agregación no conserva el axioma débil (apartado </w:t>
      </w:r>
      <w:hyperlink w:anchor="sec_solucion_problema_maximizacion">
        <w:r>
          <w:rPr>
            <w:rStyle w:val="Hyperlink"/>
          </w:rPr>
          <w:t xml:space="preserve">I.3</w:t>
        </w:r>
      </w:hyperlink>
      <w:r>
        <w:t xml:space="preserve">).</w:t>
      </w:r>
    </w:p>
  </w:footnote>
  <w:footnote w:id="217">
    <w:p>
      <w:pPr>
        <w:pStyle w:val="FootnoteText"/>
      </w:pPr>
      <w:r>
        <w:rPr>
          <w:rStyle w:val="FootnoteReference"/>
        </w:rPr>
        <w:footnoteRef/>
      </w:r>
      <w:r>
        <w:t xml:space="preserve"> </w:t>
      </w:r>
      <w:r>
        <w:t xml:space="preserve">Es decir: si en la situación 0 se eligió</w:t>
      </w:r>
      <w:r>
        <w:t xml:space="preserve"> </w:t>
      </w:r>
      <m:oMath>
        <m:sSup>
          <m:e>
            <m:acc>
              <m:accPr>
                <m:chr m:val="⃗"/>
              </m:accPr>
              <m:e>
                <m:r>
                  <m:t>x</m:t>
                </m:r>
              </m:e>
            </m:acc>
          </m:e>
          <m:sup>
            <m:r>
              <m:t>0</m:t>
            </m:r>
          </m:sup>
        </m:sSup>
      </m:oMath>
      <w:r>
        <w:t xml:space="preserve"> </w:t>
      </w:r>
      <w:r>
        <w:t xml:space="preserve">pudiendo comprar</w:t>
      </w:r>
      <w:r>
        <w:t xml:space="preserve"> </w:t>
      </w:r>
      <m:oMath>
        <m:sSup>
          <m:e>
            <m:acc>
              <m:accPr>
                <m:chr m:val="⃗"/>
              </m:accPr>
              <m:e>
                <m:r>
                  <m:t>x</m:t>
                </m:r>
              </m:e>
            </m:acc>
          </m:e>
          <m:sup>
            <m:r>
              <m:t>1</m:t>
            </m:r>
          </m:sup>
        </m:sSup>
      </m:oMath>
      <w:r>
        <w:t xml:space="preserve">, en cualquier otra situación en la que se elija</w:t>
      </w:r>
      <w:r>
        <w:t xml:space="preserve"> </w:t>
      </w:r>
      <m:oMath>
        <m:sSup>
          <m:e>
            <m:acc>
              <m:accPr>
                <m:chr m:val="⃗"/>
              </m:accPr>
              <m:e>
                <m:r>
                  <m:t>x</m:t>
                </m:r>
              </m:e>
            </m:acc>
          </m:e>
          <m:sup>
            <m:r>
              <m:t>1</m:t>
            </m:r>
          </m:sup>
        </m:sSup>
      </m:oMath>
      <w:r>
        <w:t xml:space="preserve"> </w:t>
      </w:r>
      <w:r>
        <w:t xml:space="preserve">la cesta</w:t>
      </w:r>
      <w:r>
        <w:t xml:space="preserve"> </w:t>
      </w:r>
      <m:oMath>
        <m:sSup>
          <m:e>
            <m:acc>
              <m:accPr>
                <m:chr m:val="⃗"/>
              </m:accPr>
              <m:e>
                <m:r>
                  <m:t>x</m:t>
                </m:r>
              </m:e>
            </m:acc>
          </m:e>
          <m:sup>
            <m:r>
              <m:t>0</m:t>
            </m:r>
          </m:sup>
        </m:sSup>
      </m:oMath>
      <w:r>
        <w:t xml:space="preserve"> </w:t>
      </w:r>
      <w:r>
        <w:t xml:space="preserve">no puede ser asequible. El axioma no exige que la renta se mantenga constante: compara 2 situaciones de precios y renta cualesquiera.</w:t>
      </w:r>
    </w:p>
  </w:footnote>
  <w:footnote w:id="227">
    <w:p>
      <w:pPr>
        <w:pStyle w:val="FootnoteText"/>
      </w:pPr>
      <w:r>
        <w:rPr>
          <w:rStyle w:val="FootnoteReference"/>
        </w:rPr>
        <w:footnoteRef/>
      </w:r>
      <w:r>
        <w:t xml:space="preserve"> </w:t>
      </w:r>
      <w:r>
        <w:t xml:space="preserve">Si</w:t>
      </w:r>
      <w:r>
        <w:t xml:space="preserve"> </w:t>
      </w:r>
      <m:oMath>
        <m:sSup>
          <m:e>
            <m:acc>
              <m:accPr>
                <m:chr m:val="⃗"/>
              </m:accPr>
              <m:e>
                <m:r>
                  <m:t>p</m:t>
                </m:r>
              </m:e>
            </m:acc>
          </m:e>
          <m:sup>
            <m:r>
              <m:t>1</m:t>
            </m:r>
          </m:sup>
        </m:sSup>
        <m:r>
          <m:rPr>
            <m:sty m:val="p"/>
          </m:rPr>
          <m:t>=</m:t>
        </m:r>
        <m:r>
          <m:t>κ</m:t>
        </m:r>
        <m:sSup>
          <m:e>
            <m:acc>
              <m:accPr>
                <m:chr m:val="⃗"/>
              </m:accPr>
              <m:e>
                <m:r>
                  <m:t>p</m:t>
                </m:r>
              </m:e>
            </m:acc>
          </m:e>
          <m:sup>
            <m:r>
              <m:t>0</m:t>
            </m:r>
          </m:sup>
        </m:sSup>
      </m:oMath>
      <w:r>
        <w:t xml:space="preserve"> </w:t>
      </w:r>
      <w:r>
        <w:t xml:space="preserve">y</w:t>
      </w:r>
      <w:r>
        <w:t xml:space="preserve"> </w:t>
      </w:r>
      <m:oMath>
        <m:sSup>
          <m:e>
            <m:bar>
              <m:barPr>
                <m:pos m:val="top"/>
              </m:barPr>
              <m:e>
                <m:r>
                  <m:t>W</m:t>
                </m:r>
              </m:e>
            </m:bar>
          </m:e>
          <m:sup>
            <m:r>
              <m:t>1</m:t>
            </m:r>
          </m:sup>
        </m:sSup>
        <m:r>
          <m:rPr>
            <m:sty m:val="p"/>
          </m:rPr>
          <m:t>=</m:t>
        </m:r>
        <m:r>
          <m:t>κ</m:t>
        </m:r>
        <m:sSup>
          <m:e>
            <m:bar>
              <m:barPr>
                <m:pos m:val="top"/>
              </m:barPr>
              <m:e>
                <m:r>
                  <m:t>W</m:t>
                </m:r>
              </m:e>
            </m:bar>
          </m:e>
          <m:sup>
            <m:r>
              <m:t>0</m:t>
            </m:r>
          </m:sup>
        </m:sSup>
      </m:oMath>
      <w:r>
        <w:t xml:space="preserve"> </w:t>
      </w:r>
      <w:r>
        <w:t xml:space="preserve">con</w:t>
      </w:r>
      <w:r>
        <w:t xml:space="preserve"> </w:t>
      </w:r>
      <m:oMath>
        <m:r>
          <m:t>κ</m:t>
        </m:r>
        <m:r>
          <m:rPr>
            <m:sty m:val="p"/>
          </m:rPr>
          <m:t>&gt;</m:t>
        </m:r>
        <m:r>
          <m:t>0</m:t>
        </m:r>
      </m:oMath>
      <w:r>
        <w:t xml:space="preserve">, el conjunto presupuestario es el mismo. Si las cestas elegidas fueran distintas, cada una sería asequible cuando se eligió la otra, y se violaría el ADPR. ∎</w:t>
      </w:r>
    </w:p>
  </w:footnote>
  <w:footnote w:id="229">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3.J</w:t>
        </w:r>
      </w:hyperlink>
      <w:r>
        <w:t xml:space="preserve">)</w:t>
      </w:r>
      <w:r>
        <w:t xml:space="preserve">.</w:t>
      </w:r>
    </w:p>
  </w:footnote>
  <w:footnote w:id="240">
    <w:p>
      <w:pPr>
        <w:pStyle w:val="FootnoteText"/>
      </w:pPr>
      <w:r>
        <w:rPr>
          <w:rStyle w:val="FootnoteReference"/>
        </w:rPr>
        <w:footnoteRef/>
      </w:r>
      <w:r>
        <w:t xml:space="preserve"> </w:t>
      </w:r>
      <w:r>
        <w:t xml:space="preserve">Gary</w:t>
      </w:r>
      <w:r>
        <w:t xml:space="preserve"> </w:t>
      </w:r>
      <w:r>
        <w:rPr>
          <w:smallCaps/>
        </w:rPr>
        <w:t xml:space="preserve">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_Nobel1992Becker">
        <w:r>
          <w:rPr>
            <w:rStyle w:val="Hyperlink"/>
            <w:smallCaps/>
          </w:rPr>
          <w:t xml:space="preserve">The Nobel Prize</w:t>
        </w:r>
        <w:r>
          <w:rPr>
            <w:rStyle w:val="Hyperlink"/>
          </w:rPr>
          <w:t xml:space="preserve">, 1992</w:t>
        </w:r>
      </w:hyperlink>
      <w:r>
        <w:t xml:space="preserve">)</w:t>
      </w:r>
      <w:r>
        <w:t xml:space="preserve">.</w:t>
      </w:r>
    </w:p>
  </w:footnote>
  <w:footnote w:id="263">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70">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se resumen en el anexo </w:t>
      </w:r>
      <w:hyperlink w:anchor="anexo_thaler">
        <w:r>
          <w:rPr>
            <w:rStyle w:val="Hyperlink"/>
          </w:rPr>
          <w:t xml:space="preserve">G</w:t>
        </w:r>
      </w:hyperlink>
      <w:r>
        <w:t xml:space="preserve">.</w:t>
      </w:r>
    </w:p>
  </w:footnote>
  <w:footnote w:id="271">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289">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véase el anexo </w:t>
      </w:r>
      <w:hyperlink w:anchor="der_ces">
        <w:r>
          <w:rPr>
            <w:rStyle w:val="Hyperlink"/>
          </w:rPr>
          <w:t xml:space="preserve">B.9</w:t>
        </w:r>
      </w:hyperlink>
      <w:r>
        <w:t xml:space="preserve">. 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usaron como función de producción</w:t>
      </w:r>
      <w:r>
        <w:t xml:space="preserve"> </w:t>
      </w:r>
      <w:hyperlink r:id="rId272">
        <w:r>
          <w:rPr>
            <w:rStyle w:val="Referenciaatema"/>
          </w:rPr>
          <w:t xml:space="preserve">[ver tema 3.A.11]</w:t>
        </w:r>
      </w:hyperlink>
      <w:r>
        <w:t xml:space="preserve">. Paul</w:t>
      </w:r>
      <w:r>
        <w:t xml:space="preserve"> </w:t>
      </w:r>
      <w:r>
        <w:rPr>
          <w:smallCaps/>
        </w:rPr>
        <w:t xml:space="preserve">Douglas</w:t>
      </w:r>
      <w:r>
        <w:t xml:space="preserve">, entonces profesor en Chicago, había observado que el reparto de la renta nacional entre trabajo y capital se mantenía bastante estable en el tiempo y buscó una función de producción compatible con participaciones constantes; con el matemático Charles</w:t>
      </w:r>
      <w:r>
        <w:t xml:space="preserve"> </w:t>
      </w:r>
      <w:r>
        <w:rPr>
          <w:smallCaps/>
        </w:rPr>
        <w:t xml:space="preserve">Cobb</w:t>
      </w:r>
      <w:r>
        <w:t xml:space="preserve"> </w:t>
      </w:r>
      <w:r>
        <w:t xml:space="preserve">estimó, para la industria manufacturera de Estados Unidos de 1899 a 1922, un exponente de 3/4 para el trabajo y de 1/4 para el capital</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Años después fue senador por Illinois, de 1949 a 1967.</w:t>
      </w:r>
    </w:p>
  </w:footnote>
  <w:footnote w:id="291">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9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97">
    <w:p>
      <w:pPr>
        <w:pStyle w:val="FootnoteText"/>
      </w:pPr>
      <w:r>
        <w:rPr>
          <w:rStyle w:val="FootnoteReference"/>
        </w:rPr>
        <w:footnoteRef/>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300">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301">
    <w:p>
      <w:pPr>
        <w:pStyle w:val="FootnoteText"/>
      </w:pPr>
      <w:r>
        <w:rPr>
          <w:rStyle w:val="FootnoteReference"/>
        </w:rPr>
        <w:footnoteRef/>
      </w:r>
      <w:r>
        <w:t xml:space="preserve"> </w:t>
      </w:r>
      <w:r>
        <w:t xml:space="preserve">Fuera de la investigación, cuando una empresa necesita conocer la demanda de sus productos no suele estimar un sistema completo: recurre a encuestas a los consumidores o a experimentos directos, como variar el precio en algunas tiendas o en su web y medir cómo responden las ventas.</w:t>
      </w:r>
    </w:p>
  </w:footnote>
  <w:footnote w:id="305">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hyperlink r:id="rId26">
        <w:r>
          <w:rPr>
            <w:rStyle w:val="Referenciaatema"/>
          </w:rPr>
          <w:t xml:space="preserve">[ver tema 3.A.10]</w:t>
        </w:r>
      </w:hyperlink>
      <w:r>
        <w:t xml:space="preserve">.</w:t>
      </w:r>
    </w:p>
  </w:footnote>
  <w:footnote w:id="322">
    <w:p>
      <w:pPr>
        <w:pStyle w:val="FootnoteText"/>
      </w:pPr>
      <w:r>
        <w:rPr>
          <w:rStyle w:val="FootnoteReference"/>
        </w:rPr>
        <w:footnoteRef/>
      </w:r>
      <w:r>
        <w:t xml:space="preserve"> </w:t>
      </w:r>
      <w:r>
        <w:t xml:space="preserve">En el gráfico de</w:t>
      </w:r>
      <w:r>
        <w:t xml:space="preserve"> </w:t>
      </w:r>
      <w:r>
        <w:rPr>
          <w:smallCaps/>
        </w:rPr>
        <w:t xml:space="preserve">Lancaster</w:t>
      </w:r>
      <w:r>
        <w:t xml:space="preserve">, cada estrategia tiene una lectura sencilla:</w:t>
      </w:r>
    </w:p>
    <w:p>
      <w:pPr>
        <w:pStyle w:val="FootnoteText"/>
        <w:numPr>
          <w:ilvl w:val="0"/>
          <w:numId w:val="1177"/>
        </w:numPr>
      </w:pPr>
      <w:r>
        <w:rPr>
          <w:i/>
          <w:iCs/>
        </w:rPr>
        <w:t xml:space="preserve">segmentación</w:t>
      </w:r>
      <w:r>
        <w:t xml:space="preserve">: si las preferencias de un grupo de consumidores no se ajustan a las combinaciones de características que ofrecen las marcas existentes (su óptimo está en la frontera de eficiencia, entre 2 rayos, combinando 2 bienes), puede entrar una marca nueva con un rayo intermedio que los atienda mejor;</w:t>
      </w:r>
    </w:p>
    <w:p>
      <w:pPr>
        <w:pStyle w:val="FootnoteText"/>
        <w:numPr>
          <w:ilvl w:val="0"/>
          <w:numId w:val="1177"/>
        </w:numPr>
      </w:pPr>
      <w:r>
        <w:rPr>
          <w:i/>
          <w:iCs/>
        </w:rPr>
        <w:t xml:space="preserve">nicho</w:t>
      </w:r>
      <w:r>
        <w:t xml:space="preserve">: una marca puede entrar con una combinación muy extrema (un rayo muy próximo a uno de los ejes) que satisfaga a un grupo concreto de consumidores;</w:t>
      </w:r>
    </w:p>
    <w:p>
      <w:pPr>
        <w:pStyle w:val="FootnoteText"/>
        <w:numPr>
          <w:ilvl w:val="0"/>
          <w:numId w:val="1177"/>
        </w:numPr>
      </w:pPr>
      <w:r>
        <w:rPr>
          <w:i/>
          <w:iCs/>
        </w:rPr>
        <w:t xml:space="preserve">publicidad</w:t>
      </w:r>
      <w:r>
        <w:t xml:space="preserve">: informando sobre las características o influyendo en su valoración, la empresa desplaza las curvas de indiferencia a favor de su marca.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70" Target="media/rId70.png" /><Relationship Type="http://schemas.openxmlformats.org/officeDocument/2006/relationships/image" Id="rId100" Target="media/rId100.png" /><Relationship Type="http://schemas.openxmlformats.org/officeDocument/2006/relationships/image" Id="rId110" Target="media/rId110.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309" Target="media/rId309.png" /><Relationship Type="http://schemas.openxmlformats.org/officeDocument/2006/relationships/image" Id="rId190" Target="media/rId190.png" /><Relationship Type="http://schemas.openxmlformats.org/officeDocument/2006/relationships/image" Id="rId186" Target="media/rId186.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254" Target="media/rId254.png" /><Relationship Type="http://schemas.openxmlformats.org/officeDocument/2006/relationships/image" Id="rId327" Target="media/rId327.png" /><Relationship Type="http://schemas.openxmlformats.org/officeDocument/2006/relationships/image" Id="rId274" Target="media/rId274.png" /><Relationship Type="http://schemas.openxmlformats.org/officeDocument/2006/relationships/image" Id="rId171" Target="media/rId171.png" /><Relationship Type="http://schemas.openxmlformats.org/officeDocument/2006/relationships/image" Id="rId230" Target="media/rId230.png" /><Relationship Type="http://schemas.openxmlformats.org/officeDocument/2006/relationships/image" Id="rId43" Target="media/rId43.png" /><Relationship Type="http://schemas.openxmlformats.org/officeDocument/2006/relationships/image" Id="rId92" Target="media/rId92.png" /><Relationship Type="http://schemas.openxmlformats.org/officeDocument/2006/relationships/image" Id="rId156" Target="media/rId156.png" /><Relationship Type="http://schemas.openxmlformats.org/officeDocument/2006/relationships/image" Id="rId125" Target="media/rId125.png" /><Relationship Type="http://schemas.openxmlformats.org/officeDocument/2006/relationships/image" Id="rId78" Target="media/rId78.png" /><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2026-10-20T21:49:35Z</dcterms:created>
  <dcterms:modified xsi:type="dcterms:W3CDTF">2026-10-20T21:49:35Z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3A08</vt:lpwstr>
  </property>
  <property fmtid="{D5CDD505-2E9C-101B-9397-08002B2CF9AE}" pid="6" name="bibliography">
    <vt:lpwstr>C:\Users\vgutierrez\Documents\src\victorgutierrezmarcos.github.io-revision\oposicion\temario\fuentes\3A08\3A08.bib</vt:lpwstr>
  </property>
  <property fmtid="{D5CDD505-2E9C-101B-9397-08002B2CF9AE}" pid="7" name="carpeta">
    <vt:lpwstr>tercer-ejercicio</vt:lpwstr>
  </property>
  <property fmtid="{D5CDD505-2E9C-101B-9397-08002B2CF9AE}" pid="8" name="codigo">
    <vt:lpwstr>3.A.8</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C:\Users\vgutierrez\Documents\src\victorgutierrezmarcos.github.io-revision\oposicion\temario\fuentes\3A08\graficos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44 págs. · Anexos: 17 · Bibliografía: 6</vt:lpwstr>
  </property>
  <property fmtid="{D5CDD505-2E9C-101B-9397-08002B2CF9AE}" pid="19" name="palabras-clave">
    <vt:lpwstr>teoría del consumidor, axiomas de preferencias, función de utilidad, demanda marshalliana, ecuación de Slutsky, efecto renta y efecto sustitución, curva de Engel, bien Giffen, preferencia revelada, Samuelson, Houthakker, precios hedónicos, Lancaster, Rosen, microeconomía</vt:lpwstr>
  </property>
  <property fmtid="{D5CDD505-2E9C-101B-9397-08002B2CF9AE}" pid="20" name="reference-section-title">
    <vt:lpwstr>Bibliografía</vt:lpwstr>
  </property>
  <property fmtid="{D5CDD505-2E9C-101B-9397-08002B2CF9AE}" pid="21" name="resumen">
    <vt:lpwstr>Axiomas de preferencias, función de utilidad, demanda marshalliana, ecuación de Slutsky, curvas de Engel, preferencia revelada y precios hedónicos.</vt:lpwstr>
  </property>
  <property fmtid="{D5CDD505-2E9C-101B-9397-08002B2CF9AE}" pid="22" name="titulo">
    <vt:lpwstr>Teoría de la demanda del consumidor (I). Axiomas sobre las preferencias, función de utilidad y función de demanda marshalliana. La teoría de la preferencia revelada. Precios hedónicos.</vt:lpwstr>
  </property>
  <property fmtid="{D5CDD505-2E9C-101B-9397-08002B2CF9AE}" pid="23" name="titulo-cita">
    <vt:lpwstr>Teoría de la demanda del consumidor (I). Axiomas sobre las preferencias, función de utilidad y función de demanda marshalliana. La teoría de la preferencia revelada. Precios hedónicos</vt:lpwstr>
  </property>
  <property fmtid="{D5CDD505-2E9C-101B-9397-08002B2CF9AE}" pid="24" name="titulo-seo">
    <vt:lpwstr>Teoría del consumidor: preferencias y demanda</vt:lpwstr>
  </property>
</Properties>
</file>