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215.png" ContentType="image/png"/>
  <Override PartName="/word/media/rId54.png" ContentType="image/png"/>
  <Override PartName="/word/media/rId79.png" ContentType="image/png"/>
  <Override PartName="/word/media/rId225.png" ContentType="image/png"/>
  <Override PartName="/word/media/rId228.png" ContentType="image/png"/>
  <Override PartName="/word/media/rId157.png" ContentType="image/png"/>
  <Override PartName="/word/media/rId102.png" ContentType="image/png"/>
  <Override PartName="/word/media/rId134.png" ContentType="image/png"/>
  <Override PartName="/word/media/rId140.png" ContentType="image/png"/>
  <Override PartName="/word/media/rId119.png" ContentType="image/png"/>
  <Override PartName="/word/media/rId234.png" ContentType="image/png"/>
  <Override PartName="/word/media/rId105.png" ContentType="image/png"/>
  <Override PartName="/word/media/rId174.png" ContentType="image/png"/>
  <Override PartName="/word/media/rId190.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pStyle w:val="Author"/>
      </w:pPr>
      <w:r>
        <w:t xml:space="preserve">Víctor Gutiérrez Marcos</w:t>
      </w:r>
    </w:p>
    <w:p>
      <w:pPr>
        <w:pStyle w:val="Date"/>
      </w:pPr>
      <w:r>
        <w:t xml:space="preserve">Última actualización: 20/10/2026</w:t>
      </w:r>
    </w:p>
    <w:p>
      <w:pPr>
        <w:pStyle w:val="Paginasdeltema"/>
      </w:pPr>
      <w:r>
        <w:t xml:space="preserve">Tema: 34 págs. · Anexos: 10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«Para gustos, los colores»,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2"/>
          <w:numId w:val="1004"/>
        </w:numPr>
      </w:pPr>
      <w:r>
        <w:t xml:space="preserve">los consumidores eligen qué consumir sujetos a su restricción presupuestaria;</w:t>
      </w:r>
    </w:p>
    <w:p>
      <w:pPr>
        <w:numPr>
          <w:ilvl w:val="2"/>
          <w:numId w:val="1004"/>
        </w:numPr>
      </w:pPr>
      <w:r>
        <w:t xml:space="preserve">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 en el oligopolio con productos diferenciados, también los de mercado atomizado y, casi siempre, libre entrada (tabla </w:t>
      </w:r>
      <w:hyperlink w:anchor="tab_supuestos_oligopolio">
        <w:r>
          <w:rPr>
            <w:rStyle w:val="Hyperlink"/>
          </w:rPr>
          <w:t xml:space="preserve">2</w:t>
        </w:r>
      </w:hyperlink>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5"/>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5"/>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6"/>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6"/>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7"/>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7"/>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7"/>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8"/>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8"/>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8"/>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keepNext/>
        <w:numPr>
          <w:ilvl w:val="1"/>
          <w:numId w:val="1008"/>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9"/>
        </w:numPr>
      </w:pPr>
      <w:r>
        <w:t xml:space="preserve">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2"/>
          <w:numId w:val="1009"/>
        </w:numPr>
      </w:pPr>
      <w:r>
        <w:t xml:space="preserve">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8"/>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10"/>
        </w:numPr>
      </w:pPr>
      <w:r>
        <w:t xml:space="preserve">¿Cómo se modeliza un mercado en el que cada empresa vende algo distinto? ¿Sobre qué se definen las preferencias: sobre los bienes o sobre sus características?</w:t>
      </w:r>
    </w:p>
    <w:p>
      <w:pPr>
        <w:numPr>
          <w:ilvl w:val="1"/>
          <w:numId w:val="1010"/>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10"/>
        </w:numPr>
      </w:pPr>
      <w:r>
        <w:t xml:space="preserve">¿Cuántas variedades ofrece el mercado y cuántas debería ofrecer? ¿Diferencian las empresas demasiado o demasiado poco?</w:t>
      </w:r>
    </w:p>
    <w:p>
      <w:pPr>
        <w:numPr>
          <w:ilvl w:val="1"/>
          <w:numId w:val="1010"/>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2 bloques, según el mercado tenga muchas empresas o pocas, como pide el título: la teoría de la competencia monopolística y, entre los «otros desarrollos», el oligopolio con productos diferenciados.</w:t>
      </w:r>
    </w:p>
    <w:p>
      <w:pPr>
        <w:numPr>
          <w:ilvl w:val="1"/>
          <w:numId w:val="1011"/>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keepNext/>
        <w:numPr>
          <w:ilvl w:val="1"/>
          <w:numId w:val="1011"/>
        </w:numPr>
      </w:pPr>
      <w:r>
        <w:rPr>
          <w:b/>
          <w:bCs/>
        </w:rPr>
        <w:t xml:space="preserve">II. El oligopolio con productos diferenciados</w:t>
      </w:r>
      <w:r>
        <w:t xml:space="preserve">: pocas empresas que se saben interdependientes (</w:t>
      </w:r>
      <w:hyperlink w:anchor="sec_caracterizacion_oligopolio">
        <w:r>
          <w:rPr>
            <w:rStyle w:val="Hyperlink"/>
          </w:rPr>
          <w:t xml:space="preserve">II.1</w:t>
        </w:r>
      </w:hyperlink>
      <w:r>
        <w:t xml:space="preserve">), y cada modelo estudia una de sus decisiones:</w:t>
      </w:r>
    </w:p>
    <w:p>
      <w:pPr>
        <w:numPr>
          <w:ilvl w:val="2"/>
          <w:numId w:val="1012"/>
        </w:numPr>
      </w:pPr>
      <w:r>
        <w:t xml:space="preserve">sin direcciones, el precio o la cantidad con una diferenciación dada (</w:t>
      </w:r>
      <w:hyperlink w:anchor="sec_bertrand_cournot">
        <w:r>
          <w:rPr>
            <w:rStyle w:val="Hyperlink"/>
          </w:rPr>
          <w:t xml:space="preserve">II.2</w:t>
        </w:r>
      </w:hyperlink>
      <w:r>
        <w:t xml:space="preserve">);</w:t>
      </w:r>
    </w:p>
    <w:p>
      <w:pPr>
        <w:numPr>
          <w:ilvl w:val="2"/>
          <w:numId w:val="1012"/>
        </w:numPr>
      </w:pPr>
      <w:r>
        <w:t xml:space="preserve">con direcciones (</w:t>
      </w:r>
      <w:hyperlink w:anchor="sec_modelos_direcciones">
        <w:r>
          <w:rPr>
            <w:rStyle w:val="Hyperlink"/>
          </w:rPr>
          <w:t xml:space="preserve">II.3</w:t>
        </w:r>
      </w:hyperlink>
      <w:r>
        <w:t xml:space="preserve">), tras la demanda de características que las justifica (</w:t>
      </w:r>
      <w:hyperlink w:anchor="sec_lancaster">
        <w:r>
          <w:rPr>
            <w:rStyle w:val="Hyperlink"/>
          </w:rPr>
          <w:t xml:space="preserve">II.3.1</w:t>
        </w:r>
      </w:hyperlink>
      <w:r>
        <w:t xml:space="preserve">), la decisión de precios y la de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de entrada en la ciudad circular (</w:t>
      </w:r>
      <w:hyperlink w:anchor="sec_salop">
        <w:r>
          <w:rPr>
            <w:rStyle w:val="Hyperlink"/>
          </w:rPr>
          <w:t xml:space="preserve">II.3.4</w:t>
        </w:r>
      </w:hyperlink>
      <w:r>
        <w:t xml:space="preserve">);</w:t>
      </w:r>
    </w:p>
    <w:p>
      <w:pPr>
        <w:numPr>
          <w:ilvl w:val="2"/>
          <w:numId w:val="1012"/>
        </w:numPr>
      </w:pPr>
      <w:r>
        <w:t xml:space="preserve">con diferenciación vertical, la decisión de calidad (</w:t>
      </w:r>
      <w:hyperlink w:anchor="sec_shaked_sutton">
        <w:r>
          <w:rPr>
            <w:rStyle w:val="Hyperlink"/>
          </w:rPr>
          <w:t xml:space="preserve">II.4</w:t>
        </w:r>
      </w:hyperlink>
      <w:r>
        <w:t xml:space="preserve">);</w:t>
      </w:r>
    </w:p>
    <w:p>
      <w:pPr>
        <w:numPr>
          <w:ilvl w:val="2"/>
          <w:numId w:val="1012"/>
        </w:numPr>
      </w:pPr>
      <w:r>
        <w:t xml:space="preserve">y otras decisiones con las que se crea o protege la diferenciación: la publicidad y el número de marcas (</w:t>
      </w:r>
      <w:hyperlink w:anchor="sec_publicidad_marcas">
        <w:r>
          <w:rPr>
            <w:rStyle w:val="Hyperlink"/>
          </w:rPr>
          <w:t xml:space="preserve">II.5</w:t>
        </w:r>
      </w:hyperlink>
      <w:r>
        <w:t xml:space="preserve">).</w:t>
      </w:r>
    </w:p>
    <w:p>
      <w:pPr>
        <w:numPr>
          <w:ilvl w:val="0"/>
          <w:numId w:val="1000"/>
        </w:numPr>
      </w:pPr>
      <w:r>
        <w:t xml:space="preserve">Un mismo hilo recorre los 2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keepLines/>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productos diferenciados</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decisión de precios (</w:t>
      </w:r>
      <m:oMath>
        <m:r>
          <m:t>p</m:t>
        </m:r>
        <m:r>
          <m:rPr>
            <m:sty m:val="p"/>
          </m:rPr>
          <m:t>=</m:t>
        </m:r>
        <m:r>
          <m:t>c</m:t>
        </m:r>
        <m:r>
          <m:rPr>
            <m:sty m:val="p"/>
          </m:rPr>
          <m:t>+</m:t>
        </m:r>
        <m:r>
          <m:t>t</m:t>
        </m:r>
      </m:oMath>
      <w:r>
        <w:t xml:space="preserve">),</w:t>
      </w:r>
      <w:r>
        <w:br/>
      </w:r>
      <w:r>
        <w:t xml:space="preserve">de localización (diferenciación máxima) y de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4. Diferenciación vertical: decisión de calidad (</w:t>
      </w:r>
      <w:r>
        <w:rPr>
          <w:smallCaps/>
        </w:rPr>
        <w:t xml:space="preserve">Shaked</w:t>
      </w:r>
      <w:r>
        <w:t xml:space="preserve">-</w:t>
      </w:r>
      <w:r>
        <w:rPr>
          <w:smallCaps/>
        </w:rPr>
        <w:t xml:space="preserve">Sutton</w:t>
      </w:r>
      <w:r>
        <w:t xml:space="preserve">), finitud</w:t>
      </w:r>
      <w:r>
        <w:br/>
      </w:r>
      <w:r>
        <w:t xml:space="preserve">5. Otras decisiones: publicidad (</w:t>
      </w:r>
      <w:r>
        <w:rPr>
          <w:smallCaps/>
        </w:rPr>
        <w:t xml:space="preserve">Dorfman</w:t>
      </w:r>
      <w:r>
        <w:t xml:space="preserve">-</w:t>
      </w:r>
      <w:r>
        <w:rPr>
          <w:smallCaps/>
        </w:rPr>
        <w:t xml:space="preserve">Steiner</w:t>
      </w:r>
      <w:r>
        <w:t xml:space="preserve">) y marcas</w:t>
      </w:r>
      <w:r>
        <w:br/>
      </w:r>
      <w:r>
        <w:t xml:space="preserve">Conclusión</w:t>
      </w:r>
    </w:p>
    <w:p>
      <w:pPr>
        <w:pStyle w:val="Notaalopositor"/>
        <w:keepLines/>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w:t>
      </w:r>
      <w:hyperlink w:anchor="sec_oligopolio_diferenciado">
        <w:r>
          <w:rPr>
            <w:rStyle w:val="Hyperlink"/>
          </w:rPr>
          <w:t xml:space="preserve">II</w:t>
        </w:r>
      </w:hyperlink>
      <w:r>
        <w:t xml:space="preserve">): primero con una demanda lineal, después con consumidores que buscan cada uno una variedad concreta, luego con calidades y, al final, con las otras armas de la diferenciación. En el bloque </w:t>
      </w:r>
      <w:hyperlink w:anchor="sec_oligopolio_diferenciado">
        <w:r>
          <w:rPr>
            <w:rStyle w:val="Hyperlink"/>
          </w:rPr>
          <w:t xml:space="preserve">II</w:t>
        </w:r>
      </w:hyperlink>
      <w:r>
        <w:t xml:space="preserve"> </w:t>
      </w:r>
      <w:r>
        <w:t xml:space="preserve">cada modelo estudia una decisión de la empresa (tabla </w:t>
      </w:r>
      <w:hyperlink w:anchor="tab_decisiones">
        <w:r>
          <w:rPr>
            <w:rStyle w:val="Hyperlink"/>
          </w:rPr>
          <w:t xml:space="preserve">3</w:t>
        </w:r>
      </w:hyperlink>
      <w:r>
        <w:t xml:space="preserve">). Reparto del cante: introducción, 2′30″; I, 10′30″ (I.1, 1′30″; I.2, 3′; I.3, 6′); II, 16′ (II.1, 1′; II.2, 2′; II.3, 7′30″:</w:t>
      </w:r>
      <w:r>
        <w:t xml:space="preserve"> </w:t>
      </w:r>
      <w:r>
        <w:rPr>
          <w:smallCaps/>
        </w:rPr>
        <w:t xml:space="preserve">Lancaster</w:t>
      </w:r>
      <w:r>
        <w:t xml:space="preserve"> </w:t>
      </w:r>
      <w:r>
        <w:t xml:space="preserve">y el mapa de las decisiones, 1′; cada</w:t>
      </w:r>
      <w:r>
        <w:t xml:space="preserve"> </w:t>
      </w:r>
      <w:r>
        <w:rPr>
          <w:smallCaps/>
        </w:rPr>
        <w:t xml:space="preserve">Hotelling</w:t>
      </w:r>
      <w:r>
        <w:t xml:space="preserve">, 2′;</w:t>
      </w:r>
      <w:r>
        <w:t xml:space="preserve"> </w:t>
      </w:r>
      <w:r>
        <w:rPr>
          <w:smallCaps/>
        </w:rPr>
        <w:t xml:space="preserve">Salop</w:t>
      </w:r>
      <w:r>
        <w:t xml:space="preserve">, 2′30″; II.4, 3′30″; II.5,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keepLines/>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3"/>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4"/>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5"/>
        </w:numPr>
      </w:pPr>
      <w:r>
        <w:t xml:space="preserve">Supuesto a supuesto:</w:t>
      </w:r>
    </w:p>
    <w:p>
      <w:pPr>
        <w:numPr>
          <w:ilvl w:val="1"/>
          <w:numId w:val="1016"/>
        </w:numPr>
      </w:pPr>
      <w:r>
        <w:rPr>
          <w:i/>
          <w:iCs/>
        </w:rPr>
        <w:t xml:space="preserve">Se mantiene: agentes racionales</w:t>
      </w:r>
      <w:r>
        <w:t xml:space="preserve">. Los consumidores maximizan su utilidad y las empresas, su beneficio.</w:t>
      </w:r>
    </w:p>
    <w:p>
      <w:pPr>
        <w:numPr>
          <w:ilvl w:val="1"/>
          <w:numId w:val="1016"/>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6"/>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6"/>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6"/>
        </w:numPr>
      </w:pPr>
      <w:r>
        <w:rPr>
          <w:i/>
          <w:iCs/>
        </w:rPr>
        <w:t xml:space="preserve">Se mantiene: libre entrada y salida a largo plazo</w:t>
      </w:r>
      <w:r>
        <w:t xml:space="preserve">. Si hay beneficios extraordinarios, entran empresas con variedades nuevas hasta agotarlos.</w:t>
      </w:r>
    </w:p>
    <w:p>
      <w:pPr>
        <w:numPr>
          <w:ilvl w:val="0"/>
          <w:numId w:val="1015"/>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5"/>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5"/>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7"/>
        </w:numPr>
      </w:pPr>
      <w:r>
        <w:t xml:space="preserve">Una vez caracterizada la estructura, pasamos a su primer modelo, el que le da nombre.</w:t>
      </w:r>
    </w:p>
    <w:bookmarkStart w:id="48" w:name="a_idea"/>
    <w:p>
      <w:pPr>
        <w:pStyle w:val="Heading4"/>
      </w:pPr>
      <w:r>
        <w:t xml:space="preserve">a) Idea</w:t>
      </w:r>
    </w:p>
    <w:p>
      <w:pPr>
        <w:numPr>
          <w:ilvl w:val="0"/>
          <w:numId w:val="1018"/>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9"/>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9"/>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9"/>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9"/>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20"/>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20"/>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21"/>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21"/>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Por la miopía, el ajuste no es directo: las empresas bajan el precio esperando ganar clientes, incurren en pérdidas y algunas salen (el proceso paso a paso está en el anexo </w:t>
      </w:r>
      <w:hyperlink w:anchor="anexo_chamberlin">
        <w:r>
          <w:rPr>
            <w:rStyle w:val="Hyperlink"/>
          </w:rPr>
          <w:t xml:space="preserve">A</w:t>
        </w:r>
      </w:hyperlink>
      <w:r>
        <w:t xml:space="preserve">, gráfico </w:t>
      </w:r>
      <w:hyperlink w:anchor="fig_chamberlin_ajuste">
        <w:r>
          <w:rPr>
            <w:rStyle w:val="Hyperlink"/>
          </w:rPr>
          <w:t xml:space="preserve">12</w:t>
        </w:r>
      </w:hyperlink>
      <w:r>
        <w:t xml:space="preserve">). Sigue hasta que los beneficios desaparecen, en un punto en el que (gráfico </w:t>
      </w:r>
      <w:hyperlink w:anchor="fig_chamberlin">
        <w:r>
          <w:rPr>
            <w:rStyle w:val="Hyperlink"/>
          </w:rPr>
          <w:t xml:space="preserve">1</w:t>
        </w:r>
      </w:hyperlink>
      <w:r>
        <w:t xml:space="preserve">, panel c):</w:t>
      </w:r>
    </w:p>
    <w:p>
      <w:pPr>
        <w:numPr>
          <w:ilvl w:val="1"/>
          <w:numId w:val="1022"/>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22"/>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22"/>
        </w:numPr>
      </w:pPr>
      <w:r>
        <w:t xml:space="preserve">y la demanda percibida corta a la efectiva: lo que cree que vende es lo que vende.</w:t>
      </w:r>
    </w:p>
    <w:p>
      <w:pPr>
        <w:numPr>
          <w:ilvl w:val="0"/>
          <w:numId w:val="1021"/>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3"/>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3"/>
        </w:numPr>
      </w:pPr>
      <w:r>
        <w:t xml:space="preserve">2</w:t>
      </w:r>
      <w:r>
        <w:t xml:space="preserve"> </w:t>
      </w:r>
      <w:r>
        <w:rPr>
          <w:i/>
          <w:iCs/>
        </w:rPr>
        <w:t xml:space="preserve">ineficiencias</w:t>
      </w:r>
      <w:r>
        <w:t xml:space="preserve"> </w:t>
      </w:r>
      <w:r>
        <w:t xml:space="preserve">respecto a la competencia perfecta:</w:t>
      </w:r>
    </w:p>
    <w:p>
      <w:pPr>
        <w:numPr>
          <w:ilvl w:val="1"/>
          <w:numId w:val="1024"/>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4"/>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3"/>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5"/>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5"/>
        </w:numPr>
      </w:pPr>
      <w:r>
        <w:rPr>
          <w:i/>
          <w:iCs/>
        </w:rPr>
        <w:t xml:space="preserve">Críticas</w:t>
      </w:r>
      <w:r>
        <w:t xml:space="preserve">:</w:t>
      </w:r>
    </w:p>
    <w:p>
      <w:pPr>
        <w:numPr>
          <w:ilvl w:val="1"/>
          <w:numId w:val="1026"/>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6"/>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6"/>
        </w:numPr>
      </w:pPr>
      <w:r>
        <w:t xml:space="preserve">la miopía choca con la racionalidad: si los productos son sustitutivos cercanos, las empresas vigilan a sus rivales y aprenden de sus errores;</w:t>
      </w:r>
    </w:p>
    <w:p>
      <w:pPr>
        <w:numPr>
          <w:ilvl w:val="1"/>
          <w:numId w:val="1026"/>
        </w:numPr>
      </w:pPr>
      <w:r>
        <w:t xml:space="preserve">la diferenciación suele exigir costes hundidos (diseño, I+D, marca), que casan mal con la libre entrada;</w:t>
      </w:r>
    </w:p>
    <w:p>
      <w:pPr>
        <w:numPr>
          <w:ilvl w:val="1"/>
          <w:numId w:val="1026"/>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5"/>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7"/>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8"/>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8"/>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9"/>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9"/>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9"/>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9"/>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keepNext/>
        <w:numPr>
          <w:ilvl w:val="0"/>
          <w:numId w:val="1029"/>
        </w:numPr>
      </w:pPr>
      <m:oMath>
        <m:r>
          <m:t>σ</m:t>
        </m:r>
        <m:r>
          <m:rPr>
            <m:sty m:val="p"/>
          </m:rPr>
          <m:t>&gt;</m:t>
        </m:r>
        <m:r>
          <m:t>1</m:t>
        </m:r>
      </m:oMath>
      <w:r>
        <w:t xml:space="preserve"> </w:t>
      </w:r>
      <w:r>
        <w:t xml:space="preserve">por 2 razones:</w:t>
      </w:r>
    </w:p>
    <w:p>
      <w:pPr>
        <w:numPr>
          <w:ilvl w:val="1"/>
          <w:numId w:val="1030"/>
        </w:numPr>
      </w:pPr>
      <w:r>
        <w:t xml:space="preserve">que ninguna variedad sea imprescindible (las variedades son sustitutivas, no complementarias);</w:t>
      </w:r>
    </w:p>
    <w:p>
      <w:pPr>
        <w:numPr>
          <w:ilvl w:val="1"/>
          <w:numId w:val="1030"/>
        </w:numPr>
      </w:pPr>
      <w:r>
        <w:t xml:space="preserve">y, sobre todo, que la demanda de cada variedad sea elástica, sin lo que su monopolista no tendría un precio óptimo.</w:t>
      </w:r>
      <w:r>
        <w:rPr>
          <w:rStyle w:val="FootnoteReference"/>
        </w:rPr>
        <w:footnoteReference w:id="68"/>
      </w:r>
    </w:p>
    <w:p>
      <w:pPr>
        <w:numPr>
          <w:ilvl w:val="0"/>
          <w:numId w:val="1029"/>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sigma,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31"/>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32"/>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32"/>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31"/>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keepLines/>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33"/>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33"/>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33"/>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33"/>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31"/>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31"/>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keepLines/>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31"/>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keepNext/>
        <w:numPr>
          <w:ilvl w:val="0"/>
          <w:numId w:val="1031"/>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Por paneles:</w:t>
      </w:r>
    </w:p>
    <w:p>
      <w:pPr>
        <w:numPr>
          <w:ilvl w:val="1"/>
          <w:numId w:val="1034"/>
        </w:numPr>
      </w:pPr>
      <w:r>
        <w:t xml:space="preserve">con pocas variedades hay beneficios (panel a);</w:t>
      </w:r>
    </w:p>
    <w:p>
      <w:pPr>
        <w:numPr>
          <w:ilvl w:val="1"/>
          <w:numId w:val="1034"/>
        </w:numPr>
      </w:pPr>
      <w:r>
        <w:t xml:space="preserve">la entrada desplaza a la izquierda la demanda de cada variedad, con el precio fijo en</w:t>
      </w:r>
      <w:r>
        <w:t xml:space="preserve"> </w:t>
      </w:r>
      <m:oMath>
        <m:r>
          <m:t>μ</m:t>
        </m:r>
        <m:r>
          <m:t>c</m:t>
        </m:r>
      </m:oMath>
      <w:r>
        <w:t xml:space="preserve"> </w:t>
      </w:r>
      <w:r>
        <w:t xml:space="preserve">(panel b),</w:t>
      </w:r>
    </w:p>
    <w:p>
      <w:pPr>
        <w:numPr>
          <w:ilvl w:val="1"/>
          <w:numId w:val="1034"/>
        </w:numPr>
      </w:pPr>
      <w:r>
        <w:t xml:space="preserve">hasta que es tangente al coste medio (panel c).</w:t>
      </w:r>
      <w:r>
        <w:rPr>
          <w:rStyle w:val="FootnoteReference"/>
        </w:rPr>
        <w:footnoteReference w:id="78"/>
      </w:r>
    </w:p>
    <w:p>
      <w:pPr>
        <w:numPr>
          <w:ilvl w:val="0"/>
          <w:numId w:val="1031"/>
        </w:numPr>
      </w:pPr>
      <w:r>
        <w:t xml:space="preserve">El modelo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5"/>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5"/>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6"/>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6"/>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keepNext/>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37"/>
        </w:numPr>
      </w:pPr>
      <w:r>
        <w:t xml:space="preserve">el</w:t>
      </w:r>
      <w:r>
        <w:t xml:space="preserve"> </w:t>
      </w:r>
      <w:r>
        <w:rPr>
          <w:i/>
          <w:iCs/>
        </w:rPr>
        <w:t xml:space="preserve">excedente no apropiable</w:t>
      </w:r>
      <w:r>
        <w:t xml:space="preserve">: quien lanza una variedad no cobra todo lo que vale para los consumidores; empuja a que haya pocas;</w:t>
      </w:r>
    </w:p>
    <w:p>
      <w:pPr>
        <w:numPr>
          <w:ilvl w:val="1"/>
          <w:numId w:val="1037"/>
        </w:numPr>
      </w:pPr>
      <w:r>
        <w:t xml:space="preserve">y el</w:t>
      </w:r>
      <w:r>
        <w:t xml:space="preserve"> </w:t>
      </w:r>
      <w:r>
        <w:rPr>
          <w:i/>
          <w:iCs/>
        </w:rPr>
        <w:t xml:space="preserve">robo de clientes</w:t>
      </w:r>
      <w:r>
        <w:t xml:space="preserve">: parte de lo que gana se lo quita a las demás; empuja a que haya demasiadas.</w:t>
      </w:r>
    </w:p>
    <w:p>
      <w:pPr>
        <w:numPr>
          <w:ilvl w:val="0"/>
          <w:numId w:val="1000"/>
        </w:numPr>
      </w:pPr>
      <w:r>
        <w:t xml:space="preserve">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keepNext/>
        <w:numPr>
          <w:ilvl w:val="0"/>
          <w:numId w:val="1038"/>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p>
    <w:p>
      <w:pPr>
        <w:numPr>
          <w:ilvl w:val="1"/>
          <w:numId w:val="1039"/>
        </w:numPr>
      </w:pP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p>
    <w:p>
      <w:pPr>
        <w:numPr>
          <w:ilvl w:val="1"/>
          <w:numId w:val="1039"/>
        </w:numPr>
      </w:pP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w:t>
      </w:r>
    </w:p>
    <w:p>
      <w:pPr>
        <w:numPr>
          <w:ilvl w:val="1"/>
          <w:numId w:val="1039"/>
        </w:numPr>
      </w:pPr>
      <w:r>
        <w:t xml:space="preserve">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w:t>
      </w:r>
    </w:p>
    <w:p>
      <w:pPr>
        <w:numPr>
          <w:ilvl w:val="0"/>
          <w:numId w:val="1000"/>
        </w:numPr>
      </w:pPr>
      <w:r>
        <w:t xml:space="preserve">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8"/>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8"/>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keepNext/>
        <w:numPr>
          <w:ilvl w:val="0"/>
          <w:numId w:val="1040"/>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w:t>
      </w:r>
    </w:p>
    <w:p>
      <w:pPr>
        <w:numPr>
          <w:ilvl w:val="1"/>
          <w:numId w:val="1041"/>
        </w:numPr>
      </w:pPr>
      <w:r>
        <w:t xml:space="preserve">el número de variedades importadas se triplicó;</w:t>
      </w:r>
    </w:p>
    <w:p>
      <w:pPr>
        <w:numPr>
          <w:ilvl w:val="1"/>
          <w:numId w:val="1041"/>
        </w:numPr>
      </w:pPr>
      <w:r>
        <w:t xml:space="preserve">el índice de precios convencional sobrestimó la subida de los precios de importación en 1,2 puntos al año;</w:t>
      </w:r>
    </w:p>
    <w:p>
      <w:pPr>
        <w:numPr>
          <w:ilvl w:val="1"/>
          <w:numId w:val="1041"/>
        </w:numPr>
      </w:pPr>
      <w:r>
        <w:t xml:space="preserve">y el aumento de la variedad vale un 2,6 % del PIB.</w:t>
      </w:r>
    </w:p>
    <w:bookmarkEnd w:id="89"/>
    <w:bookmarkStart w:id="91" w:name="e_valoraci__n"/>
    <w:p>
      <w:pPr>
        <w:pStyle w:val="Heading4"/>
      </w:pPr>
      <w:r>
        <w:t xml:space="preserve">e) Valoración</w:t>
      </w:r>
    </w:p>
    <w:p>
      <w:pPr>
        <w:numPr>
          <w:ilvl w:val="0"/>
          <w:numId w:val="1042"/>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42"/>
        </w:numPr>
      </w:pPr>
      <w:r>
        <w:rPr>
          <w:i/>
          <w:iCs/>
        </w:rPr>
        <w:t xml:space="preserve">Críticas</w:t>
      </w:r>
      <w:r>
        <w:t xml:space="preserve">:</w:t>
      </w:r>
    </w:p>
    <w:p>
      <w:pPr>
        <w:numPr>
          <w:ilvl w:val="1"/>
          <w:numId w:val="1043"/>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43"/>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43"/>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42"/>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44"/>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212" w:name="sec_oligopolio_diferenciado"/>
    <w:p>
      <w:pPr>
        <w:pStyle w:val="Heading1"/>
      </w:pPr>
      <w:r>
        <w:t xml:space="preserve">II.</w:t>
      </w:r>
      <w:r>
        <w:t xml:space="preserve"> </w:t>
      </w:r>
      <w:r>
        <w:t xml:space="preserve">El oligopolio con productos diferenciados</w:t>
      </w:r>
      <w:r>
        <w:t xml:space="preserve"> </w:t>
      </w:r>
      <w:r>
        <w:rPr>
          <w:rStyle w:val="Minutos"/>
        </w:rPr>
        <w:t xml:space="preserve">16′</w:t>
      </w:r>
    </w:p>
    <w:p>
      <w:pPr>
        <w:pStyle w:val="Notaalopositor"/>
        <w:keepLines/>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y el mapa de las decisiones (tabla </w:t>
      </w:r>
      <w:hyperlink w:anchor="tab_decisiones">
        <w:r>
          <w:rPr>
            <w:rStyle w:val="Hyperlink"/>
          </w:rPr>
          <w:t xml:space="preserve">3</w:t>
        </w:r>
      </w:hyperlink>
      <w:r>
        <w:t xml:space="preserve">), que se escribe en la pizarra y se va rellenando (1′);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 diferenciación vertical con el segmento de valoraciones y el consumidor indiferente, la diferenciación máxima y la propiedad de finitud, con su contraste con la ciudad circular (3′30″); y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Las derivaciones con localizaciones cualesquiera están en el anexo </w:t>
      </w:r>
      <w:hyperlink w:anchor="anexo_hotelling">
        <w:r>
          <w:rPr>
            <w:rStyle w:val="Hyperlink"/>
          </w:rPr>
          <w:t xml:space="preserve">D</w:t>
        </w:r>
      </w:hyperlink>
      <w:r>
        <w:t xml:space="preserve">, y el duopolio natural, en el anexo </w:t>
      </w:r>
      <w:hyperlink w:anchor="anexo_finitud">
        <w:r>
          <w:rPr>
            <w:rStyle w:val="Hyperlink"/>
          </w:rPr>
          <w:t xml:space="preserve">E</w:t>
        </w:r>
      </w:hyperlink>
      <w:r>
        <w:t xml:space="preserve">.</w:t>
      </w:r>
    </w:p>
    <w:p>
      <w:pPr>
        <w:keepNext/>
        <w:numPr>
          <w:ilvl w:val="0"/>
          <w:numId w:val="1045"/>
        </w:numPr>
      </w:pPr>
      <w:r>
        <w:t xml:space="preserve">Una vez estudiada la competencia monopolística, con muchas empresas y un consumidor que valora la variedad en sí, pasamos a mercados con pocas empresas que se saben interdependientes. Su</w:t>
      </w:r>
      <w:r>
        <w:t xml:space="preserve"> </w:t>
      </w:r>
      <w:r>
        <w:rPr>
          <w:i/>
          <w:iCs/>
        </w:rPr>
        <w:t xml:space="preserve">conclusión anticipada</w:t>
      </w:r>
      <w:r>
        <w:t xml:space="preserve">:</w:t>
      </w:r>
    </w:p>
    <w:p>
      <w:pPr>
        <w:numPr>
          <w:ilvl w:val="1"/>
          <w:numId w:val="1046"/>
        </w:numPr>
      </w:pPr>
      <w:r>
        <w:t xml:space="preserve">la diferenciación es la salida a la paradoja de</w:t>
      </w:r>
      <w:r>
        <w:t xml:space="preserve"> </w:t>
      </w:r>
      <w:r>
        <w:rPr>
          <w:smallCaps/>
        </w:rPr>
        <w:t xml:space="preserve">Bertrand</w:t>
      </w:r>
      <w:r>
        <w:t xml:space="preserve">;</w:t>
      </w:r>
    </w:p>
    <w:p>
      <w:pPr>
        <w:numPr>
          <w:ilvl w:val="1"/>
          <w:numId w:val="1046"/>
        </w:numPr>
      </w:pPr>
      <w:r>
        <w:t xml:space="preserve">las empresas</w:t>
      </w:r>
      <w:r>
        <w:t xml:space="preserve"> </w:t>
      </w:r>
      <w:r>
        <w:rPr>
          <w:i/>
          <w:iCs/>
        </w:rPr>
        <w:t xml:space="preserve">quieren</w:t>
      </w:r>
      <w:r>
        <w:t xml:space="preserve"> </w:t>
      </w:r>
      <w:r>
        <w:t xml:space="preserve">diferenciarse, en variedad y en calidad, para suavizar la competencia en precios;</w:t>
      </w:r>
    </w:p>
    <w:p>
      <w:pPr>
        <w:numPr>
          <w:ilvl w:val="1"/>
          <w:numId w:val="1046"/>
        </w:numPr>
      </w:pPr>
      <w:r>
        <w:t xml:space="preserve">con calidades, el número de empresas que caben está acotado aunque el mercado crezca;</w:t>
      </w:r>
    </w:p>
    <w:p>
      <w:pPr>
        <w:numPr>
          <w:ilvl w:val="1"/>
          <w:numId w:val="1046"/>
        </w:numPr>
      </w:pPr>
      <w:r>
        <w:t xml:space="preserve">la publicidad y las marcas sirven para crear diferenciación y para cerrar el paso a otros;</w:t>
      </w:r>
    </w:p>
    <w:p>
      <w:pPr>
        <w:numPr>
          <w:ilvl w:val="1"/>
          <w:numId w:val="1046"/>
        </w:numPr>
      </w:pPr>
      <w:r>
        <w:t xml:space="preserve">y el mercado no garantiza ni la diferenciación ni el número de empresas socialmente óptimos.</w:t>
      </w:r>
    </w:p>
    <w:bookmarkStart w:id="96" w:name="sec_caracterizacion_oligopolio"/>
    <w:p>
      <w:pPr>
        <w:pStyle w:val="Heading2"/>
      </w:pPr>
      <w:r>
        <w:t xml:space="preserve">II.1.</w:t>
      </w:r>
      <w:r>
        <w:t xml:space="preserve"> </w:t>
      </w:r>
      <w:r>
        <w:t xml:space="preserve">Caracterización del oligopolio con productos diferenciados</w:t>
      </w:r>
    </w:p>
    <w:p>
      <w:pPr>
        <w:numPr>
          <w:ilvl w:val="0"/>
          <w:numId w:val="1047"/>
        </w:numPr>
      </w:pPr>
      <w:r>
        <w:t xml:space="preserve">El oligopolio con productos diferenciados parte de la misma lista de supuestos que todas las estructuras de mercado (tabla </w:t>
      </w:r>
      <w:hyperlink w:anchor="tab_supuestos_oligopolio">
        <w:r>
          <w:rPr>
            <w:rStyle w:val="Hyperlink"/>
          </w:rPr>
          <w:t xml:space="preserve">2</w:t>
        </w:r>
      </w:hyperlink>
      <w:r>
        <w:t xml:space="preserve">)</w:t>
      </w:r>
      <w:r>
        <w:t xml:space="preserve"> </w:t>
      </w:r>
      <w:hyperlink r:id="rId26">
        <w:r>
          <w:rPr>
            <w:rStyle w:val="Referenciaatema"/>
          </w:rPr>
          <w:t xml:space="preserve">[ver tema 3.A.16]</w:t>
        </w:r>
      </w:hyperlink>
      <w:r>
        <w:t xml:space="preserve"> </w:t>
      </w:r>
      <w:r>
        <w:t xml:space="preserve">y levanta, además del supuesto 3, el 4 y, salvo en la ciudad circular, el 5.</w:t>
      </w:r>
    </w:p>
    <w:bookmarkStart w:id="94" w:name="tab_supuestos_oligopolio"/>
    <w:p>
      <w:pPr>
        <w:pStyle w:val="TableCaption"/>
      </w:pPr>
      <w:r>
        <w:t xml:space="preserve">Tabla 2.–</w:t>
      </w:r>
      <w:r>
        <w:t xml:space="preserve"> </w:t>
      </w:r>
      <w:r>
        <w:t xml:space="preserve">Supuestos de las estructuras de mercado: el oligopolio con productos diferenciados levanta el 3, el 4 y (salvo en la ciudad circular) el 5</w:t>
      </w:r>
    </w:p>
    <w:tbl>
      <w:tblPr>
        <w:tblStyle w:val="Table"/>
        <w:tblW w:type="auto" w:w="0"/>
        <w:tblLook w:firstRow="1" w:lastRow="0" w:firstColumn="0" w:lastColumn="0" w:noHBand="0" w:noVBand="0" w:val="0020"/>
        <w:tblCaption w:val="Tabla 2.– Supuestos de las estructuras de mercado: el oligopolio con productos diferenciados levanta el 3, el 4 y (salvo en la ciudad circular) el 5"/>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shd w:val="clear" w:color="auto" w:fill="FBE4D5"/>
            <w:vAlign w:val="center"/>
          </w:tcPr>
          <w:p>
            <w:pPr>
              <w:pStyle w:val="Celdatceesalmon"/>
              <w:jc w:val="center"/>
            </w:pPr>
            <w:r>
              <w:rPr>
                <w:rStyle w:val="Textomorado"/>
                <w:b/>
                <w:bCs/>
              </w:rPr>
              <w:t xml:space="preserve">3</w:t>
            </w:r>
          </w:p>
        </w:tc>
        <w:tc>
          <w:tcPr>
            <w:shd w:val="clear" w:color="auto" w:fill="FBE4D5"/>
            <w:vAlign w:val="center"/>
          </w:tcPr>
          <w:p>
            <w:pPr>
              <w:pStyle w:val="Celdatceesalmon"/>
              <w:jc w:val="left"/>
            </w:pPr>
            <w:r>
              <w:rPr>
                <w:b/>
                <w:bCs/>
              </w:rPr>
              <w:t xml:space="preserve">Producto homogéneo (sin sustitutivos cercanos)</w:t>
            </w:r>
          </w:p>
        </w:tc>
        <w:tc>
          <w:tcPr>
            <w:shd w:val="clear" w:color="auto" w:fill="FBE4D5"/>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distinta en sus características (diferenciación horizontal) o en su calidad (vertical)</w:t>
            </w:r>
          </w:p>
        </w:tc>
      </w:tr>
      <w:tr>
        <w:trPr>
          <w:cantSplit/>
        </w:trPr>
        <w:tc>
          <w:tcPr>
            <w:shd w:val="clear" w:color="auto" w:fill="FBE4D5"/>
            <w:vAlign w:val="center"/>
          </w:tcPr>
          <w:p>
            <w:pPr>
              <w:pStyle w:val="Celdatceesalmon"/>
              <w:jc w:val="center"/>
            </w:pPr>
            <w:r>
              <w:rPr>
                <w:rStyle w:val="Textomorado"/>
                <w:b/>
                <w:bCs/>
              </w:rPr>
              <w:t xml:space="preserve">4</w:t>
            </w:r>
          </w:p>
        </w:tc>
        <w:tc>
          <w:tcPr>
            <w:shd w:val="clear" w:color="auto" w:fill="FBE4D5"/>
            <w:vAlign w:val="center"/>
          </w:tcPr>
          <w:p>
            <w:pPr>
              <w:pStyle w:val="Celdatceesalmon"/>
              <w:jc w:val="left"/>
            </w:pPr>
            <w:r>
              <w:rPr>
                <w:b/>
                <w:bCs/>
              </w:rPr>
              <w:t xml:space="preserve">Mercado atomizado: muchos compradores y vendedores (precio-aceptantes)</w:t>
            </w:r>
          </w:p>
        </w:tc>
        <w:tc>
          <w:tcPr>
            <w:shd w:val="clear" w:color="auto" w:fill="FBE4D5"/>
            <w:vAlign w:val="center"/>
          </w:tcPr>
          <w:p>
            <w:pPr>
              <w:pStyle w:val="Celdatceesalmon"/>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rojo"/>
                <w:b/>
                <w:bCs/>
              </w:rPr>
              <w:t xml:space="preserve">Se levanta</w:t>
            </w:r>
            <w:r>
              <w:t xml:space="preserve">: hay</w:t>
            </w:r>
            <w:r>
              <w:t xml:space="preserve"> </w:t>
            </w:r>
            <w:r>
              <w:rPr>
                <w:b/>
                <w:bCs/>
              </w:rPr>
              <w:t xml:space="preserve">pocos vendedores, que se saben interdependientes</w:t>
            </w:r>
            <w:r>
              <w:t xml:space="preserve">: lo que hace cada uno afecta al beneficio de los demás, y lo tienen en cuenta; los compradores siguen siendo muchos y precio-aceptantes</w:t>
            </w:r>
          </w:p>
        </w:tc>
      </w:tr>
      <w:tr>
        <w:trPr>
          <w:cantSplit/>
        </w:trPr>
        <w:tc>
          <w:tcPr>
            <w:shd w:val="clear" w:color="auto" w:fill="FBE4D5"/>
            <w:vAlign w:val="center"/>
          </w:tcPr>
          <w:p>
            <w:pPr>
              <w:pStyle w:val="Celdatceesalmon"/>
              <w:jc w:val="center"/>
            </w:pPr>
            <w:r>
              <w:rPr>
                <w:rStyle w:val="Textomorado"/>
                <w:b/>
                <w:bCs/>
              </w:rPr>
              <w:t xml:space="preserve">5</w:t>
            </w:r>
          </w:p>
        </w:tc>
        <w:tc>
          <w:tcPr>
            <w:shd w:val="clear" w:color="auto" w:fill="FBE4D5"/>
            <w:vAlign w:val="center"/>
          </w:tcPr>
          <w:p>
            <w:pPr>
              <w:pStyle w:val="Celdatceesalmon"/>
              <w:jc w:val="left"/>
            </w:pPr>
            <w:r>
              <w:rPr>
                <w:b/>
                <w:bCs/>
              </w:rPr>
              <w:t xml:space="preserve">Libre entrada y salida (a largo plazo)</w:t>
            </w:r>
          </w:p>
        </w:tc>
        <w:tc>
          <w:tcPr>
            <w:shd w:val="clear" w:color="auto" w:fill="FBE4D5"/>
            <w:vAlign w:val="center"/>
          </w:tcPr>
          <w:p>
            <w:pPr>
              <w:pStyle w:val="Celdatceesalmon"/>
              <w:jc w:val="left"/>
            </w:pPr>
            <w:r>
              <w:t xml:space="preserve">a largo plazo, si hay beneficios extraordinarios, entran empresas hasta agotarlos, y si hay pérdidas, salen</w:t>
            </w:r>
            <w:r>
              <w:br/>
            </w:r>
            <w:r>
              <w:rPr>
                <w:rStyle w:val="Textorojo"/>
                <w:b/>
                <w:bCs/>
              </w:rPr>
              <w:t xml:space="preserve">Se levanta, salvo en la ciudad circular</w:t>
            </w:r>
            <w:r>
              <w:t xml:space="preserve">: hay</w:t>
            </w:r>
            <w:r>
              <w:t xml:space="preserve"> </w:t>
            </w:r>
            <w:r>
              <w:rPr>
                <w:b/>
                <w:bCs/>
              </w:rPr>
              <w:t xml:space="preserve">barreras de entrada</w:t>
            </w:r>
            <w:r>
              <w:t xml:space="preserve">, que mantienen fijo el número de empresas; en la ciudad circular la entrada es libre</w:t>
            </w:r>
          </w:p>
        </w:tc>
      </w:tr>
    </w:tbl>
    <w:bookmarkEnd w:id="94"/>
    <w:p>
      <w:pPr>
        <w:pStyle w:val="BodyText"/>
        <w:keepNext/>
      </w:pPr>
      <w:r>
        <w:rPr>
          <w:i/>
          <w:iCs/>
        </w:rPr>
        <w:t xml:space="preserve">Fuente: elaboración propia.</w:t>
      </w:r>
    </w:p>
    <w:p>
      <w:pPr>
        <w:keepNext/>
        <w:numPr>
          <w:ilvl w:val="0"/>
          <w:numId w:val="1048"/>
        </w:numPr>
      </w:pPr>
      <w:r>
        <w:t xml:space="preserve">Supuesto a supuesto:</w:t>
      </w:r>
    </w:p>
    <w:p>
      <w:pPr>
        <w:numPr>
          <w:ilvl w:val="1"/>
          <w:numId w:val="1049"/>
        </w:numPr>
      </w:pPr>
      <w:r>
        <w:rPr>
          <w:i/>
          <w:iCs/>
        </w:rPr>
        <w:t xml:space="preserve">Se mantiene: agentes racionales</w:t>
      </w:r>
      <w:r>
        <w:t xml:space="preserve">. Además, la racionalidad de todos y la estructura del juego son conocimiento común</w:t>
      </w:r>
      <w:r>
        <w:t xml:space="preserve"> </w:t>
      </w:r>
      <w:hyperlink r:id="rId40">
        <w:r>
          <w:rPr>
            <w:rStyle w:val="Referenciaatema"/>
          </w:rPr>
          <w:t xml:space="preserve">[ver tema 3.A.14]</w:t>
        </w:r>
      </w:hyperlink>
      <w:r>
        <w:t xml:space="preserve">.</w:t>
      </w:r>
    </w:p>
    <w:p>
      <w:pPr>
        <w:numPr>
          <w:ilvl w:val="1"/>
          <w:numId w:val="1049"/>
        </w:numPr>
      </w:pPr>
      <w:r>
        <w:rPr>
          <w:i/>
          <w:iCs/>
        </w:rPr>
        <w:t xml:space="preserve">Se mantiene: información perfecta y simétrica</w:t>
      </w:r>
      <w:r>
        <w:t xml:space="preserve">. Cada empresa conoce la demanda y los costes de todas: son juegos con información completa.</w:t>
      </w:r>
    </w:p>
    <w:p>
      <w:pPr>
        <w:numPr>
          <w:ilvl w:val="1"/>
          <w:numId w:val="1049"/>
        </w:numPr>
      </w:pPr>
      <w:r>
        <w:rPr>
          <w:i/>
          <w:iCs/>
        </w:rPr>
        <w:t xml:space="preserve">Se levanta: producto diferenciado</w:t>
      </w:r>
      <w:r>
        <w:t xml:space="preserve">, ahora también en el espacio de las características (enfoque de direcciones, introducción) y en la calidad (</w:t>
      </w:r>
      <w:hyperlink w:anchor="sec_shaked_sutton">
        <w:r>
          <w:rPr>
            <w:rStyle w:val="Hyperlink"/>
          </w:rPr>
          <w:t xml:space="preserve">II.4</w:t>
        </w:r>
      </w:hyperlink>
      <w:r>
        <w:t xml:space="preserve">). Por ejemplo, un refresco normal, sin azúcar o sin cafeína.</w:t>
      </w:r>
    </w:p>
    <w:p>
      <w:pPr>
        <w:numPr>
          <w:ilvl w:val="1"/>
          <w:numId w:val="1049"/>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49"/>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 y la propiedad de finitud (</w:t>
      </w:r>
      <w:hyperlink w:anchor="sec_shaked_sutton">
        <w:r>
          <w:rPr>
            <w:rStyle w:val="Hyperlink"/>
          </w:rPr>
          <w:t xml:space="preserve">II.4</w:t>
        </w:r>
      </w:hyperlink>
      <w:r>
        <w:t xml:space="preserve">) muestra que, con calidades, aun con entrada libre caben solo unas pocas empresas.</w:t>
      </w:r>
    </w:p>
    <w:p>
      <w:pPr>
        <w:keepNext/>
        <w:numPr>
          <w:ilvl w:val="0"/>
          <w:numId w:val="1048"/>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w:t>
      </w:r>
    </w:p>
    <w:p>
      <w:pPr>
        <w:numPr>
          <w:ilvl w:val="1"/>
          <w:numId w:val="1050"/>
        </w:numPr>
      </w:pPr>
      <w:r>
        <w:t xml:space="preserve">en los</w:t>
      </w:r>
      <w:r>
        <w:t xml:space="preserve"> </w:t>
      </w:r>
      <w:r>
        <w:rPr>
          <w:i/>
          <w:iCs/>
        </w:rPr>
        <w:t xml:space="preserve">juegos estáticos</w:t>
      </w:r>
      <w:r>
        <w:t xml:space="preserve"> </w:t>
      </w:r>
      <w:r>
        <w:t xml:space="preserve">o simultáneos, en los que las empresas deciden a la vez y una sola vez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la decisión de precios en la ciudad lineal), el concepto de solución es el</w:t>
      </w:r>
      <w:r>
        <w:t xml:space="preserve"> </w:t>
      </w:r>
      <w:r>
        <w:rPr>
          <w:b/>
          <w:bCs/>
        </w:rPr>
        <w:t xml:space="preserve">equilibrio de</w:t>
      </w:r>
      <w:r>
        <w:rPr>
          <w:b/>
          <w:bCs/>
        </w:rPr>
        <w:t xml:space="preserve"> </w:t>
      </w:r>
      <w:r>
        <w:rPr>
          <w:b/>
          <w:bCs/>
          <w:smallCaps/>
        </w:rPr>
        <w:t xml:space="preserve">Nash</w:t>
      </w:r>
      <w:r>
        <w:t xml:space="preserve">: ninguna empresa quiere cambiar su decisión, dada la de las demás;</w:t>
      </w:r>
    </w:p>
    <w:p>
      <w:pPr>
        <w:numPr>
          <w:ilvl w:val="1"/>
          <w:numId w:val="1050"/>
        </w:numPr>
      </w:pPr>
      <w:r>
        <w:t xml:space="preserve">en los</w:t>
      </w:r>
      <w:r>
        <w:t xml:space="preserve"> </w:t>
      </w:r>
      <w:r>
        <w:rPr>
          <w:i/>
          <w:iCs/>
        </w:rPr>
        <w:t xml:space="preserve">juegos dinámicos secuenciales</w:t>
      </w:r>
      <w:r>
        <w:t xml:space="preserve">, en los que se decide por etapas y cada una se toma viendo lo decidido en las anteriores (los modelos en 2 etapas de localización, entrada y calidad), es el</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que se obtiene por</w:t>
      </w:r>
      <w:r>
        <w:t xml:space="preserve"> </w:t>
      </w:r>
      <w:r>
        <w:rPr>
          <w:i/>
          <w:iCs/>
        </w:rPr>
        <w:t xml:space="preserve">inducción hacia atrás</w:t>
      </w:r>
      <w:r>
        <w:t xml:space="preserve">: primero se resuelve la última etapa, la de precios, y con su resultado se resuelve la anterior.</w:t>
      </w:r>
      <w:r>
        <w:rPr>
          <w:rStyle w:val="FootnoteReference"/>
        </w:rPr>
        <w:footnoteReference w:id="95"/>
      </w:r>
    </w:p>
    <w:p>
      <w:pPr>
        <w:numPr>
          <w:ilvl w:val="0"/>
          <w:numId w:val="1048"/>
        </w:numPr>
      </w:pPr>
      <w:r>
        <w:t xml:space="preserve">Cada modelo del bloque estudia una de las decisiones de la empresa y deja fijas las demás: el mapa está en la tabla </w:t>
      </w:r>
      <w:hyperlink w:anchor="tab_decisiones">
        <w:r>
          <w:rPr>
            <w:rStyle w:val="Hyperlink"/>
          </w:rPr>
          <w:t xml:space="preserve">3</w:t>
        </w:r>
      </w:hyperlink>
      <w:r>
        <w:t xml:space="preserve">.</w:t>
      </w:r>
    </w:p>
    <w:bookmarkEnd w:id="96"/>
    <w:bookmarkStart w:id="115"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51"/>
        </w:numPr>
      </w:pPr>
      <w:r>
        <w:t xml:space="preserve">Empezamos por la decisión que se toma la última, el precio o la cantidad, con un número fijo de empresas y todavía sin direcciones.</w:t>
      </w:r>
    </w:p>
    <w:bookmarkStart w:id="97" w:name="a_idea_2"/>
    <w:p>
      <w:pPr>
        <w:pStyle w:val="Heading4"/>
      </w:pPr>
      <w:r>
        <w:t xml:space="preserve">a) Idea</w:t>
      </w:r>
    </w:p>
    <w:p>
      <w:pPr>
        <w:numPr>
          <w:ilvl w:val="0"/>
          <w:numId w:val="1052"/>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7"/>
    <w:bookmarkStart w:id="112" w:name="b_modelo_2"/>
    <w:p>
      <w:pPr>
        <w:pStyle w:val="Heading4"/>
      </w:pPr>
      <w:r>
        <w:t xml:space="preserve">b) Modelo</w:t>
      </w:r>
    </w:p>
    <w:bookmarkStart w:id="100" w:name="i_supuestos_2"/>
    <w:p>
      <w:pPr>
        <w:pStyle w:val="Heading5"/>
      </w:pPr>
      <w:r>
        <w:t xml:space="preserve">i) Supuestos</w:t>
      </w:r>
    </w:p>
    <w:p>
      <w:pPr>
        <w:numPr>
          <w:ilvl w:val="0"/>
          <w:numId w:val="1053"/>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53"/>
        </w:numPr>
      </w:pPr>
      <w:r>
        <w:t xml:space="preserve">Un consumidor representativo con utilidad cuasilineal y cuadrática en las 2 variedades,</w:t>
      </w:r>
      <w:r>
        <w:rPr>
          <w:rStyle w:val="FootnoteReference"/>
        </w:rPr>
        <w:footnoteReference w:id="98"/>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9" w:name="eq_singh_vives"/>
      <w:bookmarkEnd w:id="99"/>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53"/>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53"/>
        </w:numPr>
      </w:pPr>
      <w:r>
        <w:t xml:space="preserve">Juego estático (simultáneo): las empresas eligen a la vez, y una sola vez, el precio (</w:t>
      </w:r>
      <w:r>
        <w:rPr>
          <w:smallCaps/>
        </w:rPr>
        <w:t xml:space="preserve">Bertrand</w:t>
      </w:r>
      <w:r>
        <w:t xml:space="preserve">) o la cantidad (</w:t>
      </w:r>
      <w:r>
        <w:rPr>
          <w:smallCaps/>
        </w:rPr>
        <w:t xml:space="preserve">Cournot</w:t>
      </w:r>
      <w:r>
        <w:t xml:space="preserve">).</w:t>
      </w:r>
    </w:p>
    <w:bookmarkEnd w:id="100"/>
    <w:bookmarkStart w:id="109" w:name="ii_desarrollo_2"/>
    <w:p>
      <w:pPr>
        <w:pStyle w:val="Heading5"/>
      </w:pPr>
      <w:r>
        <w:t xml:space="preserve">ii) Desarrollo</w:t>
      </w:r>
    </w:p>
    <w:p>
      <w:pPr>
        <w:numPr>
          <w:ilvl w:val="0"/>
          <w:numId w:val="1054"/>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54"/>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keepNext/>
        <w:numPr>
          <w:ilvl w:val="0"/>
          <w:numId w:val="1054"/>
        </w:numPr>
      </w:pPr>
      <w:r>
        <w:rPr>
          <w:i/>
          <w:iCs/>
        </w:rPr>
        <w:t xml:space="preserve">Gráficamente</w:t>
      </w:r>
      <w:r>
        <w:t xml:space="preserve"> </w:t>
      </w:r>
      <w:r>
        <w:t xml:space="preserve">(gráfico </w:t>
      </w:r>
      <w:hyperlink w:anchor="fig_reaccion_diferenciado">
        <w:r>
          <w:rPr>
            <w:rStyle w:val="Hyperlink"/>
          </w:rPr>
          <w:t xml:space="preserve">4</w:t>
        </w:r>
      </w:hyperlink>
      <w:r>
        <w:t xml:space="preserve">):</w:t>
      </w:r>
    </w:p>
    <w:p>
      <w:pPr>
        <w:numPr>
          <w:ilvl w:val="1"/>
          <w:numId w:val="1055"/>
        </w:numPr>
      </w:pPr>
      <w:r>
        <w:t xml:space="preserve">a la izquierda, las funciones de reacción en cantidades, decrecientes, con el equilibrio de</w:t>
      </w:r>
      <w:r>
        <w:t xml:space="preserve"> </w:t>
      </w:r>
      <w:r>
        <w:rPr>
          <w:smallCaps/>
        </w:rPr>
        <w:t xml:space="preserve">Cournot</w:t>
      </w:r>
      <w:r>
        <w:t xml:space="preserve">;</w:t>
      </w:r>
    </w:p>
    <w:p>
      <w:pPr>
        <w:numPr>
          <w:ilvl w:val="1"/>
          <w:numId w:val="1055"/>
        </w:numPr>
      </w:pPr>
      <w:r>
        <w:t xml:space="preserve">a la derecha, las de precios, crecientes, con el de</w:t>
      </w:r>
      <w:r>
        <w:t xml:space="preserve"> </w:t>
      </w:r>
      <w:r>
        <w:rPr>
          <w:smallCaps/>
        </w:rPr>
        <w:t xml:space="preserve">Bertrand</w:t>
      </w:r>
      <w:r>
        <w:t xml:space="preserve"> </w:t>
      </w:r>
      <w:r>
        <w:t xml:space="preserve">por encima del coste marginal.</w:t>
      </w:r>
      <w:r>
        <w:rPr>
          <w:rStyle w:val="FootnoteReference"/>
        </w:rPr>
        <w:footnoteReference w:id="101"/>
      </w:r>
    </w:p>
    <w:bookmarkStart w:id="108"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6" name="Picture"/>
            <a:graphic>
              <a:graphicData uri="http://schemas.openxmlformats.org/drawingml/2006/picture">
                <pic:pic>
                  <pic:nvPicPr>
                    <pic:cNvPr descr="C:\Users\vgutierrez\Documents\src\victorgutierrezmarcos.github.io-revision\oposicion\temario\fuentes\3A18\graficos/reaccion-diferenciado.png" id="107" name="Picture"/>
                    <pic:cNvPicPr>
                      <a:picLocks noChangeArrowheads="1" noChangeAspect="1"/>
                    </pic:cNvPicPr>
                  </pic:nvPicPr>
                  <pic:blipFill>
                    <a:blip r:embed="rId105"/>
                    <a:stretch>
                      <a:fillRect/>
                    </a:stretch>
                  </pic:blipFill>
                  <pic:spPr bwMode="auto">
                    <a:xfrm>
                      <a:off x="0" y="0"/>
                      <a:ext cx="5006263" cy="2544417"/>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9"/>
    <w:bookmarkStart w:id="111" w:name="iii_implicaciones_2"/>
    <w:p>
      <w:pPr>
        <w:pStyle w:val="Heading5"/>
      </w:pPr>
      <w:r>
        <w:t xml:space="preserve">iii) Implicaciones</w:t>
      </w:r>
    </w:p>
    <w:p>
      <w:pPr>
        <w:numPr>
          <w:ilvl w:val="0"/>
          <w:numId w:val="1056"/>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56"/>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10"/>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56"/>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56"/>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11"/>
    <w:bookmarkEnd w:id="112"/>
    <w:bookmarkStart w:id="113" w:name="c_evidencia_emp__rica"/>
    <w:p>
      <w:pPr>
        <w:pStyle w:val="Heading4"/>
      </w:pPr>
      <w:r>
        <w:t xml:space="preserve">c) Evidencia empírica</w:t>
      </w:r>
    </w:p>
    <w:p>
      <w:pPr>
        <w:numPr>
          <w:ilvl w:val="0"/>
          <w:numId w:val="1057"/>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13"/>
    <w:bookmarkStart w:id="114" w:name="d_valoraci__n"/>
    <w:p>
      <w:pPr>
        <w:pStyle w:val="Heading4"/>
      </w:pPr>
      <w:r>
        <w:t xml:space="preserve">d) Valoración</w:t>
      </w:r>
    </w:p>
    <w:p>
      <w:pPr>
        <w:numPr>
          <w:ilvl w:val="0"/>
          <w:numId w:val="1058"/>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14"/>
    <w:bookmarkEnd w:id="115"/>
    <w:bookmarkStart w:id="184" w:name="sec_modelos_direcciones"/>
    <w:p>
      <w:pPr>
        <w:pStyle w:val="Heading2"/>
      </w:pPr>
      <w:r>
        <w:t xml:space="preserve">II.3.</w:t>
      </w:r>
      <w:r>
        <w:t xml:space="preserve"> </w:t>
      </w:r>
      <w:r>
        <w:t xml:space="preserve">Modelos con direcciones: las decisiones de precios, de localización y de entrada</w:t>
      </w:r>
    </w:p>
    <w:p>
      <w:pPr>
        <w:keepNext/>
        <w:numPr>
          <w:ilvl w:val="0"/>
          <w:numId w:val="1059"/>
        </w:numPr>
      </w:pPr>
      <w:r>
        <w:t xml:space="preserve">Una vez vista la competencia en precios con una diferenciación dada, pasamos a explicar de dónde sale la diferenciación:</w:t>
      </w:r>
    </w:p>
    <w:p>
      <w:pPr>
        <w:numPr>
          <w:ilvl w:val="1"/>
          <w:numId w:val="1060"/>
        </w:numPr>
      </w:pPr>
      <w:r>
        <w:t xml:space="preserve">primero, con la demanda de características que justifica el enfoque de direcciones;</w:t>
      </w:r>
    </w:p>
    <w:p>
      <w:pPr>
        <w:numPr>
          <w:ilvl w:val="1"/>
          <w:numId w:val="1060"/>
        </w:numPr>
      </w:pPr>
      <w:r>
        <w:t xml:space="preserve">después, con modelos que toman de una en una las decisiones de la empresa.</w:t>
      </w:r>
    </w:p>
    <w:p>
      <w:pPr>
        <w:keepNext/>
        <w:numPr>
          <w:ilvl w:val="0"/>
          <w:numId w:val="1059"/>
        </w:numPr>
      </w:pPr>
      <w:r>
        <w:t xml:space="preserve">Las decisiones de una empresa se toman en un orden:</w:t>
      </w:r>
    </w:p>
    <w:p>
      <w:pPr>
        <w:numPr>
          <w:ilvl w:val="1"/>
          <w:numId w:val="1061"/>
        </w:numPr>
      </w:pPr>
      <w:r>
        <w:t xml:space="preserve">primero, si entra en el mercado;</w:t>
      </w:r>
    </w:p>
    <w:p>
      <w:pPr>
        <w:numPr>
          <w:ilvl w:val="1"/>
          <w:numId w:val="1061"/>
        </w:numPr>
      </w:pPr>
      <w:r>
        <w:t xml:space="preserve">después, qué variedad produce, es decir, dónde se sitúa en el espacio de las características;</w:t>
      </w:r>
    </w:p>
    <w:p>
      <w:pPr>
        <w:numPr>
          <w:ilvl w:val="1"/>
          <w:numId w:val="1061"/>
        </w:numPr>
      </w:pPr>
      <w:r>
        <w:t xml:space="preserve">luego, con qué calidad;</w:t>
      </w:r>
    </w:p>
    <w:p>
      <w:pPr>
        <w:numPr>
          <w:ilvl w:val="1"/>
          <w:numId w:val="1061"/>
        </w:numPr>
      </w:pPr>
      <w:r>
        <w:t xml:space="preserve">y, por último, a qué precio.</w:t>
      </w:r>
    </w:p>
    <w:p>
      <w:pPr>
        <w:numPr>
          <w:ilvl w:val="0"/>
          <w:numId w:val="1059"/>
        </w:numPr>
      </w:pPr>
      <w:r>
        <w:t xml:space="preserve">Cuanto más tarde se toma una decisión, más fácil es cambiarla: el precio se cambia de un día para otro; el producto o la calidad, no.</w:t>
      </w:r>
    </w:p>
    <w:p>
      <w:pPr>
        <w:numPr>
          <w:ilvl w:val="0"/>
          <w:numId w:val="1059"/>
        </w:numPr>
      </w:pPr>
      <w:r>
        <w:t xml:space="preserve">Por eso cada modelo</w:t>
      </w:r>
      <w:r>
        <w:t xml:space="preserve"> </w:t>
      </w:r>
      <w:r>
        <w:rPr>
          <w:i/>
          <w:iCs/>
        </w:rPr>
        <w:t xml:space="preserve">fija las demás decisiones y estudia una</w:t>
      </w:r>
      <w:r>
        <w:t xml:space="preserve">, y los que tienen varias etapas se resuelven de la última a la primera, empezando siempre por el precio</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tabla </w:t>
      </w:r>
      <w:hyperlink w:anchor="tab_decisiones">
        <w:r>
          <w:rPr>
            <w:rStyle w:val="Hyperlink"/>
          </w:rPr>
          <w:t xml:space="preserve">3</w:t>
        </w:r>
      </w:hyperlink>
      <w:r>
        <w:t xml:space="preserve"> </w:t>
      </w:r>
      <w:r>
        <w:t xml:space="preserve">es el mapa del bloque.</w:t>
      </w:r>
    </w:p>
    <w:bookmarkStart w:id="116" w:name="tab_decisiones"/>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3.–</w:t>
      </w:r>
      <w:r>
        <w:t xml:space="preserve"> </w:t>
      </w:r>
      <w:r>
        <w:t xml:space="preserve">Las decisiones de la empresa, en el orden en que se toman, y el modelo que estudia cada una</w:t>
      </w:r>
    </w:p>
    <w:tbl>
      <w:tblPr>
        <w:tblStyle w:val="Table"/>
        <w:tblW w:type="auto" w:w="0"/>
        <w:shd w:color="auto" w:fill="E7E6E6" w:val="clear"/>
        <w:tblLook w:firstRow="1" w:lastRow="0" w:firstColumn="0" w:lastColumn="0" w:noHBand="0" w:noVBand="0" w:val="0020"/>
        <w:tblCaption w:val="Tabla 3.– Las decisiones de la empresa, en el orden en que se toman, y el modelo que estudia cada una"/>
      </w:tblPr>
      <w:tblGrid>
        <w:gridCol w:w="1980"/>
        <w:gridCol w:w="1980"/>
        <w:gridCol w:w="1980"/>
        <w:gridCol w:w="1980"/>
      </w:tblGrid>
      <w:tr>
        <w:trPr>
          <w:cantSplit/>
          <w:tblHeader w:val="on"/>
        </w:trPr>
        <w:tc>
          <w:tcPr>
            <w:shd w:color="auto" w:fill="E7E6E6" w:val="clear"/>
          </w:tcPr>
          <w:tcPr/>
          <w:p>
            <w:pPr>
              <w:pStyle w:val="Celdatceeazulpalido"/>
              <w:jc w:val="left"/>
            </w:pPr>
            <w:r>
              <w:rPr>
                <w:b/>
                <w:bCs/>
              </w:rPr>
              <w:t xml:space="preserve">Decisión</w:t>
            </w:r>
          </w:p>
        </w:tc>
        <w:tc>
          <w:tcPr>
            <w:shd w:color="auto" w:fill="E7E6E6" w:val="clear"/>
          </w:tcPr>
          <w:tcPr/>
          <w:p>
            <w:pPr>
              <w:pStyle w:val="Celdatceeazulpalido"/>
              <w:jc w:val="left"/>
            </w:pPr>
            <w:r>
              <w:rPr>
                <w:b/>
                <w:bCs/>
              </w:rPr>
              <w:t xml:space="preserve">Modelo</w:t>
            </w:r>
          </w:p>
        </w:tc>
        <w:tc>
          <w:tcPr>
            <w:shd w:color="auto" w:fill="E7E6E6" w:val="clear"/>
          </w:tcPr>
          <w:tcPr/>
          <w:p>
            <w:pPr>
              <w:pStyle w:val="Celdatceeazulpalido"/>
              <w:jc w:val="left"/>
            </w:pPr>
            <w:r>
              <w:rPr>
                <w:b/>
                <w:bCs/>
              </w:rPr>
              <w:t xml:space="preserve">Qué se toma como dado</w:t>
            </w:r>
          </w:p>
        </w:tc>
        <w:tc>
          <w:tcPr>
            <w:shd w:color="auto" w:fill="E7E6E6" w:val="clear"/>
          </w:tcPr>
          <w:tcPr/>
          <w:p>
            <w:pPr>
              <w:pStyle w:val="Celdatceeazulpalido"/>
              <w:jc w:val="left"/>
            </w:pPr>
            <w:r>
              <w:rPr>
                <w:b/>
                <w:bCs/>
              </w:rPr>
              <w:t xml:space="preserve">Resultado clave</w:t>
            </w:r>
          </w:p>
        </w:tc>
      </w:tr>
      <w:tr>
        <w:trPr>
          <w:cantSplit/>
        </w:trPr>
        <w:tc>
          <w:tcPr>
            <w:shd w:color="auto" w:fill="E7E6E6" w:val="clear"/>
          </w:tcPr>
          <w:tcPr/>
          <w:p>
            <w:pPr>
              <w:pStyle w:val="Compact"/>
              <w:jc w:val="left"/>
            </w:pPr>
            <w:r>
              <w:rPr>
                <w:b/>
                <w:bCs/>
              </w:rPr>
              <w:t xml:space="preserve">1. Entrada</w:t>
            </w:r>
            <w:r>
              <w:t xml:space="preserve"> </w:t>
            </w:r>
            <w:r>
              <w:t xml:space="preserve">(número de variedades)</w:t>
            </w:r>
          </w:p>
        </w:tc>
        <w:tc>
          <w:tcPr>
            <w:shd w:color="auto" w:fill="E7E6E6" w:val="clear"/>
          </w:tcPr>
          <w:tcPr/>
          <w:p>
            <w:pPr>
              <w:pStyle w:val="Compact"/>
              <w:jc w:val="left"/>
            </w:pPr>
            <w:r>
              <w:t xml:space="preserve">Ciudad circular de</w:t>
            </w:r>
            <w:r>
              <w:t xml:space="preserve"> </w:t>
            </w:r>
            <w:r>
              <w:rPr>
                <w:smallCaps/>
              </w:rPr>
              <w:t xml:space="preserve">Salop</w:t>
            </w:r>
            <w:r>
              <w:t xml:space="preserve"> </w:t>
            </w:r>
            <w:r>
              <w:t xml:space="preserve">(</w:t>
            </w:r>
            <w:hyperlink w:anchor="sec_salop">
              <w:r>
                <w:rPr>
                  <w:rStyle w:val="Hyperlink"/>
                </w:rPr>
                <w:t xml:space="preserve">II.3.4</w:t>
              </w:r>
            </w:hyperlink>
            <w:r>
              <w:t xml:space="preserve">)</w:t>
            </w:r>
          </w:p>
        </w:tc>
        <w:tc>
          <w:tcPr>
            <w:shd w:color="auto" w:fill="E7E6E6" w:val="clear"/>
          </w:tcPr>
          <w:tcPr/>
          <w:p>
            <w:pPr>
              <w:pStyle w:val="Compact"/>
              <w:jc w:val="left"/>
            </w:pPr>
            <w:r>
              <w:t xml:space="preserve">localización equidistante; el precio, después</w:t>
            </w:r>
          </w:p>
        </w:tc>
        <w:tc>
          <w:tcPr>
            <w:shd w:color="auto" w:fill="E7E6E6" w:val="clear"/>
          </w:tcPr>
          <w:tcPr/>
          <w:p>
            <w:pPr>
              <w:pStyle w:val="Compact"/>
              <w:jc w:val="left"/>
            </w:pP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 las óptimas (entrada excesiva)</w:t>
            </w:r>
          </w:p>
        </w:tc>
      </w:tr>
      <w:tr>
        <w:trPr>
          <w:cantSplit/>
        </w:trPr>
        <w:tc>
          <w:tcPr>
            <w:shd w:color="auto" w:fill="E7E6E6" w:val="clear"/>
          </w:tcPr>
          <w:tcPr/>
          <w:p>
            <w:pPr>
              <w:pStyle w:val="Compact"/>
              <w:jc w:val="left"/>
            </w:pPr>
            <w:r>
              <w:rPr>
                <w:b/>
                <w:bCs/>
              </w:rPr>
              <w:t xml:space="preserve">2. Localización</w:t>
            </w:r>
            <w:r>
              <w:t xml:space="preserve"> </w:t>
            </w:r>
            <w:r>
              <w:t xml:space="preserve">(qué variedad)</w:t>
            </w:r>
          </w:p>
        </w:tc>
        <w:tc>
          <w:tcPr>
            <w:shd w:color="auto" w:fill="E7E6E6" w:val="clear"/>
          </w:tcPr>
          <w:tcPr/>
          <w:p>
            <w:pPr>
              <w:pStyle w:val="Compact"/>
              <w:jc w:val="left"/>
            </w:pPr>
            <w:r>
              <w:t xml:space="preserve">Ciudad lineal en 2 etapas (</w:t>
            </w:r>
            <w:hyperlink w:anchor="sec_hotelling_localizacion">
              <w:r>
                <w:rPr>
                  <w:rStyle w:val="Hyperlink"/>
                </w:rPr>
                <w:t xml:space="preserve">II.3.3</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el efecto estratégico domina al de demanda</w:t>
            </w:r>
          </w:p>
        </w:tc>
      </w:tr>
      <w:tr>
        <w:trPr>
          <w:cantSplit/>
        </w:trPr>
        <w:tc>
          <w:tcPr>
            <w:shd w:color="auto" w:fill="E7E6E6" w:val="clear"/>
          </w:tcPr>
          <w:tcPr/>
          <w:p>
            <w:pPr>
              <w:pStyle w:val="Compact"/>
              <w:jc w:val="left"/>
            </w:pPr>
            <w:r>
              <w:rPr>
                <w:b/>
                <w:bCs/>
              </w:rPr>
              <w:t xml:space="preserve">3. Calidad</w:t>
            </w:r>
          </w:p>
        </w:tc>
        <w:tc>
          <w:tcPr>
            <w:shd w:color="auto" w:fill="E7E6E6" w:val="clear"/>
          </w:tcPr>
          <w:tcPr/>
          <w:p>
            <w:pPr>
              <w:pStyle w:val="Compact"/>
              <w:jc w:val="left"/>
            </w:pPr>
            <w:r>
              <w:rPr>
                <w:smallCaps/>
              </w:rPr>
              <w:t xml:space="preserve">Shaked</w:t>
            </w:r>
            <w:r>
              <w:t xml:space="preserve"> </w:t>
            </w:r>
            <w:r>
              <w:t xml:space="preserve">y</w:t>
            </w:r>
            <w:r>
              <w:t xml:space="preserve"> </w:t>
            </w:r>
            <w:r>
              <w:rPr>
                <w:smallCaps/>
              </w:rPr>
              <w:t xml:space="preserve">Sutton</w:t>
            </w:r>
            <w:r>
              <w:t xml:space="preserve"> </w:t>
            </w:r>
            <w:r>
              <w:t xml:space="preserve">(</w:t>
            </w:r>
            <w:hyperlink w:anchor="sec_shaked_sutton">
              <w:r>
                <w:rPr>
                  <w:rStyle w:val="Hyperlink"/>
                </w:rPr>
                <w:t xml:space="preserve">II.4</w:t>
              </w:r>
            </w:hyperlink>
            <w:r>
              <w:t xml:space="preserve">)</w:t>
            </w:r>
          </w:p>
        </w:tc>
        <w:tc>
          <w:tcPr>
            <w:shd w:color="auto" w:fill="E7E6E6" w:val="clear"/>
          </w:tcPr>
          <w:tcPr/>
          <w:p>
            <w:pPr>
              <w:pStyle w:val="Compact"/>
              <w:jc w:val="left"/>
            </w:pPr>
            <w:r>
              <w:t xml:space="preserve">empresas; el precio, después</w:t>
            </w:r>
          </w:p>
        </w:tc>
        <w:tc>
          <w:tcPr>
            <w:shd w:color="auto" w:fill="E7E6E6" w:val="clear"/>
          </w:tcPr>
          <w:tcPr/>
          <w:p>
            <w:pPr>
              <w:pStyle w:val="Compact"/>
              <w:jc w:val="left"/>
            </w:pPr>
            <w:r>
              <w:t xml:space="preserve">diferenciación máxima de calidades; finitud (oligopolio natural)</w:t>
            </w:r>
          </w:p>
        </w:tc>
      </w:tr>
      <w:tr>
        <w:trPr>
          <w:cantSplit/>
        </w:trPr>
        <w:tc>
          <w:tcPr>
            <w:shd w:color="auto" w:fill="E7E6E6" w:val="clear"/>
          </w:tcPr>
          <w:tcPr/>
          <w:p>
            <w:pPr>
              <w:pStyle w:val="Compact"/>
              <w:jc w:val="left"/>
            </w:pPr>
            <w:r>
              <w:rPr>
                <w:b/>
                <w:bCs/>
              </w:rPr>
              <w:t xml:space="preserve">4. Precio</w:t>
            </w:r>
          </w:p>
        </w:tc>
        <w:tc>
          <w:tcPr>
            <w:shd w:color="auto" w:fill="E7E6E6" w:val="clear"/>
          </w:tcPr>
          <w:tcPr/>
          <w:p>
            <w:pPr>
              <w:pStyle w:val="Compact"/>
              <w:jc w:val="left"/>
            </w:pPr>
            <w:r>
              <w:t xml:space="preserve">Ciudad lineal con localización dada (</w:t>
            </w:r>
            <w:hyperlink w:anchor="sec_hotelling_precios">
              <w:r>
                <w:rPr>
                  <w:rStyle w:val="Hyperlink"/>
                </w:rPr>
                <w:t xml:space="preserve">II.3.2</w:t>
              </w:r>
            </w:hyperlink>
            <w:r>
              <w:t xml:space="preserve">)</w:t>
            </w:r>
          </w:p>
        </w:tc>
        <w:tc>
          <w:tcPr>
            <w:shd w:color="auto" w:fill="E7E6E6" w:val="clear"/>
          </w:tcPr>
          <w:tcPr/>
          <w:p>
            <w:pPr>
              <w:pStyle w:val="Compact"/>
              <w:jc w:val="left"/>
            </w:pPr>
            <w:r>
              <w:t xml:space="preserve">empresas en los extremos</w:t>
            </w:r>
          </w:p>
        </w:tc>
        <w:tc>
          <w:tcPr>
            <w:shd w:color="auto" w:fill="E7E6E6" w:val="clear"/>
          </w:tcPr>
          <w:tcPr/>
          <w:p>
            <w:pPr>
              <w:pStyle w:val="Compact"/>
              <w:jc w:val="left"/>
            </w:pPr>
            <m:oMath>
              <m:sSup>
                <m:e>
                  <m:r>
                    <m:t>p</m:t>
                  </m:r>
                </m:e>
                <m:sup>
                  <m:r>
                    <m:rPr>
                      <m:sty m:val="p"/>
                    </m:rPr>
                    <m:t>*</m:t>
                  </m:r>
                </m:sup>
              </m:sSup>
              <m:r>
                <m:rPr>
                  <m:sty m:val="p"/>
                </m:rPr>
                <m:t>=</m:t>
              </m:r>
              <m:r>
                <m:t>c</m:t>
              </m:r>
              <m:r>
                <m:rPr>
                  <m:sty m:val="p"/>
                </m:rPr>
                <m:t>+</m:t>
              </m:r>
              <m:r>
                <m:t>t</m:t>
              </m:r>
            </m:oMath>
            <w:r>
              <w:t xml:space="preserve">: salida a la paradoja de</w:t>
            </w:r>
            <w:r>
              <w:t xml:space="preserve"> </w:t>
            </w:r>
            <w:r>
              <w:rPr>
                <w:smallCaps/>
              </w:rPr>
              <w:t xml:space="preserve">Bertrand</w:t>
            </w:r>
          </w:p>
        </w:tc>
      </w:tr>
      <w:tr>
        <w:trPr>
          <w:cantSplit/>
        </w:trPr>
        <w:tc>
          <w:tcPr>
            <w:shd w:color="auto" w:fill="E7E6E6" w:val="clear"/>
          </w:tcPr>
          <w:tcPr/>
          <w:p>
            <w:pPr>
              <w:pStyle w:val="Compact"/>
              <w:jc w:val="left"/>
            </w:pPr>
            <w:r>
              <w:rPr>
                <w:b/>
                <w:bCs/>
              </w:rPr>
              <w:t xml:space="preserve">Otras</w:t>
            </w:r>
            <w:r>
              <w:t xml:space="preserve">: publicidad y marcas</w:t>
            </w:r>
          </w:p>
        </w:tc>
        <w:tc>
          <w:tcPr>
            <w:shd w:color="auto" w:fill="E7E6E6" w:val="clear"/>
          </w:tcPr>
          <w:tcPr/>
          <w:p>
            <w:pPr>
              <w:pStyle w:val="Compact"/>
              <w:jc w:val="left"/>
            </w:pPr>
            <w:r>
              <w:rPr>
                <w:smallCaps/>
              </w:rPr>
              <w:t xml:space="preserve">Dorfman</w:t>
            </w:r>
            <w:r>
              <w:t xml:space="preserve">-</w:t>
            </w:r>
            <w:r>
              <w:rPr>
                <w:smallCaps/>
              </w:rPr>
              <w:t xml:space="preserve">Steiner</w:t>
            </w:r>
            <w:r>
              <w:t xml:space="preserve">; proliferación de marcas (</w:t>
            </w:r>
            <w:hyperlink w:anchor="sec_publicidad_marcas">
              <w:r>
                <w:rPr>
                  <w:rStyle w:val="Hyperlink"/>
                </w:rPr>
                <w:t xml:space="preserve">II.5</w:t>
              </w:r>
            </w:hyperlink>
            <w:r>
              <w:t xml:space="preserve">)</w:t>
            </w:r>
          </w:p>
        </w:tc>
        <w:tc>
          <w:tcPr>
            <w:shd w:color="auto" w:fill="E7E6E6" w:val="clear"/>
          </w:tcPr>
          <w:tcPr/>
          <w:p>
            <w:pPr>
              <w:pStyle w:val="Compact"/>
              <w:jc w:val="left"/>
            </w:pPr>
            <w:r>
              <w:t xml:space="preserve">el poder de mercado; en las marcas, una instalada frente a un entrante</w:t>
            </w:r>
          </w:p>
        </w:tc>
        <w:tc>
          <w:tcPr>
            <w:shd w:color="auto" w:fill="E7E6E6" w:val="clear"/>
          </w:tcPr>
          <w:tcPr/>
          <w:p>
            <w:pPr>
              <w:pStyle w:val="Compact"/>
              <w:jc w:val="left"/>
            </w:pP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las marcas ocupan los huecos y disuaden la entrada</w:t>
            </w:r>
          </w:p>
        </w:tc>
      </w:tr>
    </w:tbl>
    <w:bookmarkEnd w:id="116"/>
    <w:p>
      <w:pPr>
        <w:pStyle w:val="Cajadeanotaciones"/>
        <w:keepNext/>
        <w:keepLines/>
      </w:pPr>
      <w:r>
        <w:rPr>
          <w:i/>
          <w:iCs/>
        </w:rPr>
        <w:t xml:space="preserve">Fuente: elaboración propia a partir de</w:t>
      </w:r>
      <w:r>
        <w:rPr>
          <w:i/>
          <w:iCs/>
        </w:rPr>
        <w:t xml:space="preserve"> </w:t>
      </w:r>
      <w:r>
        <w:rPr>
          <w:i/>
          <w:iCs/>
          <w:smallCaps/>
        </w:rPr>
        <w:t xml:space="preserve">Tirole</w:t>
      </w:r>
      <w:r>
        <w:rPr>
          <w:i/>
          <w:iCs/>
        </w:rPr>
        <w:t xml:space="preserve"> </w:t>
      </w:r>
      <w:r>
        <w:rPr>
          <w:i/>
          <w:iCs/>
        </w:rPr>
        <w:t xml:space="preserve">(</w:t>
      </w:r>
      <w:hyperlink w:anchor="ref_Tirole1988Theory">
        <w:r>
          <w:rPr>
            <w:rStyle w:val="Hyperlink"/>
            <w:i/>
            <w:iCs/>
          </w:rPr>
          <w:t xml:space="preserve">1988, cap. 7</w:t>
        </w:r>
      </w:hyperlink>
      <w:r>
        <w:rPr>
          <w:i/>
          <w:iCs/>
        </w:rPr>
        <w:t xml:space="preserve">)</w:t>
      </w:r>
      <w:r>
        <w:rPr>
          <w:i/>
          <w:iCs/>
        </w:rPr>
        <w:t xml:space="preserve">.</w:t>
      </w:r>
    </w:p>
    <w:p>
      <w:pPr>
        <w:pStyle w:val="Cajadeanotaciones"/>
        <w:keepLines/>
      </w:pPr>
      <w:r>
        <w:rPr>
          <w:b/>
          <w:bCs/>
        </w:rPr>
        <w:t xml:space="preserve">Mapa de las decisiones</w:t>
      </w:r>
      <w:r>
        <w:t xml:space="preserve">: cada modelo estudia una decisión y deja fijas las demás. En la pizarra, se escriben las 2 primeras columnas al empezar y se rellena la última con cada modelo. La exposición va de la decisión más fácil de cambiar, el precio, a las más duraderas: primero las de la diferenciación horizontal (precio, localización, entrada), después la calidad y, al final, la publicidad y las marcas. El precio con una diferenciación dada y sin direcciones es el de</w:t>
      </w:r>
      <w:r>
        <w:t xml:space="preserve"> </w:t>
      </w:r>
      <w:hyperlink w:anchor="sec_bertrand_cournot">
        <w:r>
          <w:rPr>
            <w:rStyle w:val="Hyperlink"/>
          </w:rPr>
          <w:t xml:space="preserve">II.2</w:t>
        </w:r>
      </w:hyperlink>
      <w:r>
        <w:t xml:space="preserve">.</w:t>
      </w:r>
    </w:p>
    <w:bookmarkStart w:id="128"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7" w:name="a_idea_3"/>
    <w:p>
      <w:pPr>
        <w:pStyle w:val="Heading4"/>
      </w:pPr>
      <w:r>
        <w:t xml:space="preserve">a) Idea</w:t>
      </w:r>
    </w:p>
    <w:p>
      <w:pPr>
        <w:numPr>
          <w:ilvl w:val="0"/>
          <w:numId w:val="1062"/>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7"/>
    <w:bookmarkStart w:id="126" w:name="b_modelo_3"/>
    <w:p>
      <w:pPr>
        <w:pStyle w:val="Heading4"/>
      </w:pPr>
      <w:r>
        <w:t xml:space="preserve">b) Modelo</w:t>
      </w:r>
    </w:p>
    <w:bookmarkStart w:id="118" w:name="i_supuestos_3"/>
    <w:p>
      <w:pPr>
        <w:pStyle w:val="Heading5"/>
      </w:pPr>
      <w:r>
        <w:t xml:space="preserve">i) Supuestos</w:t>
      </w:r>
    </w:p>
    <w:p>
      <w:pPr>
        <w:numPr>
          <w:ilvl w:val="0"/>
          <w:numId w:val="1063"/>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63"/>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8"/>
    <w:bookmarkStart w:id="123" w:name="ii_desarrollo_3"/>
    <w:p>
      <w:pPr>
        <w:pStyle w:val="Heading5"/>
      </w:pPr>
      <w:r>
        <w:t xml:space="preserve">ii) Desarrollo</w:t>
      </w:r>
    </w:p>
    <w:p>
      <w:pPr>
        <w:numPr>
          <w:ilvl w:val="0"/>
          <w:numId w:val="1064"/>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64"/>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22"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20" name="Picture"/>
            <a:graphic>
              <a:graphicData uri="http://schemas.openxmlformats.org/drawingml/2006/picture">
                <pic:pic>
                  <pic:nvPicPr>
                    <pic:cNvPr descr="C:\Users\vgutierrez\Documents\src\victorgutierrezmarcos.github.io-revision\oposicion\temario\fuentes\3A18\graficos/lancaster-diferenciacion.png" id="121" name="Picture"/>
                    <pic:cNvPicPr>
                      <a:picLocks noChangeArrowheads="1" noChangeAspect="1"/>
                    </pic:cNvPicPr>
                  </pic:nvPicPr>
                  <pic:blipFill>
                    <a:blip r:embed="rId119"/>
                    <a:stretch>
                      <a:fillRect/>
                    </a:stretch>
                  </pic:blipFill>
                  <pic:spPr bwMode="auto">
                    <a:xfrm>
                      <a:off x="0" y="0"/>
                      <a:ext cx="2948098" cy="2529126"/>
                    </a:xfrm>
                    <a:prstGeom prst="rect">
                      <a:avLst/>
                    </a:prstGeom>
                    <a:noFill/>
                    <a:ln w="9525">
                      <a:noFill/>
                      <a:headEnd/>
                      <a:tailEnd/>
                    </a:ln>
                  </pic:spPr>
                </pic:pic>
              </a:graphicData>
            </a:graphic>
          </wp:inline>
        </w:drawing>
      </w:r>
    </w:p>
    <w:bookmarkEnd w:id="122"/>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23"/>
    <w:bookmarkStart w:id="125" w:name="iii_implicaciones_3"/>
    <w:p>
      <w:pPr>
        <w:pStyle w:val="Heading5"/>
      </w:pPr>
      <w:r>
        <w:t xml:space="preserve">iii) Implicaciones</w:t>
      </w:r>
    </w:p>
    <w:p>
      <w:pPr>
        <w:keepNext/>
        <w:numPr>
          <w:ilvl w:val="0"/>
          <w:numId w:val="1065"/>
        </w:numPr>
      </w:pPr>
      <w:r>
        <w:t xml:space="preserve">El enfoque permite explicar 3 cosas que la teoría de bienes homogéneos no explicaba:</w:t>
      </w:r>
    </w:p>
    <w:p>
      <w:pPr>
        <w:numPr>
          <w:ilvl w:val="1"/>
          <w:numId w:val="1066"/>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66"/>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66"/>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p>
      <w:pPr>
        <w:numPr>
          <w:ilvl w:val="0"/>
          <w:numId w:val="1065"/>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24"/>
      </w:r>
    </w:p>
    <w:bookmarkEnd w:id="125"/>
    <w:bookmarkEnd w:id="126"/>
    <w:bookmarkStart w:id="127" w:name="c_valoraci__n_1"/>
    <w:p>
      <w:pPr>
        <w:pStyle w:val="Heading4"/>
      </w:pPr>
      <w:r>
        <w:t xml:space="preserve">c) Valoración</w:t>
      </w:r>
    </w:p>
    <w:p>
      <w:pPr>
        <w:numPr>
          <w:ilvl w:val="0"/>
          <w:numId w:val="1067"/>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7"/>
    <w:bookmarkEnd w:id="128"/>
    <w:bookmarkStart w:id="153"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32" w:name="a_idea_4"/>
    <w:p>
      <w:pPr>
        <w:pStyle w:val="Heading4"/>
      </w:pPr>
      <w:r>
        <w:t xml:space="preserve">a) Idea</w:t>
      </w:r>
    </w:p>
    <w:p>
      <w:pPr>
        <w:numPr>
          <w:ilvl w:val="0"/>
          <w:numId w:val="1068"/>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9"/>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30"/>
      </w:r>
    </w:p>
    <w:p>
      <w:pPr>
        <w:numPr>
          <w:ilvl w:val="0"/>
          <w:numId w:val="1068"/>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32"/>
    <w:bookmarkStart w:id="151" w:name="b_modelo_4"/>
    <w:p>
      <w:pPr>
        <w:pStyle w:val="Heading4"/>
      </w:pPr>
      <w:r>
        <w:t xml:space="preserve">b) Modelo</w:t>
      </w:r>
    </w:p>
    <w:bookmarkStart w:id="138" w:name="i_supuestos_4"/>
    <w:p>
      <w:pPr>
        <w:pStyle w:val="Heading5"/>
      </w:pPr>
      <w:r>
        <w:t xml:space="preserve">i) Supuestos</w:t>
      </w:r>
    </w:p>
    <w:p>
      <w:pPr>
        <w:numPr>
          <w:ilvl w:val="0"/>
          <w:numId w:val="1069"/>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 (gráfico </w:t>
      </w:r>
      <w:hyperlink w:anchor="fig_hotelling_uniforme">
        <w:r>
          <w:rPr>
            <w:rStyle w:val="Hyperlink"/>
          </w:rPr>
          <w:t xml:space="preserve">6</w:t>
        </w:r>
      </w:hyperlink>
      <w:r>
        <w:t xml:space="preserve">).</w:t>
      </w:r>
    </w:p>
    <w:p>
      <w:pPr>
        <w:numPr>
          <w:ilvl w:val="0"/>
          <w:numId w:val="1069"/>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69"/>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33"/>
      </w:r>
      <w:r>
        <w:t xml:space="preserve"> </w:t>
      </w:r>
      <w:r>
        <w:t xml:space="preserve">La demanda de cada empresa no es, por tanto, una cantidad por consumidor, sino el número de consumidores que le compran.</w:t>
      </w:r>
    </w:p>
    <w:p>
      <w:pPr>
        <w:numPr>
          <w:ilvl w:val="0"/>
          <w:numId w:val="1069"/>
        </w:numPr>
      </w:pPr>
      <w:r>
        <w:t xml:space="preserve">Compiten en precios, a la vez y una sola vez (</w:t>
      </w:r>
      <w:r>
        <w:rPr>
          <w:smallCaps/>
        </w:rPr>
        <w:t xml:space="preserve">Bertrand</w:t>
      </w:r>
      <w:r>
        <w:t xml:space="preserve">): es un juego estático.</w:t>
      </w:r>
    </w:p>
    <w:bookmarkStart w:id="137" w:name="fig_hotelling_uniforme"/>
    <w:p>
      <w:pPr>
        <w:pStyle w:val="ImageCaption"/>
      </w:pPr>
      <w:r>
        <w:t xml:space="preserve">Gráfico 6.–</w:t>
      </w:r>
      <w:r>
        <w:t xml:space="preserve"> </w:t>
      </w:r>
      <w:r>
        <w:t xml:space="preserve">La ciudad lineal: consumidores repartidos de modo uniforme en</w:t>
      </w:r>
      <w:r>
        <w:t xml:space="preserve"> </w:t>
      </w:r>
      <m:oMath>
        <m:d>
          <m:dPr>
            <m:begChr m:val="["/>
            <m:sepChr m:val=""/>
            <m:endChr m:val="]"/>
            <m:grow/>
          </m:dPr>
          <m:e>
            <m:r>
              <m:t>0</m:t>
            </m:r>
            <m:r>
              <m:rPr>
                <m:sty m:val="p"/>
              </m:rPr>
              <m:t>,</m:t>
            </m:r>
            <m:r>
              <m:t>1</m:t>
            </m:r>
          </m:e>
        </m:d>
      </m:oMath>
      <w:r>
        <w:t xml:space="preserve">, la empresa 1 en 0, la 2 en 1 y el consumidor indiferente</w:t>
      </w:r>
      <w:r>
        <w:t xml:space="preserve"> </w:t>
      </w:r>
      <m:oMath>
        <m:acc>
          <m:accPr>
            <m:chr m:val="̃"/>
          </m:accPr>
          <m:e>
            <m:r>
              <m:t>x</m:t>
            </m:r>
          </m:e>
        </m:acc>
      </m:oMath>
    </w:p>
    <w:p>
      <w:pPr>
        <w:pStyle w:val="CaptionedFigure"/>
      </w:pPr>
      <w:r>
        <w:drawing>
          <wp:inline>
            <wp:extent cx="3627018" cy="1168230"/>
            <wp:effectExtent b="0" l="0" r="0" t="0"/>
            <wp:docPr descr="Gráfico 6.– La ciudad lineal: consumidores repartidos de modo uniforme en [0,1], la empresa 1 en 0, la 2 en 1 y el consumidor indiferente \tilde{x}" title="" id="135" name="Picture"/>
            <a:graphic>
              <a:graphicData uri="http://schemas.openxmlformats.org/drawingml/2006/picture">
                <pic:pic>
                  <pic:nvPicPr>
                    <pic:cNvPr descr="C:\Users\vgutierrez\Documents\src\victorgutierrezmarcos.github.io-revision\oposicion\temario\fuentes\3A18\graficos/hotelling-uniforme.png" id="136" name="Picture"/>
                    <pic:cNvPicPr>
                      <a:picLocks noChangeArrowheads="1" noChangeAspect="1"/>
                    </pic:cNvPicPr>
                  </pic:nvPicPr>
                  <pic:blipFill>
                    <a:blip r:embed="rId134"/>
                    <a:stretch>
                      <a:fillRect/>
                    </a:stretch>
                  </pic:blipFill>
                  <pic:spPr bwMode="auto">
                    <a:xfrm>
                      <a:off x="0" y="0"/>
                      <a:ext cx="3627018" cy="1168230"/>
                    </a:xfrm>
                    <a:prstGeom prst="rect">
                      <a:avLst/>
                    </a:prstGeom>
                    <a:noFill/>
                    <a:ln w="9525">
                      <a:noFill/>
                      <a:headEnd/>
                      <a:tailEnd/>
                    </a:ln>
                  </pic:spPr>
                </pic:pic>
              </a:graphicData>
            </a:graphic>
          </wp:inline>
        </w:drawing>
      </w:r>
    </w:p>
    <w:bookmarkEnd w:id="13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w:t>
      </w:r>
    </w:p>
    <w:bookmarkEnd w:id="138"/>
    <w:bookmarkStart w:id="148" w:name="ii_desarrollo_4"/>
    <w:p>
      <w:pPr>
        <w:pStyle w:val="Heading5"/>
      </w:pPr>
      <w:r>
        <w:t xml:space="preserve">ii) Desarrollo</w:t>
      </w:r>
    </w:p>
    <w:p>
      <w:pPr>
        <w:numPr>
          <w:ilvl w:val="0"/>
          <w:numId w:val="1070"/>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7</w:t>
        </w:r>
      </w:hyperlink>
      <w:r>
        <w:t xml:space="preserve">): los que están a su izquierda compran a la 1, y los de su derecha, a la 2:</w:t>
      </w:r>
      <w:r>
        <w:t xml:space="preserve"> </w:t>
      </w:r>
      <w:bookmarkStart w:id="139" w:name="eq_hotelling_indiferente"/>
      <w:bookmarkEnd w:id="139"/>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bookmarkStart w:id="143" w:name="fig_hotelling"/>
    <w:p>
      <w:pPr>
        <w:pStyle w:val="ImageCaption"/>
      </w:pPr>
      <w:r>
        <w:t xml:space="preserve">Gráfico 7.–</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685123" cy="2474078"/>
            <wp:effectExtent b="0" l="0" r="0" t="0"/>
            <wp:docPr descr="Gráfico 7.– Ciudad lineal de Hotelling: el consumidor indiferente reparte el mercado" title="" id="141" name="Picture"/>
            <a:graphic>
              <a:graphicData uri="http://schemas.openxmlformats.org/drawingml/2006/picture">
                <pic:pic>
                  <pic:nvPicPr>
                    <pic:cNvPr descr="C:\Users\vgutierrez\Documents\src\victorgutierrezmarcos.github.io-revision\oposicion\temario\fuentes\3A18\graficos/hotelling.png" id="142" name="Picture"/>
                    <pic:cNvPicPr>
                      <a:picLocks noChangeArrowheads="1" noChangeAspect="1"/>
                    </pic:cNvPicPr>
                  </pic:nvPicPr>
                  <pic:blipFill>
                    <a:blip r:embed="rId140"/>
                    <a:stretch>
                      <a:fillRect/>
                    </a:stretch>
                  </pic:blipFill>
                  <pic:spPr bwMode="auto">
                    <a:xfrm>
                      <a:off x="0" y="0"/>
                      <a:ext cx="3685123" cy="2474078"/>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p>
      <w:pPr>
        <w:numPr>
          <w:ilvl w:val="0"/>
          <w:numId w:val="1071"/>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44" w:name="eq_hotelling_precios"/>
      <w:bookmarkEnd w:id="144"/>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p>
      <w:pPr>
        <w:numPr>
          <w:ilvl w:val="0"/>
          <w:numId w:val="1071"/>
        </w:numPr>
      </w:pPr>
      <w:r>
        <w:rPr>
          <w:i/>
          <w:iCs/>
        </w:rPr>
        <w:t xml:space="preserve">Gráficamente</w:t>
      </w:r>
      <w:r>
        <w:t xml:space="preserve"> </w:t>
      </w:r>
      <w:r>
        <w:t xml:space="preserve">(gráfico </w:t>
      </w:r>
      <w:hyperlink w:anchor="fig_hotelling_reaccion">
        <w:r>
          <w:rPr>
            <w:rStyle w:val="Hyperlink"/>
          </w:rPr>
          <w:t xml:space="preserve">8</w:t>
        </w:r>
      </w:hyperlink>
      <w:r>
        <w:t xml:space="preserve">): las 2 funciones de reacción, de pendiente</w:t>
      </w:r>
      <w:r>
        <w:t xml:space="preserve"> </w:t>
      </w:r>
      <m:oMath>
        <m:r>
          <m:t>1</m:t>
        </m:r>
        <m:r>
          <m:rPr>
            <m:sty m:val="p"/>
          </m:rPr>
          <m:t>/</m:t>
        </m:r>
        <m:r>
          <m:t>2</m:t>
        </m:r>
      </m:oMath>
      <w:r>
        <w:t xml:space="preserve"> </w:t>
      </w:r>
      <w:r>
        <w:t xml:space="preserve">y que parten de</w:t>
      </w:r>
      <w:r>
        <w:t xml:space="preserve"> </w:t>
      </w:r>
      <m:oMath>
        <m:d>
          <m:dPr>
            <m:begChr m:val="("/>
            <m:sepChr m:val=""/>
            <m:endChr m:val=")"/>
            <m:grow/>
          </m:dPr>
          <m:e>
            <m:r>
              <m:t>c</m:t>
            </m:r>
            <m:r>
              <m:rPr>
                <m:sty m:val="p"/>
              </m:rPr>
              <m:t>+</m:t>
            </m:r>
            <m:r>
              <m:t>t</m:t>
            </m:r>
          </m:e>
        </m:d>
        <m:r>
          <m:rPr>
            <m:sty m:val="p"/>
          </m:rPr>
          <m:t>/</m:t>
        </m:r>
        <m:r>
          <m:t>2</m:t>
        </m:r>
      </m:oMath>
      <w:r>
        <w:t xml:space="preserve">, se cortan sobre la diagonal en</w:t>
      </w:r>
      <w:r>
        <w:t xml:space="preserve"> </w:t>
      </w:r>
      <m:oMath>
        <m:d>
          <m:dPr>
            <m:begChr m:val="("/>
            <m:sepChr m:val=""/>
            <m:endChr m:val=")"/>
            <m:grow/>
          </m:dPr>
          <m:e>
            <m:r>
              <m:t>c</m:t>
            </m:r>
            <m:r>
              <m:rPr>
                <m:sty m:val="p"/>
              </m:rPr>
              <m:t>+</m:t>
            </m:r>
            <m:r>
              <m:t>t</m:t>
            </m:r>
            <m:r>
              <m:rPr>
                <m:sty m:val="p"/>
              </m:rPr>
              <m:t>,</m:t>
            </m:r>
            <m:r>
              <m:t> </m:t>
            </m:r>
            <m:r>
              <m:t>c</m:t>
            </m:r>
            <m:r>
              <m:rPr>
                <m:sty m:val="p"/>
              </m:rPr>
              <m:t>+</m:t>
            </m:r>
            <m:r>
              <m:t>t</m:t>
            </m:r>
          </m:e>
        </m:d>
      </m:oMath>
      <w:r>
        <w:t xml:space="preserve">, con un margen</w:t>
      </w:r>
      <w:r>
        <w:t xml:space="preserve"> </w:t>
      </w:r>
      <m:oMath>
        <m:r>
          <m:t>t</m:t>
        </m:r>
      </m:oMath>
      <w:r>
        <w:t xml:space="preserve"> </w:t>
      </w:r>
      <w:r>
        <w:t xml:space="preserve">sobre el coste marginal. Es el mismo gráfico que el de</w:t>
      </w:r>
      <w:r>
        <w:t xml:space="preserve"> </w:t>
      </w:r>
      <w:r>
        <w:rPr>
          <w:smallCaps/>
        </w:rPr>
        <w:t xml:space="preserve">Bertrand</w:t>
      </w:r>
      <w:r>
        <w:t xml:space="preserve"> </w:t>
      </w:r>
      <w:r>
        <w:t xml:space="preserve">con producto diferenciado.</w:t>
      </w:r>
    </w:p>
    <w:bookmarkStart w:id="147" w:name="fig_hotelling_reaccion"/>
    <w:p>
      <w:pPr>
        <w:pStyle w:val="ImageCaption"/>
      </w:pPr>
      <w:r>
        <w:t xml:space="preserve">Gráfico 8.–</w:t>
      </w:r>
      <w:r>
        <w:t xml:space="preserve"> </w:t>
      </w:r>
      <w:r>
        <w:t xml:space="preserve">Ciudad lineal de</w:t>
      </w:r>
      <w:r>
        <w:t xml:space="preserve"> </w:t>
      </w:r>
      <w:r>
        <w:rPr>
          <w:smallCaps/>
        </w:rPr>
        <w:t xml:space="preserve">Hotelling</w:t>
      </w:r>
      <w:r>
        <w:t xml:space="preserve">: funciones de reacción en precios y equilibrio en</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p>
    <w:p>
      <w:pPr>
        <w:pStyle w:val="CaptionedFigure"/>
      </w:pPr>
      <w:r>
        <w:drawing>
          <wp:inline>
            <wp:extent cx="2746258" cy="2611697"/>
            <wp:effectExtent b="0" l="0" r="0" t="0"/>
            <wp:docPr descr="Gráfico 8.– Ciudad lineal de Hotelling: funciones de reacción en precios y equilibrio en p_1^*=p_2^*=c+t" title="" id="145" name="Picture"/>
            <a:graphic>
              <a:graphicData uri="http://schemas.openxmlformats.org/drawingml/2006/picture">
                <pic:pic>
                  <pic:nvPicPr>
                    <pic:cNvPr descr="C:\Users\vgutierrez\Documents\src\victorgutierrezmarcos.github.io-revision\oposicion\temario\fuentes\3A18\graficos/hotelling-reaccion.png" id="146" name="Picture"/>
                    <pic:cNvPicPr>
                      <a:picLocks noChangeArrowheads="1" noChangeAspect="1"/>
                    </pic:cNvPicPr>
                  </pic:nvPicPr>
                  <pic:blipFill>
                    <a:blip r:embed="rId102"/>
                    <a:stretch>
                      <a:fillRect/>
                    </a:stretch>
                  </pic:blipFill>
                  <pic:spPr bwMode="auto">
                    <a:xfrm>
                      <a:off x="0" y="0"/>
                      <a:ext cx="2746258" cy="2611697"/>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8"/>
    <w:bookmarkStart w:id="150" w:name="iii_implicaciones_4"/>
    <w:p>
      <w:pPr>
        <w:pStyle w:val="Heading5"/>
      </w:pPr>
      <w:r>
        <w:t xml:space="preserve">iii) Implicaciones</w:t>
      </w:r>
    </w:p>
    <w:p>
      <w:pPr>
        <w:numPr>
          <w:ilvl w:val="0"/>
          <w:numId w:val="1072"/>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49"/>
      </w:r>
    </w:p>
    <w:p>
      <w:pPr>
        <w:numPr>
          <w:ilvl w:val="0"/>
          <w:numId w:val="1072"/>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50"/>
    <w:bookmarkEnd w:id="151"/>
    <w:bookmarkStart w:id="152" w:name="c_valoraci__n_2"/>
    <w:p>
      <w:pPr>
        <w:pStyle w:val="Heading4"/>
      </w:pPr>
      <w:r>
        <w:t xml:space="preserve">c) Valoración</w:t>
      </w:r>
    </w:p>
    <w:p>
      <w:pPr>
        <w:numPr>
          <w:ilvl w:val="0"/>
          <w:numId w:val="1073"/>
        </w:numPr>
      </w:pPr>
      <w:r>
        <w:t xml:space="preserve">Explica el margen a partir de los gustos, pero las localizaciones son exógenas: no dice si las empresas, pudiendo elegir, se parecerían o se diferenciarían. Es la pregunta del modelo siguiente.</w:t>
      </w:r>
    </w:p>
    <w:bookmarkEnd w:id="152"/>
    <w:bookmarkEnd w:id="153"/>
    <w:bookmarkStart w:id="168" w:name="sec_hotelling_localizacion"/>
    <w:p>
      <w:pPr>
        <w:pStyle w:val="Heading3"/>
      </w:pPr>
      <w:r>
        <w:t xml:space="preserve">II.3.3.</w:t>
      </w:r>
      <w:r>
        <w:t xml:space="preserve"> </w:t>
      </w:r>
      <w:r>
        <w:t xml:space="preserve">Ciudad lineal con localización elegida: la decisión de localización</w:t>
      </w:r>
    </w:p>
    <w:bookmarkStart w:id="154" w:name="a_idea_5"/>
    <w:p>
      <w:pPr>
        <w:pStyle w:val="Heading4"/>
      </w:pPr>
      <w:r>
        <w:t xml:space="preserve">a) Idea</w:t>
      </w:r>
    </w:p>
    <w:p>
      <w:pPr>
        <w:numPr>
          <w:ilvl w:val="0"/>
          <w:numId w:val="1074"/>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54"/>
    <w:bookmarkStart w:id="164" w:name="b_modelo_5"/>
    <w:p>
      <w:pPr>
        <w:pStyle w:val="Heading4"/>
      </w:pPr>
      <w:r>
        <w:t xml:space="preserve">b) Modelo</w:t>
      </w:r>
    </w:p>
    <w:bookmarkStart w:id="156" w:name="i_supuestos_5"/>
    <w:p>
      <w:pPr>
        <w:pStyle w:val="Heading5"/>
      </w:pPr>
      <w:r>
        <w:t xml:space="preserve">i) Supuestos</w:t>
      </w:r>
    </w:p>
    <w:p>
      <w:pPr>
        <w:keepNext/>
        <w:numPr>
          <w:ilvl w:val="0"/>
          <w:numId w:val="1075"/>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55"/>
      </w:r>
      <w:r>
        <w:t xml:space="preserve"> </w:t>
      </w:r>
      <w:r>
        <w:t xml:space="preserve">y un 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76"/>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76"/>
        </w:numPr>
      </w:pPr>
      <w:r>
        <w:t xml:space="preserve">vistas las localizaciones, compiten en precios.</w:t>
      </w:r>
    </w:p>
    <w:bookmarkEnd w:id="156"/>
    <w:bookmarkStart w:id="161" w:name="ii_desarrollo_5"/>
    <w:p>
      <w:pPr>
        <w:pStyle w:val="Heading5"/>
      </w:pPr>
      <w:r>
        <w:t xml:space="preserve">ii) Desarrollo</w:t>
      </w:r>
    </w:p>
    <w:p>
      <w:pPr>
        <w:numPr>
          <w:ilvl w:val="0"/>
          <w:numId w:val="1077"/>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77"/>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78"/>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78"/>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9</w:t>
        </w:r>
      </w:hyperlink>
      <w:r>
        <w:t xml:space="preserve">).</w:t>
      </w:r>
    </w:p>
    <w:bookmarkStart w:id="160" w:name="fig_hotelling_localizacion"/>
    <w:p>
      <w:pPr>
        <w:pStyle w:val="ImageCaption"/>
      </w:pPr>
      <w:r>
        <w:t xml:space="preserve">Gráfico 9.–</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9.– Ciudad lineal con localización elegida: efecto demanda, efecto estratégico y localizaciones de equilibrio y óptimas" title="" id="158" name="Picture"/>
            <a:graphic>
              <a:graphicData uri="http://schemas.openxmlformats.org/drawingml/2006/picture">
                <pic:pic>
                  <pic:nvPicPr>
                    <pic:cNvPr descr="C:\Users\vgutierrez\Documents\src\victorgutierrezmarcos.github.io-revision\oposicion\temario\fuentes\3A18\graficos/hotelling-localizacion.png" id="159" name="Picture"/>
                    <pic:cNvPicPr>
                      <a:picLocks noChangeArrowheads="1" noChangeAspect="1"/>
                    </pic:cNvPicPr>
                  </pic:nvPicPr>
                  <pic:blipFill>
                    <a:blip r:embed="rId157"/>
                    <a:stretch>
                      <a:fillRect/>
                    </a:stretch>
                  </pic:blipFill>
                  <pic:spPr bwMode="auto">
                    <a:xfrm>
                      <a:off x="0" y="0"/>
                      <a:ext cx="3339547" cy="2614755"/>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61"/>
    <w:bookmarkStart w:id="163" w:name="iii_implicaciones_5"/>
    <w:p>
      <w:pPr>
        <w:pStyle w:val="Heading5"/>
      </w:pPr>
      <w:r>
        <w:t xml:space="preserve">iii) Implicaciones</w:t>
      </w:r>
    </w:p>
    <w:p>
      <w:pPr>
        <w:numPr>
          <w:ilvl w:val="0"/>
          <w:numId w:val="1079"/>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79"/>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62"/>
      </w:r>
    </w:p>
    <w:p>
      <w:pPr>
        <w:numPr>
          <w:ilvl w:val="0"/>
          <w:numId w:val="1079"/>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63"/>
    <w:bookmarkEnd w:id="164"/>
    <w:bookmarkStart w:id="166" w:name="c_extensiones_1"/>
    <w:p>
      <w:pPr>
        <w:pStyle w:val="Heading4"/>
      </w:pPr>
      <w:r>
        <w:t xml:space="preserve">c) Extensiones</w:t>
      </w:r>
    </w:p>
    <w:p>
      <w:pPr>
        <w:numPr>
          <w:ilvl w:val="0"/>
          <w:numId w:val="1080"/>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65"/>
      </w:r>
    </w:p>
    <w:bookmarkEnd w:id="166"/>
    <w:bookmarkStart w:id="167" w:name="d_valoraci__n_1"/>
    <w:p>
      <w:pPr>
        <w:pStyle w:val="Heading4"/>
      </w:pPr>
      <w:r>
        <w:t xml:space="preserve">d) Valoración</w:t>
      </w:r>
    </w:p>
    <w:p>
      <w:pPr>
        <w:keepNext/>
        <w:numPr>
          <w:ilvl w:val="0"/>
          <w:numId w:val="1081"/>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1"/>
          <w:numId w:val="1082"/>
        </w:numPr>
      </w:pPr>
      <w:r>
        <w:t xml:space="preserve">la demanda suele concentrarse en el centro;</w:t>
      </w:r>
    </w:p>
    <w:p>
      <w:pPr>
        <w:numPr>
          <w:ilvl w:val="1"/>
          <w:numId w:val="1082"/>
        </w:numPr>
      </w:pPr>
      <w:r>
        <w:t xml:space="preserve">la aglomeración tiene ventajas (los consumidores comparan mejor, y las empresas comparten proveedores y reducen sus costes de transporte);</w:t>
      </w:r>
    </w:p>
    <w:p>
      <w:pPr>
        <w:numPr>
          <w:ilvl w:val="1"/>
          <w:numId w:val="1082"/>
        </w:numPr>
      </w:pPr>
      <w:r>
        <w:t xml:space="preserve">y, si no se compite en precios, no hay razón para alejarse.</w:t>
      </w:r>
    </w:p>
    <w:p>
      <w:pPr>
        <w:numPr>
          <w:ilvl w:val="0"/>
          <w:numId w:val="1081"/>
        </w:numPr>
      </w:pPr>
      <w:r>
        <w:t xml:space="preserve">El número de empresas sigue siendo fijo. Para estudiar la entrada, hace falta un espacio sin extremos.</w:t>
      </w:r>
    </w:p>
    <w:bookmarkEnd w:id="167"/>
    <w:bookmarkEnd w:id="168"/>
    <w:bookmarkStart w:id="183"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69" w:name="a_idea_6"/>
    <w:p>
      <w:pPr>
        <w:pStyle w:val="Heading4"/>
      </w:pPr>
      <w:r>
        <w:t xml:space="preserve">a) Idea</w:t>
      </w:r>
    </w:p>
    <w:p>
      <w:pPr>
        <w:numPr>
          <w:ilvl w:val="0"/>
          <w:numId w:val="1083"/>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69"/>
    <w:bookmarkStart w:id="181" w:name="b_modelo_6"/>
    <w:p>
      <w:pPr>
        <w:pStyle w:val="Heading4"/>
      </w:pPr>
      <w:r>
        <w:t xml:space="preserve">b) Modelo</w:t>
      </w:r>
    </w:p>
    <w:bookmarkStart w:id="172" w:name="i_supuestos_6"/>
    <w:p>
      <w:pPr>
        <w:pStyle w:val="Heading5"/>
      </w:pPr>
      <w:r>
        <w:t xml:space="preserve">i) Supuestos</w:t>
      </w:r>
    </w:p>
    <w:p>
      <w:pPr>
        <w:numPr>
          <w:ilvl w:val="0"/>
          <w:numId w:val="1084"/>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70"/>
      </w:r>
    </w:p>
    <w:p>
      <w:pPr>
        <w:numPr>
          <w:ilvl w:val="0"/>
          <w:numId w:val="1084"/>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keepNext/>
        <w:numPr>
          <w:ilvl w:val="0"/>
          <w:numId w:val="1084"/>
        </w:numPr>
      </w:pPr>
      <w:r>
        <w:t xml:space="preserve">Juego dinámico (secuencial) en 2 etapas, que se resuelve por inducción hacia atrás:</w:t>
      </w:r>
    </w:p>
    <w:p>
      <w:pPr>
        <w:numPr>
          <w:ilvl w:val="1"/>
          <w:numId w:val="1085"/>
        </w:numPr>
      </w:pPr>
      <w:r>
        <w:t xml:space="preserve">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w:t>
      </w:r>
    </w:p>
    <w:p>
      <w:pPr>
        <w:numPr>
          <w:ilvl w:val="1"/>
          <w:numId w:val="1085"/>
        </w:numPr>
      </w:pPr>
      <w:r>
        <w:t xml:space="preserve">compiten en precios.</w:t>
      </w:r>
    </w:p>
    <w:p>
      <w:pPr>
        <w:numPr>
          <w:ilvl w:val="0"/>
          <w:numId w:val="1084"/>
        </w:numPr>
      </w:pPr>
      <w:r>
        <w:t xml:space="preserve">La localización simétrica es un supuesto, no un resultado.</w:t>
      </w:r>
      <w:r>
        <w:rPr>
          <w:rStyle w:val="FootnoteReference"/>
        </w:rPr>
        <w:footnoteReference w:id="171"/>
      </w:r>
    </w:p>
    <w:bookmarkEnd w:id="172"/>
    <w:bookmarkStart w:id="178" w:name="ii_desarrollo_6"/>
    <w:p>
      <w:pPr>
        <w:pStyle w:val="Heading5"/>
      </w:pPr>
      <w:r>
        <w:t xml:space="preserve">ii) Desarrollo</w:t>
      </w:r>
    </w:p>
    <w:p>
      <w:pPr>
        <w:numPr>
          <w:ilvl w:val="0"/>
          <w:numId w:val="1086"/>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10</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86"/>
        </w:numPr>
      </w:pPr>
      <w:r>
        <w:rPr>
          <w:i/>
          <w:iCs/>
        </w:rPr>
        <w:t xml:space="preserve">1.ª etapa</w:t>
      </w:r>
      <w:r>
        <w:t xml:space="preserve">: entran empresas hasta que el beneficio es nulo:</w:t>
      </w:r>
      <w:r>
        <w:t xml:space="preserve"> </w:t>
      </w:r>
      <w:bookmarkStart w:id="173" w:name="eq_salop"/>
      <w:bookmarkEnd w:id="173"/>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77" w:name="fig_salop"/>
    <w:p>
      <w:pPr>
        <w:pStyle w:val="ImageCaption"/>
      </w:pPr>
      <w:r>
        <w:t xml:space="preserve">Gráfico 10.–</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10.– Ciudad circular de Salop: n empresas equidistantes y el consumidor indiferente entre 2 vecinas" title="" id="175" name="Picture"/>
            <a:graphic>
              <a:graphicData uri="http://schemas.openxmlformats.org/drawingml/2006/picture">
                <pic:pic>
                  <pic:nvPicPr>
                    <pic:cNvPr descr="C:\Users\vgutierrez\Documents\src\victorgutierrezmarcos.github.io-revision\oposicion\temario\fuentes\3A18\graficos/salop.png" id="176" name="Picture"/>
                    <pic:cNvPicPr>
                      <a:picLocks noChangeArrowheads="1" noChangeAspect="1"/>
                    </pic:cNvPicPr>
                  </pic:nvPicPr>
                  <pic:blipFill>
                    <a:blip r:embed="rId174"/>
                    <a:stretch>
                      <a:fillRect/>
                    </a:stretch>
                  </pic:blipFill>
                  <pic:spPr bwMode="auto">
                    <a:xfrm>
                      <a:off x="0" y="0"/>
                      <a:ext cx="2305878" cy="2217190"/>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8"/>
    <w:bookmarkStart w:id="180" w:name="iii_implicaciones_6"/>
    <w:p>
      <w:pPr>
        <w:pStyle w:val="Heading5"/>
      </w:pPr>
      <w:r>
        <w:t xml:space="preserve">iii) Implicaciones</w:t>
      </w:r>
    </w:p>
    <w:p>
      <w:pPr>
        <w:numPr>
          <w:ilvl w:val="0"/>
          <w:numId w:val="1087"/>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87"/>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79"/>
      </w:r>
    </w:p>
    <w:p>
      <w:pPr>
        <w:keepNext/>
        <w:numPr>
          <w:ilvl w:val="0"/>
          <w:numId w:val="1087"/>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88"/>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88"/>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80"/>
    <w:bookmarkEnd w:id="181"/>
    <w:bookmarkStart w:id="182" w:name="c_valoraci__n_3"/>
    <w:p>
      <w:pPr>
        <w:pStyle w:val="Heading4"/>
      </w:pPr>
      <w:r>
        <w:t xml:space="preserve">c) Valoración</w:t>
      </w:r>
    </w:p>
    <w:p>
      <w:pPr>
        <w:numPr>
          <w:ilvl w:val="0"/>
          <w:numId w:val="1089"/>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II.5</w:t>
        </w:r>
      </w:hyperlink>
      <w:r>
        <w:t xml:space="preserve">).</w:t>
      </w:r>
    </w:p>
    <w:p>
      <w:pPr>
        <w:numPr>
          <w:ilvl w:val="0"/>
          <w:numId w:val="1089"/>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keepNext/>
        <w:numPr>
          <w:ilvl w:val="0"/>
          <w:numId w:val="1090"/>
        </w:numPr>
      </w:pPr>
      <w:r>
        <w:rPr>
          <w:i/>
          <w:iCs/>
        </w:rPr>
        <w:t xml:space="preserve">Recapitulando</w:t>
      </w:r>
      <w:r>
        <w:t xml:space="preserve"> </w:t>
      </w:r>
      <w:r>
        <w:t xml:space="preserve">los modelos con direcciones, con pocas empresas:</w:t>
      </w:r>
    </w:p>
    <w:p>
      <w:pPr>
        <w:numPr>
          <w:ilvl w:val="1"/>
          <w:numId w:val="1091"/>
        </w:numPr>
      </w:pPr>
      <w:r>
        <w:t xml:space="preserve">la diferenciación da poder de mercado aun compitiendo en precios (decisión de precios);</w:t>
      </w:r>
    </w:p>
    <w:p>
      <w:pPr>
        <w:numPr>
          <w:ilvl w:val="1"/>
          <w:numId w:val="1091"/>
        </w:numPr>
      </w:pPr>
      <w:r>
        <w:t xml:space="preserve">las empresas la buscan a propósito (decisión de localización);</w:t>
      </w:r>
    </w:p>
    <w:p>
      <w:pPr>
        <w:numPr>
          <w:ilvl w:val="1"/>
          <w:numId w:val="1091"/>
        </w:numPr>
      </w:pPr>
      <w:r>
        <w:t xml:space="preserve">y el mercado tiende a diferenciar demasiado y a crear demasiadas variedades (decisión de entrada).</w:t>
      </w:r>
    </w:p>
    <w:p>
      <w:pPr>
        <w:numPr>
          <w:ilvl w:val="0"/>
          <w:numId w:val="1090"/>
        </w:numPr>
      </w:pPr>
      <w:r>
        <w:t xml:space="preserve">Pero hemos supuesto que nadie está de acuerdo en qué variedad es mejor. ¿Qué pasa cuando todos lo están?</w:t>
      </w:r>
    </w:p>
    <w:bookmarkEnd w:id="182"/>
    <w:bookmarkEnd w:id="183"/>
    <w:bookmarkEnd w:id="184"/>
    <w:bookmarkStart w:id="200" w:name="sec_shaked_sutton"/>
    <w:p>
      <w:pPr>
        <w:pStyle w:val="Heading2"/>
      </w:pPr>
      <w:r>
        <w:t xml:space="preserve">II.4.</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p>
      <w:pPr>
        <w:numPr>
          <w:ilvl w:val="0"/>
          <w:numId w:val="1092"/>
        </w:numPr>
      </w:pPr>
      <w:r>
        <w:t xml:space="preserve">Una vez estudiada la diferenciación horizontal, en la que nadie se pone de acuerdo en qué variedad es mejor, pasamos a la vertical, en la que todos coinciden.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w:t>
      </w:r>
    </w:p>
    <w:bookmarkStart w:id="185" w:name="a_idea_7"/>
    <w:p>
      <w:pPr>
        <w:pStyle w:val="Heading4"/>
      </w:pPr>
      <w:r>
        <w:t xml:space="preserve">a) Idea</w:t>
      </w:r>
    </w:p>
    <w:p>
      <w:pPr>
        <w:numPr>
          <w:ilvl w:val="0"/>
          <w:numId w:val="1093"/>
        </w:numPr>
      </w:pPr>
      <w:r>
        <w:t xml:space="preserve">Cuando todos los consumidores prefieren más calidad a igualdad de precio y solo difieren en cuánto están dispuestos a pagar por ella, la diferenciación es vertical. Es la decisión de calidad (tabla </w:t>
      </w:r>
      <w:hyperlink w:anchor="tab_decisiones">
        <w:r>
          <w:rPr>
            <w:rStyle w:val="Hyperlink"/>
          </w:rPr>
          <w:t xml:space="preserve">3</w:t>
        </w:r>
      </w:hyperlink>
      <w:r>
        <w:t xml:space="preserve">), que se toma antes que la de precios.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5"/>
    <w:bookmarkStart w:id="196" w:name="b_modelo_7"/>
    <w:p>
      <w:pPr>
        <w:pStyle w:val="Heading4"/>
      </w:pPr>
      <w:r>
        <w:t xml:space="preserve">b) Modelo</w:t>
      </w:r>
    </w:p>
    <w:bookmarkStart w:id="187" w:name="i_supuestos_7"/>
    <w:p>
      <w:pPr>
        <w:pStyle w:val="Heading5"/>
      </w:pPr>
      <w:r>
        <w:t xml:space="preserve">i) Supuestos</w:t>
      </w:r>
    </w:p>
    <w:p>
      <w:pPr>
        <w:numPr>
          <w:ilvl w:val="0"/>
          <w:numId w:val="1094"/>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86"/>
      </w:r>
    </w:p>
    <w:p>
      <w:pPr>
        <w:numPr>
          <w:ilvl w:val="0"/>
          <w:numId w:val="1094"/>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keepNext/>
        <w:numPr>
          <w:ilvl w:val="0"/>
          <w:numId w:val="1094"/>
        </w:numPr>
      </w:pPr>
      <w:r>
        <w:t xml:space="preserve">Juego dinámico (secuencial) en 2 etapas, que se resuelve por inducción hacia atrás</w:t>
      </w:r>
      <w:r>
        <w:t xml:space="preserve"> </w:t>
      </w:r>
      <w:hyperlink r:id="rId40">
        <w:r>
          <w:rPr>
            <w:rStyle w:val="Referenciaatema"/>
          </w:rPr>
          <w:t xml:space="preserve">[ver tema 3.A.14]</w:t>
        </w:r>
      </w:hyperlink>
      <w:r>
        <w:t xml:space="preserve">:</w:t>
      </w:r>
    </w:p>
    <w:p>
      <w:pPr>
        <w:numPr>
          <w:ilvl w:val="1"/>
          <w:numId w:val="1095"/>
        </w:numPr>
      </w:pPr>
      <w:r>
        <w:t xml:space="preserve">las empresas eligen a la vez la calidad;</w:t>
      </w:r>
    </w:p>
    <w:p>
      <w:pPr>
        <w:numPr>
          <w:ilvl w:val="1"/>
          <w:numId w:val="1095"/>
        </w:numPr>
      </w:pPr>
      <w:r>
        <w:t xml:space="preserve">vistas las calidades, compiten a la vez en precios.</w:t>
      </w:r>
    </w:p>
    <w:p>
      <w:pPr>
        <w:numPr>
          <w:ilvl w:val="0"/>
          <w:numId w:val="1094"/>
        </w:numPr>
      </w:pPr>
      <w:r>
        <w:t xml:space="preserve">El mercado está cubierto: todos los consumidores compran.</w:t>
      </w:r>
    </w:p>
    <w:bookmarkEnd w:id="187"/>
    <w:bookmarkStart w:id="194" w:name="ii_desarrollo_7"/>
    <w:p>
      <w:pPr>
        <w:pStyle w:val="Heading5"/>
      </w:pPr>
      <w:r>
        <w:t xml:space="preserve">ii) Desarrollo</w:t>
      </w:r>
    </w:p>
    <w:p>
      <w:pPr>
        <w:numPr>
          <w:ilvl w:val="0"/>
          <w:numId w:val="1096"/>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11</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88" w:name="eq_shaked_sutton"/>
      <w:bookmarkEnd w:id="188"/>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89"/>
      </w:r>
    </w:p>
    <w:p>
      <w:pPr>
        <w:numPr>
          <w:ilvl w:val="0"/>
          <w:numId w:val="1096"/>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96"/>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93" w:name="fig_shaked_sutton"/>
    <w:p>
      <w:pPr>
        <w:pStyle w:val="ImageCaption"/>
      </w:pPr>
      <w:r>
        <w:t xml:space="preserve">Gráfico 11.–</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11.– Diferenciación vertical: el consumidor indiferente reparte el segmento de valoraciones de la calidad" title="" id="191" name="Picture"/>
            <a:graphic>
              <a:graphicData uri="http://schemas.openxmlformats.org/drawingml/2006/picture">
                <pic:pic>
                  <pic:nvPicPr>
                    <pic:cNvPr descr="C:\Users\vgutierrez\Documents\src\victorgutierrezmarcos.github.io-revision\oposicion\temario\fuentes\3A18\graficos/shaked-sutton.png" id="192" name="Picture"/>
                    <pic:cNvPicPr>
                      <a:picLocks noChangeArrowheads="1" noChangeAspect="1"/>
                    </pic:cNvPicPr>
                  </pic:nvPicPr>
                  <pic:blipFill>
                    <a:blip r:embed="rId190"/>
                    <a:stretch>
                      <a:fillRect/>
                    </a:stretch>
                  </pic:blipFill>
                  <pic:spPr bwMode="auto">
                    <a:xfrm>
                      <a:off x="0" y="0"/>
                      <a:ext cx="4476750" cy="2911946"/>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94"/>
    <w:bookmarkStart w:id="195" w:name="iii_implicaciones_7"/>
    <w:p>
      <w:pPr>
        <w:pStyle w:val="Heading5"/>
      </w:pPr>
      <w:r>
        <w:t xml:space="preserve">iii) Implicaciones</w:t>
      </w:r>
    </w:p>
    <w:p>
      <w:pPr>
        <w:numPr>
          <w:ilvl w:val="0"/>
          <w:numId w:val="1097"/>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97"/>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97"/>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97"/>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95"/>
    <w:bookmarkEnd w:id="196"/>
    <w:bookmarkStart w:id="197" w:name="c_extensiones_2"/>
    <w:p>
      <w:pPr>
        <w:pStyle w:val="Heading4"/>
      </w:pPr>
      <w:r>
        <w:t xml:space="preserve">c) Extensiones</w:t>
      </w:r>
    </w:p>
    <w:p>
      <w:pPr>
        <w:numPr>
          <w:ilvl w:val="0"/>
          <w:numId w:val="1098"/>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98"/>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97"/>
    <w:bookmarkStart w:id="198" w:name="d_evidencia_emp__rica_1"/>
    <w:p>
      <w:pPr>
        <w:pStyle w:val="Heading4"/>
      </w:pPr>
      <w:r>
        <w:t xml:space="preserve">d) Evidencia empírica</w:t>
      </w:r>
    </w:p>
    <w:p>
      <w:pPr>
        <w:numPr>
          <w:ilvl w:val="0"/>
          <w:numId w:val="1099"/>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98"/>
    <w:bookmarkStart w:id="199" w:name="e_valoraci__n_1"/>
    <w:p>
      <w:pPr>
        <w:pStyle w:val="Heading4"/>
      </w:pPr>
      <w:r>
        <w:t xml:space="preserve">e) Valoración</w:t>
      </w:r>
    </w:p>
    <w:p>
      <w:pPr>
        <w:numPr>
          <w:ilvl w:val="0"/>
          <w:numId w:val="1100"/>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100"/>
        </w:numPr>
      </w:pPr>
      <w:r>
        <w:t xml:space="preserve">Hasta ahora la diferenciación era real: las variedades eran distintas de verdad. Pero las empresas también pueden crearla, o protegerla, con decisiones que no cambian el producto.</w:t>
      </w:r>
    </w:p>
    <w:bookmarkEnd w:id="199"/>
    <w:bookmarkEnd w:id="200"/>
    <w:bookmarkStart w:id="211" w:name="sec_publicidad_marcas"/>
    <w:p>
      <w:pPr>
        <w:pStyle w:val="Heading2"/>
      </w:pPr>
      <w:r>
        <w:t xml:space="preserve">II.5.</w:t>
      </w:r>
      <w:r>
        <w:t xml:space="preserve"> </w:t>
      </w:r>
      <w:r>
        <w:t xml:space="preserve">Otras decisiones: publicidad y proliferación de marcas</w:t>
      </w:r>
    </w:p>
    <w:p>
      <w:pPr>
        <w:numPr>
          <w:ilvl w:val="0"/>
          <w:numId w:val="1101"/>
        </w:numPr>
      </w:pPr>
      <w:r>
        <w:t xml:space="preserve">Una vez estudiadas las decisiones sobre el propio producto (variedad, entrada y calidad), pasamos a 2 decisiones con las que las empresas crean o protegen la diferenciación sin cambiar el producto: cuánto gastar en publicidad y cuántas marcas lanzar. Su</w:t>
      </w:r>
      <w:r>
        <w:t xml:space="preserve"> </w:t>
      </w:r>
      <w:r>
        <w:rPr>
          <w:i/>
          <w:iCs/>
        </w:rPr>
        <w:t xml:space="preserve">conclusión anticipada</w:t>
      </w:r>
      <w:r>
        <w:t xml:space="preserve">: se gasta más en publicidad cuanto más poder de mercado se tiene, y llenar el espacio de productos de marcas puede cerrar el paso a otros.</w:t>
      </w:r>
    </w:p>
    <w:bookmarkStart w:id="201" w:name="a_idea_8"/>
    <w:p>
      <w:pPr>
        <w:pStyle w:val="Heading4"/>
      </w:pPr>
      <w:r>
        <w:t xml:space="preserve">a) Idea</w:t>
      </w:r>
    </w:p>
    <w:p>
      <w:pPr>
        <w:numPr>
          <w:ilvl w:val="0"/>
          <w:numId w:val="1102"/>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201"/>
    <w:bookmarkStart w:id="207"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203" w:name="i_supuestos_8"/>
    <w:p>
      <w:pPr>
        <w:pStyle w:val="Heading5"/>
      </w:pPr>
      <w:r>
        <w:t xml:space="preserve">i) Supuestos</w:t>
      </w:r>
    </w:p>
    <w:p>
      <w:pPr>
        <w:numPr>
          <w:ilvl w:val="0"/>
          <w:numId w:val="1103"/>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202"/>
      </w:r>
    </w:p>
    <w:bookmarkEnd w:id="203"/>
    <w:bookmarkStart w:id="205" w:name="ii_desarrollo_8"/>
    <w:p>
      <w:pPr>
        <w:pStyle w:val="Heading5"/>
      </w:pPr>
      <w:r>
        <w:t xml:space="preserve">ii) Desarrollo</w:t>
      </w:r>
    </w:p>
    <w:p>
      <w:pPr>
        <w:numPr>
          <w:ilvl w:val="0"/>
          <w:numId w:val="1104"/>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keepNext/>
        <w:numPr>
          <w:ilvl w:val="0"/>
          <w:numId w:val="1104"/>
        </w:numPr>
      </w:pPr>
      <w:r>
        <w:t xml:space="preserve">Las condiciones de primer orden son 2:</w:t>
      </w:r>
    </w:p>
    <w:p>
      <w:pPr>
        <w:numPr>
          <w:ilvl w:val="1"/>
          <w:numId w:val="1105"/>
        </w:numPr>
      </w:pPr>
      <w:r>
        <w:t xml:space="preserve">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w:t>
      </w:r>
    </w:p>
    <w:p>
      <w:pPr>
        <w:numPr>
          <w:ilvl w:val="1"/>
          <w:numId w:val="1105"/>
        </w:numPr>
      </w:pPr>
      <w:r>
        <w:t xml:space="preserve">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w:t>
      </w:r>
    </w:p>
    <w:p>
      <w:pPr>
        <w:numPr>
          <w:ilvl w:val="0"/>
          <w:numId w:val="1104"/>
        </w:numPr>
      </w:pPr>
      <w:r>
        <w:t xml:space="preserve">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204" w:name="eq_dorfman_steiner"/>
      <w:bookmarkEnd w:id="204"/>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205"/>
    <w:bookmarkStart w:id="206" w:name="iii_implicaciones_8"/>
    <w:p>
      <w:pPr>
        <w:pStyle w:val="Heading5"/>
      </w:pPr>
      <w:r>
        <w:t xml:space="preserve">iii) Implicaciones</w:t>
      </w:r>
    </w:p>
    <w:p>
      <w:pPr>
        <w:numPr>
          <w:ilvl w:val="0"/>
          <w:numId w:val="1106"/>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106"/>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206"/>
    <w:bookmarkEnd w:id="207"/>
    <w:bookmarkStart w:id="208" w:name="c_extensiones_3"/>
    <w:p>
      <w:pPr>
        <w:pStyle w:val="Heading4"/>
      </w:pPr>
      <w:r>
        <w:t xml:space="preserve">c) Extensiones</w:t>
      </w:r>
    </w:p>
    <w:p>
      <w:pPr>
        <w:keepNext/>
        <w:numPr>
          <w:ilvl w:val="0"/>
          <w:numId w:val="1107"/>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108"/>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108"/>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108"/>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keepNext/>
        <w:numPr>
          <w:ilvl w:val="0"/>
          <w:numId w:val="1107"/>
        </w:numPr>
      </w:pPr>
      <w:r>
        <w:rPr>
          <w:i/>
          <w:iCs/>
        </w:rPr>
        <w:t xml:space="preserve">Publicidad como señal</w:t>
      </w:r>
      <w:r>
        <w:t xml:space="preserve">. Según cuándo se conoce la calidad, hay bienes:</w:t>
      </w:r>
    </w:p>
    <w:p>
      <w:pPr>
        <w:numPr>
          <w:ilvl w:val="1"/>
          <w:numId w:val="1109"/>
        </w:numPr>
      </w:pPr>
      <w:r>
        <w:rPr>
          <w:i/>
          <w:iCs/>
        </w:rPr>
        <w:t xml:space="preserve">de búsqueda</w:t>
      </w:r>
      <w:r>
        <w:t xml:space="preserve">, antes de comprar;</w:t>
      </w:r>
    </w:p>
    <w:p>
      <w:pPr>
        <w:numPr>
          <w:ilvl w:val="1"/>
          <w:numId w:val="1109"/>
        </w:numPr>
      </w:pPr>
      <w:r>
        <w:rPr>
          <w:i/>
          <w:iCs/>
        </w:rPr>
        <w:t xml:space="preserve">de experiencia</w:t>
      </w:r>
      <w:r>
        <w:t xml:space="preserve">, 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w:t>
      </w:r>
    </w:p>
    <w:p>
      <w:pPr>
        <w:numPr>
          <w:ilvl w:val="1"/>
          <w:numId w:val="1109"/>
        </w:numPr>
      </w:pPr>
      <w:r>
        <w:t xml:space="preserve">y</w:t>
      </w:r>
      <w:r>
        <w:t xml:space="preserve"> </w:t>
      </w:r>
      <w:r>
        <w:rPr>
          <w:i/>
          <w:iCs/>
        </w:rPr>
        <w:t xml:space="preserve">de confianza</w:t>
      </w:r>
      <w:r>
        <w:t xml:space="preserve">, 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w:t>
      </w:r>
    </w:p>
    <w:p>
      <w:pPr>
        <w:numPr>
          <w:ilvl w:val="0"/>
          <w:numId w:val="1107"/>
        </w:numPr>
      </w:pPr>
      <w:r>
        <w:t xml:space="preserve">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107"/>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208"/>
    <w:bookmarkStart w:id="209" w:name="d_evidencia_emp__rica_2"/>
    <w:p>
      <w:pPr>
        <w:pStyle w:val="Heading4"/>
      </w:pPr>
      <w:r>
        <w:t xml:space="preserve">d) Evidencia empírica</w:t>
      </w:r>
    </w:p>
    <w:p>
      <w:pPr>
        <w:numPr>
          <w:ilvl w:val="0"/>
          <w:numId w:val="1110"/>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209"/>
    <w:bookmarkStart w:id="210" w:name="e_valoraci__n_2"/>
    <w:p>
      <w:pPr>
        <w:pStyle w:val="Heading4"/>
      </w:pPr>
      <w:r>
        <w:t xml:space="preserve">e) Valoración</w:t>
      </w:r>
    </w:p>
    <w:p>
      <w:pPr>
        <w:numPr>
          <w:ilvl w:val="0"/>
          <w:numId w:val="1111"/>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keepNext/>
        <w:keepLines/>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p>
    <w:p>
      <w:pPr>
        <w:pStyle w:val="Ideaclave"/>
        <w:keepNext/>
        <w:keepLines/>
        <w:numPr>
          <w:ilvl w:val="0"/>
          <w:numId w:val="1112"/>
        </w:numPr>
      </w:pP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p>
    <w:p>
      <w:pPr>
        <w:pStyle w:val="Ideaclave"/>
        <w:keepNext/>
        <w:keepLines/>
        <w:numPr>
          <w:ilvl w:val="0"/>
          <w:numId w:val="1112"/>
        </w:numPr>
      </w:pP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w:t>
      </w:r>
    </w:p>
    <w:p>
      <w:pPr>
        <w:pStyle w:val="Ideaclave"/>
        <w:keepNext/>
        <w:keepLines/>
        <w:numPr>
          <w:ilvl w:val="0"/>
          <w:numId w:val="1112"/>
        </w:numPr>
      </w:pPr>
      <w:r>
        <w:t xml:space="preserve">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w:t>
      </w:r>
    </w:p>
    <w:p>
      <w:pPr>
        <w:pStyle w:val="Ideaclave"/>
        <w:keepNext/>
        <w:keepLines/>
        <w:numPr>
          <w:ilvl w:val="0"/>
          <w:numId w:val="1112"/>
        </w:numPr>
      </w:pPr>
      <w:r>
        <w:t xml:space="preserve">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w:t>
      </w:r>
    </w:p>
    <w:p>
      <w:pPr>
        <w:pStyle w:val="Ideaclave"/>
        <w:keepLines/>
      </w:pPr>
      <w:r>
        <w:t xml:space="preserve">En todos los casos, cuanto más distintas son las variedades, mayor es el margen.</w:t>
      </w:r>
    </w:p>
    <w:p>
      <w:pPr>
        <w:keepNext/>
        <w:numPr>
          <w:ilvl w:val="0"/>
          <w:numId w:val="1113"/>
        </w:numPr>
      </w:pPr>
      <w:r>
        <w:rPr>
          <w:i/>
          <w:iCs/>
        </w:rPr>
        <w:t xml:space="preserve">Recapitulando</w:t>
      </w:r>
      <w:r>
        <w:t xml:space="preserve"> </w:t>
      </w:r>
      <w:r>
        <w:t xml:space="preserve">el bloque, con pocas empresas:</w:t>
      </w:r>
    </w:p>
    <w:p>
      <w:pPr>
        <w:numPr>
          <w:ilvl w:val="1"/>
          <w:numId w:val="1114"/>
        </w:numPr>
      </w:pPr>
      <w:r>
        <w:t xml:space="preserve">la diferenciación da un margen aun compitiendo en precios;</w:t>
      </w:r>
    </w:p>
    <w:p>
      <w:pPr>
        <w:numPr>
          <w:ilvl w:val="1"/>
          <w:numId w:val="1114"/>
        </w:numPr>
      </w:pPr>
      <w:r>
        <w:t xml:space="preserve">las empresas se diferencian al máximo, en variedad y en calidad, para suavizar esa competencia;</w:t>
      </w:r>
    </w:p>
    <w:p>
      <w:pPr>
        <w:numPr>
          <w:ilvl w:val="1"/>
          <w:numId w:val="1114"/>
        </w:numPr>
      </w:pPr>
      <w:r>
        <w:t xml:space="preserve">con libre entrada y direcciones entran demasiadas, y con calidades caben pocas aunque el mercado crezca;</w:t>
      </w:r>
    </w:p>
    <w:p>
      <w:pPr>
        <w:numPr>
          <w:ilvl w:val="1"/>
          <w:numId w:val="1114"/>
        </w:numPr>
      </w:pPr>
      <w:r>
        <w:t xml:space="preserve">y la publicidad y las marcas son formas de crear diferenciación o de cerrar el paso a otros.</w:t>
      </w:r>
    </w:p>
    <w:p>
      <w:pPr>
        <w:numPr>
          <w:ilvl w:val="0"/>
          <w:numId w:val="1113"/>
        </w:numPr>
      </w:pPr>
      <w:r>
        <w:t xml:space="preserve">Cada decisión de la tabla </w:t>
      </w:r>
      <w:hyperlink w:anchor="tab_decisiones">
        <w:r>
          <w:rPr>
            <w:rStyle w:val="Hyperlink"/>
          </w:rPr>
          <w:t xml:space="preserve">3</w:t>
        </w:r>
      </w:hyperlink>
      <w:r>
        <w:t xml:space="preserve"> </w:t>
      </w:r>
      <w:r>
        <w:t xml:space="preserve">tiene ya su resultado.</w:t>
      </w:r>
    </w:p>
    <w:bookmarkEnd w:id="210"/>
    <w:bookmarkEnd w:id="211"/>
    <w:bookmarkEnd w:id="212"/>
    <w:bookmarkStart w:id="213" w:name="conclusi__n"/>
    <w:p>
      <w:pPr>
        <w:pStyle w:val="Heading1"/>
      </w:pPr>
      <w:r>
        <w:t xml:space="preserve">Conclusión</w:t>
      </w:r>
      <w:r>
        <w:t xml:space="preserve"> </w:t>
      </w:r>
      <w:r>
        <w:rPr>
          <w:rStyle w:val="Minutos"/>
        </w:rPr>
        <w:t xml:space="preserve">1′</w:t>
      </w:r>
    </w:p>
    <w:p>
      <w:pPr>
        <w:keepNext/>
        <w:numPr>
          <w:ilvl w:val="0"/>
          <w:numId w:val="1115"/>
        </w:numPr>
      </w:pPr>
      <w:r>
        <w:rPr>
          <w:b/>
          <w:bCs/>
          <w:i/>
          <w:iCs/>
        </w:rPr>
        <w:t xml:space="preserve">Recapitulación (ideas clave)</w:t>
      </w:r>
      <w:r>
        <w:t xml:space="preserve">:</w:t>
      </w:r>
    </w:p>
    <w:p>
      <w:pPr>
        <w:numPr>
          <w:ilvl w:val="1"/>
          <w:numId w:val="1116"/>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modelos_direcciones">
        <w:r>
          <w:rPr>
            <w:rStyle w:val="Hyperlink"/>
          </w:rPr>
          <w:t xml:space="preserve">II.3</w:t>
        </w:r>
      </w:hyperlink>
      <w:r>
        <w:t xml:space="preserve">) y la distancia de calidades en la diferenciación vertical (</w:t>
      </w:r>
      <w:hyperlink w:anchor="sec_shaked_sutton">
        <w:r>
          <w:rPr>
            <w:rStyle w:val="Hyperlink"/>
          </w:rPr>
          <w:t xml:space="preserve">II.4</w:t>
        </w:r>
      </w:hyperlink>
      <w:r>
        <w:t xml:space="preserve">).</w:t>
      </w:r>
    </w:p>
    <w:p>
      <w:pPr>
        <w:numPr>
          <w:ilvl w:val="1"/>
          <w:numId w:val="1116"/>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II.5</w:t>
        </w:r>
      </w:hyperlink>
      <w:r>
        <w:t xml:space="preserve">).</w:t>
      </w:r>
    </w:p>
    <w:p>
      <w:pPr>
        <w:numPr>
          <w:ilvl w:val="1"/>
          <w:numId w:val="1116"/>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keepNext/>
        <w:numPr>
          <w:ilvl w:val="0"/>
          <w:numId w:val="1115"/>
        </w:numPr>
      </w:pPr>
      <w:r>
        <w:rPr>
          <w:b/>
          <w:bCs/>
          <w:i/>
          <w:iCs/>
        </w:rPr>
        <w:t xml:space="preserve">Relevancia</w:t>
      </w:r>
      <w:r>
        <w:t xml:space="preserve">:</w:t>
      </w:r>
    </w:p>
    <w:p>
      <w:pPr>
        <w:numPr>
          <w:ilvl w:val="1"/>
          <w:numId w:val="1117"/>
        </w:numPr>
      </w:pPr>
      <w:r>
        <w:t xml:space="preserve">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w:t>
      </w:r>
    </w:p>
    <w:p>
      <w:pPr>
        <w:numPr>
          <w:ilvl w:val="1"/>
          <w:numId w:val="1117"/>
        </w:numPr>
      </w:pPr>
      <w:r>
        <w:t xml:space="preserve">la competencia espacial, la base de la competencia electoral</w:t>
      </w:r>
      <w:r>
        <w:t xml:space="preserve"> </w:t>
      </w:r>
      <w:hyperlink r:id="rId36">
        <w:r>
          <w:rPr>
            <w:rStyle w:val="Referenciaatema"/>
          </w:rPr>
          <w:t xml:space="preserve">[ver tema 3.A.24]</w:t>
        </w:r>
      </w:hyperlink>
      <w:r>
        <w:t xml:space="preserve">;</w:t>
      </w:r>
    </w:p>
    <w:p>
      <w:pPr>
        <w:numPr>
          <w:ilvl w:val="1"/>
          <w:numId w:val="1117"/>
        </w:numPr>
      </w:pPr>
      <w:r>
        <w:t xml:space="preserve">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keepNext/>
        <w:numPr>
          <w:ilvl w:val="0"/>
          <w:numId w:val="1115"/>
        </w:numPr>
      </w:pPr>
      <w:r>
        <w:rPr>
          <w:b/>
          <w:bCs/>
          <w:i/>
          <w:iCs/>
        </w:rPr>
        <w:t xml:space="preserve">Extensiones y relación con otras partes del temario</w:t>
      </w:r>
      <w:r>
        <w:t xml:space="preserve">:</w:t>
      </w:r>
    </w:p>
    <w:p>
      <w:pPr>
        <w:numPr>
          <w:ilvl w:val="1"/>
          <w:numId w:val="1118"/>
        </w:numPr>
      </w:pPr>
      <w:r>
        <w:t xml:space="preserve">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w:t>
      </w:r>
    </w:p>
    <w:p>
      <w:pPr>
        <w:numPr>
          <w:ilvl w:val="1"/>
          <w:numId w:val="1118"/>
        </w:numPr>
      </w:pPr>
      <w:r>
        <w:t xml:space="preserve">las herramientas de la teoría de juegos</w:t>
      </w:r>
      <w:r>
        <w:t xml:space="preserve"> </w:t>
      </w:r>
      <w:hyperlink r:id="rId40">
        <w:r>
          <w:rPr>
            <w:rStyle w:val="Referenciaatema"/>
          </w:rPr>
          <w:t xml:space="preserve">[ver tema 3.A.14]</w:t>
        </w:r>
      </w:hyperlink>
      <w:r>
        <w:t xml:space="preserve">;</w:t>
      </w:r>
    </w:p>
    <w:p>
      <w:pPr>
        <w:numPr>
          <w:ilvl w:val="1"/>
          <w:numId w:val="1118"/>
        </w:numPr>
      </w:pPr>
      <w:r>
        <w:t xml:space="preserve">las barreras de entrada</w:t>
      </w:r>
      <w:r>
        <w:t xml:space="preserve"> </w:t>
      </w:r>
      <w:hyperlink r:id="rId25">
        <w:r>
          <w:rPr>
            <w:rStyle w:val="Referenciaatema"/>
          </w:rPr>
          <w:t xml:space="preserve">[ver tema 3.A.15]</w:t>
        </w:r>
      </w:hyperlink>
      <w:r>
        <w:t xml:space="preserve">;</w:t>
      </w:r>
    </w:p>
    <w:p>
      <w:pPr>
        <w:numPr>
          <w:ilvl w:val="1"/>
          <w:numId w:val="1118"/>
        </w:numPr>
      </w:pPr>
      <w:r>
        <w:t xml:space="preserve">la definición del mercado relevante</w:t>
      </w:r>
      <w:r>
        <w:t xml:space="preserve"> </w:t>
      </w:r>
      <w:hyperlink r:id="rId31">
        <w:r>
          <w:rPr>
            <w:rStyle w:val="Referenciaatema"/>
          </w:rPr>
          <w:t xml:space="preserve">[ver tema 3.A.20]</w:t>
        </w:r>
      </w:hyperlink>
      <w:r>
        <w:t xml:space="preserve">;</w:t>
      </w:r>
    </w:p>
    <w:p>
      <w:pPr>
        <w:numPr>
          <w:ilvl w:val="1"/>
          <w:numId w:val="1118"/>
        </w:numPr>
      </w:pPr>
      <w:r>
        <w:t xml:space="preserve">la publicidad como señal</w:t>
      </w:r>
      <w:r>
        <w:t xml:space="preserve"> </w:t>
      </w:r>
      <w:hyperlink r:id="rId45">
        <w:r>
          <w:rPr>
            <w:rStyle w:val="Referenciaatema"/>
          </w:rPr>
          <w:t xml:space="preserve">[ver tema 3.A.13]</w:t>
        </w:r>
      </w:hyperlink>
      <w:r>
        <w:t xml:space="preserve">;</w:t>
      </w:r>
    </w:p>
    <w:p>
      <w:pPr>
        <w:numPr>
          <w:ilvl w:val="1"/>
          <w:numId w:val="1118"/>
        </w:numPr>
      </w:pPr>
      <w:r>
        <w:t xml:space="preserve">la variedad óptima como problema de segundo óptimo</w:t>
      </w:r>
      <w:r>
        <w:t xml:space="preserve"> </w:t>
      </w:r>
      <w:hyperlink r:id="rId37">
        <w:r>
          <w:rPr>
            <w:rStyle w:val="Referenciaatema"/>
          </w:rPr>
          <w:t xml:space="preserve">[ver tema 3.A.22]</w:t>
        </w:r>
      </w:hyperlink>
      <w:r>
        <w:t xml:space="preserve">;</w:t>
      </w:r>
    </w:p>
    <w:p>
      <w:pPr>
        <w:numPr>
          <w:ilvl w:val="1"/>
          <w:numId w:val="1118"/>
        </w:numPr>
      </w:pPr>
      <w:r>
        <w:t xml:space="preserve">y la estimación de demandas de productos diferenciados con modelos de elección discreta (anexo </w:t>
      </w:r>
      <w:hyperlink w:anchor="anexo_empirica">
        <w:r>
          <w:rPr>
            <w:rStyle w:val="Hyperlink"/>
          </w:rPr>
          <w:t xml:space="preserve">H</w:t>
        </w:r>
      </w:hyperlink>
      <w:r>
        <w:t xml:space="preserve">).</w:t>
      </w:r>
    </w:p>
    <w:p>
      <w:pPr>
        <w:numPr>
          <w:ilvl w:val="0"/>
          <w:numId w:val="1115"/>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115"/>
        </w:numPr>
      </w:pPr>
      <w:r>
        <w:rPr>
          <w:b/>
          <w:bCs/>
          <w:i/>
          <w:iCs/>
        </w:rPr>
        <w:t xml:space="preserve">Idea final</w:t>
      </w:r>
      <w:r>
        <w:t xml:space="preserve">: para gustos, los colores, y de esa diversidad de gustos nace el poder de mercado. Las empresas no venden todas lo mismo porque, si los gustos difieren,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 Hay colores para todos los gustos, pero no necesariamente los que la sociedad elegiría.</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9"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119"/>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II.5</w:t>
        </w:r>
      </w:hyperlink>
      <w:r>
        <w:t xml:space="preserve">).</w:t>
      </w:r>
    </w:p>
    <w:p>
      <w:pPr>
        <w:keepNext/>
        <w:numPr>
          <w:ilvl w:val="0"/>
          <w:numId w:val="1119"/>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 Lo que lo alarga es la</w:t>
      </w:r>
      <w:r>
        <w:t xml:space="preserve"> </w:t>
      </w:r>
      <w:r>
        <w:rPr>
          <w:i/>
          <w:iCs/>
        </w:rPr>
        <w:t xml:space="preserve">miopía</w:t>
      </w:r>
      <w:r>
        <w:t xml:space="preserve">: cada empresa decide mirando su demanda percibida</w:t>
      </w:r>
      <w:r>
        <w:t xml:space="preserve"> </w:t>
      </w:r>
      <m:oMath>
        <m:r>
          <m:t>d</m:t>
        </m:r>
      </m:oMath>
      <w:r>
        <w:t xml:space="preserve">, como si las demás no fueran a reaccionar, pero vende sobre la efectiva</w:t>
      </w:r>
      <w:r>
        <w:t xml:space="preserve"> </w:t>
      </w:r>
      <m:oMath>
        <m:r>
          <m:t>D</m:t>
        </m:r>
      </m:oMath>
      <w:r>
        <w:t xml:space="preserve">, porque todas hacen lo mismo (gráfico </w:t>
      </w:r>
      <w:hyperlink w:anchor="fig_chamberlin_ajuste">
        <w:r>
          <w:rPr>
            <w:rStyle w:val="Hyperlink"/>
          </w:rPr>
          <w:t xml:space="preserve">12</w:t>
        </w:r>
      </w:hyperlink>
      <w:r>
        <w:t xml:space="preserve">).</w:t>
      </w:r>
    </w:p>
    <w:p>
      <w:pPr>
        <w:numPr>
          <w:ilvl w:val="1"/>
          <w:numId w:val="1120"/>
        </w:numPr>
      </w:pPr>
      <w:r>
        <w:rPr>
          <w:i/>
          <w:iCs/>
        </w:rPr>
        <w:t xml:space="preserve">Punto de partida: equilibrio a corto plazo con beneficios</w:t>
      </w:r>
      <w:r>
        <w:t xml:space="preserve"> </w:t>
      </w:r>
      <w:r>
        <w:t xml:space="preserve">(punto A). Cada empresa iguala el ingreso marginal de</w:t>
      </w:r>
      <w:r>
        <w:t xml:space="preserve"> </w:t>
      </w:r>
      <m:oMath>
        <m:r>
          <m:t>d</m:t>
        </m:r>
      </m:oMath>
      <w:r>
        <w:t xml:space="preserve"> </w:t>
      </w:r>
      <w:r>
        <w:t xml:space="preserve">con su coste marginal, y el precio está por encima del coste medio. Mientras nadie entre, no tiene motivo para cambiar el precio.</w:t>
      </w:r>
    </w:p>
    <w:p>
      <w:pPr>
        <w:numPr>
          <w:ilvl w:val="1"/>
          <w:numId w:val="1120"/>
        </w:numPr>
      </w:pPr>
      <w:r>
        <w:rPr>
          <w:i/>
          <w:iCs/>
        </w:rPr>
        <w:t xml:space="preserve">Entrada</w:t>
      </w:r>
      <w:r>
        <w:t xml:space="preserve">. Los beneficios extraordinarios atraen variedades nuevas. La demanda total del grupo no cambia, pero se reparte entre más empresas: la demanda efectiva de cada una se desplaza a la izquierda, de</w:t>
      </w:r>
      <w:r>
        <w:t xml:space="preserve"> </w:t>
      </w:r>
      <m:oMath>
        <m:r>
          <m:t>D</m:t>
        </m:r>
      </m:oMath>
      <w:r>
        <w:t xml:space="preserve"> </w:t>
      </w:r>
      <w:r>
        <w:t xml:space="preserve">a</w:t>
      </w:r>
      <w:r>
        <w:t xml:space="preserve"> </w:t>
      </w:r>
      <m:oMath>
        <m:r>
          <m:t>D</m:t>
        </m:r>
        <m:r>
          <m:rPr>
            <m:sty m:val="p"/>
          </m:rPr>
          <m:t>′</m:t>
        </m:r>
      </m:oMath>
      <w:r>
        <w:t xml:space="preserve">, y con el mismo precio vende menos (punto B). Su demanda percibida baja con ella.</w:t>
      </w:r>
    </w:p>
    <w:p>
      <w:pPr>
        <w:numPr>
          <w:ilvl w:val="1"/>
          <w:numId w:val="1120"/>
        </w:numPr>
      </w:pPr>
      <w:r>
        <w:rPr>
          <w:i/>
          <w:iCs/>
        </w:rPr>
        <w:t xml:space="preserve">Guerra de precios por miopía</w:t>
      </w:r>
      <w:r>
        <w:t xml:space="preserve">. Para recuperar los beneficios, cada empresa baja el precio: cree, por su demanda percibida, que ganará los clientes de las demás. Pero todas razonan igual y bajan a la vez, de modo que nadie gana clientes a costa de nadie: cada una vende sobre</w:t>
      </w:r>
      <w:r>
        <w:t xml:space="preserve"> </w:t>
      </w:r>
      <m:oMath>
        <m:r>
          <m:t>D</m:t>
        </m:r>
        <m:r>
          <m:rPr>
            <m:sty m:val="p"/>
          </m:rPr>
          <m:t>′</m:t>
        </m:r>
      </m:oMath>
      <w:r>
        <w:t xml:space="preserve"> </w:t>
      </w:r>
      <w:r>
        <w:t xml:space="preserve">mucho menos de lo que esperaba, y su demanda percibida se desliza hacia abajo a lo largo de</w:t>
      </w:r>
      <w:r>
        <w:t xml:space="preserve"> </w:t>
      </w:r>
      <m:oMath>
        <m:r>
          <m:t>D</m:t>
        </m:r>
        <m:r>
          <m:rPr>
            <m:sty m:val="p"/>
          </m:rPr>
          <m:t>′</m:t>
        </m:r>
      </m:oMath>
      <w:r>
        <w:t xml:space="preserve">.</w:t>
      </w:r>
    </w:p>
    <w:p>
      <w:pPr>
        <w:numPr>
          <w:ilvl w:val="1"/>
          <w:numId w:val="1120"/>
        </w:numPr>
      </w:pPr>
      <w:r>
        <w:rPr>
          <w:i/>
          <w:iCs/>
        </w:rPr>
        <w:t xml:space="preserve">Pérdidas y salida</w:t>
      </w:r>
      <w:r>
        <w:t xml:space="preserve">. Con el precio más bajo, las empresas ya no cubren el coste medio y tienen pérdidas. Algunas salen; las que se quedan se reparten su clientela, y la demanda efectiva de cada una vuelve hacia la derecha. Entradas, bajadas de precio y salidas se repiten, cada vez con menos amplitud, hasta llegar a</w:t>
      </w:r>
      <w:r>
        <w:t xml:space="preserve"> </w:t>
      </w:r>
      <m:oMath>
        <m:sSup>
          <m:e>
            <m:r>
              <m:t>E</m:t>
            </m:r>
          </m:e>
          <m:sup>
            <m:r>
              <m:rPr>
                <m:sty m:val="p"/>
              </m:rPr>
              <m:t>*</m:t>
            </m:r>
          </m:sup>
        </m:sSup>
      </m:oMath>
      <w:r>
        <w:t xml:space="preserve">, con la demanda percibida</w:t>
      </w:r>
      <w:r>
        <w:t xml:space="preserve"> </w:t>
      </w:r>
      <m:oMath>
        <m:sSup>
          <m:e>
            <m:r>
              <m:t>d</m:t>
            </m:r>
          </m:e>
          <m:sup>
            <m:r>
              <m:rPr>
                <m:sty m:val="p"/>
              </m:rPr>
              <m:t>*</m:t>
            </m:r>
          </m:sup>
        </m:sSup>
      </m:oMath>
      <w:r>
        <w:t xml:space="preserve"> </w:t>
      </w:r>
      <w:r>
        <w:t xml:space="preserve">y la efectiva</w:t>
      </w:r>
      <w:r>
        <w:t xml:space="preserve"> </w:t>
      </w:r>
      <m:oMath>
        <m:sSup>
          <m:e>
            <m:r>
              <m:t>D</m:t>
            </m:r>
          </m:e>
          <m:sup>
            <m:r>
              <m:rPr>
                <m:sty m:val="p"/>
              </m:rPr>
              <m:t>*</m:t>
            </m:r>
          </m:sup>
        </m:sSup>
      </m:oMath>
      <w:r>
        <w:t xml:space="preserve">, en el que no hay beneficios ni pérdidas y no entra ni sale nadie.</w:t>
      </w:r>
      <w:r>
        <w:rPr>
          <w:rStyle w:val="FootnoteReference"/>
        </w:rPr>
        <w:footnoteReference w:id="214"/>
      </w:r>
    </w:p>
    <w:p>
      <w:pPr>
        <w:keepNext/>
        <w:numPr>
          <w:ilvl w:val="0"/>
          <w:numId w:val="1119"/>
        </w:numPr>
      </w:pPr>
      <w:r>
        <w:rPr>
          <w:i/>
          <w:iCs/>
        </w:rPr>
        <w:t xml:space="preserve">Las 3 condiciones del equilibrio en</w:t>
      </w:r>
      <w:r>
        <w:rPr>
          <w:i/>
          <w:iCs/>
        </w:rPr>
        <w:t xml:space="preserve"> </w:t>
      </w:r>
      <m:oMath>
        <m:sSup>
          <m:e>
            <m:r>
              <m:t>E</m:t>
            </m:r>
          </m:e>
          <m:sup>
            <m:r>
              <m:rPr>
                <m:sty m:val="p"/>
              </m:rPr>
              <m:t>*</m:t>
            </m:r>
          </m:sup>
        </m:sSup>
      </m:oMath>
      <w:r>
        <w:t xml:space="preserve">:</w:t>
      </w:r>
    </w:p>
    <w:p>
      <w:pPr>
        <w:numPr>
          <w:ilvl w:val="1"/>
          <w:numId w:val="1121"/>
        </w:numPr>
      </w:pPr>
      <w:r>
        <w:t xml:space="preserve">la demanda percibida corta a la efectiva:</w:t>
      </w:r>
      <w:r>
        <w:t xml:space="preserve"> </w:t>
      </w:r>
      <m:oMath>
        <m:sSup>
          <m:e>
            <m:r>
              <m:t>d</m:t>
            </m:r>
          </m:e>
          <m:sup>
            <m:r>
              <m:rPr>
                <m:sty m:val="p"/>
              </m:rPr>
              <m:t>*</m:t>
            </m:r>
          </m:sup>
        </m:sSup>
      </m:oMath>
      <w:r>
        <w:t xml:space="preserve"> </w:t>
      </w:r>
      <w:r>
        <w:t xml:space="preserve">pasa por un punto de</w:t>
      </w:r>
      <w:r>
        <w:t xml:space="preserve"> </w:t>
      </w:r>
      <m:oMath>
        <m:sSup>
          <m:e>
            <m:r>
              <m:t>D</m:t>
            </m:r>
          </m:e>
          <m:sup>
            <m:r>
              <m:rPr>
                <m:sty m:val="p"/>
              </m:rPr>
              <m:t>*</m:t>
            </m:r>
          </m:sup>
        </m:sSup>
      </m:oMath>
      <w:r>
        <w:t xml:space="preserve">, y lo que la empresa cree que vende es lo que vende;</w:t>
      </w:r>
    </w:p>
    <w:p>
      <w:pPr>
        <w:numPr>
          <w:ilvl w:val="1"/>
          <w:numId w:val="1121"/>
        </w:numPr>
      </w:pPr>
      <m:oMath>
        <m:sSup>
          <m:e>
            <m:r>
              <m:t>d</m:t>
            </m:r>
          </m:e>
          <m:sup>
            <m:r>
              <m:rPr>
                <m:sty m:val="p"/>
              </m:rPr>
              <m:t>*</m:t>
            </m:r>
          </m:sup>
        </m:sSup>
      </m:oMath>
      <w:r>
        <w:t xml:space="preserve"> </w:t>
      </w:r>
      <w:r>
        <w:t xml:space="preserve">es tangente a la curva de coste medio a largo plazo,</w:t>
      </w:r>
      <w:r>
        <w:t xml:space="preserve"> </w:t>
      </w:r>
      <m:oMath>
        <m:sSub>
          <m:e>
            <m:r>
              <m:rPr>
                <m:sty m:val="p"/>
              </m:rPr>
              <m:t>C</m:t>
            </m:r>
            <m:r>
              <m:rPr>
                <m:sty m:val="p"/>
              </m:rPr>
              <m:t>M</m:t>
            </m:r>
            <m:r>
              <m:rPr>
                <m:sty m:val="p"/>
              </m:rPr>
              <m:t>e</m:t>
            </m:r>
          </m:e>
          <m:sub>
            <m:r>
              <m:rPr>
                <m:sty m:val="p"/>
              </m:rPr>
              <m:t>L</m:t>
            </m:r>
            <m:r>
              <m:rPr>
                <m:sty m:val="p"/>
              </m:rPr>
              <m:t>P</m:t>
            </m:r>
          </m:sub>
        </m:sSub>
      </m:oMath>
      <w:r>
        <w:t xml:space="preserve">:</w:t>
      </w:r>
      <w:r>
        <w:t xml:space="preserve"> </w:t>
      </w:r>
      <m:oMath>
        <m:sSup>
          <m:e>
            <m:r>
              <m:t>p</m:t>
            </m:r>
          </m:e>
          <m:sup>
            <m:r>
              <m:rPr>
                <m:sty m:val="p"/>
              </m:rPr>
              <m:t>*</m:t>
            </m:r>
          </m:sup>
        </m:sSup>
        <m:r>
          <m:rPr>
            <m:sty m:val="p"/>
          </m:rPr>
          <m:t>=</m:t>
        </m:r>
        <m:sSub>
          <m:e>
            <m:r>
              <m:rPr>
                <m:sty m:val="p"/>
              </m:rPr>
              <m:t>C</m:t>
            </m:r>
            <m:r>
              <m:rPr>
                <m:sty m:val="p"/>
              </m:rPr>
              <m:t>M</m:t>
            </m:r>
            <m:r>
              <m:rPr>
                <m:sty m:val="p"/>
              </m:rPr>
              <m:t>e</m:t>
            </m:r>
          </m:e>
          <m:sub>
            <m:r>
              <m:rPr>
                <m:sty m:val="p"/>
              </m:rPr>
              <m:t>L</m:t>
            </m:r>
            <m:r>
              <m:rPr>
                <m:sty m:val="p"/>
              </m:rPr>
              <m:t>P</m:t>
            </m:r>
          </m:sub>
        </m:sSub>
        <m:d>
          <m:dPr>
            <m:begChr m:val="("/>
            <m:sepChr m:val=""/>
            <m:endChr m:val=")"/>
            <m:grow/>
          </m:dPr>
          <m:e>
            <m:sSup>
              <m:e>
                <m:r>
                  <m:t>q</m:t>
                </m:r>
              </m:e>
              <m:sup>
                <m:r>
                  <m:rPr>
                    <m:sty m:val="p"/>
                  </m:rPr>
                  <m:t>*</m:t>
                </m:r>
              </m:sup>
            </m:sSup>
          </m:e>
        </m:d>
      </m:oMath>
      <w:r>
        <w:t xml:space="preserve"> </w:t>
      </w:r>
      <w:r>
        <w:t xml:space="preserve">y el beneficio es nulo;</w:t>
      </w:r>
    </w:p>
    <w:p>
      <w:pPr>
        <w:numPr>
          <w:ilvl w:val="1"/>
          <w:numId w:val="1121"/>
        </w:numPr>
      </w:pPr>
      <w:r>
        <w:t xml:space="preserve">el ingreso marginal de</w:t>
      </w:r>
      <w:r>
        <w:t xml:space="preserve"> </w:t>
      </w:r>
      <m:oMath>
        <m:sSup>
          <m:e>
            <m:r>
              <m:t>d</m:t>
            </m:r>
          </m:e>
          <m:sup>
            <m:r>
              <m:rPr>
                <m:sty m:val="p"/>
              </m:rPr>
              <m:t>*</m:t>
            </m:r>
          </m:sup>
        </m:sSup>
      </m:oMath>
      <w:r>
        <w:t xml:space="preserve"> </w:t>
      </w:r>
      <w:r>
        <w:t xml:space="preserve">es igual al coste marginal a largo plazo,</w:t>
      </w:r>
      <w:r>
        <w:t xml:space="preserve"> </w:t>
      </w:r>
      <m:oMath>
        <m:sSub>
          <m:e>
            <m:r>
              <m:rPr>
                <m:sty m:val="p"/>
              </m:rPr>
              <m:t>I</m:t>
            </m:r>
            <m:r>
              <m:rPr>
                <m:sty m:val="p"/>
              </m:rPr>
              <m:t>M</m:t>
            </m:r>
            <m:r>
              <m:rPr>
                <m:sty m:val="p"/>
              </m:rPr>
              <m:t>g</m:t>
            </m:r>
          </m:e>
          <m:sub>
            <m:sSup>
              <m:e>
                <m:r>
                  <m:t>d</m:t>
                </m:r>
              </m:e>
              <m:sup>
                <m:r>
                  <m:rPr>
                    <m:sty m:val="p"/>
                  </m:rPr>
                  <m:t>*</m:t>
                </m:r>
              </m:sup>
            </m:sSup>
          </m:sub>
        </m:sSub>
        <m:d>
          <m:dPr>
            <m:begChr m:val="("/>
            <m:sepChr m:val=""/>
            <m:endChr m:val=")"/>
            <m:grow/>
          </m:dPr>
          <m:e>
            <m:sSup>
              <m:e>
                <m:r>
                  <m:t>q</m:t>
                </m:r>
              </m:e>
              <m:sup>
                <m:r>
                  <m:rPr>
                    <m:sty m:val="p"/>
                  </m:rPr>
                  <m:t>*</m:t>
                </m:r>
              </m:sup>
            </m:sSup>
          </m:e>
        </m:d>
        <m:r>
          <m:rPr>
            <m:sty m:val="p"/>
          </m:rPr>
          <m:t>=</m:t>
        </m:r>
        <m:sSub>
          <m:e>
            <m:r>
              <m:rPr>
                <m:sty m:val="p"/>
              </m:rPr>
              <m:t>C</m:t>
            </m:r>
            <m:r>
              <m:rPr>
                <m:sty m:val="p"/>
              </m:rPr>
              <m:t>M</m:t>
            </m:r>
            <m:r>
              <m:rPr>
                <m:sty m:val="p"/>
              </m:rPr>
              <m:t>g</m:t>
            </m:r>
          </m:e>
          <m:sub>
            <m:r>
              <m:rPr>
                <m:sty m:val="p"/>
              </m:rPr>
              <m:t>L</m:t>
            </m:r>
            <m:r>
              <m:rPr>
                <m:sty m:val="p"/>
              </m:rPr>
              <m:t>P</m:t>
            </m:r>
          </m:sub>
        </m:sSub>
        <m:d>
          <m:dPr>
            <m:begChr m:val="("/>
            <m:sepChr m:val=""/>
            <m:endChr m:val=")"/>
            <m:grow/>
          </m:dPr>
          <m:e>
            <m:sSup>
              <m:e>
                <m:r>
                  <m:t>q</m:t>
                </m:r>
              </m:e>
              <m:sup>
                <m:r>
                  <m:rPr>
                    <m:sty m:val="p"/>
                  </m:rPr>
                  <m:t>*</m:t>
                </m:r>
              </m:sup>
            </m:sSup>
          </m:e>
        </m:d>
      </m:oMath>
      <w:r>
        <w:t xml:space="preserve">: dadas sus creencias, la empresa no quiere cambiar el precio. No es una condición independiente: se sigue de la tangencia (nota de</w:t>
      </w:r>
      <w:r>
        <w:t xml:space="preserve"> </w:t>
      </w:r>
      <w:hyperlink w:anchor="sec_chamberlin">
        <w:r>
          <w:rPr>
            <w:rStyle w:val="Hyperlink"/>
          </w:rPr>
          <w:t xml:space="preserve">I.2</w:t>
        </w:r>
      </w:hyperlink>
      <w:r>
        <w:t xml:space="preserve">).</w:t>
      </w:r>
    </w:p>
    <w:p>
      <w:pPr>
        <w:keepNext/>
        <w:numPr>
          <w:ilvl w:val="0"/>
          <w:numId w:val="1119"/>
        </w:numPr>
      </w:pPr>
      <w:r>
        <w:rPr>
          <w:i/>
          <w:iCs/>
        </w:rPr>
        <w:t xml:space="preserve">Estabilidad</w:t>
      </w:r>
      <w:r>
        <w:t xml:space="preserve">. El equilibrio es estable en los 2 sentidos que mueven el proceso:</w:t>
      </w:r>
    </w:p>
    <w:p>
      <w:pPr>
        <w:numPr>
          <w:ilvl w:val="1"/>
          <w:numId w:val="1122"/>
        </w:numPr>
      </w:pPr>
      <w:r>
        <w:t xml:space="preserve">la</w:t>
      </w:r>
      <w:r>
        <w:t xml:space="preserve"> </w:t>
      </w:r>
      <w:r>
        <w:rPr>
          <w:i/>
          <w:iCs/>
        </w:rPr>
        <w:t xml:space="preserve">demanda percibida es estable</w:t>
      </w:r>
      <w:r>
        <w:t xml:space="preserve">: coincide con la efectiva en el punto elegido y en él</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así que ninguna empresa quiere mover el precio ni descubre que se equivocaba;</w:t>
      </w:r>
    </w:p>
    <w:p>
      <w:pPr>
        <w:numPr>
          <w:ilvl w:val="1"/>
          <w:numId w:val="1122"/>
        </w:numPr>
      </w:pPr>
      <w:r>
        <w:t xml:space="preserve">la</w:t>
      </w:r>
      <w:r>
        <w:t xml:space="preserve"> </w:t>
      </w:r>
      <w:r>
        <w:rPr>
          <w:i/>
          <w:iCs/>
        </w:rPr>
        <w:t xml:space="preserve">demanda efectiva es estable</w:t>
      </w:r>
      <w:r>
        <w:t xml:space="preserve">: con beneficio nulo no entra ni sale nadie, y el número de empresas, que es lo que desplaza</w:t>
      </w:r>
      <w:r>
        <w:t xml:space="preserve"> </w:t>
      </w:r>
      <m:oMath>
        <m:r>
          <m:t>D</m:t>
        </m:r>
      </m:oMath>
      <w:r>
        <w:t xml:space="preserve">, no cambia.</w:t>
      </w:r>
    </w:p>
    <w:bookmarkStart w:id="218" w:name="fig_chamberlin_ajuste"/>
    <w:p>
      <w:pPr>
        <w:pStyle w:val="ImageCaption"/>
      </w:pPr>
      <w:r>
        <w:t xml:space="preserve">Gráfico 12.–</w:t>
      </w:r>
      <w:r>
        <w:t xml:space="preserve"> </w:t>
      </w:r>
      <w:r>
        <w:rPr>
          <w:smallCaps/>
        </w:rPr>
        <w:t xml:space="preserve">Chamberlin</w:t>
      </w:r>
      <w:r>
        <w:t xml:space="preserve">: ajuste a largo plazo desde el corto plazo con beneficios (A), la entrada que desplaza</w:t>
      </w:r>
      <w:r>
        <w:t xml:space="preserve"> </w:t>
      </w:r>
      <m:oMath>
        <m:r>
          <m:t>D</m:t>
        </m:r>
      </m:oMath>
      <w:r>
        <w:t xml:space="preserve"> </w:t>
      </w:r>
      <w:r>
        <w:t xml:space="preserve">a</w:t>
      </w:r>
      <w:r>
        <w:t xml:space="preserve"> </w:t>
      </w:r>
      <m:oMath>
        <m:r>
          <m:t>D</m:t>
        </m:r>
        <m:r>
          <m:rPr>
            <m:sty m:val="p"/>
          </m:rPr>
          <m:t>′</m:t>
        </m:r>
      </m:oMath>
      <w:r>
        <w:t xml:space="preserve"> </w:t>
      </w:r>
      <w:r>
        <w:t xml:space="preserve">(B) y el equilibrio en</w:t>
      </w:r>
      <w:r>
        <w:t xml:space="preserve"> </w:t>
      </w:r>
      <m:oMath>
        <m:sSup>
          <m:e>
            <m:r>
              <m:t>E</m:t>
            </m:r>
          </m:e>
          <m:sup>
            <m:r>
              <m:rPr>
                <m:sty m:val="p"/>
              </m:rPr>
              <m:t>*</m:t>
            </m:r>
          </m:sup>
        </m:sSup>
      </m:oMath>
    </w:p>
    <w:p>
      <w:pPr>
        <w:pStyle w:val="CaptionedFigure"/>
      </w:pPr>
      <w:r>
        <w:drawing>
          <wp:inline>
            <wp:extent cx="4232540" cy="2883876"/>
            <wp:effectExtent b="0" l="0" r="0" t="0"/>
            <wp:docPr descr="Gráfico 12.– Chamberlin: ajuste a largo plazo desde el corto plazo con beneficios (A), la entrada que desplaza D a D' (B) y el equilibrio en E^*" title="" id="216" name="Picture"/>
            <a:graphic>
              <a:graphicData uri="http://schemas.openxmlformats.org/drawingml/2006/picture">
                <pic:pic>
                  <pic:nvPicPr>
                    <pic:cNvPr descr="C:\Users\vgutierrez\Documents\src\victorgutierrezmarcos.github.io-revision\oposicion\temario\fuentes\3A18\graficos/chamberlin-ajuste.png" id="217" name="Picture"/>
                    <pic:cNvPicPr>
                      <a:picLocks noChangeArrowheads="1" noChangeAspect="1"/>
                    </pic:cNvPicPr>
                  </pic:nvPicPr>
                  <pic:blipFill>
                    <a:blip r:embed="rId215"/>
                    <a:stretch>
                      <a:fillRect/>
                    </a:stretch>
                  </pic:blipFill>
                  <pic:spPr bwMode="auto">
                    <a:xfrm>
                      <a:off x="0" y="0"/>
                      <a:ext cx="4232540" cy="2883876"/>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p>
      <w:pPr>
        <w:numPr>
          <w:ilvl w:val="0"/>
          <w:numId w:val="1123"/>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123"/>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19"/>
    <w:bookmarkStart w:id="223"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20" w:name="anexo_ds_reparto"/>
    <w:p>
      <w:pPr>
        <w:pStyle w:val="Heading2"/>
      </w:pPr>
      <w:r>
        <w:t xml:space="preserve">B.1. Primera etapa: el reparto entre variedades</w:t>
      </w:r>
    </w:p>
    <w:p>
      <w:pPr>
        <w:numPr>
          <w:ilvl w:val="0"/>
          <w:numId w:val="1124"/>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124"/>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124"/>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20"/>
    <w:bookmarkStart w:id="221" w:name="anexo_ds_numerario"/>
    <w:p>
      <w:pPr>
        <w:pStyle w:val="Heading2"/>
      </w:pPr>
      <w:r>
        <w:t xml:space="preserve">B.2. Segunda etapa: el numerario frente al grupo</w:t>
      </w:r>
    </w:p>
    <w:p>
      <w:pPr>
        <w:numPr>
          <w:ilvl w:val="0"/>
          <w:numId w:val="1125"/>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125"/>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1"/>
    <w:bookmarkStart w:id="222" w:name="anexo_ds_empresa"/>
    <w:p>
      <w:pPr>
        <w:pStyle w:val="Heading2"/>
      </w:pPr>
      <w:r>
        <w:t xml:space="preserve">B.3. La empresa y la libre entrada</w:t>
      </w:r>
    </w:p>
    <w:p>
      <w:pPr>
        <w:numPr>
          <w:ilvl w:val="0"/>
          <w:numId w:val="1126"/>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126"/>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126"/>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22"/>
    <w:bookmarkEnd w:id="223"/>
    <w:bookmarkStart w:id="224" w:name="anexo_variedad_optima"/>
    <w:p>
      <w:pPr>
        <w:pStyle w:val="Heading1"/>
      </w:pPr>
      <w:r>
        <w:t xml:space="preserve">C. Anexo: bienestar y número de variedades</w:t>
      </w:r>
    </w:p>
    <w:p>
      <w:pPr>
        <w:keepNext/>
        <w:numPr>
          <w:ilvl w:val="0"/>
          <w:numId w:val="1127"/>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w:t>
      </w:r>
    </w:p>
    <w:p>
      <w:pPr>
        <w:numPr>
          <w:ilvl w:val="1"/>
          <w:numId w:val="1128"/>
        </w:numPr>
      </w:pPr>
      <w:r>
        <w:t xml:space="preserve">da a los consumidores un excedente que su productor no cobra (</w:t>
      </w:r>
      <w:r>
        <w:rPr>
          <w:i/>
          <w:iCs/>
        </w:rPr>
        <w:t xml:space="preserve">excedente no apropiable</w:t>
      </w:r>
      <w:r>
        <w:t xml:space="preserve">: tiende a dar pocas variedades);</w:t>
      </w:r>
    </w:p>
    <w:p>
      <w:pPr>
        <w:numPr>
          <w:ilvl w:val="1"/>
          <w:numId w:val="1128"/>
        </w:numPr>
      </w:pPr>
      <w:r>
        <w:t xml:space="preserve">y quita ventas a las demás (</w:t>
      </w:r>
      <w:r>
        <w:rPr>
          <w:i/>
          <w:iCs/>
        </w:rPr>
        <w:t xml:space="preserve">robo de clientes</w:t>
      </w:r>
      <w:r>
        <w:t xml:space="preserve">: tiende a dar demasiadas).</w:t>
      </w:r>
    </w:p>
    <w:p>
      <w:pPr>
        <w:numPr>
          <w:ilvl w:val="0"/>
          <w:numId w:val="1127"/>
        </w:numPr>
      </w:pPr>
      <w:r>
        <w:t xml:space="preserve">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127"/>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127"/>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127"/>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127"/>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127"/>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24"/>
    <w:bookmarkStart w:id="232" w:name="anexo_hotelling"/>
    <w:p>
      <w:pPr>
        <w:pStyle w:val="Heading1"/>
      </w:pPr>
      <w:r>
        <w:t xml:space="preserve">D. Anexo: la ciudad lineal con costes lineales y con localizaciones cualesquiera</w:t>
      </w:r>
    </w:p>
    <w:p>
      <w:pPr>
        <w:keepNext/>
        <w:numPr>
          <w:ilvl w:val="0"/>
          <w:numId w:val="1129"/>
        </w:numPr>
      </w:pPr>
      <w:r>
        <w:rPr>
          <w:i/>
          <w:iCs/>
        </w:rPr>
        <w:t xml:space="preserve">Costes lineales: por qué la demanda es discontinua</w:t>
      </w:r>
      <w:r>
        <w:t xml:space="preserve"> </w:t>
      </w:r>
      <w:r>
        <w:t xml:space="preserve">(gráfico </w:t>
      </w:r>
      <w:hyperlink w:anchor="fig_hotelling_discontinuidad">
        <w:r>
          <w:rPr>
            <w:rStyle w:val="Hyperlink"/>
          </w:rPr>
          <w:t xml:space="preserve">13</w:t>
        </w:r>
      </w:hyperlink>
      <w:r>
        <w:t xml:space="preserve">). Con las empresas en</w:t>
      </w:r>
      <w:r>
        <w:t xml:space="preserve"> </w:t>
      </w:r>
      <m:oMath>
        <m:r>
          <m:t>a</m:t>
        </m:r>
        <m:r>
          <m:rPr>
            <m:sty m:val="p"/>
          </m:rPr>
          <m:t>&lt;</m:t>
        </m:r>
        <m:r>
          <m:t>b</m:t>
        </m:r>
      </m:oMath>
      <w:r>
        <w:t xml:space="preserve"> </w:t>
      </w:r>
      <w:r>
        <w:t xml:space="preserve">y costes lineales, lo que paga un consumidor situado en</w:t>
      </w:r>
      <w:r>
        <w:t xml:space="preserve"> </w:t>
      </w:r>
      <m:oMath>
        <m:r>
          <m:t>x</m:t>
        </m:r>
      </m:oMath>
      <w:r>
        <w:t xml:space="preserve"> </w:t>
      </w:r>
      <w:r>
        <w:t xml:space="preserve">por comprar a la empresa 1 es</w:t>
      </w:r>
      <w:r>
        <w:t xml:space="preserve"> </w:t>
      </w:r>
      <m:oMath>
        <m:sSub>
          <m:e>
            <m:r>
              <m:t>p</m:t>
            </m:r>
          </m:e>
          <m:sub>
            <m:r>
              <m:t>1</m:t>
            </m:r>
          </m:sub>
        </m:sSub>
        <m:r>
          <m:rPr>
            <m:sty m:val="p"/>
          </m:rPr>
          <m:t>+</m:t>
        </m:r>
        <m:r>
          <m:t>t</m:t>
        </m:r>
        <m:r>
          <m:t> </m:t>
        </m:r>
        <m:d>
          <m:dPr>
            <m:begChr m:val="|"/>
            <m:sepChr m:val=""/>
            <m:endChr m:val="|"/>
            <m:grow/>
          </m:dPr>
          <m:e>
            <m:r>
              <m:t>x</m:t>
            </m:r>
            <m:r>
              <m:rPr>
                <m:sty m:val="p"/>
              </m:rPr>
              <m:t>−</m:t>
            </m:r>
            <m:r>
              <m:t>a</m:t>
            </m:r>
          </m:e>
        </m:d>
      </m:oMath>
      <w:r>
        <w:t xml:space="preserve">: en el gráfico, una V con el vértice en</w:t>
      </w:r>
      <w:r>
        <w:t xml:space="preserve"> </w:t>
      </w:r>
      <m:oMath>
        <m:r>
          <m:t>a</m:t>
        </m:r>
      </m:oMath>
      <w:r>
        <w:t xml:space="preserve">, a la altura</w:t>
      </w:r>
      <w:r>
        <w:t xml:space="preserve"> </w:t>
      </w:r>
      <m:oMath>
        <m:sSub>
          <m:e>
            <m:r>
              <m:t>p</m:t>
            </m:r>
          </m:e>
          <m:sub>
            <m:r>
              <m:t>1</m:t>
            </m:r>
          </m:sub>
        </m:sSub>
      </m:oMath>
      <w:r>
        <w:t xml:space="preserve">; y lo mismo para la empresa 2, con el vértice en</w:t>
      </w:r>
      <w:r>
        <w:t xml:space="preserve"> </w:t>
      </w:r>
      <m:oMath>
        <m:r>
          <m:t>b</m:t>
        </m:r>
      </m:oMath>
      <w:r>
        <w:t xml:space="preserve">. Cada consumidor compra a la empresa cuya V está más abajo en su posición.</w:t>
      </w:r>
    </w:p>
    <w:p>
      <w:pPr>
        <w:numPr>
          <w:ilvl w:val="1"/>
          <w:numId w:val="1130"/>
        </w:numPr>
      </w:pPr>
      <w:r>
        <w:rPr>
          <w:i/>
          <w:iCs/>
        </w:rPr>
        <w:t xml:space="preserve">Caso normal</w:t>
      </w:r>
      <w:r>
        <w:t xml:space="preserve"> </w:t>
      </w:r>
      <w:r>
        <w:t xml:space="preserve">(panel a). Si los precios no son muy distintos,</w:t>
      </w:r>
      <w:r>
        <w:t xml:space="preserve"> </w:t>
      </w:r>
      <m:oMath>
        <m:d>
          <m:dPr>
            <m:begChr m:val="|"/>
            <m:sepChr m:val=""/>
            <m:endChr m:val="|"/>
            <m:grow/>
          </m:dPr>
          <m:e>
            <m:sSub>
              <m:e>
                <m:r>
                  <m:t>p</m:t>
                </m:r>
              </m:e>
              <m:sub>
                <m:r>
                  <m:t>1</m:t>
                </m:r>
              </m:sub>
            </m:sSub>
            <m:r>
              <m:rPr>
                <m:sty m:val="p"/>
              </m:rPr>
              <m:t>−</m:t>
            </m:r>
            <m:sSub>
              <m:e>
                <m:r>
                  <m:t>p</m:t>
                </m:r>
              </m:e>
              <m:sub>
                <m:r>
                  <m:t>2</m:t>
                </m:r>
              </m:sub>
            </m:sSub>
          </m:e>
        </m:d>
        <m:r>
          <m:rPr>
            <m:sty m:val="p"/>
          </m:rPr>
          <m:t>&lt;</m:t>
        </m:r>
        <m:r>
          <m:t>t</m:t>
        </m:r>
        <m:r>
          <m:t> </m:t>
        </m:r>
        <m:d>
          <m:dPr>
            <m:begChr m:val="("/>
            <m:sepChr m:val=""/>
            <m:endChr m:val=")"/>
            <m:grow/>
          </m:dPr>
          <m:e>
            <m:r>
              <m:t>b</m:t>
            </m:r>
            <m:r>
              <m:rPr>
                <m:sty m:val="p"/>
              </m:rPr>
              <m:t>−</m:t>
            </m:r>
            <m:r>
              <m:t>a</m:t>
            </m:r>
          </m:e>
        </m:d>
      </m:oMath>
      <w:r>
        <w:t xml:space="preserve">, las 2 V se cortan entre</w:t>
      </w:r>
      <w:r>
        <w:t xml:space="preserve"> </w:t>
      </w:r>
      <m:oMath>
        <m:r>
          <m:t>a</m:t>
        </m:r>
      </m:oMath>
      <w:r>
        <w:t xml:space="preserve"> </w:t>
      </w:r>
      <w:r>
        <w:t xml:space="preserve">y</w:t>
      </w:r>
      <w:r>
        <w:t xml:space="preserve"> </w:t>
      </w:r>
      <m:oMath>
        <m:r>
          <m:t>b</m:t>
        </m:r>
      </m:oMath>
      <w:r>
        <w:t xml:space="preserve">, en el consumidor indiferente: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r>
              <m:t>b</m:t>
            </m:r>
            <m:r>
              <m:rPr>
                <m:sty m:val="p"/>
              </m:rPr>
              <m:t>−</m:t>
            </m:r>
            <m:acc>
              <m:accPr>
                <m:chr m:val="̃"/>
              </m:accPr>
              <m:e>
                <m:r>
                  <m:t>x</m:t>
                </m:r>
              </m:e>
            </m:acc>
          </m:e>
        </m:d>
      </m:oMath>
      <w:r>
        <w:t xml:space="preserve">,</w:t>
      </w:r>
    </w:p>
    <w:p>
      <w:pPr>
        <w:pStyle w:val="BodyText"/>
        <w:keepNext/>
      </w:pPr>
      <m:oMathPara>
        <m:oMathParaPr>
          <m:jc m:val="center"/>
        </m:oMathParaPr>
        <m:oMath>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oMath>
      </m:oMathPara>
    </w:p>
    <w:p>
      <w:pPr>
        <w:numPr>
          <w:ilvl w:val="1"/>
          <w:numId w:val="1000"/>
        </w:numPr>
      </w:pPr>
      <w:r>
        <w:t xml:space="preserve">Cada empresa tiene además un</w:t>
      </w:r>
      <w:r>
        <w:t xml:space="preserve"> </w:t>
      </w:r>
      <w:r>
        <w:rPr>
          <w:b/>
          <w:bCs/>
        </w:rPr>
        <w:t xml:space="preserve">mercado cautivo</w:t>
      </w:r>
      <w:r>
        <w:t xml:space="preserve">: los consumidores a la izquierda de</w:t>
      </w:r>
      <w:r>
        <w:t xml:space="preserve"> </w:t>
      </w:r>
      <m:oMath>
        <m:r>
          <m:t>a</m:t>
        </m:r>
      </m:oMath>
      <w:r>
        <w:t xml:space="preserve"> </w:t>
      </w:r>
      <w:r>
        <w:t xml:space="preserve">compran a la 1 y los de la derecha de</w:t>
      </w:r>
      <w:r>
        <w:t xml:space="preserve"> </w:t>
      </w:r>
      <m:oMath>
        <m:r>
          <m:t>b</m:t>
        </m:r>
      </m:oMath>
      <w:r>
        <w:t xml:space="preserve">, a la 2, porque para todos ellos la diferencia de distancias a las 2 empresas es la misma,</w:t>
      </w:r>
      <w:r>
        <w:t xml:space="preserve"> </w:t>
      </w:r>
      <m:oMath>
        <m:r>
          <m:t>b</m:t>
        </m:r>
        <m:r>
          <m:rPr>
            <m:sty m:val="p"/>
          </m:rPr>
          <m:t>−</m:t>
        </m:r>
        <m:r>
          <m:t>a</m:t>
        </m:r>
      </m:oMath>
      <w:r>
        <w:t xml:space="preserve">, y eligen igual que el consumidor situado en la empresa más cercana.</w:t>
      </w:r>
    </w:p>
    <w:p>
      <w:pPr>
        <w:numPr>
          <w:ilvl w:val="1"/>
          <w:numId w:val="1130"/>
        </w:numPr>
      </w:pPr>
      <w:r>
        <w:rPr>
          <w:i/>
          <w:iCs/>
        </w:rPr>
        <w:t xml:space="preserve">Una empresa se queda con todo el mercado</w:t>
      </w:r>
      <w:r>
        <w:t xml:space="preserve"> </w:t>
      </w:r>
      <w:r>
        <w:t xml:space="preserve">(panel b).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su V queda por debajo de la de la 2 incluso en</w:t>
      </w:r>
      <w:r>
        <w:t xml:space="preserve"> </w:t>
      </w:r>
      <m:oMath>
        <m:r>
          <m:t>b</m:t>
        </m:r>
      </m:oMath>
      <w:r>
        <w:t xml:space="preserve">, la localización de la rival: comprarle a la 1 es mejor para todos, también para el mercado cautivo de la 2. Deja de haber consumidor indiferente, y la demanda de la 1 salta de golpe de</w:t>
      </w:r>
      <w:r>
        <w:t xml:space="preserve"> </w:t>
      </w:r>
      <m:oMath>
        <m:r>
          <m:t>b</m:t>
        </m:r>
      </m:oMath>
      <w:r>
        <w:t xml:space="preserve"> </w:t>
      </w:r>
      <w:r>
        <w:t xml:space="preserve">(el consumidor indiferente llega a</w:t>
      </w:r>
      <w:r>
        <w:t xml:space="preserve"> </w:t>
      </w:r>
      <m:oMath>
        <m:r>
          <m:t>b</m:t>
        </m:r>
      </m:oMath>
      <w:r>
        <w:t xml:space="preserve"> </w:t>
      </w:r>
      <w:r>
        <w:t xml:space="preserve">cuando</w:t>
      </w:r>
      <w:r>
        <w:t xml:space="preserve"> </w:t>
      </w:r>
      <m:oMath>
        <m:sSub>
          <m:e>
            <m:r>
              <m:t>p</m:t>
            </m:r>
          </m:e>
          <m:sub>
            <m:r>
              <m:t>1</m:t>
            </m:r>
          </m:sub>
        </m:sSub>
        <m:r>
          <m:rPr>
            <m:sty m:val="p"/>
          </m:rPr>
          <m:t>=</m:t>
        </m:r>
        <m:sSub>
          <m:e>
            <m:r>
              <m:t>p</m:t>
            </m:r>
          </m:e>
          <m:sub>
            <m:r>
              <m:t>2</m:t>
            </m:r>
          </m:sub>
        </m:sSub>
        <m:r>
          <m:rPr>
            <m:sty m:val="p"/>
          </m:rPr>
          <m:t>−</m:t>
        </m:r>
        <m:r>
          <m:t>t</m:t>
        </m:r>
        <m:r>
          <m:t> </m:t>
        </m:r>
        <m:d>
          <m:dPr>
            <m:begChr m:val="("/>
            <m:sepChr m:val=""/>
            <m:endChr m:val=")"/>
            <m:grow/>
          </m:dPr>
          <m:e>
            <m:r>
              <m:t>b</m:t>
            </m:r>
            <m:r>
              <m:rPr>
                <m:sty m:val="p"/>
              </m:rPr>
              <m:t>−</m:t>
            </m:r>
            <m:r>
              <m:t>a</m:t>
            </m:r>
          </m:e>
        </m:d>
      </m:oMath>
      <w:r>
        <w:t xml:space="preserve">) a 1: gana de una vez los</w:t>
      </w:r>
      <w:r>
        <w:t xml:space="preserve"> </w:t>
      </w:r>
      <m:oMath>
        <m:r>
          <m:t>1</m:t>
        </m:r>
        <m:r>
          <m:rPr>
            <m:sty m:val="p"/>
          </m:rPr>
          <m:t>−</m:t>
        </m:r>
        <m:r>
          <m:t>b</m:t>
        </m:r>
      </m:oMath>
      <w:r>
        <w:t xml:space="preserve"> </w:t>
      </w:r>
      <w:r>
        <w:t xml:space="preserve">consumidores del mercado cautivo de la rival.</w:t>
      </w:r>
    </w:p>
    <w:p>
      <w:pPr>
        <w:numPr>
          <w:ilvl w:val="0"/>
          <w:numId w:val="1000"/>
        </w:numPr>
      </w:pPr>
      <w:r>
        <w:t xml:space="preserve">La demanda es, por tanto,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a cada una puede convenirle bajar el precio para quedarse con todo el mercado, y a la otra, responder igual. Por eso los modelos con localización elegida suponen costes cuadráticos: con ellos, el consumidor indiferente se mueve de forma continua al cambiar los precios, y la demanda no salta. El panel c del gráfico </w:t>
      </w:r>
      <w:hyperlink w:anchor="fig_hotelling_discontinuidad">
        <w:r>
          <w:rPr>
            <w:rStyle w:val="Hyperlink"/>
          </w:rPr>
          <w:t xml:space="preserve">13</w:t>
        </w:r>
      </w:hyperlink>
      <w:r>
        <w:t xml:space="preserve"> </w:t>
      </w:r>
      <w:r>
        <w:t xml:space="preserve">lo resume: la demanda de la empresa 1 es nula si su precio es muy alto, continua mientras hay consumidor indiferente y da un salto cuando se queda con todo el mercado. Con las empresas en los extremos (</w:t>
      </w:r>
      <m:oMath>
        <m:r>
          <m:t>a</m:t>
        </m:r>
        <m:r>
          <m:rPr>
            <m:sty m:val="p"/>
          </m:rPr>
          <m:t>=</m:t>
        </m:r>
        <m:r>
          <m:t>0</m:t>
        </m:r>
      </m:oMath>
      <w:r>
        <w:t xml:space="preserve">,</w:t>
      </w:r>
      <w:r>
        <w:t xml:space="preserve"> </w:t>
      </w:r>
      <m:oMath>
        <m:r>
          <m:t>b</m:t>
        </m:r>
        <m:r>
          <m:rPr>
            <m:sty m:val="p"/>
          </m:rPr>
          <m:t>=</m:t>
        </m:r>
        <m:r>
          <m:t>1</m:t>
        </m:r>
      </m:oMath>
      <w:r>
        <w:t xml:space="preserve">) no hay mercados cautivos, la demanda no salta y los costes lineales dan el mismo equilibrio que los cuadráticos (</w:t>
      </w:r>
      <w:hyperlink w:anchor="sec_hotelling_precios">
        <w:r>
          <w:rPr>
            <w:rStyle w:val="Hyperlink"/>
          </w:rPr>
          <w:t xml:space="preserve">II.3.2</w:t>
        </w:r>
      </w:hyperlink>
      <w:r>
        <w:t xml:space="preserve">).</w:t>
      </w:r>
    </w:p>
    <w:bookmarkStart w:id="231" w:name="fig_hotelling_discontinuidad"/>
    <w:p>
      <w:pPr>
        <w:pStyle w:val="ImageCaption"/>
      </w:pPr>
      <w:r>
        <w:t xml:space="preserve">Gráfico 13.–</w:t>
      </w:r>
      <w:r>
        <w:t xml:space="preserve"> </w:t>
      </w:r>
      <w:r>
        <w:t xml:space="preserve">Ciudad lineal con costes de transporte lineales: a) consumidor indiferente y mercados cautivos; b) si una empresa baja lo bastante su precio, se queda con todo el mercado; c) por eso su demanda es discontinua</w:t>
      </w:r>
    </w:p>
    <w:tbl>
      <w:tblPr>
        <w:tblStyle w:val="FigureTable"/>
        <w:tblW w:type="auto" w:w="0"/>
        <w:jc w:val="center"/>
        <w:tblLook w:firstRow="0" w:lastRow="0" w:firstColumn="0" w:lastColumn="0"/>
      </w:tblPr>
      <w:tblGrid>
        <w:gridCol w:w="7920"/>
      </w:tblGrid>
      <w:tr>
        <w:trPr>
          <w:cantSplit/>
        </w:trPr>
        <w:tc>
          <w:tcPr>
            <w:vAlign w:val="center"/>
          </w:tcPr>
          <w:p>
            <w:pPr>
              <w:pStyle w:val="Compact"/>
              <w:jc w:val="center"/>
            </w:pPr>
            <w:r>
              <w:drawing>
                <wp:inline>
                  <wp:extent cx="5670550" cy="2026648"/>
                  <wp:effectExtent b="0" l="0" r="0" t="0"/>
                  <wp:docPr descr="Gráfico 13.– Ciudad lineal con costes de transporte lineales: a) consumidor indiferente y mercados cautivos; b) si una empresa baja lo bastante su precio, se queda con todo el mercado; c) por eso su demanda es discontinua" title="" id="226" name="Picture"/>
                  <a:graphic>
                    <a:graphicData uri="http://schemas.openxmlformats.org/drawingml/2006/picture">
                      <pic:pic>
                        <pic:nvPicPr>
                          <pic:cNvPr descr="C:\Users\vgutierrez\Documents\src\victorgutierrezmarcos.github.io-revision\oposicion\temario\fuentes\3A18\graficos/hotelling-discontinuidad.png" id="227" name="Picture"/>
                          <pic:cNvPicPr>
                            <a:picLocks noChangeArrowheads="1" noChangeAspect="1"/>
                          </pic:cNvPicPr>
                        </pic:nvPicPr>
                        <pic:blipFill>
                          <a:blip r:embed="rId225"/>
                          <a:stretch>
                            <a:fillRect/>
                          </a:stretch>
                        </pic:blipFill>
                        <pic:spPr bwMode="auto">
                          <a:xfrm>
                            <a:off x="0" y="0"/>
                            <a:ext cx="5670550" cy="2026648"/>
                          </a:xfrm>
                          <a:prstGeom prst="rect">
                            <a:avLst/>
                          </a:prstGeom>
                          <a:noFill/>
                          <a:ln w="9525">
                            <a:noFill/>
                            <a:headEnd/>
                            <a:tailEnd/>
                          </a:ln>
                        </pic:spPr>
                      </pic:pic>
                    </a:graphicData>
                  </a:graphic>
                </wp:inline>
              </w:drawing>
            </w:r>
            <w:r>
              <w:br/>
            </w:r>
            <w:r>
              <w:drawing>
                <wp:inline>
                  <wp:extent cx="2566670" cy="1850457"/>
                  <wp:effectExtent b="0" l="0" r="0" t="0"/>
                  <wp:docPr descr="Gráfico 13.– Ciudad lineal con costes de transporte lineales: a) consumidor indiferente y mercados cautivos; b) si una empresa baja lo bastante su precio, se queda con todo el mercado; c) por eso su demanda es discontinua" title="" id="229" name="Picture"/>
                  <a:graphic>
                    <a:graphicData uri="http://schemas.openxmlformats.org/drawingml/2006/picture">
                      <pic:pic>
                        <pic:nvPicPr>
                          <pic:cNvPr descr="C:\Users\vgutierrez\Documents\src\victorgutierrezmarcos.github.io-revision\oposicion\temario\fuentes\3A18\graficos/hotelling-lineal.png" id="230" name="Picture"/>
                          <pic:cNvPicPr>
                            <a:picLocks noChangeArrowheads="1" noChangeAspect="1"/>
                          </pic:cNvPicPr>
                        </pic:nvPicPr>
                        <pic:blipFill>
                          <a:blip r:embed="rId228"/>
                          <a:stretch>
                            <a:fillRect/>
                          </a:stretch>
                        </pic:blipFill>
                        <pic:spPr bwMode="auto">
                          <a:xfrm>
                            <a:off x="0" y="0"/>
                            <a:ext cx="2566670" cy="1850457"/>
                          </a:xfrm>
                          <a:prstGeom prst="rect">
                            <a:avLst/>
                          </a:prstGeom>
                          <a:noFill/>
                          <a:ln w="9525">
                            <a:noFill/>
                            <a:headEnd/>
                            <a:tailEnd/>
                          </a:ln>
                        </pic:spPr>
                      </pic:pic>
                    </a:graphicData>
                  </a:graphic>
                </wp:inline>
              </w:drawing>
            </w:r>
          </w:p>
        </w:tc>
      </w:tr>
    </w:tbl>
    <w:bookmarkEnd w:id="231"/>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w:t>
      </w:r>
    </w:p>
    <w:p>
      <w:pPr>
        <w:numPr>
          <w:ilvl w:val="0"/>
          <w:numId w:val="1131"/>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131"/>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131"/>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32"/>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32"/>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32"/>
    <w:bookmarkStart w:id="233" w:name="anexo_finitud"/>
    <w:p>
      <w:pPr>
        <w:pStyle w:val="Heading1"/>
      </w:pPr>
      <w:r>
        <w:t xml:space="preserve">E. Anexo: propiedad de finitud y duopolio natural en la diferenciación vertical</w:t>
      </w:r>
    </w:p>
    <w:p>
      <w:pPr>
        <w:numPr>
          <w:ilvl w:val="0"/>
          <w:numId w:val="1133"/>
        </w:numPr>
      </w:pPr>
      <w:r>
        <w:rPr>
          <w:i/>
          <w:iCs/>
        </w:rPr>
        <w:t xml:space="preserve">Cuándo tiene cuota la calidad baja</w:t>
      </w:r>
      <w:r>
        <w:t xml:space="preserve">. Con el modelo de</w:t>
      </w:r>
      <w:r>
        <w:t xml:space="preserve"> </w:t>
      </w:r>
      <w:hyperlink w:anchor="sec_shaked_sutton">
        <w:r>
          <w:rPr>
            <w:rStyle w:val="Hyperlink"/>
          </w:rPr>
          <w:t xml:space="preserve">II.4</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33"/>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33"/>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33"/>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33"/>
    <w:bookmarkStart w:id="238" w:name="anexo_lancaster_diferenciacion"/>
    <w:p>
      <w:pPr>
        <w:pStyle w:val="Heading1"/>
      </w:pPr>
      <w:r>
        <w:t xml:space="preserve">F. Anexo: la demanda de características aplicada a la diferenciación</w:t>
      </w:r>
    </w:p>
    <w:p>
      <w:pPr>
        <w:numPr>
          <w:ilvl w:val="0"/>
          <w:numId w:val="1134"/>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34"/>
        </w:numPr>
      </w:pPr>
      <w:r>
        <w:t xml:space="preserve">Sus 3 lecturas para las empresas (gráfico </w:t>
      </w:r>
      <w:hyperlink w:anchor="fig_lancaster_estrategias">
        <w:r>
          <w:rPr>
            <w:rStyle w:val="Hyperlink"/>
          </w:rPr>
          <w:t xml:space="preserve">14</w:t>
        </w:r>
      </w:hyperlink>
      <w:r>
        <w:t xml:space="preserve">):</w:t>
      </w:r>
    </w:p>
    <w:p>
      <w:pPr>
        <w:numPr>
          <w:ilvl w:val="1"/>
          <w:numId w:val="1135"/>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35"/>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35"/>
        </w:numPr>
      </w:pPr>
      <w:r>
        <w:rPr>
          <w:i/>
          <w:iCs/>
        </w:rPr>
        <w:t xml:space="preserve">publicidad</w:t>
      </w:r>
      <w:r>
        <w:t xml:space="preserve">: hay que dar a conocer las características de cada producto (</w:t>
      </w:r>
      <w:hyperlink w:anchor="sec_publicidad_marcas">
        <w:r>
          <w:rPr>
            <w:rStyle w:val="Hyperlink"/>
          </w:rPr>
          <w:t xml:space="preserve">II.5</w:t>
        </w:r>
      </w:hyperlink>
      <w:r>
        <w:t xml:space="preserve">).</w:t>
      </w:r>
    </w:p>
    <w:bookmarkStart w:id="237" w:name="fig_lancaster_estrategias"/>
    <w:p>
      <w:pPr>
        <w:pStyle w:val="ImageCaption"/>
      </w:pPr>
      <w:r>
        <w:t xml:space="preserve">Gráfico 14.–</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4.– La demanda de características y las estrategias de las empresas: fidelidad a la marca y producto nuevo" title="" id="235" name="Picture"/>
            <a:graphic>
              <a:graphicData uri="http://schemas.openxmlformats.org/drawingml/2006/picture">
                <pic:pic>
                  <pic:nvPicPr>
                    <pic:cNvPr descr="C:\Users\vgutierrez\Documents\src\victorgutierrezmarcos.github.io-revision\oposicion\temario\fuentes\3A18\graficos/lancaster-estrategias.png" id="236" name="Picture"/>
                    <pic:cNvPicPr>
                      <a:picLocks noChangeArrowheads="1" noChangeAspect="1"/>
                    </pic:cNvPicPr>
                  </pic:nvPicPr>
                  <pic:blipFill>
                    <a:blip r:embed="rId234"/>
                    <a:stretch>
                      <a:fillRect/>
                    </a:stretch>
                  </pic:blipFill>
                  <pic:spPr bwMode="auto">
                    <a:xfrm>
                      <a:off x="0" y="0"/>
                      <a:ext cx="5073650" cy="2386108"/>
                    </a:xfrm>
                    <a:prstGeom prst="rect">
                      <a:avLst/>
                    </a:prstGeom>
                    <a:noFill/>
                    <a:ln w="9525">
                      <a:noFill/>
                      <a:headEnd/>
                      <a:tailEnd/>
                    </a:ln>
                  </pic:spPr>
                </pic:pic>
              </a:graphicData>
            </a:graphic>
          </wp:inline>
        </w:drawing>
      </w:r>
    </w:p>
    <w:bookmarkEnd w:id="237"/>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38"/>
    <w:bookmarkStart w:id="241" w:name="anexo_mercado_relevante"/>
    <w:p>
      <w:pPr>
        <w:pStyle w:val="Heading1"/>
      </w:pPr>
      <w:r>
        <w:t xml:space="preserve">G. Anexo: la definición del mercado del bien diferenciado</w:t>
      </w:r>
    </w:p>
    <w:p>
      <w:pPr>
        <w:numPr>
          <w:ilvl w:val="0"/>
          <w:numId w:val="1136"/>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36"/>
        </w:numPr>
      </w:pPr>
      <w:r>
        <w:t xml:space="preserve">La definición adecuada depende del uso. En el caso del carbón</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1"/>
          <w:numId w:val="1137"/>
        </w:numPr>
      </w:pPr>
      <w:r>
        <w:t xml:space="preserve">para la política energética, el mercado es el de la energía (carbón, gas, petróleo, nuclear);</w:t>
      </w:r>
    </w:p>
    <w:p>
      <w:pPr>
        <w:numPr>
          <w:ilvl w:val="1"/>
          <w:numId w:val="1137"/>
        </w:numPr>
      </w:pPr>
      <w:r>
        <w:t xml:space="preserve">para los contratos a largo plazo entre minas y eléctricas, el regional;</w:t>
      </w:r>
    </w:p>
    <w:p>
      <w:pPr>
        <w:numPr>
          <w:ilvl w:val="1"/>
          <w:numId w:val="1137"/>
        </w:numPr>
      </w:pPr>
      <w:r>
        <w:t xml:space="preserve">para una fusión entre 2 proveedores, uno mucho más estrecho, por los altos costes de transporte.</w:t>
      </w:r>
    </w:p>
    <w:p>
      <w:pPr>
        <w:keepNext/>
        <w:numPr>
          <w:ilvl w:val="0"/>
          <w:numId w:val="1136"/>
        </w:numPr>
      </w:pPr>
      <w:r>
        <w:t xml:space="preserve">Criterios propuestos, útiles pero imperfectos:</w:t>
      </w:r>
    </w:p>
    <w:p>
      <w:pPr>
        <w:numPr>
          <w:ilvl w:val="1"/>
          <w:numId w:val="1138"/>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39"/>
      </w:r>
      <w:r>
        <w:t xml:space="preserve"> </w:t>
      </w:r>
      <w:r>
        <w:t xml:space="preserve">ignora la competencia potencial y no define qué es una brecha;</w:t>
      </w:r>
    </w:p>
    <w:p>
      <w:pPr>
        <w:numPr>
          <w:ilvl w:val="1"/>
          <w:numId w:val="1138"/>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40"/>
      </w:r>
    </w:p>
    <w:p>
      <w:pPr>
        <w:numPr>
          <w:ilvl w:val="1"/>
          <w:numId w:val="1138"/>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36"/>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41"/>
    <w:bookmarkStart w:id="242" w:name="anexo_empirica"/>
    <w:p>
      <w:pPr>
        <w:pStyle w:val="Heading1"/>
      </w:pPr>
      <w:r>
        <w:t xml:space="preserve">H. Anexo: literatura empírica y enfoque de elección discreta</w:t>
      </w:r>
    </w:p>
    <w:p>
      <w:pPr>
        <w:numPr>
          <w:ilvl w:val="0"/>
          <w:numId w:val="1139"/>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39"/>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keepNext/>
        <w:numPr>
          <w:ilvl w:val="0"/>
          <w:numId w:val="1139"/>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1"/>
          <w:numId w:val="1140"/>
        </w:numPr>
      </w:pPr>
      <w:r>
        <w:t xml:space="preserve">con gustos independientes e idénticamente distribuidos (</w:t>
      </w:r>
      <w:r>
        <w:rPr>
          <w:i/>
          <w:iCs/>
        </w:rPr>
        <w:t xml:space="preserve">logit</w:t>
      </w:r>
      <w:r>
        <w:t xml:space="preserve">), la sustitución es simétrica y la competencia, global, como en la CES;</w:t>
      </w:r>
    </w:p>
    <w:p>
      <w:pPr>
        <w:numPr>
          <w:ilvl w:val="1"/>
          <w:numId w:val="1140"/>
        </w:numPr>
      </w:pPr>
      <w:r>
        <w:t xml:space="preserve">el</w:t>
      </w:r>
      <w:r>
        <w:t xml:space="preserve"> </w:t>
      </w:r>
      <w:r>
        <w:rPr>
          <w:i/>
          <w:iCs/>
        </w:rPr>
        <w:t xml:space="preserve">logit anidado</w:t>
      </w:r>
      <w:r>
        <w:t xml:space="preserve"> </w:t>
      </w:r>
      <w:r>
        <w:t xml:space="preserve">permite una sustitución más cercana dentro de cada grupo;</w:t>
      </w:r>
    </w:p>
    <w:p>
      <w:pPr>
        <w:numPr>
          <w:ilvl w:val="1"/>
          <w:numId w:val="1140"/>
        </w:numPr>
      </w:pPr>
      <w:r>
        <w:t xml:space="preserve">y el</w:t>
      </w:r>
      <w:r>
        <w:t xml:space="preserve"> </w:t>
      </w:r>
      <w:r>
        <w:rPr>
          <w:i/>
          <w:iCs/>
        </w:rPr>
        <w:t xml:space="preserve">probit</w:t>
      </w:r>
      <w:r>
        <w:t xml:space="preserve"> </w:t>
      </w:r>
      <w:r>
        <w:t xml:space="preserve">general, patrones más ricos a través de la matriz de varianzas y covarianzas de los gustos.</w:t>
      </w:r>
    </w:p>
    <w:p>
      <w:pPr>
        <w:numPr>
          <w:ilvl w:val="0"/>
          <w:numId w:val="1139"/>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42"/>
    <w:bookmarkStart w:id="243" w:name="anexo_colusion"/>
    <w:p>
      <w:pPr>
        <w:pStyle w:val="Heading1"/>
      </w:pPr>
      <w:r>
        <w:t xml:space="preserve">I. Anexo: colusión con producto diferenciado</w:t>
      </w:r>
    </w:p>
    <w:p>
      <w:pPr>
        <w:keepNext/>
        <w:numPr>
          <w:ilvl w:val="0"/>
          <w:numId w:val="1141"/>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42"/>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42"/>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p>
      <w:pPr>
        <w:numPr>
          <w:ilvl w:val="0"/>
          <w:numId w:val="1141"/>
        </w:numPr>
      </w:pPr>
      <w:r>
        <w:t xml:space="preserve">Con diferenciación horizontal el efecto es ambiguo: se gana menos desviándose, porque no se capta toda la demanda de la rival, pero el castigo también es menos duro</w:t>
      </w:r>
      <w:r>
        <w:t xml:space="preserve"> </w:t>
      </w:r>
      <w:r>
        <w:t xml:space="preserve">(</w:t>
      </w:r>
      <w:hyperlink w:anchor="ref_Ross1992Cartel">
        <w:r>
          <w:rPr>
            <w:rStyle w:val="Hyperlink"/>
            <w:smallCaps/>
          </w:rPr>
          <w:t xml:space="preserve">Ross</w:t>
        </w:r>
        <w:r>
          <w:rPr>
            <w:rStyle w:val="Hyperlink"/>
          </w:rPr>
          <w:t xml:space="preserve">, 1992</w:t>
        </w:r>
      </w:hyperlink>
      <w:r>
        <w:t xml:space="preserve">)</w:t>
      </w:r>
      <w:r>
        <w:t xml:space="preserve">.</w:t>
      </w:r>
    </w:p>
    <w:bookmarkEnd w:id="243"/>
    <w:bookmarkStart w:id="244" w:name="anexo_publicidad"/>
    <w:p>
      <w:pPr>
        <w:pStyle w:val="Heading1"/>
      </w:pPr>
      <w:r>
        <w:t xml:space="preserve">J. Anexo: el análisis económico de la publicidad</w:t>
      </w:r>
    </w:p>
    <w:p>
      <w:pPr>
        <w:numPr>
          <w:ilvl w:val="0"/>
          <w:numId w:val="1143"/>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43"/>
        </w:numPr>
      </w:pPr>
      <w:r>
        <w:t xml:space="preserve">Las 3 visiones de la publicidad (</w:t>
      </w:r>
      <w:hyperlink w:anchor="sec_publicidad_marcas">
        <w:r>
          <w:rPr>
            <w:rStyle w:val="Hyperlink"/>
          </w:rPr>
          <w:t xml:space="preserve">II.5</w:t>
        </w:r>
      </w:hyperlink>
      <w:r>
        <w:t xml:space="preserve">) tienen consecuencias distintas para la diferenciación:</w:t>
      </w:r>
    </w:p>
    <w:p>
      <w:pPr>
        <w:numPr>
          <w:ilvl w:val="1"/>
          <w:numId w:val="1144"/>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44"/>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44"/>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43"/>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44"/>
    <w:bookmarkStart w:id="247"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45">
        <w:r>
          <w:rPr>
            <w:rStyle w:val="Hyperlink"/>
          </w:rPr>
          <w:t xml:space="preserve">simulador de test</w:t>
        </w:r>
      </w:hyperlink>
      <w:r>
        <w:t xml:space="preserve">.</w:t>
      </w:r>
    </w:p>
    <w:p>
      <w:pPr>
        <w:numPr>
          <w:ilvl w:val="0"/>
          <w:numId w:val="1145"/>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45"/>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45"/>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45"/>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45"/>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45"/>
        </w:numPr>
      </w:pPr>
      <w:r>
        <w:rPr>
          <w:i/>
          <w:iCs/>
        </w:rPr>
        <w:t xml:space="preserve">Diferenciación vertical</w:t>
      </w:r>
      <w:r>
        <w:t xml:space="preserve">: diferenciación máxima de calidades; finitud: el número de empresas no depende del tamaño del mercado.</w:t>
      </w:r>
    </w:p>
    <w:p>
      <w:pPr>
        <w:numPr>
          <w:ilvl w:val="0"/>
          <w:numId w:val="1145"/>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45"/>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46" w:name="preguntas_probables_del_tribunal"/>
    <w:p>
      <w:pPr>
        <w:pStyle w:val="Heading4"/>
      </w:pPr>
      <w:r>
        <w:t xml:space="preserve">Preguntas probables del tribunal</w:t>
      </w:r>
    </w:p>
    <w:p>
      <w:pPr>
        <w:numPr>
          <w:ilvl w:val="0"/>
          <w:numId w:val="1146"/>
        </w:numPr>
      </w:pPr>
      <w:r>
        <w:t xml:space="preserve">¿Por qué en competencia monopolística hay beneficio nulo y, sin embargo, poder de mercado?</w:t>
      </w:r>
    </w:p>
    <w:p>
      <w:pPr>
        <w:numPr>
          <w:ilvl w:val="0"/>
          <w:numId w:val="1146"/>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46"/>
        </w:numPr>
      </w:pPr>
      <w:r>
        <w:t xml:space="preserve">¿Produce el mercado demasiadas variedades o demasiado pocas? ¿Respecto a qué óptimo?</w:t>
      </w:r>
    </w:p>
    <w:p>
      <w:pPr>
        <w:numPr>
          <w:ilvl w:val="0"/>
          <w:numId w:val="1146"/>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46"/>
        </w:numPr>
      </w:pPr>
      <w:r>
        <w:t xml:space="preserve">¿Por qué hace falta suponer costes de transporte cuadráticos en la ciudad lineal con localización elegida?</w:t>
      </w:r>
    </w:p>
    <w:p>
      <w:pPr>
        <w:numPr>
          <w:ilvl w:val="0"/>
          <w:numId w:val="1146"/>
        </w:numPr>
      </w:pPr>
      <w:r>
        <w:t xml:space="preserve">¿Por qué, con diferenciación vertical, el número de empresas no crece con el mercado?</w:t>
      </w:r>
    </w:p>
    <w:p>
      <w:pPr>
        <w:numPr>
          <w:ilvl w:val="0"/>
          <w:numId w:val="1146"/>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369" w:name="bibliografia"/>
    <w:p>
      <w:pPr>
        <w:pStyle w:val="Heading1"/>
      </w:pPr>
      <w:r>
        <w:t xml:space="preserve">Bibliografía</w:t>
      </w:r>
    </w:p>
    <w:bookmarkStart w:id="368" w:name="refs"/>
    <w:bookmarkStart w:id="249"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48">
        <w:r>
          <w:rPr>
            <w:rStyle w:val="Hyperlink"/>
          </w:rPr>
          <w:t xml:space="preserve">https://doi.org/10.7551/mitpress/2450.001.0001</w:t>
        </w:r>
      </w:hyperlink>
      <w:r>
        <w:t xml:space="preserve">.</w:t>
      </w:r>
    </w:p>
    <w:bookmarkEnd w:id="249"/>
    <w:bookmarkStart w:id="250"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50"/>
    <w:bookmarkStart w:id="252"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51">
        <w:r>
          <w:rPr>
            <w:rStyle w:val="Hyperlink"/>
          </w:rPr>
          <w:t xml:space="preserve">https://doi.org/10.1257/aer.101.1.1</w:t>
        </w:r>
      </w:hyperlink>
      <w:r>
        <w:t xml:space="preserve">.</w:t>
      </w:r>
    </w:p>
    <w:bookmarkEnd w:id="252"/>
    <w:bookmarkStart w:id="254"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53">
        <w:r>
          <w:rPr>
            <w:rStyle w:val="Hyperlink"/>
          </w:rPr>
          <w:t xml:space="preserve">https://doi.org/10.1016/S1573-448X(06)03028-7</w:t>
        </w:r>
      </w:hyperlink>
      <w:r>
        <w:t xml:space="preserve">.</w:t>
      </w:r>
    </w:p>
    <w:bookmarkEnd w:id="254"/>
    <w:bookmarkStart w:id="256"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55">
        <w:r>
          <w:rPr>
            <w:rStyle w:val="Hyperlink"/>
          </w:rPr>
          <w:t xml:space="preserve">https://doi.org/10.2307/2118455</w:t>
        </w:r>
      </w:hyperlink>
      <w:r>
        <w:t xml:space="preserve">.</w:t>
      </w:r>
    </w:p>
    <w:bookmarkEnd w:id="256"/>
    <w:bookmarkStart w:id="257"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57"/>
    <w:bookmarkStart w:id="259"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58">
        <w:r>
          <w:rPr>
            <w:rStyle w:val="Hyperlink"/>
          </w:rPr>
          <w:t xml:space="preserve">https://doi.org/10.2307/2171802</w:t>
        </w:r>
      </w:hyperlink>
      <w:r>
        <w:t xml:space="preserve">.</w:t>
      </w:r>
    </w:p>
    <w:bookmarkEnd w:id="259"/>
    <w:bookmarkStart w:id="260"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60"/>
    <w:bookmarkStart w:id="262"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61">
        <w:r>
          <w:rPr>
            <w:rStyle w:val="Hyperlink"/>
          </w:rPr>
          <w:t xml:space="preserve">https://www.boe.es/diario_boe/txt.php?id=BOE-A-2025-587</w:t>
        </w:r>
      </w:hyperlink>
      <w:r>
        <w:t xml:space="preserve">.</w:t>
      </w:r>
    </w:p>
    <w:bookmarkEnd w:id="262"/>
    <w:bookmarkStart w:id="263"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3"/>
    <w:bookmarkStart w:id="265"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64">
        <w:r>
          <w:rPr>
            <w:rStyle w:val="Hyperlink"/>
          </w:rPr>
          <w:t xml:space="preserve">https://doi.org/10.1162/qjec.2006.121.2.541</w:t>
        </w:r>
      </w:hyperlink>
      <w:r>
        <w:t xml:space="preserve">.</w:t>
      </w:r>
    </w:p>
    <w:bookmarkEnd w:id="265"/>
    <w:bookmarkStart w:id="267"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66">
        <w:r>
          <w:rPr>
            <w:rStyle w:val="Hyperlink"/>
          </w:rPr>
          <w:t xml:space="preserve">https://doi.org/10.1086/261312</w:t>
        </w:r>
      </w:hyperlink>
      <w:r>
        <w:t xml:space="preserve">.</w:t>
      </w:r>
    </w:p>
    <w:bookmarkEnd w:id="267"/>
    <w:bookmarkStart w:id="268"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68"/>
    <w:bookmarkStart w:id="270"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69">
        <w:r>
          <w:rPr>
            <w:rStyle w:val="Hyperlink"/>
          </w:rPr>
          <w:t xml:space="preserve">https://doi.org/10.1016/0304-3932(83)90060-0</w:t>
        </w:r>
      </w:hyperlink>
      <w:r>
        <w:t xml:space="preserve">.</w:t>
      </w:r>
    </w:p>
    <w:bookmarkEnd w:id="270"/>
    <w:bookmarkStart w:id="271"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71"/>
    <w:bookmarkStart w:id="273"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72">
        <w:r>
          <w:rPr>
            <w:rStyle w:val="Hyperlink"/>
          </w:rPr>
          <w:t xml:space="preserve">https://doi.org/10.2307/1911955</w:t>
        </w:r>
      </w:hyperlink>
      <w:r>
        <w:t xml:space="preserve">.</w:t>
      </w:r>
    </w:p>
    <w:bookmarkEnd w:id="273"/>
    <w:bookmarkStart w:id="275"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74">
        <w:r>
          <w:rPr>
            <w:rStyle w:val="Hyperlink"/>
          </w:rPr>
          <w:t xml:space="preserve">https://doi.org/10.1086/466756</w:t>
        </w:r>
      </w:hyperlink>
      <w:r>
        <w:t xml:space="preserve">.</w:t>
      </w:r>
    </w:p>
    <w:bookmarkEnd w:id="275"/>
    <w:bookmarkStart w:id="277"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76">
        <w:r>
          <w:rPr>
            <w:rStyle w:val="Hyperlink"/>
          </w:rPr>
          <w:t xml:space="preserve">https://doi.org/10.1093/qje/qjz041</w:t>
        </w:r>
      </w:hyperlink>
      <w:r>
        <w:t xml:space="preserve">.</w:t>
      </w:r>
    </w:p>
    <w:bookmarkEnd w:id="277"/>
    <w:bookmarkStart w:id="278"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78"/>
    <w:bookmarkStart w:id="279"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79"/>
    <w:bookmarkStart w:id="280"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80"/>
    <w:bookmarkStart w:id="281"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81"/>
    <w:bookmarkStart w:id="283"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82">
        <w:r>
          <w:rPr>
            <w:rStyle w:val="Hyperlink"/>
          </w:rPr>
          <w:t xml:space="preserve">https://doi.org/10.1016/0022-0531(89)90108-7</w:t>
        </w:r>
      </w:hyperlink>
      <w:r>
        <w:t xml:space="preserve">.</w:t>
      </w:r>
    </w:p>
    <w:bookmarkEnd w:id="283"/>
    <w:bookmarkStart w:id="28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4"/>
    <w:bookmarkStart w:id="286"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85">
        <w:r>
          <w:rPr>
            <w:rStyle w:val="Hyperlink"/>
          </w:rPr>
          <w:t xml:space="preserve">https://ec.europa.eu/eurostat/databrowser/view/ds-045409/default/table</w:t>
        </w:r>
      </w:hyperlink>
      <w:r>
        <w:t xml:space="preserve">.</w:t>
      </w:r>
    </w:p>
    <w:bookmarkEnd w:id="286"/>
    <w:bookmarkStart w:id="288"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87">
        <w:r>
          <w:rPr>
            <w:rStyle w:val="Hyperlink"/>
          </w:rPr>
          <w:t xml:space="preserve">https://ec.europa.eu/eurostat/databrowser/view/nama_10_gdp/default/table</w:t>
        </w:r>
      </w:hyperlink>
      <w:r>
        <w:t xml:space="preserve">.</w:t>
      </w:r>
    </w:p>
    <w:bookmarkEnd w:id="288"/>
    <w:bookmarkStart w:id="290"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89">
        <w:r>
          <w:rPr>
            <w:rStyle w:val="Hyperlink"/>
          </w:rPr>
          <w:t xml:space="preserve">https://doi.org/10.1016/0022-1996(81)90031-3</w:t>
        </w:r>
      </w:hyperlink>
      <w:r>
        <w:t xml:space="preserve">.</w:t>
      </w:r>
    </w:p>
    <w:bookmarkEnd w:id="290"/>
    <w:bookmarkStart w:id="292"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91">
        <w:r>
          <w:rPr>
            <w:rStyle w:val="Hyperlink"/>
          </w:rPr>
          <w:t xml:space="preserve">http://www.foltyn.net/wp-content/uploads/2009/12/dixitstiglitz.pdf</w:t>
        </w:r>
      </w:hyperlink>
      <w:r>
        <w:t xml:space="preserve">.</w:t>
      </w:r>
    </w:p>
    <w:bookmarkEnd w:id="292"/>
    <w:bookmarkStart w:id="294"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93">
        <w:r>
          <w:rPr>
            <w:rStyle w:val="Hyperlink"/>
          </w:rPr>
          <w:t xml:space="preserve">https://doi.org/10.1016/0022-0531(79)90041-3</w:t>
        </w:r>
      </w:hyperlink>
      <w:r>
        <w:t xml:space="preserve">.</w:t>
      </w:r>
    </w:p>
    <w:bookmarkEnd w:id="294"/>
    <w:bookmarkStart w:id="295"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95"/>
    <w:bookmarkStart w:id="297"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96">
        <w:r>
          <w:rPr>
            <w:rStyle w:val="Hyperlink"/>
          </w:rPr>
          <w:t xml:space="preserve">https://doi.org/10.1007/978-3-642-37314-5</w:t>
        </w:r>
      </w:hyperlink>
      <w:r>
        <w:t xml:space="preserve">.</w:t>
      </w:r>
    </w:p>
    <w:bookmarkEnd w:id="297"/>
    <w:bookmarkStart w:id="299"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98">
        <w:r>
          <w:rPr>
            <w:rStyle w:val="Hyperlink"/>
          </w:rPr>
          <w:t xml:space="preserve">https://doi.org/10.1111/j.1430-9134.1992.00277.x</w:t>
        </w:r>
      </w:hyperlink>
      <w:r>
        <w:t xml:space="preserve">.</w:t>
      </w:r>
    </w:p>
    <w:bookmarkEnd w:id="299"/>
    <w:bookmarkStart w:id="30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00">
        <w:r>
          <w:rPr>
            <w:rStyle w:val="Hyperlink"/>
          </w:rPr>
          <w:t xml:space="preserve">https://doi.org/10.2307/2224214</w:t>
        </w:r>
      </w:hyperlink>
      <w:r>
        <w:t xml:space="preserve">.</w:t>
      </w:r>
    </w:p>
    <w:bookmarkEnd w:id="301"/>
    <w:bookmarkStart w:id="303"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302">
        <w:r>
          <w:rPr>
            <w:rStyle w:val="Hyperlink"/>
          </w:rPr>
          <w:t xml:space="preserve">https://media.timtul.com/media/lafede/Resumen%20Estudio%20de%20Inversiones%202026_20260211151142.pdf</w:t>
        </w:r>
      </w:hyperlink>
      <w:r>
        <w:t xml:space="preserve">.</w:t>
      </w:r>
    </w:p>
    <w:bookmarkEnd w:id="303"/>
    <w:bookmarkStart w:id="305"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304">
        <w:r>
          <w:rPr>
            <w:rStyle w:val="Hyperlink"/>
          </w:rPr>
          <w:t xml:space="preserve">https://idei.fr/doc/wp/2003/tacit_collusion.pdf</w:t>
        </w:r>
      </w:hyperlink>
      <w:r>
        <w:t xml:space="preserve">.</w:t>
      </w:r>
    </w:p>
    <w:bookmarkEnd w:id="305"/>
    <w:bookmarkStart w:id="307"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306">
        <w:r>
          <w:rPr>
            <w:rStyle w:val="Hyperlink"/>
          </w:rPr>
          <w:t xml:space="preserve">https://doi.org/10.2307/2555407</w:t>
        </w:r>
      </w:hyperlink>
      <w:r>
        <w:t xml:space="preserve">.</w:t>
      </w:r>
    </w:p>
    <w:bookmarkEnd w:id="307"/>
    <w:bookmarkStart w:id="309"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308">
        <w:r>
          <w:rPr>
            <w:rStyle w:val="Hyperlink"/>
          </w:rPr>
          <w:t xml:space="preserve">https://doi.org/10.2307/2549105</w:t>
        </w:r>
      </w:hyperlink>
      <w:r>
        <w:t xml:space="preserve">.</w:t>
      </w:r>
    </w:p>
    <w:bookmarkEnd w:id="309"/>
    <w:bookmarkStart w:id="31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10"/>
    <w:bookmarkStart w:id="312"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311">
        <w:r>
          <w:rPr>
            <w:rStyle w:val="Hyperlink"/>
          </w:rPr>
          <w:t xml:space="preserve">https://doi.org/10.1016/0022-1996(79)90017-5</w:t>
        </w:r>
      </w:hyperlink>
      <w:r>
        <w:t xml:space="preserve">.</w:t>
      </w:r>
    </w:p>
    <w:bookmarkEnd w:id="312"/>
    <w:bookmarkStart w:id="313"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313"/>
    <w:bookmarkStart w:id="315"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314">
        <w:r>
          <w:rPr>
            <w:rStyle w:val="Hyperlink"/>
          </w:rPr>
          <w:t xml:space="preserve">https://doi.org/10.1086/261763</w:t>
        </w:r>
      </w:hyperlink>
      <w:r>
        <w:t xml:space="preserve">.</w:t>
      </w:r>
    </w:p>
    <w:bookmarkEnd w:id="315"/>
    <w:bookmarkStart w:id="316"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316"/>
    <w:bookmarkStart w:id="31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7">
        <w:r>
          <w:rPr>
            <w:rStyle w:val="Hyperlink"/>
          </w:rPr>
          <w:t xml:space="preserve">https://doi.org/10.1086/259131</w:t>
        </w:r>
      </w:hyperlink>
      <w:r>
        <w:t xml:space="preserve">.</w:t>
      </w:r>
    </w:p>
    <w:bookmarkEnd w:id="318"/>
    <w:bookmarkStart w:id="320"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319">
        <w:r>
          <w:rPr>
            <w:rStyle w:val="Hyperlink"/>
          </w:rPr>
          <w:t xml:space="preserve">https://doi.org/10.2307/2555627</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4"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23">
        <w:r>
          <w:rPr>
            <w:rStyle w:val="Hyperlink"/>
          </w:rPr>
          <w:t xml:space="preserve">https://doi.org/10.1111/1468-0262.00467</w:t>
        </w:r>
      </w:hyperlink>
      <w:r>
        <w:t xml:space="preserve">.</w:t>
      </w:r>
    </w:p>
    <w:bookmarkEnd w:id="324"/>
    <w:bookmarkStart w:id="326"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25">
        <w:r>
          <w:rPr>
            <w:rStyle w:val="Hyperlink"/>
          </w:rPr>
          <w:t xml:space="preserve">https://doi.org/10.1086/261408</w:t>
        </w:r>
      </w:hyperlink>
      <w:r>
        <w:t xml:space="preserve">.</w:t>
      </w:r>
    </w:p>
    <w:bookmarkEnd w:id="326"/>
    <w:bookmarkStart w:id="32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7">
        <w:r>
          <w:rPr>
            <w:rStyle w:val="Hyperlink"/>
          </w:rPr>
          <w:t xml:space="preserve">https://doi.org/10.1016/0022-0531(78)90085-6</w:t>
        </w:r>
      </w:hyperlink>
      <w:r>
        <w:t xml:space="preserve">.</w:t>
      </w:r>
    </w:p>
    <w:bookmarkEnd w:id="328"/>
    <w:bookmarkStart w:id="330"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29">
        <w:r>
          <w:rPr>
            <w:rStyle w:val="Hyperlink"/>
          </w:rPr>
          <w:t xml:space="preserve">https://doi.org/10.1017/CBO9780511492273.009</w:t>
        </w:r>
      </w:hyperlink>
      <w:r>
        <w:t xml:space="preserve">.</w:t>
      </w:r>
    </w:p>
    <w:bookmarkEnd w:id="330"/>
    <w:bookmarkStart w:id="332"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31">
        <w:r>
          <w:rPr>
            <w:rStyle w:val="Hyperlink"/>
          </w:rPr>
          <w:t xml:space="preserve">https://doi.org/10.1086/259630</w:t>
        </w:r>
      </w:hyperlink>
      <w:r>
        <w:t xml:space="preserve">.</w:t>
      </w:r>
    </w:p>
    <w:bookmarkEnd w:id="332"/>
    <w:bookmarkStart w:id="334"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33">
        <w:r>
          <w:rPr>
            <w:rStyle w:val="Hyperlink"/>
          </w:rPr>
          <w:t xml:space="preserve">https://doi.org/10.1086/260231</w:t>
        </w:r>
      </w:hyperlink>
      <w:r>
        <w:t xml:space="preserve">.</w:t>
      </w:r>
    </w:p>
    <w:bookmarkEnd w:id="334"/>
    <w:bookmarkStart w:id="336"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35">
        <w:r>
          <w:rPr>
            <w:rStyle w:val="Hyperlink"/>
          </w:rPr>
          <w:t xml:space="preserve">https://doi.org/10.1111/1468-0262.00194</w:t>
        </w:r>
      </w:hyperlink>
      <w:r>
        <w:t xml:space="preserve">.</w:t>
      </w:r>
    </w:p>
    <w:bookmarkEnd w:id="336"/>
    <w:bookmarkStart w:id="338"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37">
        <w:r>
          <w:rPr>
            <w:rStyle w:val="Hyperlink"/>
          </w:rPr>
          <w:t xml:space="preserve">https://www.oepm.es/export/sites/portal/comun/documentos_relacionados/PDF/Estadisticas-OEPM-2025.pdf</w:t>
        </w:r>
      </w:hyperlink>
      <w:r>
        <w:t xml:space="preserve">.</w:t>
      </w:r>
    </w:p>
    <w:bookmarkEnd w:id="338"/>
    <w:bookmarkStart w:id="339"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39"/>
    <w:bookmarkStart w:id="340"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40"/>
    <w:bookmarkStart w:id="342"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41">
        <w:r>
          <w:rPr>
            <w:rStyle w:val="Hyperlink"/>
          </w:rPr>
          <w:t xml:space="preserve">https://doi.org/10.1086/261725</w:t>
        </w:r>
      </w:hyperlink>
      <w:r>
        <w:t xml:space="preserve">.</w:t>
      </w:r>
    </w:p>
    <w:bookmarkEnd w:id="342"/>
    <w:bookmarkStart w:id="344" w:name="ref_Ross1992Cartel"/>
    <w:p>
      <w:pPr>
        <w:pStyle w:val="Bibliography"/>
      </w:pPr>
      <w:r>
        <w:t xml:space="preserve">Ross, Thomas W. (1992).</w:t>
      </w:r>
      <w:r>
        <w:t xml:space="preserve"> </w:t>
      </w:r>
      <w:r>
        <w:t xml:space="preserve">«Cartel Stability and Product Differentiation»</w:t>
      </w:r>
      <w:r>
        <w:t xml:space="preserve">.</w:t>
      </w:r>
      <w:r>
        <w:t xml:space="preserve"> </w:t>
      </w:r>
      <w:r>
        <w:rPr>
          <w:i/>
          <w:iCs/>
        </w:rPr>
        <w:t xml:space="preserve">International Journal of Industrial Organization</w:t>
      </w:r>
      <w:r>
        <w:t xml:space="preserve"> </w:t>
      </w:r>
      <w:r>
        <w:t xml:space="preserve">10 (1): 1-13.</w:t>
      </w:r>
      <w:r>
        <w:t xml:space="preserve"> </w:t>
      </w:r>
      <w:hyperlink r:id="rId343">
        <w:r>
          <w:rPr>
            <w:rStyle w:val="Hyperlink"/>
          </w:rPr>
          <w:t xml:space="preserve">https://doi.org/10.1016/0167-7187(92)90043-X</w:t>
        </w:r>
      </w:hyperlink>
      <w:r>
        <w:t xml:space="preserve">.</w:t>
      </w:r>
    </w:p>
    <w:bookmarkEnd w:id="344"/>
    <w:bookmarkStart w:id="346"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45">
        <w:r>
          <w:rPr>
            <w:rStyle w:val="Hyperlink"/>
          </w:rPr>
          <w:t xml:space="preserve">https://doi.org/10.2307/3003323</w:t>
        </w:r>
      </w:hyperlink>
      <w:r>
        <w:t xml:space="preserve">.</w:t>
      </w:r>
    </w:p>
    <w:bookmarkEnd w:id="346"/>
    <w:bookmarkStart w:id="348"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47">
        <w:r>
          <w:rPr>
            <w:rStyle w:val="Hyperlink"/>
          </w:rPr>
          <w:t xml:space="preserve">https://hdl.handle.net/1721.1/1935</w:t>
        </w:r>
      </w:hyperlink>
      <w:r>
        <w:t xml:space="preserve">.</w:t>
      </w:r>
    </w:p>
    <w:bookmarkEnd w:id="348"/>
    <w:bookmarkStart w:id="350"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49">
        <w:r>
          <w:rPr>
            <w:rStyle w:val="Hyperlink"/>
          </w:rPr>
          <w:t xml:space="preserve">https://doi.org/10.2307/3003584</w:t>
        </w:r>
      </w:hyperlink>
      <w:r>
        <w:t xml:space="preserve">.</w:t>
      </w:r>
    </w:p>
    <w:bookmarkEnd w:id="350"/>
    <w:bookmarkStart w:id="352"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51">
        <w:r>
          <w:rPr>
            <w:rStyle w:val="Hyperlink"/>
          </w:rPr>
          <w:t xml:space="preserve">https://doi.org/10.1111/j.1756-2171.2006.tb00034.x</w:t>
        </w:r>
      </w:hyperlink>
      <w:r>
        <w:t xml:space="preserve">.</w:t>
      </w:r>
    </w:p>
    <w:bookmarkEnd w:id="352"/>
    <w:bookmarkStart w:id="354"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53">
        <w:r>
          <w:rPr>
            <w:rStyle w:val="Hyperlink"/>
          </w:rPr>
          <w:t xml:space="preserve">https://doi.org/10.2307/2297136</w:t>
        </w:r>
      </w:hyperlink>
      <w:r>
        <w:t xml:space="preserve">.</w:t>
      </w:r>
    </w:p>
    <w:bookmarkEnd w:id="354"/>
    <w:bookmarkStart w:id="356"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55">
        <w:r>
          <w:rPr>
            <w:rStyle w:val="Hyperlink"/>
          </w:rPr>
          <w:t xml:space="preserve">https://doi.org/10.2307/1912285</w:t>
        </w:r>
      </w:hyperlink>
      <w:r>
        <w:t xml:space="preserve">.</w:t>
      </w:r>
    </w:p>
    <w:bookmarkEnd w:id="356"/>
    <w:bookmarkStart w:id="358"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57">
        <w:r>
          <w:rPr>
            <w:rStyle w:val="Hyperlink"/>
          </w:rPr>
          <w:t xml:space="preserve">https://doi.org/10.2307/2555525</w:t>
        </w:r>
      </w:hyperlink>
      <w:r>
        <w:t xml:space="preserve">.</w:t>
      </w:r>
    </w:p>
    <w:bookmarkEnd w:id="358"/>
    <w:bookmarkStart w:id="360"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59">
        <w:r>
          <w:rPr>
            <w:rStyle w:val="Hyperlink"/>
          </w:rPr>
          <w:t xml:space="preserve">https://doi.org/10.2307/2297319</w:t>
        </w:r>
      </w:hyperlink>
      <w:r>
        <w:t xml:space="preserve">.</w:t>
      </w:r>
    </w:p>
    <w:bookmarkEnd w:id="360"/>
    <w:bookmarkStart w:id="362"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61">
        <w:r>
          <w:rPr>
            <w:rStyle w:val="Hyperlink"/>
          </w:rPr>
          <w:t xml:space="preserve">https://doi.org/10.2307/2959866</w:t>
        </w:r>
      </w:hyperlink>
      <w:r>
        <w:t xml:space="preserve">.</w:t>
      </w:r>
    </w:p>
    <w:bookmarkEnd w:id="362"/>
    <w:bookmarkStart w:id="363"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63"/>
    <w:bookmarkStart w:id="364"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64"/>
    <w:bookmarkStart w:id="366" w:name="ref_CocaCola2026Brands"/>
    <w:p>
      <w:pPr>
        <w:pStyle w:val="Bibliography"/>
      </w:pPr>
      <w:r>
        <w:t xml:space="preserve">The Coca-Cola Company (2026).</w:t>
      </w:r>
      <w:r>
        <w:t xml:space="preserve"> </w:t>
      </w:r>
      <w:r>
        <w:t xml:space="preserve">«Our Company»</w:t>
      </w:r>
      <w:r>
        <w:t xml:space="preserve">. 2026.</w:t>
      </w:r>
      <w:r>
        <w:t xml:space="preserve"> </w:t>
      </w:r>
      <w:hyperlink r:id="rId365">
        <w:r>
          <w:rPr>
            <w:rStyle w:val="Hyperlink"/>
          </w:rPr>
          <w:t xml:space="preserve">https://www.coca-colacompany.com/about-us</w:t>
        </w:r>
      </w:hyperlink>
      <w:r>
        <w:t xml:space="preserve">.</w:t>
      </w:r>
    </w:p>
    <w:bookmarkEnd w:id="366"/>
    <w:bookmarkStart w:id="367"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67"/>
    <w:bookmarkEnd w:id="368"/>
    <w:bookmarkEnd w:id="36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II.5</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5">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8">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1">
    <w:p>
      <w:pPr>
        <w:pStyle w:val="FootnoteText"/>
      </w:pPr>
      <w:r>
        <w:rPr>
          <w:rStyle w:val="FootnoteReference"/>
        </w:rPr>
        <w:footnoteRef/>
      </w:r>
      <w:r>
        <w:t xml:space="preserve"> </w:t>
      </w:r>
      <w:r>
        <w:t xml:space="preserve">Con el enfoque de direcciones se llega al mismo gráfico. En la ciudad lineal de</w:t>
      </w:r>
      <w:r>
        <w:t xml:space="preserve"> </w:t>
      </w:r>
      <w:r>
        <w:rPr>
          <w:smallCaps/>
        </w:rPr>
        <w:t xml:space="preserve">Hotelling</w:t>
      </w:r>
      <w:r>
        <w:t xml:space="preserve">, con las empresas en los extremos y un coste de transporte</w:t>
      </w:r>
      <w:r>
        <w:t xml:space="preserve"> </w:t>
      </w:r>
      <m:oMath>
        <m:r>
          <m:t>t</m:t>
        </m:r>
      </m:oMath>
      <w:r>
        <w:t xml:space="preserve"> </w:t>
      </w:r>
      <w:r>
        <w:t xml:space="preserve">(</w:t>
      </w:r>
      <w:hyperlink w:anchor="sec_hotelling_precios">
        <w:r>
          <w:rPr>
            <w:rStyle w:val="Hyperlink"/>
          </w:rPr>
          <w:t xml:space="preserve">II.3.2</w:t>
        </w:r>
      </w:hyperlink>
      <w:r>
        <w:t xml:space="preserve">), las funciones de reacción en precios son</w:t>
      </w:r>
      <w:r>
        <w:t xml:space="preserve"> </w:t>
      </w:r>
      <m:oMath>
        <m:sSub>
          <m:e>
            <m:r>
              <m:t>R</m:t>
            </m:r>
          </m:e>
          <m:sub>
            <m:r>
              <m:t>i</m:t>
            </m:r>
          </m:sub>
        </m:sSub>
        <m:d>
          <m:dPr>
            <m:begChr m:val="("/>
            <m:sepChr m:val=""/>
            <m:endChr m:val=")"/>
            <m:grow/>
          </m:dPr>
          <m:e>
            <m:sSub>
              <m:e>
                <m:r>
                  <m:t>p</m:t>
                </m:r>
              </m:e>
              <m:sub>
                <m:r>
                  <m:t>j</m:t>
                </m:r>
              </m:sub>
            </m:sSub>
          </m:e>
        </m:d>
        <m:r>
          <m:rPr>
            <m:sty m:val="p"/>
          </m:rPr>
          <m:t>=</m:t>
        </m:r>
        <m:d>
          <m:dPr>
            <m:begChr m:val="("/>
            <m:sepChr m:val=""/>
            <m:endChr m:val=")"/>
            <m:grow/>
          </m:dPr>
          <m:e>
            <m:sSub>
              <m:e>
                <m:r>
                  <m:t>p</m:t>
                </m:r>
              </m:e>
              <m:sub>
                <m:r>
                  <m:t>j</m:t>
                </m:r>
              </m:sub>
            </m:sSub>
            <m:r>
              <m:rPr>
                <m:sty m:val="p"/>
              </m:rPr>
              <m:t>+</m:t>
            </m:r>
            <m:r>
              <m:t>c</m:t>
            </m:r>
            <m:r>
              <m:rPr>
                <m:sty m:val="p"/>
              </m:rPr>
              <m:t>+</m:t>
            </m:r>
            <m:r>
              <m:t>t</m:t>
            </m:r>
          </m:e>
        </m:d>
        <m:r>
          <m:rPr>
            <m:sty m:val="p"/>
          </m:rPr>
          <m:t>/</m:t>
        </m:r>
        <m:r>
          <m:t>2</m:t>
        </m:r>
      </m:oMath>
      <w:r>
        <w:t xml:space="preserve">, crecientes, y el equilibrio es</w:t>
      </w:r>
      <w:r>
        <w:t xml:space="preserve"> </w:t>
      </w:r>
      <m:oMath>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oMath>
      <w:r>
        <w:t xml:space="preserve"> </w:t>
      </w:r>
      <w:r>
        <w:t xml:space="preserve">(gráfico </w:t>
      </w:r>
      <w:hyperlink w:anchor="fig_hotelling_reaccion">
        <w:r>
          <w:rPr>
            <w:rStyle w:val="Hyperlink"/>
          </w:rPr>
          <w:t xml:space="preserve">8</w:t>
        </w:r>
      </w:hyperlink>
      <w:r>
        <w:t xml:space="preserve">): el margen sobre el coste marginal es</w:t>
      </w:r>
      <w:r>
        <w:t xml:space="preserve"> </w:t>
      </w:r>
      <m:oMath>
        <m:r>
          <m:t>t</m:t>
        </m:r>
      </m:oMath>
      <w:r>
        <w:t xml:space="preserve">, y desaparece si</w:t>
      </w:r>
      <w:r>
        <w:t xml:space="preserve"> </w:t>
      </w:r>
      <m:oMath>
        <m:r>
          <m:t>t</m:t>
        </m:r>
        <m:r>
          <m:rPr>
            <m:sty m:val="p"/>
          </m:rPr>
          <m:t>→</m:t>
        </m:r>
        <m:r>
          <m:t>0</m:t>
        </m:r>
      </m:oMath>
      <w:r>
        <w:t xml:space="preserve">, con lo que vuelve la paradoja de</w:t>
      </w:r>
      <w:r>
        <w:t xml:space="preserve"> </w:t>
      </w:r>
      <w:r>
        <w:rPr>
          <w:smallCaps/>
        </w:rPr>
        <w:t xml:space="preserve">Bertrand</w:t>
      </w:r>
      <w:r>
        <w:t xml:space="preserve">.</w:t>
      </w:r>
    </w:p>
    <w:p>
      <w:pPr>
        <w:pStyle w:val="Graficonota"/>
      </w:pPr>
      <w:r>
        <w:drawing>
          <wp:inline>
            <wp:extent cx="2686050" cy="2554439"/>
            <wp:effectExtent b="0" l="0" r="0" t="0"/>
            <wp:docPr descr="" title="" id="103" name="Picture"/>
            <a:graphic>
              <a:graphicData uri="http://schemas.openxmlformats.org/drawingml/2006/picture">
                <pic:pic>
                  <pic:nvPicPr>
                    <pic:cNvPr descr="C:\Users\vgutierrez\Documents\src\victorgutierrezmarcos.github.io-revision\oposicion\temario\fuentes\3A18\graficos/hotelling-reaccion.png" id="104" name="Picture"/>
                    <pic:cNvPicPr>
                      <a:picLocks noChangeArrowheads="1" noChangeAspect="1"/>
                    </pic:cNvPicPr>
                  </pic:nvPicPr>
                  <pic:blipFill>
                    <a:blip r:embed="rId102"/>
                    <a:stretch>
                      <a:fillRect/>
                    </a:stretch>
                  </pic:blipFill>
                  <pic:spPr bwMode="auto">
                    <a:xfrm>
                      <a:off x="0" y="0"/>
                      <a:ext cx="2686050" cy="2554439"/>
                    </a:xfrm>
                    <a:prstGeom prst="rect">
                      <a:avLst/>
                    </a:prstGeom>
                    <a:noFill/>
                    <a:ln w="9525">
                      <a:noFill/>
                      <a:headEnd/>
                      <a:tailEnd/>
                    </a:ln>
                  </pic:spPr>
                </pic:pic>
              </a:graphicData>
            </a:graphic>
          </wp:inline>
        </w:drawing>
      </w:r>
    </w:p>
  </w:footnote>
  <w:footnote w:id="110">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24">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9">
    <w:p>
      <w:pPr>
        <w:pStyle w:val="FootnoteText"/>
      </w:pPr>
      <w:r>
        <w:rPr>
          <w:rStyle w:val="FootnoteReference"/>
        </w:rPr>
        <w:footnoteRef/>
      </w:r>
      <w:r>
        <w:t xml:space="preserve"> </w:t>
      </w:r>
      <w:r>
        <w:t xml:space="preserve">Se suele contar con el ejemplo de 2 puestos de helados que deciden dónde ponerse en una playa.</w:t>
      </w:r>
    </w:p>
  </w:footnote>
  <w:footnote w:id="130">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31">
        <w:r>
          <w:rPr>
            <w:rStyle w:val="Referenciaatema"/>
          </w:rPr>
          <w:t xml:space="preserve">[ver tema 4.B.2]</w:t>
        </w:r>
      </w:hyperlink>
      <w:r>
        <w:t xml:space="preserve">.</w:t>
      </w:r>
    </w:p>
  </w:footnote>
  <w:footnote w:id="133">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 y pueden estar en el interior del segmento.</w:t>
      </w:r>
    </w:p>
  </w:footnote>
  <w:footnote w:id="149">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55">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 su mercado cautivo, los que viven más allá de ella, y deja de haber consumidor indiferente;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Con costes cuadráticos, la demanda es continua. El razonamiento, con su gráfico, está en el anexo </w:t>
      </w:r>
      <w:hyperlink w:anchor="anexo_hotelling">
        <w:r>
          <w:rPr>
            <w:rStyle w:val="Hyperlink"/>
          </w:rPr>
          <w:t xml:space="preserve">D</w:t>
        </w:r>
      </w:hyperlink>
      <w:r>
        <w:t xml:space="preserve"> </w:t>
      </w:r>
      <w:r>
        <w:t xml:space="preserve">(gráfico </w:t>
      </w:r>
      <w:hyperlink w:anchor="fig_hotelling_discontinuidad">
        <w:r>
          <w:rPr>
            <w:rStyle w:val="Hyperlink"/>
          </w:rPr>
          <w:t xml:space="preserve">13</w:t>
        </w:r>
      </w:hyperlink>
      <w:r>
        <w:t xml:space="preserve">).</w:t>
      </w:r>
    </w:p>
  </w:footnote>
  <w:footnote w:id="162">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65">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70">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71">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79">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86">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89">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202">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14">
    <w:p>
      <w:pPr>
        <w:pStyle w:val="FootnoteText"/>
      </w:pPr>
      <w:r>
        <w:rPr>
          <w:rStyle w:val="FootnoteReference"/>
        </w:rPr>
        <w:footnoteRef/>
      </w:r>
      <w:r>
        <w:t xml:space="preserve"> </w:t>
      </w:r>
      <w:r>
        <w:t xml:space="preserve">La secuencia exacta (cuánto se pasa la entrada y cuánto se corrige con la salida) depende de los supuestos sobre la velocidad de cada ajuste; lo que importa es adónde lleva el proceso.</w:t>
      </w:r>
    </w:p>
  </w:footnote>
  <w:footnote w:id="239">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40">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215" Target="media/rId215.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157" Target="media/rId157.png" /><Relationship Type="http://schemas.openxmlformats.org/officeDocument/2006/relationships/image" Id="rId102" Target="media/rId10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19" Target="media/rId119.png" /><Relationship Type="http://schemas.openxmlformats.org/officeDocument/2006/relationships/image" Id="rId234" Target="media/rId234.png" /><Relationship Type="http://schemas.openxmlformats.org/officeDocument/2006/relationships/image" Id="rId105" Target="media/rId105.png" /><Relationship Type="http://schemas.openxmlformats.org/officeDocument/2006/relationships/image" Id="rId174" Target="media/rId174.png" /><Relationship Type="http://schemas.openxmlformats.org/officeDocument/2006/relationships/image" Id="rId190" Target="media/rId190.png" /><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91" Target="http://www.foltyn.net/wp-content/uploads/2009/12/dixitstiglitz.pdf" TargetMode="External" /><Relationship Type="http://schemas.openxmlformats.org/officeDocument/2006/relationships/hyperlink" Id="rId296" Target="https://doi.org/10.1007/978-3-642-37314-5" TargetMode="External" /><Relationship Type="http://schemas.openxmlformats.org/officeDocument/2006/relationships/hyperlink" Id="rId327" Target="https://doi.org/10.1016/0022-0531(78)90085-6" TargetMode="External" /><Relationship Type="http://schemas.openxmlformats.org/officeDocument/2006/relationships/hyperlink" Id="rId293" Target="https://doi.org/10.1016/0022-0531(79)90041-3" TargetMode="External" /><Relationship Type="http://schemas.openxmlformats.org/officeDocument/2006/relationships/hyperlink" Id="rId282" Target="https://doi.org/10.1016/0022-0531(89)90108-7" TargetMode="External" /><Relationship Type="http://schemas.openxmlformats.org/officeDocument/2006/relationships/hyperlink" Id="rId311" Target="https://doi.org/10.1016/0022-1996(79)90017-5" TargetMode="External" /><Relationship Type="http://schemas.openxmlformats.org/officeDocument/2006/relationships/hyperlink" Id="rId289" Target="https://doi.org/10.1016/0022-1996(81)90031-3" TargetMode="External" /><Relationship Type="http://schemas.openxmlformats.org/officeDocument/2006/relationships/hyperlink" Id="rId343" Target="https://doi.org/10.1016/0167-7187(92)90043-X" TargetMode="External" /><Relationship Type="http://schemas.openxmlformats.org/officeDocument/2006/relationships/hyperlink" Id="rId269" Target="https://doi.org/10.1016/0304-3932(83)90060-0" TargetMode="External" /><Relationship Type="http://schemas.openxmlformats.org/officeDocument/2006/relationships/hyperlink" Id="rId253" Target="https://doi.org/10.1016/S1573-448X(06)03028-7" TargetMode="External" /><Relationship Type="http://schemas.openxmlformats.org/officeDocument/2006/relationships/hyperlink" Id="rId329" Target="https://doi.org/10.1017/CBO9780511492273.009" TargetMode="External" /><Relationship Type="http://schemas.openxmlformats.org/officeDocument/2006/relationships/hyperlink" Id="rId317" Target="https://doi.org/10.1086/259131" TargetMode="External" /><Relationship Type="http://schemas.openxmlformats.org/officeDocument/2006/relationships/hyperlink" Id="rId331" Target="https://doi.org/10.1086/259630" TargetMode="External" /><Relationship Type="http://schemas.openxmlformats.org/officeDocument/2006/relationships/hyperlink" Id="rId333" Target="https://doi.org/10.1086/260231" TargetMode="External" /><Relationship Type="http://schemas.openxmlformats.org/officeDocument/2006/relationships/hyperlink" Id="rId266" Target="https://doi.org/10.1086/261312" TargetMode="External" /><Relationship Type="http://schemas.openxmlformats.org/officeDocument/2006/relationships/hyperlink" Id="rId325" Target="https://doi.org/10.1086/261408" TargetMode="External" /><Relationship Type="http://schemas.openxmlformats.org/officeDocument/2006/relationships/hyperlink" Id="rId341" Target="https://doi.org/10.1086/261725" TargetMode="External" /><Relationship Type="http://schemas.openxmlformats.org/officeDocument/2006/relationships/hyperlink" Id="rId314" Target="https://doi.org/10.1086/261763" TargetMode="External" /><Relationship Type="http://schemas.openxmlformats.org/officeDocument/2006/relationships/hyperlink" Id="rId274" Target="https://doi.org/10.1086/466756" TargetMode="External" /><Relationship Type="http://schemas.openxmlformats.org/officeDocument/2006/relationships/hyperlink" Id="rId276" Target="https://doi.org/10.1093/qje/qjz041" TargetMode="External" /><Relationship Type="http://schemas.openxmlformats.org/officeDocument/2006/relationships/hyperlink" Id="rId335" Target="https://doi.org/10.1111/1468-0262.00194" TargetMode="External" /><Relationship Type="http://schemas.openxmlformats.org/officeDocument/2006/relationships/hyperlink" Id="rId323" Target="https://doi.org/10.1111/1468-0262.00467" TargetMode="External" /><Relationship Type="http://schemas.openxmlformats.org/officeDocument/2006/relationships/hyperlink" Id="rId298" Target="https://doi.org/10.1111/j.1430-9134.1992.00277.x" TargetMode="External" /><Relationship Type="http://schemas.openxmlformats.org/officeDocument/2006/relationships/hyperlink" Id="rId351" Target="https://doi.org/10.1111/j.1756-2171.2006.tb00034.x" TargetMode="External" /><Relationship Type="http://schemas.openxmlformats.org/officeDocument/2006/relationships/hyperlink" Id="rId264" Target="https://doi.org/10.1162/qjec.2006.121.2.541" TargetMode="External" /><Relationship Type="http://schemas.openxmlformats.org/officeDocument/2006/relationships/hyperlink" Id="rId251" Target="https://doi.org/10.1257/aer.101.1.1" TargetMode="External" /><Relationship Type="http://schemas.openxmlformats.org/officeDocument/2006/relationships/hyperlink" Id="rId272" Target="https://doi.org/10.2307/1911955" TargetMode="External" /><Relationship Type="http://schemas.openxmlformats.org/officeDocument/2006/relationships/hyperlink" Id="rId355" Target="https://doi.org/10.2307/1912285" TargetMode="External" /><Relationship Type="http://schemas.openxmlformats.org/officeDocument/2006/relationships/hyperlink" Id="rId255" Target="https://doi.org/10.2307/2118455" TargetMode="External" /><Relationship Type="http://schemas.openxmlformats.org/officeDocument/2006/relationships/hyperlink" Id="rId258" Target="https://doi.org/10.2307/2171802" TargetMode="External" /><Relationship Type="http://schemas.openxmlformats.org/officeDocument/2006/relationships/hyperlink" Id="rId300" Target="https://doi.org/10.2307/2224214" TargetMode="External" /><Relationship Type="http://schemas.openxmlformats.org/officeDocument/2006/relationships/hyperlink" Id="rId353" Target="https://doi.org/10.2307/2297136" TargetMode="External" /><Relationship Type="http://schemas.openxmlformats.org/officeDocument/2006/relationships/hyperlink" Id="rId359" Target="https://doi.org/10.2307/2297319" TargetMode="External" /><Relationship Type="http://schemas.openxmlformats.org/officeDocument/2006/relationships/hyperlink" Id="rId308" Target="https://doi.org/10.2307/2549105" TargetMode="External" /><Relationship Type="http://schemas.openxmlformats.org/officeDocument/2006/relationships/hyperlink" Id="rId306" Target="https://doi.org/10.2307/2555407" TargetMode="External" /><Relationship Type="http://schemas.openxmlformats.org/officeDocument/2006/relationships/hyperlink" Id="rId357" Target="https://doi.org/10.2307/2555525" TargetMode="External" /><Relationship Type="http://schemas.openxmlformats.org/officeDocument/2006/relationships/hyperlink" Id="rId319" Target="https://doi.org/10.2307/2555627" TargetMode="External" /><Relationship Type="http://schemas.openxmlformats.org/officeDocument/2006/relationships/hyperlink" Id="rId361" Target="https://doi.org/10.2307/2959866" TargetMode="External" /><Relationship Type="http://schemas.openxmlformats.org/officeDocument/2006/relationships/hyperlink" Id="rId345" Target="https://doi.org/10.2307/3003323" TargetMode="External" /><Relationship Type="http://schemas.openxmlformats.org/officeDocument/2006/relationships/hyperlink" Id="rId349" Target="https://doi.org/10.2307/3003584" TargetMode="External" /><Relationship Type="http://schemas.openxmlformats.org/officeDocument/2006/relationships/hyperlink" Id="rId248" Target="https://doi.org/10.7551/mitpress/2450.001.0001" TargetMode="External" /><Relationship Type="http://schemas.openxmlformats.org/officeDocument/2006/relationships/hyperlink" Id="rId285" Target="https://ec.europa.eu/eurostat/databrowser/view/ds-045409/default/table" TargetMode="External" /><Relationship Type="http://schemas.openxmlformats.org/officeDocument/2006/relationships/hyperlink" Id="rId287" Target="https://ec.europa.eu/eurostat/databrowser/view/nama_10_gdp/default/table" TargetMode="External" /><Relationship Type="http://schemas.openxmlformats.org/officeDocument/2006/relationships/hyperlink" Id="rId347" Target="https://hdl.handle.net/1721.1/1935" TargetMode="External" /><Relationship Type="http://schemas.openxmlformats.org/officeDocument/2006/relationships/hyperlink" Id="rId304" Target="https://idei.fr/doc/wp/2003/tacit_collusion.pdf" TargetMode="External" /><Relationship Type="http://schemas.openxmlformats.org/officeDocument/2006/relationships/hyperlink" Id="rId302" Target="https://media.timtul.com/media/lafede/Resumen%20Estudio%20de%20Inversiones%202026_20260211151142.pdf" TargetMode="External" /><Relationship Type="http://schemas.openxmlformats.org/officeDocument/2006/relationships/hyperlink" Id="rId261" Target="https://www.boe.es/diario_boe/txt.php?id=BOE-A-2025-587" TargetMode="External" /><Relationship Type="http://schemas.openxmlformats.org/officeDocument/2006/relationships/hyperlink" Id="rId365" Target="https://www.coca-colacompany.com/about-us"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37" Target="https://www.oepm.es/export/sites/portal/comun/documentos_relacionados/PDF/Estadisticas-OEPM-2025.pdf" TargetMode="External" /><Relationship Type="http://schemas.openxmlformats.org/officeDocument/2006/relationships/hyperlink" Id="rId131" Target="https://www.victorgutierrezmarcos.es/oposicion/temario/cuarto-ejercicio/4B02.pdf" TargetMode="External" /><Relationship Type="http://schemas.openxmlformats.org/officeDocument/2006/relationships/hyperlink" Id="rId245" Target="https://www.victorgutierrezmarcos.es/oposicion/temario/primer-ejercicio/test/simulador.html"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5" Target="https://www.victorgutierrezmarcos.es/oposicion/temario/tercer-ejercicio/3A15.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Type="http://schemas.openxmlformats.org/officeDocument/2006/relationships/image" Id="rId102" Target="media/rId10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2026-10-20T22:16:28Z</dcterms:created>
  <dcterms:modified xsi:type="dcterms:W3CDTF">2026-10-20T22:16:28Z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10 · Bibliografía: 4</vt:lpwstr>
  </property>
  <property fmtid="{D5CDD505-2E9C-101B-9397-08002B2CF9AE}" pid="19" name="palabras-clave">
    <vt:lpwstr>diferenciación de productos, competencia monopolística, Chamberlin, exceso de capacidad, Dixit-Stiglitz, preferencia por la variedad, función CES, índice de Lerner, Bertrand y Cournot con producto diferenciado, ciudad lineal de Hotelling, oligopolio con productos diferenciados, diferenciación máxima, ciudad circular de Salop, Lancaster, diferenciación vertical, Shaked-Sutton, regla de Dorfman-Steiner, proliferación de marcas, microeconomía</vt:lpwstr>
  </property>
  <property fmtid="{D5CDD505-2E9C-101B-9397-08002B2CF9AE}" pid="20" name="reference-section-title">
    <vt:lpwstr>Bibliografía</vt:lpwstr>
  </property>
  <property fmtid="{D5CDD505-2E9C-101B-9397-08002B2CF9AE}" pid="21" name="resumen">
    <vt:lpwstr>Chamberlin, Dixit-Stiglitz y preferencia por la variedad; oligopolio diferenciado: Bertrand, Cournot, Hotelling, Salop, calidad (Shaked-Sutton) y publicidad.</vt:lpwstr>
  </property>
  <property fmtid="{D5CDD505-2E9C-101B-9397-08002B2CF9AE}" pid="22" name="titulo">
    <vt:lpwstr>Análisis de mercados (III). Diferenciación de productos: la teoría de la competencia monopolística y otros desarrollos.</vt:lpwstr>
  </property>
  <property fmtid="{D5CDD505-2E9C-101B-9397-08002B2CF9AE}" pid="23" name="titulo-cita">
    <vt:lpwstr>Análisis de mercados (III). Diferenciación de productos: la teoría de la competencia monopolística y otros desarrollos</vt:lpwstr>
  </property>
  <property fmtid="{D5CDD505-2E9C-101B-9397-08002B2CF9AE}" pid="24" name="titulo-seo">
    <vt:lpwstr>Competencia monopolística y diferenciación</vt:lpwstr>
  </property>
</Properties>
</file>