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3.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385391"/>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385391"/>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925666"/>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925666"/>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a partir de</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700444" cy="1877731"/>
                    </a:xfrm>
                    <a:prstGeom prst="rect">
                      <a:avLst/>
                    </a:prstGeom>
                    <a:noFill/>
                    <a:ln w="9525">
                      <a:noFill/>
                      <a:headEnd/>
                      <a:tailEnd/>
                    </a:ln>
                  </pic:spPr>
                </pic:pic>
              </a:graphicData>
            </a:graphic>
          </wp:inline>
        </w:drawing>
      </w:r>
    </w:p>
    <w:bookmarkEnd w:id="97"/>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r>
          <m:t>p</m:t>
        </m:r>
      </m:oMath>
      <w:r>
        <w:t xml:space="preserve"> </w:t>
      </w:r>
      <w:r>
        <w:t xml:space="preserve">a</w:t>
      </w:r>
      <w:r>
        <w:t xml:space="preserve"> </w:t>
      </w:r>
      <m:oMath>
        <m:r>
          <m:t>p</m:t>
        </m:r>
        <m:r>
          <m:rPr>
            <m:sty m:val="p"/>
          </m:rPr>
          <m:t>′</m:t>
        </m:r>
      </m:oMath>
      <w:r>
        <w:t xml:space="preserve"> </w:t>
      </w:r>
      <w:r>
        <w:t xml:space="preserve">y se compensa la renta para que el consumidor pueda seguir comprando la cesta inicial,</w:t>
      </w:r>
      <w:r>
        <w:t xml:space="preserve"> </w:t>
      </w:r>
      <m:oMath>
        <m:bar>
          <m:barPr>
            <m:pos m:val="top"/>
          </m:barPr>
          <m:e>
            <m:r>
              <m:t>W</m:t>
            </m:r>
          </m:e>
        </m:bar>
        <m:r>
          <m:rPr>
            <m:sty m:val="p"/>
          </m:rPr>
          <m:t>′</m:t>
        </m:r>
        <m:r>
          <m:rPr>
            <m:sty m:val="p"/>
          </m:rPr>
          <m:t>=</m:t>
        </m:r>
        <m:r>
          <m:t>p</m:t>
        </m:r>
        <m:r>
          <m:rPr>
            <m:sty m:val="p"/>
          </m:rPr>
          <m:t>′</m:t>
        </m:r>
        <m:r>
          <m:rPr>
            <m:sty m:val="p"/>
          </m:rPr>
          <m:t>⋅</m:t>
        </m:r>
        <m:r>
          <m:t>x</m:t>
        </m:r>
        <m:d>
          <m:dPr>
            <m:begChr m:val="("/>
            <m:sepChr m:val=""/>
            <m:endChr m:val=")"/>
            <m:grow/>
          </m:dPr>
          <m:e>
            <m:r>
              <m:t>p</m:t>
            </m:r>
            <m:r>
              <m:rPr>
                <m:sty m:val="p"/>
              </m:rPr>
              <m:t>,</m:t>
            </m:r>
            <m:bar>
              <m:barPr>
                <m:pos m:val="top"/>
              </m:barPr>
              <m:e>
                <m:r>
                  <m:t>W</m:t>
                </m:r>
              </m:e>
            </m:bar>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d>
                <m:dPr>
                  <m:begChr m:val="("/>
                  <m:sepChr m:val=""/>
                  <m:endChr m:val=")"/>
                  <m:grow/>
                </m:dPr>
                <m:e>
                  <m:r>
                    <m:t>p</m:t>
                  </m:r>
                  <m:r>
                    <m:rPr>
                      <m:sty m:val="p"/>
                    </m:rPr>
                    <m:t>′</m:t>
                  </m:r>
                  <m:r>
                    <m:rPr>
                      <m:sty m:val="p"/>
                    </m:rPr>
                    <m:t>,</m:t>
                  </m:r>
                  <m:bar>
                    <m:barPr>
                      <m:pos m:val="top"/>
                    </m:barPr>
                    <m:e>
                      <m:r>
                        <m:t>W</m:t>
                      </m:r>
                    </m:e>
                  </m:bar>
                  <m:r>
                    <m:rPr>
                      <m:sty m:val="p"/>
                    </m:rPr>
                    <m:t>′</m:t>
                  </m:r>
                </m:e>
              </m:d>
              <m:r>
                <m:rPr>
                  <m:sty m:val="p"/>
                </m:rPr>
                <m:t>−</m:t>
              </m:r>
              <m:r>
                <m:t>x</m:t>
              </m:r>
              <m:d>
                <m:dPr>
                  <m:begChr m:val="("/>
                  <m:sepChr m:val=""/>
                  <m:endChr m:val=")"/>
                  <m:grow/>
                </m:dPr>
                <m:e>
                  <m:r>
                    <m:t>p</m:t>
                  </m:r>
                  <m:r>
                    <m:rPr>
                      <m:sty m:val="p"/>
                    </m:rPr>
                    <m:t>,</m:t>
                  </m:r>
                  <m:bar>
                    <m:barPr>
                      <m:pos m:val="top"/>
                    </m:barPr>
                    <m:e>
                      <m:r>
                        <m:t>W</m:t>
                      </m:r>
                    </m:e>
                  </m:bar>
                </m:e>
              </m:d>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08342" cy="2455729"/>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122474" cy="2828829"/>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122474" cy="2828829"/>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r>
          <m:t>x</m:t>
        </m:r>
        <m:r>
          <m:rPr>
            <m:sty m:val="p"/>
          </m:rPr>
          <m:t>=</m:t>
        </m:r>
        <m:r>
          <m:t>x</m:t>
        </m:r>
        <m:d>
          <m:dPr>
            <m:begChr m:val="("/>
            <m:sepChr m:val=""/>
            <m:endChr m:val=")"/>
            <m:grow/>
          </m:dPr>
          <m:e>
            <m:r>
              <m:t>p</m:t>
            </m:r>
            <m:r>
              <m:rPr>
                <m:sty m:val="p"/>
              </m:rPr>
              <m:t>,</m:t>
            </m:r>
            <m:bar>
              <m:barPr>
                <m:pos m:val="top"/>
              </m:barPr>
              <m:e>
                <m:r>
                  <m:t>W</m:t>
                </m:r>
              </m:e>
            </m:bar>
          </m:e>
        </m:d>
      </m:oMath>
      <w:r>
        <w:t xml:space="preserve"> </w:t>
      </w:r>
      <w:r>
        <w:t xml:space="preserve">y, tras el cambio de precios con compensación de</w:t>
      </w:r>
      <w:r>
        <w:t xml:space="preserve"> </w:t>
      </w:r>
      <w:r>
        <w:rPr>
          <w:smallCaps/>
        </w:rPr>
        <w:t xml:space="preserve">Slutsky</w:t>
      </w:r>
      <w:r>
        <w:t xml:space="preserve">,</w:t>
      </w:r>
      <w:r>
        <w:t xml:space="preserve"> </w:t>
      </w:r>
      <m:oMath>
        <m:bar>
          <m:barPr>
            <m:pos m:val="top"/>
          </m:barPr>
          <m:e>
            <m:r>
              <m:t>W</m:t>
            </m:r>
          </m:e>
        </m:bar>
        <m:r>
          <m:rPr>
            <m:sty m:val="p"/>
          </m:rPr>
          <m:t>′</m:t>
        </m:r>
        <m:r>
          <m:rPr>
            <m:sty m:val="p"/>
          </m:rPr>
          <m:t>=</m:t>
        </m:r>
        <m:r>
          <m:t>p</m:t>
        </m:r>
        <m:r>
          <m:rPr>
            <m:sty m:val="p"/>
          </m:rPr>
          <m:t>′</m:t>
        </m:r>
        <m:r>
          <m:rPr>
            <m:sty m:val="p"/>
          </m:rPr>
          <m:t>⋅</m:t>
        </m:r>
        <m:r>
          <m:t>x</m:t>
        </m:r>
      </m:oMath>
      <w:r>
        <w:t xml:space="preserve"> </w:t>
      </w:r>
      <w:r>
        <w:t xml:space="preserve">y</w:t>
      </w:r>
      <w:r>
        <w:t xml:space="preserve"> </w:t>
      </w:r>
      <m:oMath>
        <m:r>
          <m:t>x</m:t>
        </m:r>
        <m:r>
          <m:rPr>
            <m:sty m:val="p"/>
          </m:rPr>
          <m:t>′</m:t>
        </m:r>
        <m:r>
          <m:rPr>
            <m:sty m:val="p"/>
          </m:rPr>
          <m:t>=</m:t>
        </m:r>
        <m:r>
          <m:t>x</m:t>
        </m:r>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m:t>
          </m:r>
          <m:r>
            <m:t>p</m:t>
          </m:r>
          <m:r>
            <m:rPr>
              <m:sty m:val="p"/>
            </m:rPr>
            <m:t>′</m:t>
          </m:r>
          <m:r>
            <m:rPr>
              <m:sty m:val="p"/>
            </m:rPr>
            <m:t>⋅</m:t>
          </m:r>
          <m:d>
            <m:dPr>
              <m:begChr m:val="("/>
              <m:sepChr m:val=""/>
              <m:endChr m:val=")"/>
              <m:grow/>
            </m:dPr>
            <m:e>
              <m:r>
                <m:t>x</m:t>
              </m:r>
              <m:r>
                <m:rPr>
                  <m:sty m:val="p"/>
                </m:rPr>
                <m:t>′</m:t>
              </m:r>
              <m:r>
                <m:rPr>
                  <m:sty m:val="p"/>
                </m:rPr>
                <m:t>−</m:t>
              </m:r>
              <m:r>
                <m:t>x</m:t>
              </m:r>
            </m:e>
          </m:d>
          <m:r>
            <m:rPr>
              <m:sty m:val="p"/>
            </m:rPr>
            <m:t>−</m:t>
          </m:r>
          <m:r>
            <m:t>p</m:t>
          </m:r>
          <m:r>
            <m:rPr>
              <m:sty m:val="p"/>
            </m:rPr>
            <m:t>⋅</m:t>
          </m:r>
          <m:d>
            <m:dPr>
              <m:begChr m:val="("/>
              <m:sepChr m:val=""/>
              <m:endChr m:val=")"/>
              <m:grow/>
            </m:dPr>
            <m:e>
              <m:r>
                <m:t>x</m:t>
              </m:r>
              <m:r>
                <m:rPr>
                  <m:sty m:val="p"/>
                </m:rPr>
                <m:t>′</m:t>
              </m:r>
              <m:r>
                <m:rPr>
                  <m:sty m:val="p"/>
                </m:rPr>
                <m:t>−</m:t>
              </m:r>
              <m:r>
                <m:t>x</m:t>
              </m:r>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r>
          <m:t>p</m:t>
        </m:r>
        <m:r>
          <m:rPr>
            <m:sty m:val="p"/>
          </m:rPr>
          <m:t>′</m:t>
        </m:r>
        <m:r>
          <m:rPr>
            <m:sty m:val="p"/>
          </m:rPr>
          <m:t>⋅</m:t>
        </m:r>
        <m:r>
          <m:t>x</m:t>
        </m:r>
        <m:r>
          <m:rPr>
            <m:sty m:val="p"/>
          </m:rPr>
          <m:t>′</m:t>
        </m:r>
        <m:r>
          <m:rPr>
            <m:sty m:val="p"/>
          </m:rPr>
          <m:t>=</m:t>
        </m:r>
        <m:bar>
          <m:barPr>
            <m:pos m:val="top"/>
          </m:barPr>
          <m:e>
            <m:r>
              <m:t>W</m:t>
            </m:r>
          </m:e>
        </m:bar>
        <m:r>
          <m:rPr>
            <m:sty m:val="p"/>
          </m:rPr>
          <m:t>′</m:t>
        </m:r>
        <m:r>
          <m:rPr>
            <m:sty m:val="p"/>
          </m:rPr>
          <m:t>=</m:t>
        </m:r>
        <m:r>
          <m:t>p</m:t>
        </m:r>
        <m:r>
          <m:rPr>
            <m:sty m:val="p"/>
          </m:rPr>
          <m:t>′</m:t>
        </m:r>
        <m:r>
          <m:rPr>
            <m:sty m:val="p"/>
          </m:rPr>
          <m:t>⋅</m:t>
        </m:r>
        <m:r>
          <m:t>x</m:t>
        </m:r>
      </m:oMath>
      <w:r>
        <w:t xml:space="preserve">.</w:t>
      </w:r>
    </w:p>
    <w:p>
      <w:pPr>
        <w:numPr>
          <w:ilvl w:val="0"/>
          <w:numId w:val="1131"/>
        </w:numPr>
      </w:pPr>
      <w:r>
        <w:t xml:space="preserve">Si</w:t>
      </w:r>
      <w:r>
        <w:t xml:space="preserve"> </w:t>
      </w:r>
      <m:oMath>
        <m:r>
          <m:t>x</m:t>
        </m:r>
        <m:r>
          <m:rPr>
            <m:sty m:val="p"/>
          </m:rPr>
          <m:t>′</m:t>
        </m:r>
        <m:r>
          <m:rPr>
            <m:sty m:val="p"/>
          </m:rPr>
          <m:t>=</m:t>
        </m:r>
        <m:r>
          <m:t>x</m:t>
        </m:r>
      </m:oMath>
      <w:r>
        <w:t xml:space="preserve">, todo es cero. Si</w:t>
      </w:r>
      <w:r>
        <w:t xml:space="preserve"> </w:t>
      </w:r>
      <m:oMath>
        <m:r>
          <m:t>x</m:t>
        </m:r>
        <m:r>
          <m:rPr>
            <m:sty m:val="p"/>
          </m:rPr>
          <m:t>′</m:t>
        </m:r>
        <m:r>
          <m:rPr>
            <m:sty m:val="p"/>
          </m:rPr>
          <m:t>≠</m:t>
        </m:r>
        <m:r>
          <m:t>x</m:t>
        </m:r>
      </m:oMath>
      <w:r>
        <w:t xml:space="preserve">, la cesta</w:t>
      </w:r>
      <w:r>
        <w:t xml:space="preserve"> </w:t>
      </w:r>
      <m:oMath>
        <m:r>
          <m:t>x</m:t>
        </m:r>
      </m:oMath>
      <w:r>
        <w:t xml:space="preserve"> </w:t>
      </w:r>
      <w:r>
        <w:t xml:space="preserve">era asequible en</w:t>
      </w:r>
      <w:r>
        <w:t xml:space="preserve"> </w:t>
      </w:r>
      <m:oMath>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y se eligió</w:t>
      </w:r>
      <w:r>
        <w:t xml:space="preserve"> </w:t>
      </w:r>
      <m:oMath>
        <m:r>
          <m:t>x</m:t>
        </m:r>
        <m:r>
          <m:rPr>
            <m:sty m:val="p"/>
          </m:rPr>
          <m:t>′</m:t>
        </m:r>
      </m:oMath>
      <w:r>
        <w:t xml:space="preserve">:</w:t>
      </w:r>
      <w:r>
        <w:t xml:space="preserve"> </w:t>
      </w:r>
      <m:oMath>
        <m:r>
          <m:t>x</m:t>
        </m:r>
        <m:r>
          <m:rPr>
            <m:sty m:val="p"/>
          </m:rPr>
          <m:t>′</m:t>
        </m:r>
      </m:oMath>
      <w:r>
        <w:t xml:space="preserve"> </w:t>
      </w:r>
      <w:r>
        <w:t xml:space="preserve">se revela preferida a</w:t>
      </w:r>
      <w:r>
        <w:t xml:space="preserve"> </w:t>
      </w:r>
      <m:oMath>
        <m:r>
          <m:t>x</m:t>
        </m:r>
      </m:oMath>
      <w:r>
        <w:t xml:space="preserve">. Por el ADPR,</w:t>
      </w:r>
      <w:r>
        <w:t xml:space="preserve"> </w:t>
      </w:r>
      <m:oMath>
        <m:r>
          <m:t>x</m:t>
        </m:r>
        <m:r>
          <m:rPr>
            <m:sty m:val="p"/>
          </m:rPr>
          <m:t>′</m:t>
        </m:r>
      </m:oMath>
      <w:r>
        <w:t xml:space="preserve"> </w:t>
      </w:r>
      <w:r>
        <w:t xml:space="preserve">no puede ser asequible cuando se eligió</w:t>
      </w:r>
      <w:r>
        <w:t xml:space="preserve"> </w:t>
      </w:r>
      <m:oMath>
        <m:r>
          <m:t>x</m:t>
        </m:r>
      </m:oMath>
      <w:r>
        <w:t xml:space="preserve">:</w:t>
      </w:r>
      <w:r>
        <w:t xml:space="preserve"> </w:t>
      </w:r>
      <m:oMath>
        <m:r>
          <m:t>p</m:t>
        </m:r>
        <m:r>
          <m:rPr>
            <m:sty m:val="p"/>
          </m:rPr>
          <m:t>⋅</m:t>
        </m:r>
        <m:r>
          <m:t>x</m:t>
        </m:r>
        <m:r>
          <m:rPr>
            <m:sty m:val="p"/>
          </m:rPr>
          <m:t>′</m:t>
        </m:r>
        <m:r>
          <m:rPr>
            <m:sty m:val="p"/>
          </m:rPr>
          <m:t>&gt;</m:t>
        </m:r>
        <m:bar>
          <m:barPr>
            <m:pos m:val="top"/>
          </m:barPr>
          <m:e>
            <m:r>
              <m:t>W</m:t>
            </m:r>
          </m:e>
        </m:bar>
        <m:r>
          <m:rPr>
            <m:sty m:val="p"/>
          </m:rPr>
          <m:t>=</m:t>
        </m:r>
        <m:r>
          <m:t>p</m:t>
        </m:r>
        <m:r>
          <m:rPr>
            <m:sty m:val="p"/>
          </m:rPr>
          <m:t>⋅</m:t>
        </m:r>
        <m:r>
          <m:t>x</m:t>
        </m:r>
      </m:oMath>
      <w:r>
        <w:t xml:space="preserve">, es decir,</w:t>
      </w:r>
      <w:r>
        <w:t xml:space="preserve"> </w:t>
      </w:r>
      <m:oMath>
        <m:r>
          <m:t>p</m:t>
        </m:r>
        <m:r>
          <m:rPr>
            <m:sty m:val="p"/>
          </m:rPr>
          <m:t>⋅</m:t>
        </m:r>
        <m:d>
          <m:dPr>
            <m:begChr m:val="("/>
            <m:sepChr m:val=""/>
            <m:endChr m:val=")"/>
            <m:grow/>
          </m:dPr>
          <m:e>
            <m:r>
              <m:t>x</m:t>
            </m:r>
            <m:r>
              <m:rPr>
                <m:sty m:val="p"/>
              </m:rPr>
              <m:t>′</m:t>
            </m:r>
            <m:r>
              <m:rPr>
                <m:sty m:val="p"/>
              </m:rPr>
              <m:t>−</m:t>
            </m:r>
            <m:r>
              <m:t>x</m:t>
            </m:r>
          </m:e>
        </m:d>
        <m:r>
          <m:rPr>
            <m:sty m:val="p"/>
          </m:rPr>
          <m:t>&gt;</m:t>
        </m:r>
        <m:r>
          <m:t>0</m:t>
        </m:r>
      </m:oMath>
      <w:r>
        <w:t xml:space="preserve">. Por tanto,</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4"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4"/>
    <w:bookmarkStart w:id="236"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5"/>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6"/>
    <w:bookmarkStart w:id="242"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7"/>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39" name="Picture"/>
            <a:graphic>
              <a:graphicData uri="http://schemas.openxmlformats.org/drawingml/2006/picture">
                <pic:pic>
                  <pic:nvPicPr>
                    <pic:cNvPr descr="C:\Users\vgutierrez\Documents\src\victorgutierrezmarcos.github.io-revision\oposicion\temario\fuentes\3A08\graficos/demanda-cardinal.png" id="240" name="Picture"/>
                    <pic:cNvPicPr>
                      <a:picLocks noChangeArrowheads="1" noChangeAspect="1"/>
                    </pic:cNvPicPr>
                  </pic:nvPicPr>
                  <pic:blipFill>
                    <a:blip r:embed="rId238"/>
                    <a:stretch>
                      <a:fillRect/>
                    </a:stretch>
                  </pic:blipFill>
                  <pic:spPr bwMode="auto">
                    <a:xfrm>
                      <a:off x="0" y="0"/>
                      <a:ext cx="2960331" cy="2672861"/>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2"/>
    <w:bookmarkStart w:id="247"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6"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4" name="Picture"/>
            <a:graphic>
              <a:graphicData uri="http://schemas.openxmlformats.org/drawingml/2006/picture">
                <pic:pic>
                  <pic:nvPicPr>
                    <pic:cNvPr descr="C:\Users\vgutierrez\Documents\src\victorgutierrezmarcos.github.io-revision\oposicion\temario\fuentes\3A08\graficos/lancaster-caracteristicas.png" id="245" name="Picture"/>
                    <pic:cNvPicPr>
                      <a:picLocks noChangeArrowheads="1" noChangeAspect="1"/>
                    </pic:cNvPicPr>
                  </pic:nvPicPr>
                  <pic:blipFill>
                    <a:blip r:embed="rId243"/>
                    <a:stretch>
                      <a:fillRect/>
                    </a:stretch>
                  </pic:blipFill>
                  <pic:spPr bwMode="auto">
                    <a:xfrm>
                      <a:off x="0" y="0"/>
                      <a:ext cx="3039844" cy="2483253"/>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t xml:space="preserve">Lancaster (</w:t>
      </w:r>
      <w:hyperlink w:anchor="ref-Lancaster1966New">
        <w:r>
          <w:rPr>
            <w:rStyle w:val="Hyperlink"/>
          </w:rPr>
          <w:t xml:space="preserve">1966</w:t>
        </w:r>
      </w:hyperlink>
      <w:r>
        <w:t xml:space="preserve">)</w:t>
      </w:r>
      <w:r>
        <w:t xml:space="preserve">.</w:t>
      </w:r>
    </w:p>
    <w:bookmarkEnd w:id="247"/>
    <w:bookmarkStart w:id="248"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8"/>
    <w:bookmarkStart w:id="255" w:name="anexo:test"/>
    <w:p>
      <w:pPr>
        <w:pStyle w:val="Heading1"/>
      </w:pPr>
      <w:r>
        <w:t xml:space="preserve">H. Anexo: aspectos relevantes para el test</w:t>
      </w:r>
    </w:p>
    <w:p>
      <w:pPr>
        <w:pStyle w:val="Cajadeanotaciones"/>
      </w:pPr>
      <w:r>
        <w:t xml:space="preserve">Preguntas tipo test:</w:t>
      </w:r>
      <w:r>
        <w:t xml:space="preserve"> </w:t>
      </w:r>
      <w:hyperlink r:id="rId249">
        <w:r>
          <w:rPr>
            <w:rStyle w:val="Hyperlink"/>
          </w:rPr>
          <w:t xml:space="preserve">simulador de test</w:t>
        </w:r>
      </w:hyperlink>
      <w:r>
        <w:t xml:space="preserve">.</w:t>
      </w:r>
    </w:p>
    <w:bookmarkStart w:id="251" w:name="h.1.-bienes-males-y-bienes-neutrales"/>
    <w:p>
      <w:pPr>
        <w:pStyle w:val="Heading2"/>
      </w:pPr>
      <w:r>
        <w:t xml:space="preserve">H.1. Bienes, males y bienes neutrales</w:t>
      </w:r>
    </w:p>
    <w:p>
      <w:pPr>
        <w:pStyle w:val="FirstParagraph"/>
      </w:pPr>
      <w:r>
        <w:t xml:space="preserve">Se mira el signo de las utilidades marginales:</w:t>
      </w:r>
    </w:p>
    <w:bookmarkStart w:id="250"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0"/>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1"/>
    <w:bookmarkStart w:id="252"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2"/>
    <w:bookmarkStart w:id="254"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3"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3"/>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4"/>
    <w:bookmarkEnd w:id="255"/>
    <w:bookmarkStart w:id="422" w:name="bibliography"/>
    <w:p>
      <w:pPr>
        <w:pStyle w:val="Heading1"/>
      </w:pPr>
      <w:r>
        <w:t xml:space="preserve">Bibliografía</w:t>
      </w:r>
    </w:p>
    <w:bookmarkStart w:id="421" w:name="refs"/>
    <w:bookmarkStart w:id="257"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6">
        <w:r>
          <w:rPr>
            <w:rStyle w:val="Hyperlink"/>
          </w:rPr>
          <w:t xml:space="preserve">https://doi.org/10.2307/2525382</w:t>
        </w:r>
      </w:hyperlink>
      <w:r>
        <w:t xml:space="preserve">.</w:t>
      </w:r>
    </w:p>
    <w:bookmarkEnd w:id="257"/>
    <w:bookmarkStart w:id="259"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8">
        <w:r>
          <w:rPr>
            <w:rStyle w:val="Hyperlink"/>
          </w:rPr>
          <w:t xml:space="preserve">https://presidencia.gva.es/documents/166658342/166714754/Ejemplar+3070/2957e02b-f135-4235-98a6-bfc909292066</w:t>
        </w:r>
      </w:hyperlink>
      <w:r>
        <w:t xml:space="preserve">.</w:t>
      </w:r>
    </w:p>
    <w:bookmarkEnd w:id="259"/>
    <w:bookmarkStart w:id="260"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0"/>
    <w:bookmarkStart w:id="262"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1">
        <w:r>
          <w:rPr>
            <w:rStyle w:val="Hyperlink"/>
          </w:rPr>
          <w:t xml:space="preserve">https://doi.org/10.2307/1927286</w:t>
        </w:r>
      </w:hyperlink>
      <w:r>
        <w:t xml:space="preserve">.</w:t>
      </w:r>
    </w:p>
    <w:bookmarkEnd w:id="262"/>
    <w:bookmarkStart w:id="263"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3"/>
    <w:bookmarkStart w:id="264"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4"/>
    <w:bookmarkStart w:id="266"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5">
        <w:r>
          <w:rPr>
            <w:rStyle w:val="Hyperlink"/>
          </w:rPr>
          <w:t xml:space="preserve">https://doi.org/10.2307/1937885</w:t>
        </w:r>
      </w:hyperlink>
      <w:r>
        <w:t xml:space="preserve">.</w:t>
      </w:r>
    </w:p>
    <w:bookmarkEnd w:id="266"/>
    <w:bookmarkStart w:id="268"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7">
        <w:r>
          <w:rPr>
            <w:rStyle w:val="Hyperlink"/>
          </w:rPr>
          <w:t xml:space="preserve">https://doi.org/10.1016/0014-2921(69)90017-8</w:t>
        </w:r>
      </w:hyperlink>
      <w:r>
        <w:t xml:space="preserve">.</w:t>
      </w:r>
    </w:p>
    <w:bookmarkEnd w:id="268"/>
    <w:bookmarkStart w:id="270"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9">
        <w:r>
          <w:rPr>
            <w:rStyle w:val="Hyperlink"/>
          </w:rPr>
          <w:t xml:space="preserve">https://doi.org/10.2307/2228949</w:t>
        </w:r>
      </w:hyperlink>
      <w:r>
        <w:t xml:space="preserve">.</w:t>
      </w:r>
    </w:p>
    <w:bookmarkEnd w:id="270"/>
    <w:bookmarkStart w:id="272"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1">
        <w:r>
          <w:rPr>
            <w:rStyle w:val="Hyperlink"/>
          </w:rPr>
          <w:t xml:space="preserve">https://doi.org/10.2307/1909829</w:t>
        </w:r>
      </w:hyperlink>
      <w:r>
        <w:t xml:space="preserve">.</w:t>
      </w:r>
    </w:p>
    <w:bookmarkEnd w:id="272"/>
    <w:bookmarkStart w:id="27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3"/>
    <w:bookmarkStart w:id="274"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4"/>
    <w:bookmarkStart w:id="275"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5"/>
    <w:bookmarkStart w:id="276"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6"/>
    <w:bookmarkStart w:id="278"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7">
        <w:r>
          <w:rPr>
            <w:rStyle w:val="Hyperlink"/>
          </w:rPr>
          <w:t xml:space="preserve">https://allengoodman.wayne.edu/Research/PUBS/Court_Hedonic.pdf</w:t>
        </w:r>
      </w:hyperlink>
      <w:r>
        <w:t xml:space="preserve">.</w:t>
      </w:r>
    </w:p>
    <w:bookmarkEnd w:id="278"/>
    <w:bookmarkStart w:id="280"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79">
        <w:r>
          <w:rPr>
            <w:rStyle w:val="Hyperlink"/>
          </w:rPr>
          <w:t xml:space="preserve">https://doi.org/10.2307/1911983</w:t>
        </w:r>
      </w:hyperlink>
      <w:r>
        <w:t xml:space="preserve">.</w:t>
      </w:r>
    </w:p>
    <w:bookmarkEnd w:id="280"/>
    <w:bookmarkStart w:id="281"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1"/>
    <w:bookmarkStart w:id="282"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2"/>
    <w:bookmarkStart w:id="284"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3">
        <w:r>
          <w:rPr>
            <w:rStyle w:val="Hyperlink"/>
          </w:rPr>
          <w:t xml:space="preserve">https://cowles.yale.edu/sites/default/files/2022-09/m17-all.pdf</w:t>
        </w:r>
      </w:hyperlink>
      <w:r>
        <w:t xml:space="preserve">.</w:t>
      </w:r>
    </w:p>
    <w:bookmarkEnd w:id="284"/>
    <w:bookmarkStart w:id="285"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5"/>
    <w:bookmarkStart w:id="286"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6"/>
    <w:bookmarkStart w:id="287"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7"/>
    <w:bookmarkStart w:id="288"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8"/>
    <w:bookmarkStart w:id="289"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89"/>
    <w:bookmarkStart w:id="290"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0"/>
    <w:bookmarkStart w:id="292"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1">
        <w:r>
          <w:rPr>
            <w:rStyle w:val="Hyperlink"/>
          </w:rPr>
          <w:t xml:space="preserve">https://doi.org/10.2785/055028</w:t>
        </w:r>
      </w:hyperlink>
      <w:r>
        <w:t xml:space="preserve">.</w:t>
      </w:r>
    </w:p>
    <w:bookmarkEnd w:id="292"/>
    <w:bookmarkStart w:id="294"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3">
        <w:r>
          <w:rPr>
            <w:rStyle w:val="Hyperlink"/>
          </w:rPr>
          <w:t xml:space="preserve">https://ec.europa.eu/eurostat/databrowser/view/nama_10_gdp/default/table</w:t>
        </w:r>
      </w:hyperlink>
      <w:r>
        <w:t xml:space="preserve">.</w:t>
      </w:r>
    </w:p>
    <w:bookmarkEnd w:id="294"/>
    <w:bookmarkStart w:id="295"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5"/>
    <w:bookmarkStart w:id="296"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6"/>
    <w:bookmarkStart w:id="297"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7"/>
    <w:bookmarkStart w:id="299"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8">
        <w:r>
          <w:rPr>
            <w:rStyle w:val="Hyperlink"/>
          </w:rPr>
          <w:t xml:space="preserve">https://web.archive.org/web/20260106065001/http://www2.hawaii.edu/~fuleky/anatomy/anatomy.html</w:t>
        </w:r>
      </w:hyperlink>
      <w:r>
        <w:t xml:space="preserve">.</w:t>
      </w:r>
    </w:p>
    <w:bookmarkEnd w:id="299"/>
    <w:bookmarkStart w:id="301"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0">
        <w:r>
          <w:rPr>
            <w:rStyle w:val="Hyperlink"/>
          </w:rPr>
          <w:t xml:space="preserve">https://doi.org/10.2307/2296107</w:t>
        </w:r>
      </w:hyperlink>
      <w:r>
        <w:t xml:space="preserve">.</w:t>
      </w:r>
    </w:p>
    <w:bookmarkEnd w:id="301"/>
    <w:bookmarkStart w:id="303"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2">
        <w:r>
          <w:rPr>
            <w:rStyle w:val="Hyperlink"/>
          </w:rPr>
          <w:t xml:space="preserve">https://doi.org/10.1006/juec.1997.2071</w:t>
        </w:r>
      </w:hyperlink>
      <w:r>
        <w:t xml:space="preserve">.</w:t>
      </w:r>
    </w:p>
    <w:bookmarkEnd w:id="303"/>
    <w:bookmarkStart w:id="305"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4">
        <w:r>
          <w:rPr>
            <w:rStyle w:val="Hyperlink"/>
          </w:rPr>
          <w:t xml:space="preserve">https://doi.org/10.2307/1906943</w:t>
        </w:r>
      </w:hyperlink>
      <w:r>
        <w:t xml:space="preserve">.</w:t>
      </w:r>
    </w:p>
    <w:bookmarkEnd w:id="305"/>
    <w:bookmarkStart w:id="307"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6">
        <w:r>
          <w:rPr>
            <w:rStyle w:val="Hyperlink"/>
          </w:rPr>
          <w:t xml:space="preserve">https://doi.org/10.1111/j.1467-999X.1961.tb00819.x</w:t>
        </w:r>
      </w:hyperlink>
      <w:r>
        <w:t xml:space="preserve">.</w:t>
      </w:r>
    </w:p>
    <w:bookmarkEnd w:id="307"/>
    <w:bookmarkStart w:id="308"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8"/>
    <w:bookmarkStart w:id="309"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09"/>
    <w:bookmarkStart w:id="311"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0">
        <w:r>
          <w:rPr>
            <w:rStyle w:val="Hyperlink"/>
          </w:rPr>
          <w:t xml:space="preserve">https://www.nber.org/system/files/chapters/c6492/c6492.pdf</w:t>
        </w:r>
      </w:hyperlink>
      <w:r>
        <w:t xml:space="preserve">.</w:t>
      </w:r>
    </w:p>
    <w:bookmarkEnd w:id="311"/>
    <w:bookmarkStart w:id="312"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2"/>
    <w:bookmarkStart w:id="31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3">
        <w:r>
          <w:rPr>
            <w:rStyle w:val="Hyperlink"/>
          </w:rPr>
          <w:t xml:space="preserve">https://doi.org/10.1086/260629</w:t>
        </w:r>
      </w:hyperlink>
      <w:r>
        <w:t xml:space="preserve">.</w:t>
      </w:r>
    </w:p>
    <w:bookmarkEnd w:id="314"/>
    <w:bookmarkStart w:id="316"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5">
        <w:r>
          <w:rPr>
            <w:rStyle w:val="Hyperlink"/>
          </w:rPr>
          <w:t xml:space="preserve">https://doi.org/10.2307/2548574</w:t>
        </w:r>
      </w:hyperlink>
      <w:r>
        <w:t xml:space="preserve">.</w:t>
      </w:r>
    </w:p>
    <w:bookmarkEnd w:id="316"/>
    <w:bookmarkStart w:id="318"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7">
        <w:r>
          <w:rPr>
            <w:rStyle w:val="Hyperlink"/>
          </w:rPr>
          <w:t xml:space="preserve">https://doi.org/10.2307/2549382</w:t>
        </w:r>
      </w:hyperlink>
      <w:r>
        <w:t xml:space="preserve">.</w:t>
      </w:r>
    </w:p>
    <w:bookmarkEnd w:id="318"/>
    <w:bookmarkStart w:id="319"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19"/>
    <w:bookmarkStart w:id="321"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0">
        <w:r>
          <w:rPr>
            <w:rStyle w:val="Hyperlink"/>
          </w:rPr>
          <w:t xml:space="preserve">https://www.ine.es/daco/daco42/daco4213/resmeto06.pdf</w:t>
        </w:r>
      </w:hyperlink>
      <w:r>
        <w:t xml:space="preserve">.</w:t>
      </w:r>
    </w:p>
    <w:bookmarkEnd w:id="321"/>
    <w:bookmarkStart w:id="323"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2">
        <w:r>
          <w:rPr>
            <w:rStyle w:val="Hyperlink"/>
          </w:rPr>
          <w:t xml:space="preserve">https://www.ine.es/jaxiT3/Tabla.htm?t=67823</w:t>
        </w:r>
      </w:hyperlink>
      <w:r>
        <w:t xml:space="preserve">.</w:t>
      </w:r>
    </w:p>
    <w:bookmarkEnd w:id="323"/>
    <w:bookmarkStart w:id="325"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4">
        <w:r>
          <w:rPr>
            <w:rStyle w:val="Hyperlink"/>
          </w:rPr>
          <w:t xml:space="preserve">https://www.ine.es/jaxiT3/Tabla.htm?t=73828</w:t>
        </w:r>
      </w:hyperlink>
      <w:r>
        <w:t xml:space="preserve">.</w:t>
      </w:r>
    </w:p>
    <w:bookmarkEnd w:id="325"/>
    <w:bookmarkStart w:id="327"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6">
        <w:r>
          <w:rPr>
            <w:rStyle w:val="Hyperlink"/>
          </w:rPr>
          <w:t xml:space="preserve">https://www.ine.es/metodologia/t25/metodologia_IPC_base_2025.pdf</w:t>
        </w:r>
      </w:hyperlink>
      <w:r>
        <w:t xml:space="preserve">.</w:t>
      </w:r>
    </w:p>
    <w:bookmarkEnd w:id="327"/>
    <w:bookmarkStart w:id="329"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8">
        <w:r>
          <w:rPr>
            <w:rStyle w:val="Hyperlink"/>
          </w:rPr>
          <w:t xml:space="preserve">https://www.ine.es/daco/daco42/ipv/metodologia2025.pdf</w:t>
        </w:r>
      </w:hyperlink>
      <w:r>
        <w:t xml:space="preserve">.</w:t>
      </w:r>
    </w:p>
    <w:bookmarkEnd w:id="329"/>
    <w:bookmarkStart w:id="331"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0">
        <w:r>
          <w:rPr>
            <w:rStyle w:val="Hyperlink"/>
          </w:rPr>
          <w:t xml:space="preserve">https://www.ine.es/dyngs/Prensa/EPF2025.htm</w:t>
        </w:r>
      </w:hyperlink>
      <w:r>
        <w:t xml:space="preserve">.</w:t>
      </w:r>
    </w:p>
    <w:bookmarkEnd w:id="331"/>
    <w:bookmarkStart w:id="333"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2">
        <w:r>
          <w:rPr>
            <w:rStyle w:val="Hyperlink"/>
          </w:rPr>
          <w:t xml:space="preserve">https://www.ine.es/metodologia/t25/t2530p458.pdf</w:t>
        </w:r>
      </w:hyperlink>
      <w:r>
        <w:t xml:space="preserve">.</w:t>
      </w:r>
    </w:p>
    <w:bookmarkEnd w:id="333"/>
    <w:bookmarkStart w:id="335"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4">
        <w:r>
          <w:rPr>
            <w:rStyle w:val="Hyperlink"/>
          </w:rPr>
          <w:t xml:space="preserve">https://doi.org/10.1257/aer.99.4.1097</w:t>
        </w:r>
      </w:hyperlink>
      <w:r>
        <w:t xml:space="preserve">.</w:t>
      </w:r>
    </w:p>
    <w:bookmarkEnd w:id="335"/>
    <w:bookmarkStart w:id="336"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6"/>
    <w:bookmarkStart w:id="337"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7"/>
    <w:bookmarkStart w:id="338"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8"/>
    <w:bookmarkStart w:id="340"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39">
        <w:r>
          <w:rPr>
            <w:rStyle w:val="Hyperlink"/>
          </w:rPr>
          <w:t xml:space="preserve">https://doi.org/10.1086/261737</w:t>
        </w:r>
      </w:hyperlink>
      <w:r>
        <w:t xml:space="preserve">.</w:t>
      </w:r>
    </w:p>
    <w:bookmarkEnd w:id="340"/>
    <w:bookmarkStart w:id="342"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1">
        <w:r>
          <w:rPr>
            <w:rStyle w:val="Hyperlink"/>
          </w:rPr>
          <w:t xml:space="preserve">https://doi.org/10.2307/1914185</w:t>
        </w:r>
      </w:hyperlink>
      <w:r>
        <w:t xml:space="preserve">.</w:t>
      </w:r>
    </w:p>
    <w:bookmarkEnd w:id="342"/>
    <w:bookmarkStart w:id="344"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3">
        <w:r>
          <w:rPr>
            <w:rStyle w:val="Hyperlink"/>
          </w:rPr>
          <w:t xml:space="preserve">https://doi.org/10.1037/0003-066X.39.4.341</w:t>
        </w:r>
      </w:hyperlink>
      <w:r>
        <w:t xml:space="preserve">.</w:t>
      </w:r>
    </w:p>
    <w:bookmarkEnd w:id="344"/>
    <w:bookmarkStart w:id="346"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5">
        <w:r>
          <w:rPr>
            <w:rStyle w:val="Hyperlink"/>
          </w:rPr>
          <w:t xml:space="preserve">https://doi.org/10.2307/1911539</w:t>
        </w:r>
      </w:hyperlink>
      <w:r>
        <w:t xml:space="preserve">.</w:t>
      </w:r>
    </w:p>
    <w:bookmarkEnd w:id="346"/>
    <w:bookmarkStart w:id="348"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7">
        <w:r>
          <w:rPr>
            <w:rStyle w:val="Hyperlink"/>
          </w:rPr>
          <w:t xml:space="preserve">https://doi.org/10.1016/0304-3932(88)90030-X</w:t>
        </w:r>
      </w:hyperlink>
      <w:r>
        <w:t xml:space="preserve">.</w:t>
      </w:r>
    </w:p>
    <w:bookmarkEnd w:id="348"/>
    <w:bookmarkStart w:id="350"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49">
        <w:r>
          <w:rPr>
            <w:rStyle w:val="Hyperlink"/>
          </w:rPr>
          <w:t xml:space="preserve">https://doi.org/10.1023/A:1020529028761</w:t>
        </w:r>
      </w:hyperlink>
      <w:r>
        <w:t xml:space="preserve">.</w:t>
      </w:r>
    </w:p>
    <w:bookmarkEnd w:id="350"/>
    <w:bookmarkStart w:id="351"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1"/>
    <w:bookmarkStart w:id="353"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2">
        <w:r>
          <w:rPr>
            <w:rStyle w:val="Hyperlink"/>
          </w:rPr>
          <w:t xml:space="preserve">https://www.nobelprize.org/prizes/economic-sciences/2017/press-release/</w:t>
        </w:r>
      </w:hyperlink>
      <w:r>
        <w:t xml:space="preserve">.</w:t>
      </w:r>
    </w:p>
    <w:bookmarkEnd w:id="353"/>
    <w:bookmarkStart w:id="3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4">
        <w:r>
          <w:rPr>
            <w:rStyle w:val="Hyperlink"/>
          </w:rPr>
          <w:t xml:space="preserve">https://doi.org/10.1086/259131</w:t>
        </w:r>
      </w:hyperlink>
      <w:r>
        <w:t xml:space="preserve">.</w:t>
      </w:r>
    </w:p>
    <w:bookmarkEnd w:id="355"/>
    <w:bookmarkStart w:id="356"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6"/>
    <w:bookmarkStart w:id="357"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7"/>
    <w:bookmarkStart w:id="359"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8">
        <w:r>
          <w:rPr>
            <w:rStyle w:val="Hyperlink"/>
          </w:rPr>
          <w:t xml:space="preserve">https://doi.org/10.2307/2975974</w:t>
        </w:r>
      </w:hyperlink>
      <w:r>
        <w:t xml:space="preserve">.</w:t>
      </w:r>
    </w:p>
    <w:bookmarkEnd w:id="359"/>
    <w:bookmarkStart w:id="361"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0">
        <w:r>
          <w:rPr>
            <w:rStyle w:val="Hyperlink"/>
          </w:rPr>
          <w:t xml:space="preserve">https://www.marxists.org/reference/subject/economics/marshall/bk1ch01.htm</w:t>
        </w:r>
      </w:hyperlink>
      <w:r>
        <w:t xml:space="preserve">.</w:t>
      </w:r>
    </w:p>
    <w:bookmarkEnd w:id="361"/>
    <w:bookmarkStart w:id="36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2"/>
    <w:bookmarkStart w:id="364"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3">
        <w:r>
          <w:rPr>
            <w:rStyle w:val="Hyperlink"/>
          </w:rPr>
          <w:t xml:space="preserve">https://doi.org/10.2307/2296792</w:t>
        </w:r>
      </w:hyperlink>
      <w:r>
        <w:t xml:space="preserve">.</w:t>
      </w:r>
    </w:p>
    <w:bookmarkEnd w:id="364"/>
    <w:bookmarkStart w:id="366"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5">
        <w:r>
          <w:rPr>
            <w:rStyle w:val="Hyperlink"/>
          </w:rPr>
          <w:t xml:space="preserve">https://doi.org/10.2307/1911540</w:t>
        </w:r>
      </w:hyperlink>
      <w:r>
        <w:t xml:space="preserve">.</w:t>
      </w:r>
    </w:p>
    <w:bookmarkEnd w:id="366"/>
    <w:bookmarkStart w:id="368"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7">
        <w:r>
          <w:rPr>
            <w:rStyle w:val="Hyperlink"/>
          </w:rPr>
          <w:t xml:space="preserve">https://doi.org/10.11647/OBP.0204</w:t>
        </w:r>
      </w:hyperlink>
      <w:r>
        <w:t xml:space="preserve">.</w:t>
      </w:r>
    </w:p>
    <w:bookmarkEnd w:id="368"/>
    <w:bookmarkStart w:id="369" w:name="ref-Pareto1896Cours"/>
    <w:p>
      <w:pPr>
        <w:pStyle w:val="Bibliography"/>
      </w:pPr>
      <w:r>
        <w:t xml:space="preserve">Pareto, Vilfredo. 1896.</w:t>
      </w:r>
      <w:r>
        <w:t xml:space="preserve"> </w:t>
      </w:r>
      <w:r>
        <w:rPr>
          <w:i/>
          <w:iCs/>
        </w:rPr>
        <w:t xml:space="preserve">Cours d’économie politique</w:t>
      </w:r>
      <w:r>
        <w:t xml:space="preserve">. Lausana: F. Rouge.</w:t>
      </w:r>
    </w:p>
    <w:bookmarkEnd w:id="369"/>
    <w:bookmarkStart w:id="370"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0"/>
    <w:bookmarkStart w:id="3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1"/>
    <w:bookmarkStart w:id="372"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2"/>
    <w:bookmarkStart w:id="374"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3">
        <w:r>
          <w:rPr>
            <w:rStyle w:val="Hyperlink"/>
          </w:rPr>
          <w:t xml:space="preserve">https://doi.org/10.1086/260169</w:t>
        </w:r>
      </w:hyperlink>
      <w:r>
        <w:t xml:space="preserve">.</w:t>
      </w:r>
    </w:p>
    <w:bookmarkEnd w:id="374"/>
    <w:bookmarkStart w:id="375"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5"/>
    <w:bookmarkStart w:id="377"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6">
        <w:r>
          <w:rPr>
            <w:rStyle w:val="Hyperlink"/>
          </w:rPr>
          <w:t xml:space="preserve">https://doi.org/10.2307/1905479</w:t>
        </w:r>
      </w:hyperlink>
      <w:r>
        <w:t xml:space="preserve">.</w:t>
      </w:r>
    </w:p>
    <w:bookmarkEnd w:id="377"/>
    <w:bookmarkStart w:id="379"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8">
        <w:r>
          <w:rPr>
            <w:rStyle w:val="Hyperlink"/>
          </w:rPr>
          <w:t xml:space="preserve">https://doi.org/10.2307/2548836</w:t>
        </w:r>
      </w:hyperlink>
      <w:r>
        <w:t xml:space="preserve">.</w:t>
      </w:r>
    </w:p>
    <w:bookmarkEnd w:id="379"/>
    <w:bookmarkStart w:id="381"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0">
        <w:r>
          <w:rPr>
            <w:rStyle w:val="Hyperlink"/>
          </w:rPr>
          <w:t xml:space="preserve">https://doi.org/10.2307/2549561</w:t>
        </w:r>
      </w:hyperlink>
      <w:r>
        <w:t xml:space="preserve">.</w:t>
      </w:r>
    </w:p>
    <w:bookmarkEnd w:id="381"/>
    <w:bookmarkStart w:id="382"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2"/>
    <w:bookmarkStart w:id="383"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3"/>
    <w:bookmarkStart w:id="384"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4"/>
    <w:bookmarkStart w:id="386"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5">
        <w:r>
          <w:rPr>
            <w:rStyle w:val="Hyperlink"/>
          </w:rPr>
          <w:t xml:space="preserve">https://doi.org/10.2307/1884852</w:t>
        </w:r>
      </w:hyperlink>
      <w:r>
        <w:t xml:space="preserve">.</w:t>
      </w:r>
    </w:p>
    <w:bookmarkEnd w:id="386"/>
    <w:bookmarkStart w:id="387"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7"/>
    <w:bookmarkStart w:id="389"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8">
        <w:r>
          <w:rPr>
            <w:rStyle w:val="Hyperlink"/>
          </w:rPr>
          <w:t xml:space="preserve">https://doi.org/10.1016/0022-0531(73)90066-5</w:t>
        </w:r>
      </w:hyperlink>
      <w:r>
        <w:t xml:space="preserve">.</w:t>
      </w:r>
    </w:p>
    <w:bookmarkEnd w:id="389"/>
    <w:bookmarkStart w:id="391"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0">
        <w:r>
          <w:rPr>
            <w:rStyle w:val="Hyperlink"/>
          </w:rPr>
          <w:t xml:space="preserve">https://doi.org/10.2307/1909201</w:t>
        </w:r>
      </w:hyperlink>
      <w:r>
        <w:t xml:space="preserve">.</w:t>
      </w:r>
    </w:p>
    <w:bookmarkEnd w:id="391"/>
    <w:bookmarkStart w:id="393"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2">
        <w:r>
          <w:rPr>
            <w:rStyle w:val="Hyperlink"/>
          </w:rPr>
          <w:t xml:space="preserve">https://doi.org/10.1086/258464</w:t>
        </w:r>
      </w:hyperlink>
      <w:r>
        <w:t xml:space="preserve">.</w:t>
      </w:r>
    </w:p>
    <w:bookmarkEnd w:id="393"/>
    <w:bookmarkStart w:id="3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4">
        <w:r>
          <w:rPr>
            <w:rStyle w:val="Hyperlink"/>
          </w:rPr>
          <w:t xml:space="preserve">https://doi.org/10.2307/2227743</w:t>
        </w:r>
      </w:hyperlink>
      <w:r>
        <w:t xml:space="preserve">.</w:t>
      </w:r>
    </w:p>
    <w:bookmarkEnd w:id="395"/>
    <w:bookmarkStart w:id="396"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6"/>
    <w:bookmarkStart w:id="398"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7">
        <w:r>
          <w:rPr>
            <w:rStyle w:val="Hyperlink"/>
          </w:rPr>
          <w:t xml:space="preserve">https://doi.org/10.1016/0167-2681(80)90051-7</w:t>
        </w:r>
      </w:hyperlink>
      <w:r>
        <w:t xml:space="preserve">.</w:t>
      </w:r>
    </w:p>
    <w:bookmarkEnd w:id="398"/>
    <w:bookmarkStart w:id="400"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99">
        <w:r>
          <w:rPr>
            <w:rStyle w:val="Hyperlink"/>
          </w:rPr>
          <w:t xml:space="preserve">https://doi.org/10.1287/mksc.4.3.199</w:t>
        </w:r>
      </w:hyperlink>
      <w:r>
        <w:t xml:space="preserve">.</w:t>
      </w:r>
    </w:p>
    <w:bookmarkEnd w:id="400"/>
    <w:bookmarkStart w:id="402"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1">
        <w:r>
          <w:rPr>
            <w:rStyle w:val="Hyperlink"/>
          </w:rPr>
          <w:t xml:space="preserve">https://www.nobelprize.org/prizes/economic-sciences/1970/summary/</w:t>
        </w:r>
      </w:hyperlink>
      <w:r>
        <w:t xml:space="preserve">.</w:t>
      </w:r>
    </w:p>
    <w:bookmarkEnd w:id="402"/>
    <w:bookmarkStart w:id="404"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3">
        <w:r>
          <w:rPr>
            <w:rStyle w:val="Hyperlink"/>
          </w:rPr>
          <w:t xml:space="preserve">https://www.nobelprize.org/prizes/economic-sciences/1992/summary/</w:t>
        </w:r>
      </w:hyperlink>
      <w:r>
        <w:t xml:space="preserve">.</w:t>
      </w:r>
    </w:p>
    <w:bookmarkEnd w:id="404"/>
    <w:bookmarkStart w:id="406"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5">
        <w:r>
          <w:rPr>
            <w:rStyle w:val="Hyperlink"/>
          </w:rPr>
          <w:t xml:space="preserve">https://www.nobelprize.org/prizes/economic-sciences/2015/summary/</w:t>
        </w:r>
      </w:hyperlink>
      <w:r>
        <w:t xml:space="preserve">.</w:t>
      </w:r>
    </w:p>
    <w:bookmarkEnd w:id="406"/>
    <w:bookmarkStart w:id="408"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7">
        <w:r>
          <w:rPr>
            <w:rStyle w:val="Hyperlink"/>
          </w:rPr>
          <w:t xml:space="preserve">https://doi.org/10.2307/1911889</w:t>
        </w:r>
      </w:hyperlink>
      <w:r>
        <w:t xml:space="preserve">.</w:t>
      </w:r>
    </w:p>
    <w:bookmarkEnd w:id="408"/>
    <w:bookmarkStart w:id="410"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09">
        <w:r>
          <w:rPr>
            <w:rStyle w:val="Hyperlink"/>
          </w:rPr>
          <w:t xml:space="preserve">https://doi.org/10.1787/9789264028159-en</w:t>
        </w:r>
      </w:hyperlink>
      <w:r>
        <w:t xml:space="preserve">.</w:t>
      </w:r>
    </w:p>
    <w:bookmarkEnd w:id="410"/>
    <w:bookmarkStart w:id="412"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1">
        <w:r>
          <w:rPr>
            <w:rStyle w:val="Hyperlink"/>
          </w:rPr>
          <w:t xml:space="preserve">https://doi.org/10.1126/science.7455683</w:t>
        </w:r>
      </w:hyperlink>
      <w:r>
        <w:t xml:space="preserve">.</w:t>
      </w:r>
    </w:p>
    <w:bookmarkEnd w:id="412"/>
    <w:bookmarkStart w:id="414"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3">
        <w:r>
          <w:rPr>
            <w:rStyle w:val="Hyperlink"/>
          </w:rPr>
          <w:t xml:space="preserve">https://www.bls.gov/cpi/quality-adjustment/</w:t>
        </w:r>
      </w:hyperlink>
      <w:r>
        <w:t xml:space="preserve">.</w:t>
      </w:r>
    </w:p>
    <w:bookmarkEnd w:id="414"/>
    <w:bookmarkStart w:id="416"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5">
        <w:r>
          <w:rPr>
            <w:rStyle w:val="Hyperlink"/>
          </w:rPr>
          <w:t xml:space="preserve">https://doi.org/10.2307/1912771</w:t>
        </w:r>
      </w:hyperlink>
      <w:r>
        <w:t xml:space="preserve">.</w:t>
      </w:r>
    </w:p>
    <w:bookmarkEnd w:id="416"/>
    <w:bookmarkStart w:id="417"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7"/>
    <w:bookmarkStart w:id="418"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8"/>
    <w:bookmarkStart w:id="419"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19"/>
    <w:bookmarkStart w:id="420"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0"/>
    <w:bookmarkEnd w:id="421"/>
    <w:bookmarkEnd w:id="422"/>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 w:id="235">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7">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spacing w:after="120"/>
      <w:jc w:val="both"/>
    </w:pPr>
    <w:rPr>
      <w:rFonts w:ascii="Palatino Linotype" w:cs="Palatino Linotype" w:eastAsia="Palatino Linotype" w:hAnsi="Palatino Linotype"/>
      <w:sz w:val="22"/>
    </w:rPr>
  </w:style>
  <w:style w:customStyle="1" w:styleId="Compact" w:type="paragraph">
    <w:name w:val="Compact"/>
    <w:basedOn w:val="BodyText"/>
    <w:qFormat/>
    <w:pPr>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8" Target="media/rId23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3" Target="media/rId243.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2026-10-11T00:32:59Z</dcterms:created>
  <dcterms:modified xsi:type="dcterms:W3CDTF">2026-10-11T00:32:59Z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