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8.png" ContentType="image/png"/>
  <Override PartName="/word/media/rId222.png" ContentType="image/png"/>
  <Override PartName="/word/media/rId70.png" ContentType="image/png"/>
  <Override PartName="/word/media/rId100.png" ContentType="image/png"/>
  <Override PartName="/word/media/rId110.png" ContentType="image/png"/>
  <Override PartName="/word/media/rId47.png" ContentType="image/png"/>
  <Override PartName="/word/media/rId85.png" ContentType="image/png"/>
  <Override PartName="/word/media/rId309.png" ContentType="image/png"/>
  <Override PartName="/word/media/rId190.png" ContentType="image/png"/>
  <Override PartName="/word/media/rId186.png" ContentType="image/png"/>
  <Override PartName="/word/media/rId146.png" ContentType="image/png"/>
  <Override PartName="/word/media/rId163.png" ContentType="image/png"/>
  <Override PartName="/word/media/rId52.png" ContentType="image/png"/>
  <Override PartName="/word/media/rId33.png" ContentType="image/png"/>
  <Override PartName="/word/media/rId254.png" ContentType="image/png"/>
  <Override PartName="/word/media/rId327.png" ContentType="image/png"/>
  <Override PartName="/word/media/rId274.png" ContentType="image/png"/>
  <Override PartName="/word/media/rId171.png" ContentType="image/png"/>
  <Override PartName="/word/media/rId230.png" ContentType="image/png"/>
  <Override PartName="/word/media/rId43.png" ContentType="image/png"/>
  <Override PartName="/word/media/rId92.png" ContentType="image/png"/>
  <Override PartName="/word/media/rId156.png" ContentType="image/png"/>
  <Override PartName="/word/media/rId125.png" ContentType="image/png"/>
  <Override PartName="/word/media/rId7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16 · Bibliografía: 6 (PDF)</w:t>
      </w:r>
    </w:p>
    <w:bookmarkStart w:id="31"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«Sobre gustos no hay nada escrito», dice el refrán: lo que a cada uno le gusta es cosa suya, y nadie puede verlo desde fuera.</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_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4"/>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hyperlink r:id="rId22">
        <w:r>
          <w:rPr>
            <w:rStyle w:val="Referenciaatema"/>
          </w:rPr>
          <w:t xml:space="preserve">[ver tema 3.A.16]</w:t>
        </w:r>
      </w:hyperlink>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w:t>
      </w:r>
      <w:hyperlink w:anchor="ref_INE2026CNTRDemanda">
        <w:r>
          <w:rPr>
            <w:rStyle w:val="Hyperlink"/>
            <w:smallCaps/>
          </w:rPr>
          <w:t xml:space="preserve">Instituto Nacional de Estadística</w:t>
        </w:r>
        <w:r>
          <w:rPr>
            <w:rStyle w:val="Hyperlink"/>
          </w:rPr>
          <w:t xml:space="preserve">, 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5"/>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hyperlink r:id="rId26">
        <w:r>
          <w:rPr>
            <w:rStyle w:val="Referenciaatema"/>
          </w:rPr>
          <w:t xml:space="preserve">[ver tema 3.A.10]</w:t>
        </w:r>
      </w:hyperlink>
      <w:r>
        <w:t xml:space="preserve">.</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_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7" w:name="ley_gossen2"/>
      <w:bookmarkEnd w:id="27"/>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w:t>
      </w:r>
      <w:hyperlink w:anchor="anexo_cardinal">
        <w:r>
          <w:rPr>
            <w:rStyle w:val="Hyperlink"/>
          </w:rPr>
          <w:t xml:space="preserve">E</w:t>
        </w:r>
      </w:hyperlink>
      <w:r>
        <w:t xml:space="preserve">).</w:t>
      </w:r>
    </w:p>
    <w:p>
      <w:pPr>
        <w:numPr>
          <w:ilvl w:val="1"/>
          <w:numId w:val="1005"/>
        </w:numPr>
      </w:pPr>
      <w:r>
        <w:rPr>
          <w:smallCaps/>
        </w:rPr>
        <w:t xml:space="preserve">Edgeworth</w:t>
      </w:r>
      <w:r>
        <w:t xml:space="preserve"> </w:t>
      </w:r>
      <w:r>
        <w:t xml:space="preserve">(</w:t>
      </w:r>
      <w:hyperlink w:anchor="ref_Edgeworth1881Mathematical">
        <w:r>
          <w:rPr>
            <w:rStyle w:val="Hyperlink"/>
          </w:rPr>
          <w:t xml:space="preserve">1881</w:t>
        </w:r>
      </w:hyperlink>
      <w:r>
        <w:t xml:space="preserve">)</w:t>
      </w:r>
      <w:r>
        <w:rPr>
          <w:rStyle w:val="FootnoteReference"/>
        </w:rPr>
        <w:footnoteReference w:id="28"/>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_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9"/>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_Antonelli1886Teoria">
        <w:r>
          <w:rPr>
            <w:rStyle w:val="Hyperlink"/>
            <w:smallCaps/>
          </w:rPr>
          <w:t xml:space="preserve">Antonelli</w:t>
        </w:r>
        <w:r>
          <w:rPr>
            <w:rStyle w:val="Hyperlink"/>
          </w:rPr>
          <w:t xml:space="preserve">, 1886</w:t>
        </w:r>
      </w:hyperlink>
      <w:r>
        <w:t xml:space="preserve">;</w:t>
      </w:r>
      <w:r>
        <w:t xml:space="preserve"> </w:t>
      </w:r>
      <w:hyperlink w:anchor="ref_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1971</w:t>
        </w:r>
      </w:hyperlink>
      <w:r>
        <w:t xml:space="preserve">;</w:t>
      </w:r>
      <w:r>
        <w:t xml:space="preserve"> </w:t>
      </w:r>
      <w:hyperlink w:anchor="ref_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1976</w:t>
        </w:r>
      </w:hyperlink>
      <w:r>
        <w:t xml:space="preserve">)</w:t>
      </w:r>
      <w:r>
        <w:t xml:space="preserve">, es la otra cara de la dualidad</w:t>
      </w:r>
      <w:r>
        <w:t xml:space="preserve"> </w:t>
      </w:r>
      <w:hyperlink r:id="rId30">
        <w:r>
          <w:rPr>
            <w:rStyle w:val="Referenciaatema"/>
          </w:rPr>
          <w:t xml:space="preserve">[ver tema 3.A.9]</w:t>
        </w:r>
      </w:hyperlink>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numPr>
          <w:ilvl w:val="1"/>
          <w:numId w:val="1010"/>
        </w:numPr>
      </w:pPr>
      <w:r>
        <w:rPr>
          <w:i/>
          <w:iCs/>
        </w:rPr>
        <w:t xml:space="preserve">I. Fundamentos de la teoría de la elección racional</w:t>
      </w:r>
      <w:r>
        <w:t xml:space="preserve">: presentaremos los ingredientes del modelo, las preferencias con su representación mediante una función de utilidad y la restricción presupuestaria (</w:t>
      </w:r>
      <w:hyperlink w:anchor="sec_ingredientes">
        <w:r>
          <w:rPr>
            <w:rStyle w:val="Hyperlink"/>
          </w:rPr>
          <w:t xml:space="preserve">I.1</w:t>
        </w:r>
      </w:hyperlink>
      <w:r>
        <w:t xml:space="preserve">); plantearemos el problema de maximización de la utilidad y su equilibrio, interior o de esquina (</w:t>
      </w:r>
      <w:hyperlink w:anchor="sec_problema_maximizacion_utilidad">
        <w:r>
          <w:rPr>
            <w:rStyle w:val="Hyperlink"/>
          </w:rPr>
          <w:t xml:space="preserve">I.2</w:t>
        </w:r>
      </w:hyperlink>
      <w:r>
        <w:t xml:space="preserve">), y obtendremos su solución: la demanda marshalliana individual, la función indirecta de utilidad y, por agregación, la demanda de mercado (</w:t>
      </w:r>
      <w:hyperlink w:anchor="sec_solucion_problema_maximizacion">
        <w:r>
          <w:rPr>
            <w:rStyle w:val="Hyperlink"/>
          </w:rPr>
          <w:t xml:space="preserve">I.3</w:t>
        </w:r>
      </w:hyperlink>
      <w:r>
        <w:t xml:space="preserve">).</w:t>
      </w:r>
    </w:p>
    <w:p>
      <w:pPr>
        <w:numPr>
          <w:ilvl w:val="1"/>
          <w:numId w:val="1010"/>
        </w:numPr>
      </w:pPr>
      <w:r>
        <w:rPr>
          <w:i/>
          <w:iCs/>
        </w:rPr>
        <w:t xml:space="preserve">II. Estática comparativa</w:t>
      </w:r>
      <w:r>
        <w:t xml:space="preserve">: con análisis gráfico y de elasticidades, estudiaremos cómo responde la demanda a las variaciones en la renta (</w:t>
      </w:r>
      <w:hyperlink w:anchor="sec_variaciones_renta">
        <w:r>
          <w:rPr>
            <w:rStyle w:val="Hyperlink"/>
          </w:rPr>
          <w:t xml:space="preserve">II.1</w:t>
        </w:r>
      </w:hyperlink>
      <w:r>
        <w:t xml:space="preserve">) y en los precios, propio y cruzado, con la ecuación de</w:t>
      </w:r>
      <w:r>
        <w:t xml:space="preserve"> </w:t>
      </w:r>
      <w:r>
        <w:rPr>
          <w:smallCaps/>
        </w:rPr>
        <w:t xml:space="preserve">Slutsky</w:t>
      </w:r>
      <w:r>
        <w:t xml:space="preserve"> </w:t>
      </w:r>
      <w:r>
        <w:t xml:space="preserve">(</w:t>
      </w:r>
      <w:hyperlink w:anchor="sec_variaciones_precios">
        <w:r>
          <w:rPr>
            <w:rStyle w:val="Hyperlink"/>
          </w:rPr>
          <w:t xml:space="preserve">II.2</w:t>
        </w:r>
      </w:hyperlink>
      <w:r>
        <w:t xml:space="preserve">), y valoraremos la teoría para enlazar con sus desarrollos (</w:t>
      </w:r>
      <w:hyperlink w:anchor="sec_valoracion">
        <w:r>
          <w:rPr>
            <w:rStyle w:val="Hyperlink"/>
          </w:rPr>
          <w:t xml:space="preserve">II.3</w:t>
        </w:r>
      </w:hyperlink>
      <w:r>
        <w:t xml:space="preserve">).</w:t>
      </w:r>
    </w:p>
    <w:p>
      <w:pPr>
        <w:numPr>
          <w:ilvl w:val="1"/>
          <w:numId w:val="1010"/>
        </w:numPr>
      </w:pPr>
      <w:r>
        <w:rPr>
          <w:i/>
          <w:iCs/>
        </w:rPr>
        <w:t xml:space="preserve">III. Otros desarrollos</w:t>
      </w:r>
      <w:r>
        <w:t xml:space="preserve">: la teoría de la preferencia revelada, que parte de la conducta observada y no de preferencias inobservables (</w:t>
      </w:r>
      <w:hyperlink w:anchor="sec_teoria_preferencia_revelada">
        <w:r>
          <w:rPr>
            <w:rStyle w:val="Hyperlink"/>
          </w:rPr>
          <w:t xml:space="preserve">III.1</w:t>
        </w:r>
      </w:hyperlink>
      <w:r>
        <w:t xml:space="preserve">); la producción doméstica, que introduce el tiempo y la «tecnología del consumo» (</w:t>
      </w:r>
      <w:hyperlink w:anchor="sec_produccion_domestica">
        <w:r>
          <w:rPr>
            <w:rStyle w:val="Hyperlink"/>
          </w:rPr>
          <w:t xml:space="preserve">III.2</w:t>
        </w:r>
      </w:hyperlink>
      <w:r>
        <w:t xml:space="preserve">), y los precios hedónicos, que valoran empíricamente los bienes por sus características (</w:t>
      </w:r>
      <w:hyperlink w:anchor="sec_precios_hedonicos">
        <w:r>
          <w:rPr>
            <w:rStyle w:val="Hyperlink"/>
          </w:rPr>
          <w:t xml:space="preserve">III.3</w:t>
        </w:r>
      </w:hyperlink>
      <w:r>
        <w:t xml:space="preserve">).</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31"/>
    <w:bookmarkStart w:id="152" w:name="sec_analisis_teoria_neoclasica"/>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115" w:name="sec_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32"/>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w:t>
      </w:r>
      <w:hyperlink w:anchor="fig_esquema_ingredientes">
        <w:r>
          <w:rPr>
            <w:rStyle w:val="Hyperlink"/>
          </w:rPr>
          <w:t xml:space="preserve">1</w:t>
        </w:r>
      </w:hyperlink>
      <w:r>
        <w:t xml:space="preserve"> </w:t>
      </w:r>
      <w:r>
        <w:t xml:space="preserve">resume el camino que recorre este apartado.</w:t>
      </w:r>
    </w:p>
    <w:bookmarkStart w:id="36" w:name="fig_esquema_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Gráfico 1.– De las preferencias a la demanda de mercado" title="" id="34" name="Picture"/>
            <a:graphic>
              <a:graphicData uri="http://schemas.openxmlformats.org/drawingml/2006/picture">
                <pic:pic>
                  <pic:nvPicPr>
                    <pic:cNvPr descr="C:\Users\vgutierrez\Documents\src\victorgutierrezmarcos.github.io-revision\oposicion\temario\fuentes\3A08\graficos/esquema-ingredientes.png" id="35" name="Picture"/>
                    <pic:cNvPicPr>
                      <a:picLocks noChangeArrowheads="1" noChangeAspect="1"/>
                    </pic:cNvPicPr>
                  </pic:nvPicPr>
                  <pic:blipFill>
                    <a:blip r:embed="rId33"/>
                    <a:stretch>
                      <a:fillRect/>
                    </a:stretch>
                  </pic:blipFill>
                  <pic:spPr bwMode="auto">
                    <a:xfrm>
                      <a:off x="0" y="0"/>
                      <a:ext cx="5372100" cy="1921871"/>
                    </a:xfrm>
                    <a:prstGeom prst="rect">
                      <a:avLst/>
                    </a:prstGeom>
                    <a:noFill/>
                    <a:ln w="9525">
                      <a:noFill/>
                      <a:headEnd/>
                      <a:tailEnd/>
                    </a:ln>
                  </pic:spPr>
                </pic:pic>
              </a:graphicData>
            </a:graphic>
          </wp:inline>
        </w:drawing>
      </w:r>
    </w:p>
    <w:bookmarkEnd w:id="36"/>
    <w:p>
      <w:pPr>
        <w:pStyle w:val="Piedeimagen"/>
      </w:pPr>
      <w:r>
        <w:t xml:space="preserve">Fuente: elaboración propia.</w:t>
      </w:r>
    </w:p>
    <w:p>
      <w:pPr>
        <w:keepNext/>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hyperlink r:id="rId26">
        <w:r>
          <w:rPr>
            <w:rStyle w:val="Referenciaatema"/>
          </w:rPr>
          <w:t xml:space="preserve">[ver tema 3.A.10]</w:t>
        </w:r>
      </w:hyperlink>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hyperlink r:id="rId37">
        <w:r>
          <w:rPr>
            <w:rStyle w:val="Referenciaatema"/>
          </w:rPr>
          <w:t xml:space="preserve">[ver tema 3.A.25]</w:t>
        </w:r>
      </w:hyperlink>
      <w:r>
        <w:t xml:space="preserve"> </w:t>
      </w:r>
      <w:r>
        <w:t xml:space="preserve">y de las decisiones intertemporales</w:t>
      </w:r>
      <w:r>
        <w:t xml:space="preserve"> </w:t>
      </w:r>
      <w:hyperlink r:id="rId38">
        <w:r>
          <w:rPr>
            <w:rStyle w:val="Referenciaatema"/>
          </w:rPr>
          <w:t xml:space="preserve">[ver tema 3.A.29]</w:t>
        </w:r>
      </w:hyperlink>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w:t>
      </w:r>
      <w:hyperlink w:anchor="fig_conjuntos_contorno">
        <w:r>
          <w:rPr>
            <w:rStyle w:val="Hyperlink"/>
          </w:rPr>
          <w:t xml:space="preserve">3</w:t>
        </w:r>
      </w:hyperlink>
      <w:r>
        <w:t xml:space="preserve">), los 7 axiomas con lo que garantiza cada uno y agrupados por su papel (gráfico </w:t>
      </w:r>
      <w:hyperlink w:anchor="fig_esquema_axiomas">
        <w:r>
          <w:rPr>
            <w:rStyle w:val="Hyperlink"/>
          </w:rPr>
          <w:t xml:space="preserve">4</w:t>
        </w:r>
      </w:hyperlink>
      <w:r>
        <w:t xml:space="preserve">: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w:t>
      </w:r>
      <w:hyperlink w:anchor="fig_superficie_utilidad">
        <w:r>
          <w:rPr>
            <w:rStyle w:val="Hyperlink"/>
          </w:rPr>
          <w:t xml:space="preserve">6</w:t>
        </w:r>
      </w:hyperlink>
      <w:r>
        <w:t xml:space="preserve">), las propiedades de las curvas con el axioma que da cada una (gráfico </w:t>
      </w:r>
      <w:hyperlink w:anchor="fig_propiedades_curvas_indiferencia">
        <w:r>
          <w:rPr>
            <w:rStyle w:val="Hyperlink"/>
          </w:rPr>
          <w:t xml:space="preserve">8</w:t>
        </w:r>
      </w:hyperlink>
      <w:r>
        <w:t xml:space="preserve">), la RMS y la elasticidad de sustitución, nombrando los 3 casos de la CES. El gráfico </w:t>
      </w:r>
      <w:hyperlink w:anchor="fig_axiomas_curva_indiferencia">
        <w:r>
          <w:rPr>
            <w:rStyle w:val="Hyperlink"/>
          </w:rPr>
          <w:t xml:space="preserve">5</w:t>
        </w:r>
      </w:hyperlink>
      <w:r>
        <w:t xml:space="preserve"> </w:t>
      </w:r>
      <w:r>
        <w:t xml:space="preserve">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105" w:name="sec_conjunto_eleccion_preferencias"/>
    <w:p>
      <w:pPr>
        <w:pStyle w:val="Heading3"/>
      </w:pPr>
      <w:r>
        <w:t xml:space="preserve">I.1.1.</w:t>
      </w:r>
      <w:r>
        <w:t xml:space="preserve"> </w:t>
      </w:r>
      <w:r>
        <w:t xml:space="preserve">Conjunto de elección, preferencias y función de utilidad</w:t>
      </w:r>
    </w:p>
    <w:bookmarkStart w:id="42" w:name="conjunto_de_elecci__n"/>
    <w:p>
      <w:pPr>
        <w:pStyle w:val="Heading4"/>
      </w:pPr>
      <w:r>
        <w:t xml:space="preserve">Conjunto de elección</w:t>
      </w:r>
    </w:p>
    <w:p>
      <w:pPr>
        <w:keepNext/>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9"/>
      </w:r>
    </w:p>
    <w:p>
      <w:pPr>
        <w:keepNext/>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41"/>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42"/>
    <w:bookmarkStart w:id="51" w:name="preferencias"/>
    <w:p>
      <w:pPr>
        <w:pStyle w:val="Heading4"/>
      </w:pPr>
      <w:r>
        <w:t xml:space="preserve">Preferencias</w:t>
      </w:r>
    </w:p>
    <w:p>
      <w:pPr>
        <w:keepNext/>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19"/>
        </w:numPr>
      </w:pPr>
      <w:r>
        <w:t xml:space="preserve">Entre 2 cestas cualesquiera caben 4 casos lógicos (gráfico </w:t>
      </w:r>
      <w:hyperlink w:anchor="fig_preferencias_venn">
        <w:r>
          <w:rPr>
            <w:rStyle w:val="Hyperlink"/>
          </w:rPr>
          <w:t xml:space="preserve">2</w:t>
        </w:r>
      </w:hyperlink>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w:t>
      </w:r>
      <w:hyperlink w:anchor="fig_conjuntos_contorno">
        <w:r>
          <w:rPr>
            <w:rStyle w:val="Hyperlink"/>
          </w:rPr>
          <w:t xml:space="preserve">3</w:t>
        </w:r>
      </w:hyperlink>
      <w:r>
        <w:t xml:space="preserve">):</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46" w:name="fig_preferencias_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Gráfico 2.– La relación de preferencia: preferencia débil, indiferencia y preferencia estricta" title="" id="44" name="Picture"/>
            <a:graphic>
              <a:graphicData uri="http://schemas.openxmlformats.org/drawingml/2006/picture">
                <pic:pic>
                  <pic:nvPicPr>
                    <pic:cNvPr descr="C:\Users\vgutierrez\Documents\src\victorgutierrezmarcos.github.io-revision\oposicion\temario\fuentes\3A08\graficos/preferencias-venn.png" id="45" name="Picture"/>
                    <pic:cNvPicPr>
                      <a:picLocks noChangeArrowheads="1" noChangeAspect="1"/>
                    </pic:cNvPicPr>
                  </pic:nvPicPr>
                  <pic:blipFill>
                    <a:blip r:embed="rId43"/>
                    <a:stretch>
                      <a:fillRect/>
                    </a:stretch>
                  </pic:blipFill>
                  <pic:spPr bwMode="auto">
                    <a:xfrm>
                      <a:off x="0" y="0"/>
                      <a:ext cx="3003146" cy="1703414"/>
                    </a:xfrm>
                    <a:prstGeom prst="rect">
                      <a:avLst/>
                    </a:prstGeom>
                    <a:noFill/>
                    <a:ln w="9525">
                      <a:noFill/>
                      <a:headEnd/>
                      <a:tailEnd/>
                    </a:ln>
                  </pic:spPr>
                </pic:pic>
              </a:graphicData>
            </a:graphic>
          </wp:inline>
        </w:drawing>
      </w:r>
    </w:p>
    <w:bookmarkEnd w:id="46"/>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bookmarkStart w:id="50" w:name="fig_conjuntos_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Gráfico 3.– Conjuntos «al menos tan bueno como» \vec{x}^0, «no mejor que» \vec{x}^0 e indiferencia: la curva de indiferencia es su frontera común" title="" id="48" name="Picture"/>
            <a:graphic>
              <a:graphicData uri="http://schemas.openxmlformats.org/drawingml/2006/picture">
                <pic:pic>
                  <pic:nvPicPr>
                    <pic:cNvPr descr="C:\Users\vgutierrez\Documents\src\victorgutierrezmarcos.github.io-revision\oposicion\temario\fuentes\3A08\graficos/conjuntos-contorno.png" id="49" name="Picture"/>
                    <pic:cNvPicPr>
                      <a:picLocks noChangeArrowheads="1" noChangeAspect="1"/>
                    </pic:cNvPicPr>
                  </pic:nvPicPr>
                  <pic:blipFill>
                    <a:blip r:embed="rId47"/>
                    <a:stretch>
                      <a:fillRect/>
                    </a:stretch>
                  </pic:blipFill>
                  <pic:spPr bwMode="auto">
                    <a:xfrm>
                      <a:off x="0" y="0"/>
                      <a:ext cx="3431293" cy="2440438"/>
                    </a:xfrm>
                    <a:prstGeom prst="rect">
                      <a:avLst/>
                    </a:prstGeom>
                    <a:noFill/>
                    <a:ln w="9525">
                      <a:noFill/>
                      <a:headEnd/>
                      <a:tailEnd/>
                    </a:ln>
                  </pic:spPr>
                </pic:pic>
              </a:graphicData>
            </a:graphic>
          </wp:inline>
        </w:drawing>
      </w:r>
    </w:p>
    <w:bookmarkEnd w:id="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3.B</w:t>
        </w:r>
      </w:hyperlink>
      <w:r>
        <w:t xml:space="preserve">)</w:t>
      </w:r>
      <w:r>
        <w:t xml:space="preserve">.</w:t>
      </w:r>
    </w:p>
    <w:bookmarkEnd w:id="51"/>
    <w:bookmarkStart w:id="56" w:name="axiomas_sobre_las_preferencias"/>
    <w:p>
      <w:pPr>
        <w:pStyle w:val="Heading4"/>
      </w:pPr>
      <w:r>
        <w:t xml:space="preserve">Axiomas sobre las preferencias</w:t>
      </w:r>
    </w:p>
    <w:p>
      <w:pPr>
        <w:keepNext/>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3</w:t>
        </w:r>
      </w:hyperlink>
      <w:r>
        <w:t xml:space="preserve">)</w:t>
      </w:r>
      <w:r>
        <w:t xml:space="preserve">. No todos hacen falta para lo mismo (gráfico </w:t>
      </w:r>
      <w:hyperlink w:anchor="fig_esquema_axiomas">
        <w:r>
          <w:rPr>
            <w:rStyle w:val="Hyperlink"/>
          </w:rPr>
          <w:t xml:space="preserve">4</w:t>
        </w:r>
      </w:hyperlink>
      <w:r>
        <w:t xml:space="preserve">,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hyperlink r:id="rId30">
        <w:r>
          <w:rPr>
            <w:rStyle w:val="Referenciaatema"/>
          </w:rPr>
          <w:t xml:space="preserve">[ver tema 3.A.9]</w:t>
        </w:r>
      </w:hyperlink>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55" w:name="fig_esquema_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Gráfico 4.– Axiomas sobre las preferencias: qué garantiza cada uno y cómo se agrupan según su papel" title="" id="53" name="Picture"/>
            <a:graphic>
              <a:graphicData uri="http://schemas.openxmlformats.org/drawingml/2006/picture">
                <pic:pic>
                  <pic:nvPicPr>
                    <pic:cNvPr descr="C:\Users\vgutierrez\Documents\src\victorgutierrezmarcos.github.io-revision\oposicion\temario\fuentes\3A08\graficos/esquema-axiomas.png" id="54" name="Picture"/>
                    <pic:cNvPicPr>
                      <a:picLocks noChangeArrowheads="1" noChangeAspect="1"/>
                    </pic:cNvPicPr>
                  </pic:nvPicPr>
                  <pic:blipFill>
                    <a:blip r:embed="rId52"/>
                    <a:stretch>
                      <a:fillRect/>
                    </a:stretch>
                  </pic:blipFill>
                  <pic:spPr bwMode="auto">
                    <a:xfrm>
                      <a:off x="0" y="0"/>
                      <a:ext cx="5969000" cy="1845118"/>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Debreu</w:t>
      </w:r>
      <w:r>
        <w:t xml:space="preserve"> </w:t>
      </w:r>
      <w:r>
        <w:t xml:space="preserve">(</w:t>
      </w:r>
      <w:hyperlink w:anchor="ref_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w:t>
      </w:r>
    </w:p>
    <w:bookmarkEnd w:id="56"/>
    <w:bookmarkStart w:id="63" w:name="axiomas_de_preorden_completo_racio_25791"/>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7"/>
      </w:r>
    </w:p>
    <w:p>
      <w:pPr>
        <w:numPr>
          <w:ilvl w:val="0"/>
          <w:numId w:val="1025"/>
        </w:numPr>
      </w:pPr>
      <w:r>
        <w:rPr>
          <w:b/>
          <w:bCs/>
        </w:rPr>
        <w:t xml:space="preserve">Reflexividad</w:t>
      </w:r>
      <w:r>
        <w:t xml:space="preserve">:</w:t>
      </w:r>
      <w:r>
        <w:rPr>
          <w:rStyle w:val="FootnoteReference"/>
        </w:rPr>
        <w:footnoteReference w:id="58"/>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9"/>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60"/>
      </w:r>
    </w:p>
    <w:p>
      <w:pPr>
        <w:keepNext/>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62"/>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w:t>
      </w:r>
      <w:hyperlink w:anchor="fig_axiomas_curva_indiferencia">
        <w:r>
          <w:rPr>
            <w:rStyle w:val="Hyperlink"/>
          </w:rPr>
          <w:t xml:space="preserve">5</w:t>
        </w:r>
      </w:hyperlink>
      <w:r>
        <w:t xml:space="preserve">, panel de los axiomas 1-3).</w:t>
      </w:r>
    </w:p>
    <w:bookmarkEnd w:id="63"/>
    <w:bookmarkStart w:id="74" w:name="axiomas_de_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64"/>
      </w:r>
    </w:p>
    <w:p>
      <w:pPr>
        <w:keepNext/>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Basta con estos 4 axiomas: la monotonía, la convexidad y la diferenciabilidad no hacen falta para que la función exista.</w:t>
      </w:r>
      <w:r>
        <w:rPr>
          <w:rStyle w:val="FootnoteReference"/>
        </w:rPr>
        <w:footnoteReference w:id="65"/>
      </w:r>
      <w:r>
        <w:t xml:space="preserve"> </w:t>
      </w:r>
      <w:r>
        <w:t xml:space="preserve">Las preferencias lexicográficas cumplen el preorden completo, pero no la continuidad, y no pueden representarse con ninguna función de utilidad.</w:t>
      </w:r>
      <w:r>
        <w:rPr>
          <w:rStyle w:val="FootnoteReference"/>
        </w:rPr>
        <w:footnoteReference w:id="66"/>
      </w:r>
    </w:p>
    <w:p>
      <w:pPr>
        <w:keepNext/>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67"/>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9"/>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73" w:name="fig_axiomas_curva_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Gráfico 5.– Lo que garantiza cada axioma sobre los conjuntos de indiferencia: los axiomas 1-4 bastan para que exista la función de utilidad; 5 y 6 le dan sus propiedades, y 6' y 7 simplifican" title="" id="71" name="Picture"/>
            <a:graphic>
              <a:graphicData uri="http://schemas.openxmlformats.org/drawingml/2006/picture">
                <pic:pic>
                  <pic:nvPicPr>
                    <pic:cNvPr descr="C:\Users\vgutierrez\Documents\src\victorgutierrezmarcos.github.io-revision\oposicion\temario\fuentes\3A08\graficos/axiomas-curva-indiferencia.png" id="72" name="Picture"/>
                    <pic:cNvPicPr>
                      <a:picLocks noChangeArrowheads="1" noChangeAspect="1"/>
                    </pic:cNvPicPr>
                  </pic:nvPicPr>
                  <pic:blipFill>
                    <a:blip r:embed="rId70"/>
                    <a:stretch>
                      <a:fillRect/>
                    </a:stretch>
                  </pic:blipFill>
                  <pic:spPr bwMode="auto">
                    <a:xfrm>
                      <a:off x="0" y="0"/>
                      <a:ext cx="5073650" cy="3950814"/>
                    </a:xfrm>
                    <a:prstGeom prst="rect">
                      <a:avLst/>
                    </a:prstGeom>
                    <a:noFill/>
                    <a:ln w="9525">
                      <a:noFill/>
                      <a:headEnd/>
                      <a:tailEnd/>
                    </a:ln>
                  </pic:spPr>
                </pic:pic>
              </a:graphicData>
            </a:graphic>
          </wp:inline>
        </w:drawing>
      </w:r>
    </w:p>
    <w:bookmarkEnd w:id="73"/>
    <w:p>
      <w:pPr>
        <w:pStyle w:val="Piedeimagen"/>
      </w:pPr>
      <w:r>
        <w:t xml:space="preserve">Fuente: elaboración propia basada en</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74"/>
    <w:bookmarkStart w:id="89" w:name="funci__n_de_utilidad"/>
    <w:p>
      <w:pPr>
        <w:pStyle w:val="Heading4"/>
      </w:pPr>
      <w:r>
        <w:t xml:space="preserve">Función de utilidad</w:t>
      </w:r>
    </w:p>
    <w:p>
      <w:pPr>
        <w:keepNext/>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75"/>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76"/>
      </w:r>
      <w:r>
        <w:t xml:space="preserve"> </w:t>
      </w:r>
      <w:bookmarkStart w:id="77" w:name="eq_representacion"/>
      <w:bookmarkEnd w:id="77"/>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w:t>
      </w:r>
      <w:hyperlink w:anchor="fig_superficie_utilidad">
        <w:r>
          <w:rPr>
            <w:rStyle w:val="Hyperlink"/>
          </w:rPr>
          <w:t xml:space="preserve">6</w:t>
        </w:r>
      </w:hyperlink>
      <w:r>
        <w:t xml:space="preserve">),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81" w:name="fig_superficie_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Gráfico 6.– Superficie de utilidad U(x_1,x_2)=\sqrt{x_1x_2} cortada a los niveles U=1,2,3 y su proyección en el plano: el mapa de curvas de indiferencia" title="" id="79" name="Picture"/>
            <a:graphic>
              <a:graphicData uri="http://schemas.openxmlformats.org/drawingml/2006/picture">
                <pic:pic>
                  <pic:nvPicPr>
                    <pic:cNvPr descr="C:\Users\vgutierrez\Documents\src\victorgutierrezmarcos.github.io-revision\oposicion\temario\fuentes\3A08\graficos/superficie-utilidad.png" id="80" name="Picture"/>
                    <pic:cNvPicPr>
                      <a:picLocks noChangeArrowheads="1" noChangeAspect="1"/>
                    </pic:cNvPicPr>
                  </pic:nvPicPr>
                  <pic:blipFill>
                    <a:blip r:embed="rId78"/>
                    <a:stretch>
                      <a:fillRect/>
                    </a:stretch>
                  </pic:blipFill>
                  <pic:spPr bwMode="auto">
                    <a:xfrm>
                      <a:off x="0" y="0"/>
                      <a:ext cx="5192813" cy="2660628"/>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4</w:t>
        </w:r>
      </w:hyperlink>
      <w:r>
        <w:t xml:space="preserve">)</w:t>
      </w:r>
      <w:r>
        <w:t xml:space="preserve">.</w:t>
      </w:r>
    </w:p>
    <w:p>
      <w:pPr>
        <w:keepNext/>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8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83"/>
      </w:r>
      <w:r>
        <w:rPr>
          <w:vertAlign w:val="superscript"/>
        </w:rPr>
        <w:t xml:space="preserve">,</w:t>
      </w:r>
      <w:r>
        <w:rPr>
          <w:rStyle w:val="FootnoteReference"/>
        </w:rPr>
        <w:footnoteReference w:id="84"/>
      </w:r>
    </w:p>
    <w:bookmarkStart w:id="88" w:name="fig_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Gráfico 7.– Cuasiconcavidad: función cóncava, función cuasicóncava y función que no es cuasicóncava" title="" id="86" name="Picture"/>
            <a:graphic>
              <a:graphicData uri="http://schemas.openxmlformats.org/drawingml/2006/picture">
                <pic:pic>
                  <pic:nvPicPr>
                    <pic:cNvPr descr="C:\Users\vgutierrez\Documents\src\victorgutierrezmarcos.github.io-revision\oposicion\temario\fuentes\3A08\graficos/cuasiconcavidad.png" id="87" name="Picture"/>
                    <pic:cNvPicPr>
                      <a:picLocks noChangeArrowheads="1" noChangeAspect="1"/>
                    </pic:cNvPicPr>
                  </pic:nvPicPr>
                  <pic:blipFill>
                    <a:blip r:embed="rId85"/>
                    <a:stretch>
                      <a:fillRect/>
                    </a:stretch>
                  </pic:blipFill>
                  <pic:spPr bwMode="auto">
                    <a:xfrm>
                      <a:off x="0" y="0"/>
                      <a:ext cx="5073650" cy="1867262"/>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bookmarkEnd w:id="89"/>
    <w:bookmarkStart w:id="104" w:name="curvas_de_indiferencia_relaci__n_m_36590"/>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r>
        <w:t xml:space="preserve"> </w:t>
      </w:r>
      <w:bookmarkStart w:id="90" w:name="eq_curva_indiferencia"/>
      <w:bookmarkEnd w:id="90"/>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w:t>
      </w:r>
      <w:hyperlink w:anchor="fig_conjuntos_contorno">
        <w:r>
          <w:rPr>
            <w:rStyle w:val="Hyperlink"/>
          </w:rPr>
          <w:t xml:space="preserve">3</w:t>
        </w:r>
      </w:hyperlink>
      <w:r>
        <w:t xml:space="preserve">),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superficie_utilidad">
        <w:r>
          <w:rPr>
            <w:rStyle w:val="Hyperlink"/>
          </w:rPr>
          <w:t xml:space="preserve">6</w:t>
        </w:r>
      </w:hyperlink>
      <w:r>
        <w:t xml:space="preserve">).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r>
        <w:t xml:space="preserve"> </w:t>
      </w:r>
      <w:bookmarkStart w:id="91" w:name="eq_pendiente_ci"/>
      <w:bookmarkEnd w:id="91"/>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39"/>
        </w:numPr>
      </w:pPr>
      <w:r>
        <w:rPr>
          <w:i/>
          <w:iCs/>
        </w:rPr>
        <w:t xml:space="preserve">Propiedades</w:t>
      </w:r>
      <w:r>
        <w:t xml:space="preserve"> </w:t>
      </w:r>
      <w:r>
        <w:t xml:space="preserve">de las curvas de indiferencia (con preferencias regulares), cada una con el axioma que la garantiza (gráfico </w:t>
      </w:r>
      <w:hyperlink w:anchor="fig_propiedades_curvas_indiferencia">
        <w:r>
          <w:rPr>
            <w:rStyle w:val="Hyperlink"/>
          </w:rPr>
          <w:t xml:space="preserve">8</w:t>
        </w:r>
      </w:hyperlink>
      <w:r>
        <w:t xml:space="preserve">):</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utilidad; ∎</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rPr>
          <w:i/>
          <w:iCs/>
        </w:rPr>
        <w:t xml:space="preserve">no tienen vértices</w:t>
      </w:r>
      <w:r>
        <w:t xml:space="preserve">, por la diferenciabilidad (axioma 7): la pendiente es única en cada punto.</w:t>
      </w:r>
    </w:p>
    <w:bookmarkStart w:id="95" w:name="fig_propiedades_curvas_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Gráfico 8.– Propiedades de las curvas de indiferencia y axioma que da cada una" title="" id="93" name="Picture"/>
            <a:graphic>
              <a:graphicData uri="http://schemas.openxmlformats.org/drawingml/2006/picture">
                <pic:pic>
                  <pic:nvPicPr>
                    <pic:cNvPr descr="C:\Users\vgutierrez\Documents\src\victorgutierrezmarcos.github.io-revision\oposicion\temario\fuentes\3A08\graficos/propiedades-curvas-indiferencia.png" id="94" name="Picture"/>
                    <pic:cNvPicPr>
                      <a:picLocks noChangeArrowheads="1" noChangeAspect="1"/>
                    </pic:cNvPicPr>
                  </pic:nvPicPr>
                  <pic:blipFill>
                    <a:blip r:embed="rId92"/>
                    <a:stretch>
                      <a:fillRect/>
                    </a:stretch>
                  </pic:blipFill>
                  <pic:spPr bwMode="auto">
                    <a:xfrm>
                      <a:off x="0" y="0"/>
                      <a:ext cx="4761608" cy="5027670"/>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w:t>
      </w:r>
      <w:hyperlink w:anchor="eq_pendiente_ci">
        <w:r>
          <w:rPr>
            <w:rStyle w:val="Hyperlink"/>
          </w:rPr>
          <w:t xml:space="preserve">3</w:t>
        </w:r>
      </w:hyperlink>
      <w:r>
        <w:t xml:space="preserve">):</w:t>
      </w:r>
      <w:r>
        <w:rPr>
          <w:rStyle w:val="FootnoteReference"/>
        </w:rPr>
        <w:footnoteReference w:id="96"/>
      </w:r>
      <w:r>
        <w:t xml:space="preserve"> </w:t>
      </w:r>
      <w:bookmarkStart w:id="97" w:name="eq_rms"/>
      <w:bookmarkEnd w:id="97"/>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r>
        <w:t xml:space="preserve"> </w:t>
      </w:r>
      <w:bookmarkStart w:id="98" w:name="eq_elasticidad_sustitucion"/>
      <w:bookmarkEnd w:id="98"/>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r>
        <w:t xml:space="preserve"> </w:t>
      </w:r>
      <w:bookmarkStart w:id="99" w:name="eq_ces"/>
      <w:bookmarkEnd w:id="99"/>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103" w:name="fig_ces_curvas_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Gráfico 9.– Curvas de indiferencia de la función CES para distintos valores de \sigma" title="" id="101" name="Picture"/>
            <a:graphic>
              <a:graphicData uri="http://schemas.openxmlformats.org/drawingml/2006/picture">
                <pic:pic>
                  <pic:nvPicPr>
                    <pic:cNvPr descr="C:\Users\vgutierrez\Documents\src\victorgutierrezmarcos.github.io-revision\oposicion\temario\fuentes\3A08\graficos/ces-curvas-indiferencia.png" id="102" name="Picture"/>
                    <pic:cNvPicPr>
                      <a:picLocks noChangeArrowheads="1" noChangeAspect="1"/>
                    </pic:cNvPicPr>
                  </pic:nvPicPr>
                  <pic:blipFill>
                    <a:blip r:embed="rId100"/>
                    <a:stretch>
                      <a:fillRect/>
                    </a:stretch>
                  </pic:blipFill>
                  <pic:spPr bwMode="auto">
                    <a:xfrm>
                      <a:off x="0" y="0"/>
                      <a:ext cx="2568882" cy="2471020"/>
                    </a:xfrm>
                    <a:prstGeom prst="rect">
                      <a:avLst/>
                    </a:prstGeom>
                    <a:noFill/>
                    <a:ln w="9525">
                      <a:noFill/>
                      <a:headEnd/>
                      <a:tailEnd/>
                    </a:ln>
                  </pic:spPr>
                </pic:pic>
              </a:graphicData>
            </a:graphic>
          </wp:inline>
        </w:drawing>
      </w:r>
    </w:p>
    <w:bookmarkEnd w:id="103"/>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04"/>
    <w:bookmarkEnd w:id="105"/>
    <w:bookmarkStart w:id="114" w:name="sec_restriccion_presupuestaria"/>
    <w:p>
      <w:pPr>
        <w:pStyle w:val="Heading3"/>
      </w:pPr>
      <w:r>
        <w:t xml:space="preserve">I.1.2.</w:t>
      </w:r>
      <w:r>
        <w:t xml:space="preserve"> </w:t>
      </w:r>
      <w:r>
        <w:t xml:space="preserve">Restricción presupuestaria</w:t>
      </w:r>
    </w:p>
    <w:p>
      <w:pPr>
        <w:keepNext/>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106"/>
      </w:r>
      <w:r>
        <w:t xml:space="preserve"> </w:t>
      </w:r>
      <w:bookmarkStart w:id="107" w:name="eq_restriccion"/>
      <w:bookmarkEnd w:id="107"/>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i/>
          <w:iCs/>
        </w:rPr>
        <w:t xml:space="preserve">propiedades</w:t>
      </w:r>
      <w:r>
        <w:t xml:space="preserve">:</w:t>
      </w:r>
      <w:r>
        <w:rPr>
          <w:rStyle w:val="FootnoteReference"/>
        </w:rPr>
        <w:footnoteReference w:id="108"/>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109"/>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113" w:name="fig_conjunto_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Gráfico 10.– Conjunto presupuestario walrasiano con S=\mathbb{R}^2_+ y efecto de una subida del precio del bien 1" title="" id="111" name="Picture"/>
            <a:graphic>
              <a:graphicData uri="http://schemas.openxmlformats.org/drawingml/2006/picture">
                <pic:pic>
                  <pic:nvPicPr>
                    <pic:cNvPr descr="C:\Users\vgutierrez\Documents\src\victorgutierrezmarcos.github.io-revision\oposicion\temario\fuentes\3A08\graficos/conjunto-presupuestario.png" id="112" name="Picture"/>
                    <pic:cNvPicPr>
                      <a:picLocks noChangeArrowheads="1" noChangeAspect="1"/>
                    </pic:cNvPicPr>
                  </pic:nvPicPr>
                  <pic:blipFill>
                    <a:blip r:embed="rId110"/>
                    <a:stretch>
                      <a:fillRect/>
                    </a:stretch>
                  </pic:blipFill>
                  <pic:spPr bwMode="auto">
                    <a:xfrm>
                      <a:off x="0" y="0"/>
                      <a:ext cx="4672920" cy="1877731"/>
                    </a:xfrm>
                    <a:prstGeom prst="rect">
                      <a:avLst/>
                    </a:prstGeom>
                    <a:noFill/>
                    <a:ln w="9525">
                      <a:noFill/>
                      <a:headEnd/>
                      <a:tailEnd/>
                    </a:ln>
                  </pic:spPr>
                </pic:pic>
              </a:graphicData>
            </a:graphic>
          </wp:inline>
        </w:drawing>
      </w:r>
    </w:p>
    <w:bookmarkEnd w:id="11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114"/>
    <w:bookmarkEnd w:id="115"/>
    <w:bookmarkStart w:id="130" w:name="sec_problema_maximizacion_utilidad"/>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w:t>
      </w:r>
      <w:hyperlink w:anchor="fig_solucion_interior_esquina">
        <w:r>
          <w:rPr>
            <w:rStyle w:val="Hyperlink"/>
          </w:rPr>
          <w:t xml:space="preserve">11</w:t>
        </w:r>
      </w:hyperlink>
      <w:r>
        <w:t xml:space="preserve">). Los teoremas de optimización son de profundización; el anexo </w:t>
      </w:r>
      <w:hyperlink w:anchor="anexo_r3">
        <w:r>
          <w:rPr>
            <w:rStyle w:val="Hyperlink"/>
          </w:rPr>
          <w:t xml:space="preserve">A</w:t>
        </w:r>
      </w:hyperlink>
      <w:r>
        <w:t xml:space="preserve"> </w:t>
      </w:r>
      <w:r>
        <w:t xml:space="preserve">representa el problema en tres dimensiones y muestra por qué la restricción se satura.</w:t>
      </w:r>
    </w:p>
    <w:bookmarkStart w:id="121" w:name="sec_planteamiento_condiciones_kuhn"/>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bookmarkStart w:id="116" w:name="eq_pmu"/>
    <w:bookmarkEnd w:id="116"/>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_KuhnTucker1951Nonlinear">
        <w:r>
          <w:rPr>
            <w:rStyle w:val="Hyperlink"/>
          </w:rPr>
          <w:t xml:space="preserve">1951</w:t>
        </w:r>
      </w:hyperlink>
      <w:r>
        <w:t xml:space="preserve">)</w:t>
      </w:r>
      <w:r>
        <w:t xml:space="preserve">, a partir de la función lagrangiana:</w:t>
      </w:r>
      <w:r>
        <w:t xml:space="preserve"> </w:t>
      </w:r>
      <w:bookmarkStart w:id="117" w:name="eq_lagrangiana"/>
      <w:bookmarkEnd w:id="117"/>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18"/>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r>
        <w:t xml:space="preserve"> </w:t>
      </w:r>
      <w:bookmarkStart w:id="119" w:name="eq_kt1"/>
      <w:bookmarkEnd w:id="119"/>
      <w:bookmarkStart w:id="120" w:name="eq_kt2"/>
      <w:bookmarkEnd w:id="120"/>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4"/>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4"/>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w:t>
      </w:r>
      <w:hyperlink w:anchor="anexo_r3">
        <w:r>
          <w:rPr>
            <w:rStyle w:val="Hyperlink"/>
          </w:rPr>
          <w:t xml:space="preserve">A</w:t>
        </w:r>
      </w:hyperlink>
      <w:r>
        <w:t xml:space="preserve">).</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21"/>
    <w:bookmarkStart w:id="124" w:name="sec_solucion_interior"/>
    <w:p>
      <w:pPr>
        <w:pStyle w:val="Heading3"/>
      </w:pPr>
      <w:r>
        <w:t xml:space="preserve">I.2.2.</w:t>
      </w:r>
      <w:r>
        <w:t xml:space="preserve"> </w:t>
      </w:r>
      <w:r>
        <w:t xml:space="preserve">Solución interior</w:t>
      </w:r>
    </w:p>
    <w:p>
      <w:pPr>
        <w:numPr>
          <w:ilvl w:val="0"/>
          <w:numId w:val="105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w:t>
      </w:r>
      <w:hyperlink w:anchor="eq_kt1">
        <w:r>
          <w:rPr>
            <w:rStyle w:val="Hyperlink"/>
          </w:rPr>
          <w:t xml:space="preserve">10</w:t>
        </w:r>
      </w:hyperlink>
      <w:r>
        <w:t xml:space="preserve">) se cumple con igualdad para todos los bienes y, despejando</w:t>
      </w:r>
      <w:r>
        <w:t xml:space="preserve"> </w:t>
      </w:r>
      <m:oMath>
        <m:r>
          <m:t>λ</m:t>
        </m:r>
      </m:oMath>
      <w:r>
        <w:t xml:space="preserve">:</w:t>
      </w:r>
      <w:r>
        <w:t xml:space="preserve"> </w:t>
      </w:r>
      <w:bookmarkStart w:id="122" w:name="eq_gossen"/>
      <w:bookmarkEnd w:id="122"/>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w:t>
      </w:r>
      <w:hyperlink w:anchor="ley_gossen2">
        <w:r>
          <w:rPr>
            <w:rStyle w:val="Hyperlink"/>
          </w:rPr>
          <w:t xml:space="preserve">véase</w:t>
        </w:r>
      </w:hyperlink>
      <w:r>
        <w:t xml:space="preserve">).</w:t>
      </w:r>
    </w:p>
    <w:p>
      <w:pPr>
        <w:numPr>
          <w:ilvl w:val="1"/>
          <w:numId w:val="1056"/>
        </w:numPr>
      </w:pPr>
      <w:r>
        <w:t xml:space="preserve">Con 2 bienes, la tasa a la que el consumidor está dispuesto a intercambiar los bienes (RMS) se iguala a la que fija el mercado (cociente de precios): la curva de indiferencia es tangente a la recta de balance.</w:t>
      </w:r>
      <w:r>
        <w:t xml:space="preserve"> </w:t>
      </w:r>
      <w:bookmarkStart w:id="123" w:name="eq_tangencia"/>
      <w:bookmarkEnd w:id="123"/>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24"/>
    <w:bookmarkStart w:id="129" w:name="sec_solucion_esquina"/>
    <w:p>
      <w:pPr>
        <w:pStyle w:val="Heading3"/>
      </w:pPr>
      <w:r>
        <w:t xml:space="preserve">I.2.3.</w:t>
      </w:r>
      <w:r>
        <w:t xml:space="preserve"> </w:t>
      </w:r>
      <w:r>
        <w:t xml:space="preserve">Solución de esquina</w:t>
      </w:r>
    </w:p>
    <w:p>
      <w:pPr>
        <w:numPr>
          <w:ilvl w:val="0"/>
          <w:numId w:val="1057"/>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28" w:name="fig_solucion_interior_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Gráfico 11.– Solución interior (tangencia) y solución de esquina" title="" id="126" name="Picture"/>
            <a:graphic>
              <a:graphicData uri="http://schemas.openxmlformats.org/drawingml/2006/picture">
                <pic:pic>
                  <pic:nvPicPr>
                    <pic:cNvPr descr="C:\Users\vgutierrez\Documents\src\victorgutierrezmarcos.github.io-revision\oposicion\temario\fuentes\3A08\graficos/solucion-interior-esquina.png" id="127" name="Picture"/>
                    <pic:cNvPicPr>
                      <a:picLocks noChangeArrowheads="1" noChangeAspect="1"/>
                    </pic:cNvPicPr>
                  </pic:nvPicPr>
                  <pic:blipFill>
                    <a:blip r:embed="rId125"/>
                    <a:stretch>
                      <a:fillRect/>
                    </a:stretch>
                  </pic:blipFill>
                  <pic:spPr bwMode="auto">
                    <a:xfrm>
                      <a:off x="0" y="0"/>
                      <a:ext cx="5000147" cy="1877731"/>
                    </a:xfrm>
                    <a:prstGeom prst="rect">
                      <a:avLst/>
                    </a:prstGeom>
                    <a:noFill/>
                    <a:ln w="9525">
                      <a:noFill/>
                      <a:headEnd/>
                      <a:tailEnd/>
                    </a:ln>
                  </pic:spPr>
                </pic:pic>
              </a:graphicData>
            </a:graphic>
          </wp:inline>
        </w:drawing>
      </w:r>
    </w:p>
    <w:bookmarkEnd w:id="128"/>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_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29"/>
    <w:bookmarkEnd w:id="130"/>
    <w:bookmarkStart w:id="151" w:name="sec_solucion_problema_maximizacion"/>
    <w:p>
      <w:pPr>
        <w:pStyle w:val="Heading2"/>
      </w:pPr>
      <w:r>
        <w:t xml:space="preserve">I.3.</w:t>
      </w:r>
      <w:r>
        <w:t xml:space="preserve"> </w:t>
      </w:r>
      <w:r>
        <w:t xml:space="preserve">Solución al problema de maximización</w:t>
      </w:r>
    </w:p>
    <w:p>
      <w:pPr>
        <w:numPr>
          <w:ilvl w:val="0"/>
          <w:numId w:val="1058"/>
        </w:numPr>
      </w:pPr>
      <w:r>
        <w:t xml:space="preserve">Una vez planteado el problema y caracterizado su equilibrio, pasamos a estudiar su solución: la demanda marshalliana, la función indirecta de utilidad y, al agregar, la demanda de mercado.</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38" w:name="sec_demanda_individual_marshalliana"/>
    <w:p>
      <w:pPr>
        <w:pStyle w:val="Heading3"/>
      </w:pPr>
      <w:r>
        <w:t xml:space="preserve">I.3.1.</w:t>
      </w:r>
      <w:r>
        <w:t xml:space="preserve"> </w:t>
      </w:r>
      <w:r>
        <w:t xml:space="preserve">Demanda individual marshalliana</w:t>
      </w:r>
    </w:p>
    <w:p>
      <w:pPr>
        <w:numPr>
          <w:ilvl w:val="0"/>
          <w:numId w:val="1059"/>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31"/>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bookmarkStart w:id="132" w:name="eq_scedm"/>
    <w:bookmarkEnd w:id="132"/>
    <w:p>
      <w:pPr>
        <w:pStyle w:val="Funcionclave"/>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59"/>
        </w:numPr>
      </w:pPr>
      <w:r>
        <w:t xml:space="preserve">Sus</w:t>
      </w:r>
      <w:r>
        <w:t xml:space="preserve"> </w:t>
      </w:r>
      <w:r>
        <w:rPr>
          <w:i/>
          <w:iCs/>
        </w:rPr>
        <w:t xml:space="preserve">propiedades</w:t>
      </w:r>
      <w:r>
        <w:t xml:space="preserve">:</w:t>
      </w:r>
    </w:p>
    <w:p>
      <w:pPr>
        <w:numPr>
          <w:ilvl w:val="1"/>
          <w:numId w:val="1060"/>
        </w:numPr>
      </w:pPr>
      <w:r>
        <w:rPr>
          <w:i/>
          <w:iCs/>
        </w:rPr>
        <w:t xml:space="preserve">Existe y es única</w:t>
      </w:r>
      <w:r>
        <w:t xml:space="preserve">.</w:t>
      </w:r>
      <w:r>
        <w:rPr>
          <w:rStyle w:val="FootnoteReference"/>
        </w:rPr>
        <w:footnoteReference w:id="133"/>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4"/>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35"/>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0"/>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36"/>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0"/>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7"/>
      </w:r>
    </w:p>
    <w:bookmarkEnd w:id="138"/>
    <w:bookmarkStart w:id="141" w:name="sec_funcion_indirecta_utilidad"/>
    <w:p>
      <w:pPr>
        <w:pStyle w:val="Heading3"/>
      </w:pPr>
      <w:r>
        <w:t xml:space="preserve">I.3.2.</w:t>
      </w:r>
      <w:r>
        <w:t xml:space="preserve"> </w:t>
      </w:r>
      <w:r>
        <w:t xml:space="preserve">La función indirecta de utilidad</w:t>
      </w:r>
    </w:p>
    <w:p>
      <w:pPr>
        <w:numPr>
          <w:ilvl w:val="0"/>
          <w:numId w:val="1061"/>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w:t>
      </w:r>
      <w:hyperlink w:anchor="eq_pmu">
        <w:r>
          <w:rPr>
            <w:rStyle w:val="Hyperlink"/>
          </w:rPr>
          <w:t xml:space="preserve">8</w:t>
        </w:r>
      </w:hyperlink>
      <w:r>
        <w:t xml:space="preserve">),</w:t>
      </w:r>
      <w:r>
        <w:t xml:space="preserve"> </w:t>
      </w:r>
      <w:bookmarkStart w:id="139" w:name="eq_fiu"/>
      <w:bookmarkEnd w:id="139"/>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1"/>
        </w:numPr>
      </w:pPr>
      <w:r>
        <w:rPr>
          <w:i/>
          <w:iCs/>
        </w:rPr>
        <w:t xml:space="preserve">Propiedades</w:t>
      </w:r>
      <w:r>
        <w:t xml:space="preserve"> </w:t>
      </w:r>
      <w:r>
        <w:t xml:space="preserve">de la FIU</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w:t>
      </w:r>
    </w:p>
    <w:p>
      <w:pPr>
        <w:numPr>
          <w:ilvl w:val="1"/>
          <w:numId w:val="106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2"/>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2"/>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140" w:name="eq_roy"/>
      <w:bookmarkEnd w:id="140"/>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w:t>
      </w:r>
      <w:hyperlink w:anchor="der_roy">
        <w:r>
          <w:rPr>
            <w:rStyle w:val="Hyperlink"/>
          </w:rPr>
          <w:t xml:space="preserve">B.4</w:t>
        </w:r>
      </w:hyperlink>
      <w:r>
        <w:t xml:space="preserve">).</w:t>
      </w:r>
    </w:p>
    <w:p>
      <w:pPr>
        <w:numPr>
          <w:ilvl w:val="0"/>
          <w:numId w:val="1061"/>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hyperlink r:id="rId30">
        <w:r>
          <w:rPr>
            <w:rStyle w:val="Referenciaatema"/>
          </w:rPr>
          <w:t xml:space="preserve">[ver tema 3.A.9]</w:t>
        </w:r>
      </w:hyperlink>
      <w:r>
        <w:t xml:space="preserve">.</w:t>
      </w:r>
    </w:p>
    <w:bookmarkEnd w:id="141"/>
    <w:bookmarkStart w:id="150" w:name="sec_curva_demanda_mercado"/>
    <w:p>
      <w:pPr>
        <w:pStyle w:val="Heading3"/>
      </w:pPr>
      <w:r>
        <w:t xml:space="preserve">I.3.3.</w:t>
      </w:r>
      <w:r>
        <w:t xml:space="preserve"> </w:t>
      </w:r>
      <w:r>
        <w:t xml:space="preserve">Curva de demanda de mercado: agregación y efecto renta nulo</w:t>
      </w:r>
    </w:p>
    <w:p>
      <w:pPr>
        <w:numPr>
          <w:ilvl w:val="0"/>
          <w:numId w:val="1063"/>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r>
        <w:t xml:space="preserve"> </w:t>
      </w:r>
      <w:bookmarkStart w:id="142" w:name="eq_demanda_mercado"/>
      <w:bookmarkEnd w:id="142"/>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3"/>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4"/>
        </w:numPr>
      </w:pPr>
      <w:r>
        <w:rPr>
          <w:b/>
          <w:bCs/>
        </w:rPr>
        <w:t xml:space="preserve">Condición de</w:t>
      </w:r>
      <w:r>
        <w:t xml:space="preserve"> </w:t>
      </w:r>
      <w:r>
        <w:rPr>
          <w:smallCaps/>
        </w:rPr>
        <w:t xml:space="preserve">Gorman</w:t>
      </w:r>
      <w:r>
        <w:t xml:space="preserve"> </w:t>
      </w:r>
      <w:r>
        <w:t xml:space="preserve">(</w:t>
      </w:r>
      <w:hyperlink w:anchor="ref_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43"/>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_Gorman1961Class">
        <w:r>
          <w:rPr>
            <w:rStyle w:val="Hyperlink"/>
          </w:rPr>
          <w:t xml:space="preserve">1961</w:t>
        </w:r>
      </w:hyperlink>
      <w:r>
        <w:t xml:space="preserve">)</w:t>
      </w:r>
      <w:r>
        <w:t xml:space="preserve">:</w:t>
      </w:r>
      <w:r>
        <w:t xml:space="preserve"> </w:t>
      </w:r>
      <w:bookmarkStart w:id="144" w:name="eq_gorman"/>
      <w:bookmarkEnd w:id="144"/>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45"/>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4.B.1)</w:t>
      </w:r>
      <w:r>
        <w:t xml:space="preserve">.</w:t>
      </w:r>
    </w:p>
    <w:p>
      <w:pPr>
        <w:keepNext/>
        <w:numPr>
          <w:ilvl w:val="1"/>
          <w:numId w:val="1064"/>
        </w:numPr>
      </w:pPr>
      <w:r>
        <w:t xml:space="preserve">Casos particulares:</w:t>
      </w:r>
    </w:p>
    <w:p>
      <w:pPr>
        <w:numPr>
          <w:ilvl w:val="2"/>
          <w:numId w:val="1065"/>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5"/>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4"/>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hyperlink r:id="rId61">
        <w:r>
          <w:rPr>
            <w:rStyle w:val="Referenciaatema"/>
          </w:rPr>
          <w:t xml:space="preserve">[ver tema 3.A.24]</w:t>
        </w:r>
      </w:hyperlink>
      <w:r>
        <w:t xml:space="preserv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hyperlink r:id="rId30">
        <w:r>
          <w:rPr>
            <w:rStyle w:val="Referenciaatema"/>
          </w:rPr>
          <w:t xml:space="preserve">[ver tema 3.A.9]</w:t>
        </w:r>
      </w:hyperlink>
      <w:r>
        <w:t xml:space="preserve">.</w:t>
      </w:r>
    </w:p>
    <w:bookmarkStart w:id="149" w:name="fig_engel_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Gráfico 12.– Forma polar de Gorman: curvas de Engel rectas y paralelas de 2 consumidores" title="" id="147" name="Picture"/>
            <a:graphic>
              <a:graphicData uri="http://schemas.openxmlformats.org/drawingml/2006/picture">
                <pic:pic>
                  <pic:nvPicPr>
                    <pic:cNvPr descr="C:\Users\vgutierrez\Documents\src\victorgutierrezmarcos.github.io-revision\oposicion\temario\fuentes\3A08\graficos/engel-gorman.png" id="148" name="Picture"/>
                    <pic:cNvPicPr>
                      <a:picLocks noChangeArrowheads="1" noChangeAspect="1"/>
                    </pic:cNvPicPr>
                  </pic:nvPicPr>
                  <pic:blipFill>
                    <a:blip r:embed="rId146"/>
                    <a:stretch>
                      <a:fillRect/>
                    </a:stretch>
                  </pic:blipFill>
                  <pic:spPr bwMode="auto">
                    <a:xfrm>
                      <a:off x="0" y="0"/>
                      <a:ext cx="2483253" cy="1883847"/>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4</w:t>
        </w:r>
      </w:hyperlink>
      <w:r>
        <w:t xml:space="preserve">)</w:t>
      </w:r>
      <w:r>
        <w:t xml:space="preserve">.</w:t>
      </w:r>
    </w:p>
    <w:p>
      <w:pPr>
        <w:keepNext/>
        <w:numPr>
          <w:ilvl w:val="0"/>
          <w:numId w:val="1066"/>
        </w:numPr>
      </w:pPr>
      <w:r>
        <w:rPr>
          <w:i/>
          <w:iCs/>
        </w:rPr>
        <w:t xml:space="preserve">El efecto renta nulo</w:t>
      </w:r>
      <w:r>
        <w:t xml:space="preserve"> </w:t>
      </w:r>
      <w:r>
        <w:t xml:space="preserve">(preferencias cuasilineales) es el caso más usado en equilibrio parcial porque:</w:t>
      </w:r>
    </w:p>
    <w:p>
      <w:pPr>
        <w:numPr>
          <w:ilvl w:val="1"/>
          <w:numId w:val="1067"/>
        </w:numPr>
      </w:pPr>
      <w:r>
        <w:t xml:space="preserve">la demanda de cada bien depende solo de los precios, y la agregación es inmediata;</w:t>
      </w:r>
    </w:p>
    <w:p>
      <w:pPr>
        <w:numPr>
          <w:ilvl w:val="1"/>
          <w:numId w:val="1067"/>
        </w:numPr>
      </w:pPr>
      <w:r>
        <w:t xml:space="preserve">la demanda marshalliana coincide con la hicksiana (la que mantiene constante la utilidad), y el excedente del consumidor es una medida exacta del bienestar</w:t>
      </w:r>
      <w:r>
        <w:t xml:space="preserve"> </w:t>
      </w:r>
      <w:hyperlink r:id="rId30">
        <w:r>
          <w:rPr>
            <w:rStyle w:val="Referenciaatema"/>
          </w:rPr>
          <w:t xml:space="preserve">[ver tema 3.A.9]</w:t>
        </w:r>
      </w:hyperlink>
      <w:r>
        <w:t xml:space="preserve"> </w:t>
      </w:r>
      <w:hyperlink r:id="rId22">
        <w:r>
          <w:rPr>
            <w:rStyle w:val="Referenciaatema"/>
          </w:rPr>
          <w:t xml:space="preserve">[ver tema 3.A.16]</w:t>
        </w:r>
      </w:hyperlink>
      <w:r>
        <w:t xml:space="preserve">.</w:t>
      </w:r>
    </w:p>
    <w:p>
      <w:pPr>
        <w:keepNext/>
        <w:numPr>
          <w:ilvl w:val="0"/>
          <w:numId w:val="1066"/>
        </w:numPr>
      </w:pPr>
      <w:r>
        <w:rPr>
          <w:i/>
          <w:iCs/>
        </w:rPr>
        <w:t xml:space="preserve">Problemas del efecto renta nulo</w:t>
      </w:r>
      <w:r>
        <w:t xml:space="preserve">:</w:t>
      </w:r>
    </w:p>
    <w:p>
      <w:pPr>
        <w:numPr>
          <w:ilvl w:val="1"/>
          <w:numId w:val="1068"/>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8"/>
        </w:numPr>
      </w:pPr>
      <w:r>
        <w:t xml:space="preserve">exige que toda la renta adicional vaya al numerario, lo que solo es razonable para bienes que pesan poco en el gasto;</w:t>
      </w:r>
    </w:p>
    <w:p>
      <w:pPr>
        <w:numPr>
          <w:ilvl w:val="1"/>
          <w:numId w:val="1068"/>
        </w:numPr>
      </w:pPr>
      <w:r>
        <w:t xml:space="preserve">si la renta de algún consumidor es baja, aparecen soluciones de esquina en el numerario y la forma deja de valer;</w:t>
      </w:r>
    </w:p>
    <w:p>
      <w:pPr>
        <w:numPr>
          <w:ilvl w:val="1"/>
          <w:numId w:val="1068"/>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66"/>
        </w:numPr>
      </w:pPr>
      <w:r>
        <w:rPr>
          <w:i/>
          <w:iCs/>
        </w:rPr>
        <w:t xml:space="preserve">Segundo problema: ¿hereda la demanda agregada las propiedades de la individual?</w:t>
      </w:r>
      <w:r>
        <w:t xml:space="preserve"> </w:t>
      </w:r>
      <w:r>
        <w:t xml:space="preserve">Solo en parte:</w:t>
      </w:r>
    </w:p>
    <w:p>
      <w:pPr>
        <w:numPr>
          <w:ilvl w:val="1"/>
          <w:numId w:val="1069"/>
        </w:numPr>
      </w:pPr>
      <w:r>
        <w:t xml:space="preserve">se conservan la continuidad, la homogeneidad de grado cero y la ley de</w:t>
      </w:r>
      <w:r>
        <w:t xml:space="preserve"> </w:t>
      </w:r>
      <w:r>
        <w:rPr>
          <w:smallCaps/>
        </w:rPr>
        <w:t xml:space="preserve">Walras</w:t>
      </w:r>
      <w:r>
        <w:t xml:space="preserve">;</w:t>
      </w:r>
    </w:p>
    <w:p>
      <w:pPr>
        <w:numPr>
          <w:ilvl w:val="1"/>
          <w:numId w:val="1069"/>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69"/>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hyperlink r:id="rId23">
        <w:r>
          <w:rPr>
            <w:rStyle w:val="Referenciaatema"/>
          </w:rPr>
          <w:t xml:space="preserve">[ver tema 3.A.21]</w:t>
        </w:r>
      </w:hyperlink>
      <w:r>
        <w:t xml:space="preserve">.</w:t>
      </w:r>
    </w:p>
    <w:p>
      <w:pPr>
        <w:pStyle w:val="Ideaclave"/>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0"/>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50"/>
    <w:bookmarkEnd w:id="151"/>
    <w:bookmarkEnd w:id="152"/>
    <w:bookmarkStart w:id="210" w:name="sec_analisis_teoria_neoclasica_demanda"/>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w:t>
      </w:r>
      <w:hyperlink w:anchor="fig_renta_consumo_engel">
        <w:r>
          <w:rPr>
            <w:rStyle w:val="Hyperlink"/>
          </w:rPr>
          <w:t xml:space="preserve">13</w:t>
        </w:r>
      </w:hyperlink>
      <w:r>
        <w:t xml:space="preserve">) y la descomposición de</w:t>
      </w:r>
      <w:r>
        <w:t xml:space="preserve"> </w:t>
      </w:r>
      <w:r>
        <w:rPr>
          <w:smallCaps/>
        </w:rPr>
        <w:t xml:space="preserve">Slutsky</w:t>
      </w:r>
      <w:r>
        <w:t xml:space="preserve"> </w:t>
      </w:r>
      <w:r>
        <w:t xml:space="preserve">con la curva de demanda (gráfico </w:t>
      </w:r>
      <w:hyperlink w:anchor="fig_efecto_sustitucion_renta">
        <w:r>
          <w:rPr>
            <w:rStyle w:val="Hyperlink"/>
          </w:rPr>
          <w:t xml:space="preserve">17</w:t>
        </w:r>
      </w:hyperlink>
      <w:r>
        <w:t xml:space="preserve">),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hyperlink r:id="rId30">
        <w:r>
          <w:rPr>
            <w:rStyle w:val="Referenciaatema"/>
          </w:rPr>
          <w:t xml:space="preserve">[ver tema 3.A.9]</w:t>
        </w:r>
      </w:hyperlink>
      <w:r>
        <w:t xml:space="preserve">: en el cante solo se enuncian, y el anexo </w:t>
      </w:r>
      <w:hyperlink w:anchor="anexo_derivaciones">
        <w:r>
          <w:rPr>
            <w:rStyle w:val="Hyperlink"/>
          </w:rPr>
          <w:t xml:space="preserve">B</w:t>
        </w:r>
      </w:hyperlink>
      <w:r>
        <w:t xml:space="preserve"> </w:t>
      </w:r>
      <w:r>
        <w:t xml:space="preserve">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1"/>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2"/>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w:t>
      </w:r>
      <w:hyperlink w:anchor="sec_solucion_problema_maximizacion">
        <w:r>
          <w:rPr>
            <w:rStyle w:val="Hyperlink"/>
          </w:rPr>
          <w:t xml:space="preserve">I.3</w:t>
        </w:r>
      </w:hyperlink>
      <w:r>
        <w:t xml:space="preserve">),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53"/>
      </w:r>
    </w:p>
    <w:p>
      <w:pPr>
        <w:numPr>
          <w:ilvl w:val="1"/>
          <w:numId w:val="1072"/>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70" w:name="sec_variaciones_renta"/>
    <w:p>
      <w:pPr>
        <w:pStyle w:val="Heading2"/>
      </w:pPr>
      <w:r>
        <w:t xml:space="preserve">II.1.</w:t>
      </w:r>
      <w:r>
        <w:t xml:space="preserve"> </w:t>
      </w:r>
      <w:r>
        <w:t xml:space="preserve">Variaciones en la renta</w:t>
      </w:r>
    </w:p>
    <w:bookmarkStart w:id="160" w:name="sec_analisis_grafico_curva"/>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3"/>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4"/>
        </w:numPr>
      </w:pPr>
      <w:r>
        <w:t xml:space="preserve">Si los 2 bienes son normales, tiene pendiente positiva; en el tramo en que uno de ellos es inferior, la pendiente es negativa.</w:t>
      </w:r>
    </w:p>
    <w:p>
      <w:pPr>
        <w:numPr>
          <w:ilvl w:val="1"/>
          <w:numId w:val="1074"/>
        </w:numPr>
      </w:pPr>
      <w:r>
        <w:t xml:space="preserve">Con preferencias homotéticas, la CRC es una semirrecta que parte del origen: la proporción en que se consumen los bienes no depende de la renta.</w:t>
      </w:r>
      <w:r>
        <w:rPr>
          <w:rStyle w:val="FootnoteReference"/>
        </w:rPr>
        <w:footnoteReference w:id="154"/>
      </w:r>
    </w:p>
    <w:p>
      <w:pPr>
        <w:keepNext/>
        <w:numPr>
          <w:ilvl w:val="0"/>
          <w:numId w:val="1073"/>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55"/>
      </w:r>
    </w:p>
    <w:p>
      <w:pPr>
        <w:numPr>
          <w:ilvl w:val="1"/>
          <w:numId w:val="1075"/>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5"/>
        </w:numPr>
      </w:pPr>
      <w:r>
        <w:t xml:space="preserve">Un bien puede ser normal hasta cierto nivel de renta e inferior a partir de él (gráfico </w:t>
      </w:r>
      <w:hyperlink w:anchor="fig_renta_consumo_engel">
        <w:r>
          <w:rPr>
            <w:rStyle w:val="Hyperlink"/>
          </w:rPr>
          <w:t xml:space="preserve">13</w:t>
        </w:r>
      </w:hyperlink>
      <w:r>
        <w:t xml:space="preserve">, panel derecho). Es lo que ocurre con bienes que el consumidor sustituye por otros de más calidad cuando su renta aumenta; pueden servir de ejemplo la comida rápida o las marcas blancas.</w:t>
      </w:r>
    </w:p>
    <w:bookmarkStart w:id="159" w:name="fig_renta_consumo_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Gráfico 13.– Curva de renta-consumo y curva de Engel de un bien normal hasta cierto nivel de renta e inferior a partir de él" title="" id="157" name="Picture"/>
            <a:graphic>
              <a:graphicData uri="http://schemas.openxmlformats.org/drawingml/2006/picture">
                <pic:pic>
                  <pic:nvPicPr>
                    <pic:cNvPr descr="C:\Users\vgutierrez\Documents\src\victorgutierrezmarcos.github.io-revision\oposicion\temario\fuentes\3A08\graficos/renta-consumo-engel.png" id="158" name="Picture"/>
                    <pic:cNvPicPr>
                      <a:picLocks noChangeArrowheads="1" noChangeAspect="1"/>
                    </pic:cNvPicPr>
                  </pic:nvPicPr>
                  <pic:blipFill>
                    <a:blip r:embed="rId156"/>
                    <a:stretch>
                      <a:fillRect/>
                    </a:stretch>
                  </pic:blipFill>
                  <pic:spPr bwMode="auto">
                    <a:xfrm>
                      <a:off x="0" y="0"/>
                      <a:ext cx="4948157" cy="2208016"/>
                    </a:xfrm>
                    <a:prstGeom prst="rect">
                      <a:avLst/>
                    </a:prstGeom>
                    <a:noFill/>
                    <a:ln w="9525">
                      <a:noFill/>
                      <a:headEnd/>
                      <a:tailEnd/>
                    </a:ln>
                  </pic:spPr>
                </pic:pic>
              </a:graphicData>
            </a:graphic>
          </wp:inline>
        </w:drawing>
      </w:r>
    </w:p>
    <w:bookmarkEnd w:id="1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w:t>
      </w:r>
    </w:p>
    <w:bookmarkEnd w:id="160"/>
    <w:bookmarkStart w:id="167" w:name="sec_analisis_elasticidades_elasticidad"/>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6"/>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r>
        <w:t xml:space="preserve"> </w:t>
      </w:r>
      <w:bookmarkStart w:id="161" w:name="eq_elasticidad_renta"/>
      <w:bookmarkEnd w:id="161"/>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76"/>
        </w:numPr>
      </w:pPr>
      <w:r>
        <w:t xml:space="preserve">Según su valor, los bienes se clasifican (tabla </w:t>
      </w:r>
      <w:hyperlink w:anchor="tab_clasificacion_elasticidades">
        <w:r>
          <w:rPr>
            <w:rStyle w:val="Hyperlink"/>
          </w:rPr>
          <w:t xml:space="preserve">1</w:t>
        </w:r>
      </w:hyperlink>
      <w:r>
        <w:t xml:space="preserve">) en:</w:t>
      </w:r>
    </w:p>
    <w:p>
      <w:pPr>
        <w:numPr>
          <w:ilvl w:val="1"/>
          <w:numId w:val="1077"/>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7"/>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77"/>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8"/>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8"/>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76"/>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_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9"/>
        </w:numPr>
      </w:pPr>
      <w:r>
        <w:t xml:space="preserve">Se sigue cumpliendo. En España, los hogares del quintil de menor gasto dedicaron en 2025 el 19,6 % de su presupuesto a alimentos y bebidas no alcohólicas, frente al 12,3 % del quintil de mayor gasto; la media fue el 16,0 % (gráfico </w:t>
      </w:r>
      <w:hyperlink w:anchor="fig_epf_alimentos_quintil">
        <w:r>
          <w:rPr>
            <w:rStyle w:val="Hyperlink"/>
          </w:rPr>
          <w:t xml:space="preserve">14</w:t>
        </w:r>
      </w:hyperlink>
      <w:r>
        <w:t xml:space="preserve">). La relación solo se rompe, ligeramente, entre los 2 primeros quintiles</w:t>
      </w:r>
      <w:r>
        <w:t xml:space="preserve"> </w:t>
      </w:r>
      <w:r>
        <w:t xml:space="preserve">(</w:t>
      </w:r>
      <w:hyperlink w:anchor="ref_INE2026EPFTabla73828">
        <w:r>
          <w:rPr>
            <w:rStyle w:val="Hyperlink"/>
            <w:smallCaps/>
          </w:rPr>
          <w:t xml:space="preserve">Instituto Nacional de Estadística</w:t>
        </w:r>
        <w:r>
          <w:rPr>
            <w:rStyle w:val="Hyperlink"/>
          </w:rPr>
          <w:t xml:space="preserve">, 2026b</w:t>
        </w:r>
      </w:hyperlink>
      <w:r>
        <w:t xml:space="preserve">,</w:t>
      </w:r>
      <w:r>
        <w:t xml:space="preserve"> </w:t>
      </w:r>
      <w:hyperlink w:anchor="ref_INE2026EPF">
        <w:r>
          <w:rPr>
            <w:rStyle w:val="Hyperlink"/>
          </w:rPr>
          <w:t xml:space="preserve">2026e</w:t>
        </w:r>
      </w:hyperlink>
      <w:r>
        <w:t xml:space="preserve">)</w:t>
      </w:r>
      <w:r>
        <w:t xml:space="preserve">.</w:t>
      </w:r>
      <w:r>
        <w:rPr>
          <w:rStyle w:val="FootnoteReference"/>
        </w:rPr>
        <w:footnoteReference w:id="162"/>
      </w:r>
    </w:p>
    <w:bookmarkStart w:id="166" w:name="fig_epf_alimentos_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Gráfico 14.– Ley de Engel en España: peso de los alimentos y bebidas no alcohólicas en el gasto de los hogares, por quintiles de gasto (2025)" title="" id="164" name="Picture"/>
            <a:graphic>
              <a:graphicData uri="http://schemas.openxmlformats.org/drawingml/2006/picture">
                <pic:pic>
                  <pic:nvPicPr>
                    <pic:cNvPr descr="C:\Users\vgutierrez\Documents\src\victorgutierrezmarcos.github.io-revision\oposicion\temario\fuentes\3A08\graficos/epf-alimentos-quintil.png" id="165" name="Picture"/>
                    <pic:cNvPicPr>
                      <a:picLocks noChangeArrowheads="1" noChangeAspect="1"/>
                    </pic:cNvPicPr>
                  </pic:nvPicPr>
                  <pic:blipFill>
                    <a:blip r:embed="rId163"/>
                    <a:stretch>
                      <a:fillRect/>
                    </a:stretch>
                  </pic:blipFill>
                  <pic:spPr bwMode="auto">
                    <a:xfrm>
                      <a:off x="0" y="0"/>
                      <a:ext cx="3669832" cy="2373158"/>
                    </a:xfrm>
                    <a:prstGeom prst="rect">
                      <a:avLst/>
                    </a:prstGeom>
                    <a:noFill/>
                    <a:ln w="9525">
                      <a:noFill/>
                      <a:headEnd/>
                      <a:tailEnd/>
                    </a:ln>
                  </pic:spPr>
                </pic:pic>
              </a:graphicData>
            </a:graphic>
          </wp:inline>
        </w:drawing>
      </w:r>
    </w:p>
    <w:bookmarkEnd w:id="166"/>
    <w:p>
      <w:pPr>
        <w:pStyle w:val="Piedeimagen"/>
      </w:pPr>
      <w:r>
        <w:t xml:space="preserve">Fuente: INE, Encuesta de Presupuestos Familiares 2025, tabla 73828 (consulta: 10/10/2026).</w:t>
      </w:r>
    </w:p>
    <w:bookmarkEnd w:id="167"/>
    <w:bookmarkStart w:id="169" w:name="sec_agregacion_engel"/>
    <w:p>
      <w:pPr>
        <w:pStyle w:val="Heading3"/>
      </w:pPr>
      <w:r>
        <w:t xml:space="preserve">II.1.3.</w:t>
      </w:r>
      <w:r>
        <w:t xml:space="preserve"> </w:t>
      </w:r>
      <w:r>
        <w:t xml:space="preserve">Agregación de</w:t>
      </w:r>
      <w:r>
        <w:t xml:space="preserve"> </w:t>
      </w:r>
      <w:r>
        <w:rPr>
          <w:smallCaps/>
        </w:rPr>
        <w:t xml:space="preserve">Engel</w:t>
      </w:r>
    </w:p>
    <w:p>
      <w:pPr>
        <w:numPr>
          <w:ilvl w:val="0"/>
          <w:numId w:val="1080"/>
        </w:numPr>
      </w:pPr>
      <w:r>
        <w:t xml:space="preserve">Además de ser continua, homogénea de grado cero y cumplir la ley de</w:t>
      </w:r>
      <w:r>
        <w:t xml:space="preserve"> </w:t>
      </w:r>
      <w:r>
        <w:rPr>
          <w:smallCaps/>
        </w:rPr>
        <w:t xml:space="preserve">Walras</w:t>
      </w:r>
      <w:r>
        <w:t xml:space="preserve"> </w:t>
      </w:r>
      <w:r>
        <w:t xml:space="preserve">(apartado </w:t>
      </w:r>
      <w:hyperlink w:anchor="sec_solucion_problema_maximizacion">
        <w:r>
          <w:rPr>
            <w:rStyle w:val="Hyperlink"/>
          </w:rPr>
          <w:t xml:space="preserve">I.3</w:t>
        </w:r>
      </w:hyperlink>
      <w:r>
        <w:t xml:space="preserve">),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r>
        <w:t xml:space="preserve"> </w:t>
      </w:r>
      <w:bookmarkStart w:id="168" w:name="eq_agregacion_engel"/>
      <w:bookmarkEnd w:id="168"/>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w:t>
      </w:r>
      <w:hyperlink w:anchor="der_engel">
        <w:r>
          <w:rPr>
            <w:rStyle w:val="Hyperlink"/>
          </w:rPr>
          <w:t xml:space="preserve">B.2</w:t>
        </w:r>
      </w:hyperlink>
      <w:r>
        <w:t xml:space="preserve">).</w:t>
      </w:r>
    </w:p>
    <w:p>
      <w:pPr>
        <w:numPr>
          <w:ilvl w:val="1"/>
          <w:numId w:val="1081"/>
        </w:numPr>
      </w:pPr>
      <w:r>
        <w:t xml:space="preserve">La media de las elasticidades-renta, ponderada por las participaciones en el gasto, es igual a uno: cuando aumenta la renta, el gasto total aumenta en la misma cuantía.</w:t>
      </w:r>
    </w:p>
    <w:p>
      <w:pPr>
        <w:numPr>
          <w:ilvl w:val="1"/>
          <w:numId w:val="1081"/>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69"/>
    <w:bookmarkEnd w:id="170"/>
    <w:bookmarkStart w:id="208" w:name="sec_variaciones_precios"/>
    <w:p>
      <w:pPr>
        <w:pStyle w:val="Heading2"/>
      </w:pPr>
      <w:r>
        <w:t xml:space="preserve">II.2.</w:t>
      </w:r>
      <w:r>
        <w:t xml:space="preserve"> </w:t>
      </w:r>
      <w:r>
        <w:t xml:space="preserve">Variaciones en los precios</w:t>
      </w:r>
    </w:p>
    <w:p>
      <w:pPr>
        <w:numPr>
          <w:ilvl w:val="0"/>
          <w:numId w:val="1082"/>
        </w:numPr>
      </w:pPr>
      <w:r>
        <w:t xml:space="preserve">Una vez estudiado cómo responde la demanda a la renta, pasamos a analizar su respuesta a los precios, primero al del propio bien y después al de los demás.</w:t>
      </w:r>
    </w:p>
    <w:bookmarkStart w:id="175" w:name="sec_analisis_grafico_curva_precio"/>
    <w:p>
      <w:pPr>
        <w:pStyle w:val="Heading3"/>
      </w:pPr>
      <w:r>
        <w:t xml:space="preserve">II.2.1.</w:t>
      </w:r>
      <w:r>
        <w:t xml:space="preserve"> </w:t>
      </w:r>
      <w:r>
        <w:t xml:space="preserve">Análisis gráfico: curva de precio-consumo y curva de demanda</w:t>
      </w:r>
    </w:p>
    <w:p>
      <w:pPr>
        <w:numPr>
          <w:ilvl w:val="0"/>
          <w:numId w:val="1083"/>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3"/>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w:t>
      </w:r>
      <w:hyperlink w:anchor="fig_precio_consumo_demanda">
        <w:r>
          <w:rPr>
            <w:rStyle w:val="Hyperlink"/>
          </w:rPr>
          <w:t xml:space="preserve">15</w:t>
        </w:r>
      </w:hyperlink>
      <w:r>
        <w:t xml:space="preserve">). Un cambio en esos otros parámetros desplaza la curva.</w:t>
      </w:r>
    </w:p>
    <w:bookmarkStart w:id="174" w:name="fig_precio_consumo_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Gráfico 15.– Curva de precio-consumo (panel superior) y curva de demanda del bien 1 (panel inferior)" title="" id="172" name="Picture"/>
            <a:graphic>
              <a:graphicData uri="http://schemas.openxmlformats.org/drawingml/2006/picture">
                <pic:pic>
                  <pic:nvPicPr>
                    <pic:cNvPr descr="C:\Users\vgutierrez\Documents\src\victorgutierrezmarcos.github.io-revision\oposicion\temario\fuentes\3A08\graficos/precio-consumo-demanda.png" id="173" name="Picture"/>
                    <pic:cNvPicPr>
                      <a:picLocks noChangeArrowheads="1" noChangeAspect="1"/>
                    </pic:cNvPicPr>
                  </pic:nvPicPr>
                  <pic:blipFill>
                    <a:blip r:embed="rId171"/>
                    <a:stretch>
                      <a:fillRect/>
                    </a:stretch>
                  </pic:blipFill>
                  <pic:spPr bwMode="auto">
                    <a:xfrm>
                      <a:off x="0" y="0"/>
                      <a:ext cx="2920575" cy="4397682"/>
                    </a:xfrm>
                    <a:prstGeom prst="rect">
                      <a:avLst/>
                    </a:prstGeom>
                    <a:noFill/>
                    <a:ln w="9525">
                      <a:noFill/>
                      <a:headEnd/>
                      <a:tailEnd/>
                    </a:ln>
                  </pic:spPr>
                </pic:pic>
              </a:graphicData>
            </a:graphic>
          </wp:inline>
        </w:drawing>
      </w:r>
    </w:p>
    <w:bookmarkEnd w:id="174"/>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6</w:t>
        </w:r>
      </w:hyperlink>
      <w:r>
        <w:t xml:space="preserve">)</w:t>
      </w:r>
      <w:r>
        <w:t xml:space="preserve">.</w:t>
      </w:r>
    </w:p>
    <w:bookmarkEnd w:id="175"/>
    <w:bookmarkStart w:id="203" w:name="sec_analisis_elasticidades"/>
    <w:p>
      <w:pPr>
        <w:pStyle w:val="Heading3"/>
      </w:pPr>
      <w:r>
        <w:t xml:space="preserve">II.2.2.</w:t>
      </w:r>
      <w:r>
        <w:t xml:space="preserve"> </w:t>
      </w:r>
      <w:r>
        <w:t xml:space="preserve">Análisis de elasticidades</w:t>
      </w:r>
    </w:p>
    <w:bookmarkStart w:id="178" w:name="elasticidad_precio_propio"/>
    <w:p>
      <w:pPr>
        <w:pStyle w:val="Heading4"/>
      </w:pPr>
      <w:r>
        <w:t xml:space="preserve">Elasticidad-precio propio</w:t>
      </w:r>
    </w:p>
    <w:p>
      <w:pPr>
        <w:numPr>
          <w:ilvl w:val="0"/>
          <w:numId w:val="1084"/>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r>
        <w:t xml:space="preserve"> </w:t>
      </w:r>
      <w:bookmarkStart w:id="176" w:name="eq_elasticidad_precio"/>
      <w:bookmarkEnd w:id="176"/>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5"/>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5"/>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77" w:name="tab_clasificacion_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77"/>
    <w:p>
      <w:pPr>
        <w:pStyle w:val="BodyText"/>
      </w:pPr>
      <w:r>
        <w:rPr>
          <w:i/>
          <w:iCs/>
        </w:rPr>
        <w:t xml:space="preserve">Fuente: elaboración propia.</w:t>
      </w:r>
    </w:p>
    <w:bookmarkEnd w:id="178"/>
    <w:bookmarkStart w:id="197" w:name="efecto_sustituci__n_y_efecto_renta_54281"/>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6"/>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79"/>
      </w:r>
    </w:p>
    <w:p>
      <w:pPr>
        <w:numPr>
          <w:ilvl w:val="0"/>
          <w:numId w:val="1086"/>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hyperlink r:id="rId30">
        <w:r>
          <w:rPr>
            <w:rStyle w:val="Referenciaatema"/>
          </w:rPr>
          <w:t xml:space="preserve">[ver tema 3.A.9]</w:t>
        </w:r>
      </w:hyperlink>
      <w:r>
        <w:t xml:space="preserve">.</w:t>
      </w:r>
    </w:p>
    <w:p>
      <w:pPr>
        <w:numPr>
          <w:ilvl w:val="0"/>
          <w:numId w:val="1086"/>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80"/>
      </w:r>
      <w:r>
        <w:t xml:space="preserve"> </w:t>
      </w:r>
      <w:bookmarkStart w:id="181" w:name="eq_slutsky"/>
      <w:bookmarkEnd w:id="181"/>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7"/>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82"/>
      </w:r>
    </w:p>
    <w:p>
      <w:pPr>
        <w:numPr>
          <w:ilvl w:val="1"/>
          <w:numId w:val="1087"/>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83"/>
      </w:r>
    </w:p>
    <w:p>
      <w:pPr>
        <w:keepNext/>
        <w:numPr>
          <w:ilvl w:val="0"/>
          <w:numId w:val="1086"/>
        </w:numPr>
      </w:pPr>
      <w:r>
        <w:t xml:space="preserve">De la combinación de ambos efectos sale la</w:t>
      </w:r>
      <w:r>
        <w:t xml:space="preserve"> </w:t>
      </w:r>
      <w:r>
        <w:rPr>
          <w:b/>
          <w:bCs/>
        </w:rPr>
        <w:t xml:space="preserve">clasificación de los bienes</w:t>
      </w:r>
      <w:r>
        <w:t xml:space="preserve"> </w:t>
      </w:r>
      <w:r>
        <w:t xml:space="preserve">(tabla </w:t>
      </w:r>
      <w:hyperlink w:anchor="tab_slutsky_propio">
        <w:r>
          <w:rPr>
            <w:rStyle w:val="Hyperlink"/>
          </w:rPr>
          <w:t xml:space="preserve">2</w:t>
        </w:r>
      </w:hyperlink>
      <w:r>
        <w:t xml:space="preserve">):</w:t>
      </w:r>
    </w:p>
    <w:p>
      <w:pPr>
        <w:numPr>
          <w:ilvl w:val="1"/>
          <w:numId w:val="108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8"/>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84"/>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85" w:name="tab_slutsky_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85"/>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89" w:name="fig_elasticidades_renta_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Gráfico 16.– Clasificación de los bienes por la elasticidad-renta y por la elasticidad-precio propia, y relación entre ambas" title="" id="187" name="Picture"/>
            <a:graphic>
              <a:graphicData uri="http://schemas.openxmlformats.org/drawingml/2006/picture">
                <pic:pic>
                  <pic:nvPicPr>
                    <pic:cNvPr descr="C:\Users\vgutierrez\Documents\src\victorgutierrezmarcos.github.io-revision\oposicion\temario\fuentes\3A08\graficos/elasticidades-renta-precio.png" id="188" name="Picture"/>
                    <pic:cNvPicPr>
                      <a:picLocks noChangeArrowheads="1" noChangeAspect="1"/>
                    </pic:cNvPicPr>
                  </pic:nvPicPr>
                  <pic:blipFill>
                    <a:blip r:embed="rId186"/>
                    <a:stretch>
                      <a:fillRect/>
                    </a:stretch>
                  </pic:blipFill>
                  <pic:spPr bwMode="auto">
                    <a:xfrm>
                      <a:off x="0" y="0"/>
                      <a:ext cx="4890052" cy="1905254"/>
                    </a:xfrm>
                    <a:prstGeom prst="rect">
                      <a:avLst/>
                    </a:prstGeom>
                    <a:noFill/>
                    <a:ln w="9525">
                      <a:noFill/>
                      <a:headEnd/>
                      <a:tailEnd/>
                    </a:ln>
                  </pic:spPr>
                </pic:pic>
              </a:graphicData>
            </a:graphic>
          </wp:inline>
        </w:drawing>
      </w:r>
    </w:p>
    <w:bookmarkEnd w:id="189"/>
    <w:p>
      <w:pPr>
        <w:pStyle w:val="Piedeimagen"/>
      </w:pPr>
      <w:r>
        <w:t xml:space="preserve">Fuente: elaboración propia.</w:t>
      </w:r>
    </w:p>
    <w:p>
      <w:pPr>
        <w:keepNext/>
        <w:numPr>
          <w:ilvl w:val="0"/>
          <w:numId w:val="1089"/>
        </w:numPr>
      </w:pPr>
      <w:r>
        <w:rPr>
          <w:i/>
          <w:iCs/>
        </w:rPr>
        <w:t xml:space="preserve">Gráficamente</w:t>
      </w:r>
      <w:r>
        <w:t xml:space="preserve"> </w:t>
      </w:r>
      <w:r>
        <w:t xml:space="preserve">(gráfico </w:t>
      </w:r>
      <w:hyperlink w:anchor="fig_efecto_sustitucion_renta">
        <w:r>
          <w:rPr>
            <w:rStyle w:val="Hyperlink"/>
          </w:rPr>
          <w:t xml:space="preserve">17</w:t>
        </w:r>
      </w:hyperlink>
      <w:r>
        <w:t xml:space="preserve">),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0"/>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0"/>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9"/>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93" w:name="fig_efecto_sustitucion_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Gráfico 17.– Descomposición del efecto de una bajada del precio de un bien sobre su cantidad demandada: efecto sustitución (A\rightarrow B) y efecto renta (B\rightarrow C), y curvas de demanda marshalliana y hicksiana" title="" id="191" name="Picture"/>
            <a:graphic>
              <a:graphicData uri="http://schemas.openxmlformats.org/drawingml/2006/picture">
                <pic:pic>
                  <pic:nvPicPr>
                    <pic:cNvPr descr="C:\Users\vgutierrez\Documents\src\victorgutierrezmarcos.github.io-revision\oposicion\temario\fuentes\3A08\graficos/efecto-sustitucion-renta.png" id="192" name="Picture"/>
                    <pic:cNvPicPr>
                      <a:picLocks noChangeArrowheads="1" noChangeAspect="1"/>
                    </pic:cNvPicPr>
                  </pic:nvPicPr>
                  <pic:blipFill>
                    <a:blip r:embed="rId190"/>
                    <a:stretch>
                      <a:fillRect/>
                    </a:stretch>
                  </pic:blipFill>
                  <pic:spPr bwMode="auto">
                    <a:xfrm>
                      <a:off x="0" y="0"/>
                      <a:ext cx="2724850" cy="4428264"/>
                    </a:xfrm>
                    <a:prstGeom prst="rect">
                      <a:avLst/>
                    </a:prstGeom>
                    <a:noFill/>
                    <a:ln w="9525">
                      <a:noFill/>
                      <a:headEnd/>
                      <a:tailEnd/>
                    </a:ln>
                  </pic:spPr>
                </pic:pic>
              </a:graphicData>
            </a:graphic>
          </wp:inline>
        </w:drawing>
      </w:r>
    </w:p>
    <w:bookmarkEnd w:id="193"/>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3.G</w:t>
        </w:r>
      </w:hyperlink>
      <w:r>
        <w:t xml:space="preserve">)</w:t>
      </w:r>
      <w:r>
        <w:t xml:space="preserve">.</w:t>
      </w:r>
    </w:p>
    <w:p>
      <w:pPr>
        <w:numPr>
          <w:ilvl w:val="0"/>
          <w:numId w:val="1091"/>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w:t>
      </w:r>
      <w:r>
        <w:rPr>
          <w:rStyle w:val="FootnoteReference"/>
        </w:rPr>
        <w:footnoteReference w:id="194"/>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_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92"/>
        </w:numPr>
      </w:pPr>
      <w:r>
        <w:t xml:space="preserve">«A.9 Efectos de renta y sustitución»:</w:t>
      </w:r>
      <w:r>
        <w:t xml:space="preserve"> </w:t>
      </w:r>
      <w:hyperlink r:id="rId195">
        <w:r>
          <w:rPr>
            <w:rStyle w:val="Hyperlink"/>
          </w:rPr>
          <w:t xml:space="preserve">https://www.youtube.com/watch?v=J0PSPX2B5FI</w:t>
        </w:r>
      </w:hyperlink>
    </w:p>
    <w:p>
      <w:pPr>
        <w:pStyle w:val="Cajadeanotaciones"/>
        <w:numPr>
          <w:ilvl w:val="0"/>
          <w:numId w:val="1092"/>
        </w:numPr>
      </w:pPr>
      <w:r>
        <w:t xml:space="preserve">«A.10 Demandas marshalliana y hicksiana»:</w:t>
      </w:r>
      <w:r>
        <w:t xml:space="preserve"> </w:t>
      </w:r>
      <w:hyperlink r:id="rId196">
        <w:r>
          <w:rPr>
            <w:rStyle w:val="Hyperlink"/>
          </w:rPr>
          <w:t xml:space="preserve">https://policonomics.com/es/video-a10-demandas-marshalliana-hicksiana/</w:t>
        </w:r>
      </w:hyperlink>
    </w:p>
    <w:bookmarkEnd w:id="197"/>
    <w:bookmarkStart w:id="199" w:name="elasticidad_precio_cruzada_sustitu_35608"/>
    <w:p>
      <w:pPr>
        <w:pStyle w:val="Heading4"/>
      </w:pPr>
      <w:r>
        <w:t xml:space="preserve">Elasticidad-precio cruzada: sustitutivos y complementarios brutos</w:t>
      </w:r>
    </w:p>
    <w:p>
      <w:pPr>
        <w:numPr>
          <w:ilvl w:val="0"/>
          <w:numId w:val="1093"/>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r>
        <w:t xml:space="preserve"> </w:t>
      </w:r>
      <w:bookmarkStart w:id="198" w:name="eq_elasticidad_cruzada"/>
      <w:bookmarkEnd w:id="198"/>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3"/>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99"/>
    <w:bookmarkStart w:id="202" w:name="ecuaci__n_de_slutsky_para_el_preci_77312"/>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5"/>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r>
        <w:t xml:space="preserve"> </w:t>
      </w:r>
      <w:bookmarkStart w:id="200" w:name="eq_slutsky_cruzada"/>
      <w:bookmarkEnd w:id="200"/>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095"/>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6"/>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6"/>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w:t>
      </w:r>
      <w:hyperlink w:anchor="der_matriz_slutsky">
        <w:r>
          <w:rPr>
            <w:rStyle w:val="Hyperlink"/>
          </w:rPr>
          <w:t xml:space="preserve">B.6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3.G.2 y ejercicio 3.G.4;</w:t>
      </w:r>
      <w:r>
        <w:t xml:space="preserve"> </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2</w:t>
        </w:r>
      </w:hyperlink>
      <w:r>
        <w:t xml:space="preserve">)</w:t>
      </w:r>
      <w:r>
        <w:t xml:space="preserve">.</w:t>
      </w:r>
    </w:p>
    <w:p>
      <w:pPr>
        <w:numPr>
          <w:ilvl w:val="0"/>
          <w:numId w:val="1095"/>
        </w:numPr>
      </w:pPr>
      <w:r>
        <w:t xml:space="preserve">No todas las combinaciones de relaciones netas y brutas son posibles (tabla </w:t>
      </w:r>
      <w:hyperlink w:anchor="tab_slutsky_cruzado">
        <w:r>
          <w:rPr>
            <w:rStyle w:val="Hyperlink"/>
          </w:rPr>
          <w:t xml:space="preserve">3</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201" w:name="tab_slutsky_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vAlign w:val="center"/>
          </w:tcPr>
          <w:p>
            <w:pPr>
              <w:pStyle w:val="Celdatceesalmon"/>
              <w:jc w:val="center"/>
            </w:pPr>
            <w:r>
              <w:rPr>
                <w:i/>
                <w:iCs/>
              </w:rPr>
              <w:t xml:space="preserve">Efecto sustitución cruzado</w:t>
            </w:r>
            <w:r>
              <w:br/>
            </w:r>
            <w:r>
              <w:t xml:space="preserve">(relación neta)</w:t>
            </w:r>
          </w:p>
        </w:tc>
        <w:tc>
          <w:tcPr>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vAlign w:val="center"/>
          </w:tcPr>
          <w:p>
            <w:pPr>
              <w:pStyle w:val="Celdatceesalmon"/>
              <w:jc w:val="center"/>
            </w:pPr>
            <w:r>
              <w:rPr>
                <w:i/>
                <w:iCs/>
              </w:rPr>
              <w:t xml:space="preserve">Efecto total cruzado</w:t>
            </w:r>
            <w:r>
              <w:br/>
            </w:r>
            <w:r>
              <w:t xml:space="preserve">(relación bruta)</w:t>
            </w:r>
          </w:p>
        </w:tc>
      </w:tr>
      <w:t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201"/>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202"/>
    <w:bookmarkEnd w:id="203"/>
    <w:bookmarkStart w:id="207" w:name="sec_agregacion_cournot_restricciones"/>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7"/>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r>
        <w:t xml:space="preserve"> </w:t>
      </w:r>
      <w:bookmarkStart w:id="204" w:name="eq_agregacion_cournot"/>
      <w:bookmarkEnd w:id="204"/>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w:t>
      </w:r>
      <w:hyperlink w:anchor="der_cournot">
        <w:r>
          <w:rPr>
            <w:rStyle w:val="Hyperlink"/>
          </w:rPr>
          <w:t xml:space="preserve">B.3</w:t>
        </w:r>
      </w:hyperlink>
      <w:r>
        <w:t xml:space="preserve">).</w:t>
      </w:r>
    </w:p>
    <w:p>
      <w:pPr>
        <w:numPr>
          <w:ilvl w:val="1"/>
          <w:numId w:val="1098"/>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205"/>
      </w:r>
    </w:p>
    <w:p>
      <w:pPr>
        <w:numPr>
          <w:ilvl w:val="0"/>
          <w:numId w:val="1097"/>
        </w:numPr>
      </w:pPr>
      <w:r>
        <w:t xml:space="preserve">Con la restricción de homogeneidad en elasticidades (apartado </w:t>
      </w:r>
      <w:hyperlink w:anchor="sec_solucion_problema_maximizacion">
        <w:r>
          <w:rPr>
            <w:rStyle w:val="Hyperlink"/>
          </w:rPr>
          <w:t xml:space="preserve">I.3</w:t>
        </w:r>
      </w:hyperlink>
      <w:r>
        <w:t xml:space="preserve">), la demanda marshalliana cumple, para todo</w:t>
      </w:r>
      <w:r>
        <w:t xml:space="preserve"> </w:t>
      </w:r>
      <m:oMath>
        <m:r>
          <m:t>i</m:t>
        </m:r>
      </m:oMath>
      <w:r>
        <w:t xml:space="preserve"> </w:t>
      </w:r>
      <w:r>
        <w:t xml:space="preserve">y todo</w:t>
      </w:r>
      <w:r>
        <w:t xml:space="preserve"> </w:t>
      </w:r>
      <m:oMath>
        <m:r>
          <m:t>j</m:t>
        </m:r>
      </m:oMath>
      <w:r>
        <w:t xml:space="preserve">:</w:t>
      </w:r>
      <w:r>
        <w:t xml:space="preserve"> </w:t>
      </w:r>
      <w:bookmarkStart w:id="206" w:name="eq_restricciones_demanda"/>
      <w:bookmarkEnd w:id="206"/>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hyperlink r:id="rId30">
        <w:r>
          <w:rPr>
            <w:rStyle w:val="Referenciaatema"/>
          </w:rPr>
          <w:t xml:space="preserve">[ver tema 3.A.9]</w:t>
        </w:r>
      </w:hyperlink>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207"/>
    <w:bookmarkEnd w:id="208"/>
    <w:bookmarkStart w:id="209" w:name="sec_valoracion"/>
    <w:p>
      <w:pPr>
        <w:pStyle w:val="Heading2"/>
      </w:pPr>
      <w:r>
        <w:t xml:space="preserve">II.3.</w:t>
      </w:r>
      <w:r>
        <w:t xml:space="preserve"> </w:t>
      </w:r>
      <w:r>
        <w:t xml:space="preserve">Valoración</w:t>
      </w:r>
    </w:p>
    <w:p>
      <w:pPr>
        <w:keepNext/>
        <w:numPr>
          <w:ilvl w:val="0"/>
          <w:numId w:val="1099"/>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w:t>
      </w:r>
      <w:hyperlink w:anchor="sec_otros_desarrollos_teoria">
        <w:r>
          <w:rPr>
            <w:rStyle w:val="Hyperlink"/>
          </w:rPr>
          <w:t xml:space="preserve">III</w:t>
        </w:r>
      </w:hyperlink>
      <w:r>
        <w:t xml:space="preserve">:</w:t>
      </w:r>
    </w:p>
    <w:p>
      <w:pPr>
        <w:numPr>
          <w:ilvl w:val="1"/>
          <w:numId w:val="1100"/>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w:t>
      </w:r>
      <w:hyperlink w:anchor="sec_teoria_preferencia_revelada">
        <w:r>
          <w:rPr>
            <w:rStyle w:val="Hyperlink"/>
          </w:rPr>
          <w:t xml:space="preserve">III.1</w:t>
        </w:r>
      </w:hyperlink>
      <w:r>
        <w:t xml:space="preserve">);</w:t>
      </w:r>
    </w:p>
    <w:p>
      <w:pPr>
        <w:numPr>
          <w:ilvl w:val="1"/>
          <w:numId w:val="1100"/>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w:t>
      </w:r>
      <w:hyperlink w:anchor="sec_produccion_domestica">
        <w:r>
          <w:rPr>
            <w:rStyle w:val="Hyperlink"/>
          </w:rPr>
          <w:t xml:space="preserve">III.2</w:t>
        </w:r>
      </w:hyperlink>
      <w:r>
        <w:t xml:space="preserve">);</w:t>
      </w:r>
    </w:p>
    <w:p>
      <w:pPr>
        <w:numPr>
          <w:ilvl w:val="1"/>
          <w:numId w:val="1100"/>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w:t>
      </w:r>
      <w:hyperlink w:anchor="sec_precios_hedonicos">
        <w:r>
          <w:rPr>
            <w:rStyle w:val="Hyperlink"/>
          </w:rPr>
          <w:t xml:space="preserve">III.3</w:t>
        </w:r>
      </w:hyperlink>
      <w:r>
        <w:t xml:space="preserve">);</w:t>
      </w:r>
    </w:p>
    <w:p>
      <w:pPr>
        <w:numPr>
          <w:ilvl w:val="1"/>
          <w:numId w:val="1100"/>
        </w:numPr>
      </w:pPr>
      <w:r>
        <w:t xml:space="preserve">el análisis es estático y sin incertidumbre</w:t>
      </w:r>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p>
    <w:bookmarkEnd w:id="209"/>
    <w:bookmarkEnd w:id="210"/>
    <w:bookmarkStart w:id="269" w:name="sec_otros_desarrollos_teoria"/>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w:t>
      </w:r>
      <w:hyperlink w:anchor="fig_adpr_efecto_sustitucion">
        <w:r>
          <w:rPr>
            <w:rStyle w:val="Hyperlink"/>
          </w:rPr>
          <w:t xml:space="preserve">18</w:t>
        </w:r>
      </w:hyperlink>
      <w:r>
        <w:t xml:space="preserve">), y la función hedónica de</w:t>
      </w:r>
      <w:r>
        <w:t xml:space="preserve"> </w:t>
      </w:r>
      <w:r>
        <w:rPr>
          <w:smallCaps/>
        </w:rPr>
        <w:t xml:space="preserve">Rosen</w:t>
      </w:r>
      <w:r>
        <w:t xml:space="preserve"> </w:t>
      </w:r>
      <w:r>
        <w:t xml:space="preserve">(gráfico </w:t>
      </w:r>
      <w:hyperlink w:anchor="fig_funcion_hedonica_rosen">
        <w:r>
          <w:rPr>
            <w:rStyle w:val="Hyperlink"/>
          </w:rPr>
          <w:t xml:space="preserve">21</w:t>
        </w:r>
      </w:hyperlink>
      <w:r>
        <w:t xml:space="preserve">). El axioma fuerte en gráfico y la obtención de las curvas de indiferencia son de profundización.</w:t>
      </w:r>
    </w:p>
    <w:p>
      <w:pPr>
        <w:numPr>
          <w:ilvl w:val="0"/>
          <w:numId w:val="1101"/>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39" w:name="sec_teoria_preferencia_revelada"/>
    <w:p>
      <w:pPr>
        <w:pStyle w:val="Heading2"/>
      </w:pPr>
      <w:r>
        <w:t xml:space="preserve">III.1.</w:t>
      </w:r>
      <w:r>
        <w:t xml:space="preserve"> </w:t>
      </w:r>
      <w:r>
        <w:t xml:space="preserve">La teoría de la preferencia revelada</w:t>
      </w:r>
    </w:p>
    <w:bookmarkStart w:id="213" w:name="a_idea"/>
    <w:p>
      <w:pPr>
        <w:pStyle w:val="Heading4"/>
      </w:pPr>
      <w:r>
        <w:t xml:space="preserve">a) Idea</w:t>
      </w:r>
    </w:p>
    <w:p>
      <w:pPr>
        <w:keepNext/>
        <w:numPr>
          <w:ilvl w:val="0"/>
          <w:numId w:val="1102"/>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w:t>
      </w:r>
      <w:r>
        <w:rPr>
          <w:rStyle w:val="FootnoteReference"/>
        </w:rPr>
        <w:footnoteReference w:id="211"/>
      </w:r>
      <w:r>
        <w:rPr>
          <w:vertAlign w:val="superscript"/>
        </w:rPr>
        <w:t xml:space="preserve">,</w:t>
      </w:r>
      <w:r>
        <w:rPr>
          <w:rStyle w:val="FootnoteReference"/>
        </w:rPr>
        <w:footnoteReference w:id="212"/>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3"/>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213"/>
    <w:bookmarkStart w:id="235" w:name="b_modelo"/>
    <w:p>
      <w:pPr>
        <w:pStyle w:val="Heading4"/>
      </w:pPr>
      <w:r>
        <w:t xml:space="preserve">b) Modelo</w:t>
      </w:r>
    </w:p>
    <w:bookmarkStart w:id="215" w:name="i_supuestos"/>
    <w:p>
      <w:pPr>
        <w:pStyle w:val="Heading5"/>
      </w:pPr>
      <w:r>
        <w:t xml:space="preserve">i) Supuestos</w:t>
      </w:r>
    </w:p>
    <w:p>
      <w:pPr>
        <w:numPr>
          <w:ilvl w:val="0"/>
          <w:numId w:val="1104"/>
        </w:numPr>
      </w:pPr>
      <w:r>
        <w:t xml:space="preserve">Se parte de un consumidor</w:t>
      </w:r>
      <w:r>
        <w:t xml:space="preserve"> </w:t>
      </w:r>
      <w:r>
        <w:rPr>
          <w:i/>
          <w:iCs/>
        </w:rPr>
        <w:t xml:space="preserve">individual</w:t>
      </w:r>
      <w:r>
        <w:rPr>
          <w:rStyle w:val="FootnoteReference"/>
        </w:rPr>
        <w:footnoteReference w:id="214"/>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215"/>
    <w:bookmarkStart w:id="226" w:name="ii_desarrollo"/>
    <w:p>
      <w:pPr>
        <w:pStyle w:val="Heading5"/>
      </w:pPr>
      <w:r>
        <w:t xml:space="preserve">ii) Desarrollo</w:t>
      </w:r>
    </w:p>
    <w:p>
      <w:pPr>
        <w:numPr>
          <w:ilvl w:val="0"/>
          <w:numId w:val="1105"/>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5"/>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r>
        <w:t xml:space="preserve"> </w:t>
      </w:r>
      <w:bookmarkStart w:id="216" w:name="eq_adpr"/>
      <w:bookmarkEnd w:id="216"/>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217"/>
      </w:r>
    </w:p>
    <w:bookmarkStart w:id="221" w:name="fig_adpr_efecto_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Gráfico 18.– Axioma débil de la preferencia revelada y signo del efecto sustitución" title="" id="219" name="Picture"/>
            <a:graphic>
              <a:graphicData uri="http://schemas.openxmlformats.org/drawingml/2006/picture">
                <pic:pic>
                  <pic:nvPicPr>
                    <pic:cNvPr descr="C:\Users\vgutierrez\Documents\src\victorgutierrezmarcos.github.io-revision\oposicion\temario\fuentes\3A08\graficos/adpr-efecto-sustitucion.png" id="220" name="Picture"/>
                    <pic:cNvPicPr>
                      <a:picLocks noChangeArrowheads="1" noChangeAspect="1"/>
                    </pic:cNvPicPr>
                  </pic:nvPicPr>
                  <pic:blipFill>
                    <a:blip r:embed="rId218"/>
                    <a:stretch>
                      <a:fillRect/>
                    </a:stretch>
                  </pic:blipFill>
                  <pic:spPr bwMode="auto">
                    <a:xfrm>
                      <a:off x="0" y="0"/>
                      <a:ext cx="5370188" cy="2088746"/>
                    </a:xfrm>
                    <a:prstGeom prst="rect">
                      <a:avLst/>
                    </a:prstGeom>
                    <a:noFill/>
                    <a:ln w="9525">
                      <a:noFill/>
                      <a:headEnd/>
                      <a:tailEnd/>
                    </a:ln>
                  </pic:spPr>
                </pic:pic>
              </a:graphicData>
            </a:graphic>
          </wp:inline>
        </w:drawing>
      </w:r>
    </w:p>
    <w:bookmarkEnd w:id="221"/>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2.F</w:t>
        </w:r>
      </w:hyperlink>
      <w:r>
        <w:t xml:space="preserve">)</w:t>
      </w:r>
      <w:r>
        <w:t xml:space="preserve">.</w:t>
      </w:r>
    </w:p>
    <w:p>
      <w:pPr>
        <w:numPr>
          <w:ilvl w:val="0"/>
          <w:numId w:val="1106"/>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w:t>
      </w:r>
      <w:hyperlink w:anchor="fig_afpr">
        <w:r>
          <w:rPr>
            <w:rStyle w:val="Hyperlink"/>
          </w:rPr>
          <w:t xml:space="preserve">19</w:t>
        </w:r>
      </w:hyperlink>
      <w:r>
        <w:t xml:space="preserve">).</w:t>
      </w:r>
    </w:p>
    <w:p>
      <w:pPr>
        <w:numPr>
          <w:ilvl w:val="0"/>
          <w:numId w:val="1106"/>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225" w:name="fig_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Gráfico 19.– Axioma fuerte de la preferencia revelada: \vec{x}^0 se revela indirectamente preferida a \vec{x}^2" title="" id="223" name="Picture"/>
            <a:graphic>
              <a:graphicData uri="http://schemas.openxmlformats.org/drawingml/2006/picture">
                <pic:pic>
                  <pic:nvPicPr>
                    <pic:cNvPr descr="C:\Users\vgutierrez\Documents\src\victorgutierrezmarcos.github.io-revision\oposicion\temario\fuentes\3A08\graficos/afpr.png" id="224" name="Picture"/>
                    <pic:cNvPicPr>
                      <a:picLocks noChangeArrowheads="1" noChangeAspect="1"/>
                    </pic:cNvPicPr>
                  </pic:nvPicPr>
                  <pic:blipFill>
                    <a:blip r:embed="rId222"/>
                    <a:stretch>
                      <a:fillRect/>
                    </a:stretch>
                  </pic:blipFill>
                  <pic:spPr bwMode="auto">
                    <a:xfrm>
                      <a:off x="0" y="0"/>
                      <a:ext cx="3282950" cy="1884151"/>
                    </a:xfrm>
                    <a:prstGeom prst="rect">
                      <a:avLst/>
                    </a:prstGeom>
                    <a:noFill/>
                    <a:ln w="9525">
                      <a:noFill/>
                      <a:headEnd/>
                      <a:tailEnd/>
                    </a:ln>
                  </pic:spPr>
                </pic:pic>
              </a:graphicData>
            </a:graphic>
          </wp:inline>
        </w:drawing>
      </w:r>
    </w:p>
    <w:bookmarkEnd w:id="22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7</w:t>
        </w:r>
      </w:hyperlink>
      <w:r>
        <w:t xml:space="preserve">)</w:t>
      </w:r>
      <w:r>
        <w:t xml:space="preserve">.</w:t>
      </w:r>
    </w:p>
    <w:bookmarkEnd w:id="226"/>
    <w:bookmarkStart w:id="234" w:name="iii_implicaciones"/>
    <w:p>
      <w:pPr>
        <w:pStyle w:val="Heading5"/>
      </w:pPr>
      <w:r>
        <w:t xml:space="preserve">iii) Implicaciones</w:t>
      </w:r>
    </w:p>
    <w:p>
      <w:pPr>
        <w:keepNext/>
        <w:numPr>
          <w:ilvl w:val="0"/>
          <w:numId w:val="1107"/>
        </w:numPr>
      </w:pPr>
      <w:r>
        <w:t xml:space="preserve">Del ADPR se deducen las propiedades de la demanda sin hablar de utilidad:</w:t>
      </w:r>
    </w:p>
    <w:p>
      <w:pPr>
        <w:numPr>
          <w:ilvl w:val="1"/>
          <w:numId w:val="1108"/>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227"/>
      </w:r>
    </w:p>
    <w:p>
      <w:pPr>
        <w:numPr>
          <w:ilvl w:val="1"/>
          <w:numId w:val="1108"/>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w:t>
      </w:r>
      <w:hyperlink w:anchor="der_adpr">
        <w:r>
          <w:rPr>
            <w:rStyle w:val="Hyperlink"/>
          </w:rPr>
          <w:t xml:space="preserve">B.7</w:t>
        </w:r>
      </w:hyperlink>
      <w:r>
        <w:t xml:space="preserve">)</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w:t>
      </w:r>
      <w:bookmarkStart w:id="228" w:name="eq_ley_demanda_compensada"/>
      <w:bookmarkEnd w:id="228"/>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w:t>
      </w:r>
      <w:hyperlink w:anchor="fig_adpr_efecto_sustitucion">
        <w:r>
          <w:rPr>
            <w:rStyle w:val="Hyperlink"/>
          </w:rPr>
          <w:t xml:space="preserve">18</w:t>
        </w:r>
      </w:hyperlink>
      <w:r>
        <w:t xml:space="preserve">, segunda capa). Se obtiene el resultado de la ecuación de</w:t>
      </w:r>
      <w:r>
        <w:t xml:space="preserve"> </w:t>
      </w:r>
      <w:r>
        <w:rPr>
          <w:smallCaps/>
        </w:rPr>
        <w:t xml:space="preserve">Slutsky</w:t>
      </w:r>
      <w:r>
        <w:t xml:space="preserve"> </w:t>
      </w:r>
      <w:r>
        <w:t xml:space="preserve">sin hablar de utilidad.</w:t>
      </w:r>
    </w:p>
    <w:p>
      <w:pPr>
        <w:numPr>
          <w:ilvl w:val="1"/>
          <w:numId w:val="1108"/>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2.F.2)</w:t>
      </w:r>
      <w:r>
        <w:t xml:space="preserve">. Por eso, con más de 2 bienes, no basta para que exista una utilidad que racionalice la demanda; con 2 bienes, sí</w:t>
      </w:r>
      <w:r>
        <w:t xml:space="preserve"> </w:t>
      </w:r>
      <w:r>
        <w:t xml:space="preserve">(</w:t>
      </w:r>
      <w:hyperlink w:anchor="ref_Rose1958Consistency">
        <w:r>
          <w:rPr>
            <w:rStyle w:val="Hyperlink"/>
            <w:smallCaps/>
          </w:rPr>
          <w:t xml:space="preserve">Rose</w:t>
        </w:r>
        <w:r>
          <w:rPr>
            <w:rStyle w:val="Hyperlink"/>
          </w:rPr>
          <w:t xml:space="preserve">, 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hyperlink r:id="rId30">
        <w:r>
          <w:rPr>
            <w:rStyle w:val="Referenciaatema"/>
          </w:rPr>
          <w:t xml:space="preserve">[ver tema 3.A.9]</w:t>
        </w:r>
      </w:hyperlink>
      <w:r>
        <w:t xml:space="preserve">.</w:t>
      </w:r>
    </w:p>
    <w:p>
      <w:pPr>
        <w:numPr>
          <w:ilvl w:val="0"/>
          <w:numId w:val="1109"/>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229"/>
      </w:r>
    </w:p>
    <w:p>
      <w:pPr>
        <w:numPr>
          <w:ilvl w:val="0"/>
          <w:numId w:val="1109"/>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w:t>
      </w:r>
      <w:hyperlink w:anchor="fig_preferencia_revelada_indiferencia">
        <w:r>
          <w:rPr>
            <w:rStyle w:val="Hyperlink"/>
          </w:rPr>
          <w:t xml:space="preserve">20</w:t>
        </w:r>
      </w:hyperlink>
      <w:r>
        <w:t xml:space="preserve">).</w:t>
      </w:r>
    </w:p>
    <w:bookmarkStart w:id="233" w:name="fig_preferencia_revelada_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Gráfico 20.– Obtención de una curva de indiferencia a partir de la preferencia revelada" title="" id="231" name="Picture"/>
            <a:graphic>
              <a:graphicData uri="http://schemas.openxmlformats.org/drawingml/2006/picture">
                <pic:pic>
                  <pic:nvPicPr>
                    <pic:cNvPr descr="C:\Users\vgutierrez\Documents\src\victorgutierrezmarcos.github.io-revision\oposicion\temario\fuentes\3A08\graficos/preferencia-revelada-indiferencia.png" id="232" name="Picture"/>
                    <pic:cNvPicPr>
                      <a:picLocks noChangeArrowheads="1" noChangeAspect="1"/>
                    </pic:cNvPicPr>
                  </pic:nvPicPr>
                  <pic:blipFill>
                    <a:blip r:embed="rId230"/>
                    <a:stretch>
                      <a:fillRect/>
                    </a:stretch>
                  </pic:blipFill>
                  <pic:spPr bwMode="auto">
                    <a:xfrm>
                      <a:off x="0" y="0"/>
                      <a:ext cx="2798247" cy="2055106"/>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8Consumption">
        <w:r>
          <w:rPr>
            <w:rStyle w:val="Hyperlink"/>
          </w:rPr>
          <w:t xml:space="preserve">1948</w:t>
        </w:r>
      </w:hyperlink>
      <w:r>
        <w:t xml:space="preserve">)</w:t>
      </w:r>
      <w:r>
        <w:t xml:space="preserve">.</w:t>
      </w:r>
    </w:p>
    <w:bookmarkEnd w:id="234"/>
    <w:bookmarkEnd w:id="235"/>
    <w:bookmarkStart w:id="236" w:name="c_extensiones"/>
    <w:p>
      <w:pPr>
        <w:pStyle w:val="Heading4"/>
      </w:pPr>
      <w:r>
        <w:t xml:space="preserve">c) Extensiones</w:t>
      </w:r>
    </w:p>
    <w:p>
      <w:pPr>
        <w:numPr>
          <w:ilvl w:val="0"/>
          <w:numId w:val="1110"/>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0"/>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hyperlink r:id="rId30">
        <w:r>
          <w:rPr>
            <w:rStyle w:val="Referenciaatema"/>
          </w:rPr>
          <w:t xml:space="preserve">[ver tema 3.A.9]</w:t>
        </w:r>
      </w:hyperlink>
      <w:r>
        <w:t xml:space="preserve">.</w:t>
      </w:r>
    </w:p>
    <w:bookmarkEnd w:id="236"/>
    <w:bookmarkStart w:id="237" w:name="d_evidencia_emp__rica"/>
    <w:p>
      <w:pPr>
        <w:pStyle w:val="Heading4"/>
      </w:pPr>
      <w:r>
        <w:t xml:space="preserve">d) Evidencia empírica</w:t>
      </w:r>
    </w:p>
    <w:p>
      <w:pPr>
        <w:numPr>
          <w:ilvl w:val="0"/>
          <w:numId w:val="1111"/>
        </w:numPr>
      </w:pP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37"/>
    <w:bookmarkStart w:id="238" w:name="e_valoraci__n"/>
    <w:p>
      <w:pPr>
        <w:pStyle w:val="Heading4"/>
      </w:pPr>
      <w:r>
        <w:t xml:space="preserve">e) Valoración</w:t>
      </w:r>
    </w:p>
    <w:p>
      <w:pPr>
        <w:numPr>
          <w:ilvl w:val="0"/>
          <w:numId w:val="1112"/>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2"/>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2"/>
        </w:numPr>
      </w:pPr>
      <w:r>
        <w:t xml:space="preserve">su principal crítica es que identifica elección y preferencia</w:t>
      </w:r>
      <w:r>
        <w:t xml:space="preserve"> </w:t>
      </w:r>
      <w:r>
        <w:t xml:space="preserve">(</w:t>
      </w:r>
      <w:hyperlink w:anchor="ref_Sen1973Behaviour">
        <w:r>
          <w:rPr>
            <w:rStyle w:val="Hyperlink"/>
            <w:smallCaps/>
          </w:rPr>
          <w:t xml:space="preserve">Sen</w:t>
        </w:r>
        <w:r>
          <w:rPr>
            <w:rStyle w:val="Hyperlink"/>
          </w:rPr>
          <w:t xml:space="preserve">, 1973</w:t>
        </w:r>
      </w:hyperlink>
      <w:r>
        <w:t xml:space="preserve">)</w:t>
      </w:r>
      <w:r>
        <w:t xml:space="preserve">: si la elección depende del contexto, de normas o de compromisos, lo que se «revela» no es necesariamente el bienestar del consumidor;</w:t>
      </w:r>
    </w:p>
    <w:p>
      <w:pPr>
        <w:numPr>
          <w:ilvl w:val="0"/>
          <w:numId w:val="1112"/>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38"/>
    <w:bookmarkEnd w:id="239"/>
    <w:bookmarkStart w:id="251" w:name="sec_produccion_domestica"/>
    <w:p>
      <w:pPr>
        <w:pStyle w:val="Heading2"/>
      </w:pPr>
      <w:r>
        <w:t xml:space="preserve">III.2.</w:t>
      </w:r>
      <w:r>
        <w:t xml:space="preserve"> </w:t>
      </w:r>
      <w:r>
        <w:t xml:space="preserve">La producción doméstica</w:t>
      </w:r>
    </w:p>
    <w:bookmarkStart w:id="242" w:name="a_idea_1"/>
    <w:p>
      <w:pPr>
        <w:pStyle w:val="Heading4"/>
      </w:pPr>
      <w:r>
        <w:t xml:space="preserve">a) Idea</w:t>
      </w:r>
    </w:p>
    <w:p>
      <w:pPr>
        <w:keepNext/>
        <w:numPr>
          <w:ilvl w:val="0"/>
          <w:numId w:val="1113"/>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4"/>
        </w:numPr>
      </w:pPr>
      <w:r>
        <w:rPr>
          <w:smallCaps/>
        </w:rPr>
        <w:t xml:space="preserve">Becker</w:t>
      </w:r>
      <w:r>
        <w:t xml:space="preserve"> </w:t>
      </w:r>
      <w:r>
        <w:t xml:space="preserve">(</w:t>
      </w:r>
      <w:hyperlink w:anchor="ref_Becker1965Allocation">
        <w:r>
          <w:rPr>
            <w:rStyle w:val="Hyperlink"/>
          </w:rPr>
          <w:t xml:space="preserve">1965</w:t>
        </w:r>
      </w:hyperlink>
      <w:r>
        <w:t xml:space="preserve">)</w:t>
      </w:r>
      <w:r>
        <w:rPr>
          <w:rStyle w:val="FootnoteReference"/>
        </w:rPr>
        <w:footnoteReference w:id="240"/>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4"/>
        </w:numPr>
      </w:pP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w:t>
      </w:r>
      <w:hyperlink w:anchor="anexo_lancaster">
        <w:r>
          <w:rPr>
            <w:rStyle w:val="Hyperlink"/>
          </w:rPr>
          <w:t xml:space="preserve">F</w:t>
        </w:r>
      </w:hyperlink>
      <w:r>
        <w:t xml:space="preserve"> </w:t>
      </w:r>
      <w:r>
        <w:t xml:space="preserve">y su papel en la diferenciación de productos, en</w:t>
      </w:r>
      <w:r>
        <w:t xml:space="preserve"> </w:t>
      </w:r>
      <w:hyperlink r:id="rId241">
        <w:r>
          <w:rPr>
            <w:rStyle w:val="Referenciaatema"/>
          </w:rPr>
          <w:t xml:space="preserve">[ver tema 3.A.18]</w:t>
        </w:r>
      </w:hyperlink>
      <w:r>
        <w:t xml:space="preserve">; aquí es el antecedente de los precios hedónicos (</w:t>
      </w:r>
      <w:hyperlink w:anchor="sec_precios_hedonicos">
        <w:r>
          <w:rPr>
            <w:rStyle w:val="Hyperlink"/>
          </w:rPr>
          <w:t xml:space="preserve">III.3</w:t>
        </w:r>
      </w:hyperlink>
      <w:r>
        <w:t xml:space="preserve">).</w:t>
      </w:r>
    </w:p>
    <w:bookmarkEnd w:id="242"/>
    <w:bookmarkStart w:id="248" w:name="b_modelo_1"/>
    <w:p>
      <w:pPr>
        <w:pStyle w:val="Heading4"/>
      </w:pPr>
      <w:r>
        <w:t xml:space="preserve">b) Modelo</w:t>
      </w:r>
    </w:p>
    <w:bookmarkStart w:id="243" w:name="i_supuestos_1"/>
    <w:p>
      <w:pPr>
        <w:pStyle w:val="Heading5"/>
      </w:pPr>
      <w:r>
        <w:t xml:space="preserve">i) Supuestos</w:t>
      </w:r>
    </w:p>
    <w:p>
      <w:pPr>
        <w:numPr>
          <w:ilvl w:val="0"/>
          <w:numId w:val="1115"/>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5"/>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43"/>
    <w:bookmarkStart w:id="246" w:name="ii_desarrollo_1"/>
    <w:p>
      <w:pPr>
        <w:pStyle w:val="Heading5"/>
      </w:pPr>
      <w:r>
        <w:t xml:space="preserve">ii) Desarrollo</w:t>
      </w:r>
    </w:p>
    <w:p>
      <w:pPr>
        <w:numPr>
          <w:ilvl w:val="0"/>
          <w:numId w:val="1116"/>
        </w:numPr>
      </w:pPr>
      <w:r>
        <w:t xml:space="preserve">El hogar elige los bienes, el tiempo de cada actividad y las horas de trabajo sujeto a la tecnología del hogar y a 2 restricciones, de presupuesto y de tiempo:</w:t>
      </w:r>
      <w:r>
        <w:t xml:space="preserve"> </w:t>
      </w:r>
      <w:bookmarkStart w:id="244" w:name="eq_becker_restricciones"/>
      <w:bookmarkEnd w:id="24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r>
        <w:t xml:space="preserve"> </w:t>
      </w:r>
      <w:bookmarkStart w:id="245" w:name="eq_renta_completa"/>
      <w:bookmarkEnd w:id="245"/>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7"/>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46"/>
    <w:bookmarkStart w:id="247" w:name="iii_implicaciones_1"/>
    <w:p>
      <w:pPr>
        <w:pStyle w:val="Heading5"/>
      </w:pPr>
      <w:r>
        <w:t xml:space="preserve">iii) Implicaciones</w:t>
      </w:r>
    </w:p>
    <w:p>
      <w:pPr>
        <w:numPr>
          <w:ilvl w:val="0"/>
          <w:numId w:val="1118"/>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hyperlink r:id="rId37">
        <w:r>
          <w:rPr>
            <w:rStyle w:val="Referenciaatema"/>
          </w:rPr>
          <w:t xml:space="preserve">[ver tema 3.A.25]</w:t>
        </w:r>
      </w:hyperlink>
      <w:r>
        <w:t xml:space="preserve">.</w:t>
      </w:r>
    </w:p>
    <w:p>
      <w:pPr>
        <w:numPr>
          <w:ilvl w:val="0"/>
          <w:numId w:val="1118"/>
        </w:numPr>
      </w:pPr>
      <w:r>
        <w:t xml:space="preserve">Un cambio de precios afecta a la demanda de bienes también a través de la tecnología del hogar, lo que da lugar a nuevos efectos sustitución.</w:t>
      </w:r>
    </w:p>
    <w:bookmarkEnd w:id="247"/>
    <w:bookmarkEnd w:id="248"/>
    <w:bookmarkStart w:id="249" w:name="c_extensiones_1"/>
    <w:p>
      <w:pPr>
        <w:pStyle w:val="Heading4"/>
      </w:pPr>
      <w:r>
        <w:t xml:space="preserve">c) Extensiones</w:t>
      </w:r>
    </w:p>
    <w:p>
      <w:pPr>
        <w:numPr>
          <w:ilvl w:val="0"/>
          <w:numId w:val="1119"/>
        </w:numPr>
      </w:pP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49"/>
    <w:bookmarkStart w:id="250" w:name="d_valoraci__n"/>
    <w:p>
      <w:pPr>
        <w:pStyle w:val="Heading4"/>
      </w:pPr>
      <w:r>
        <w:t xml:space="preserve">d) Valoración</w:t>
      </w:r>
    </w:p>
    <w:p>
      <w:pPr>
        <w:numPr>
          <w:ilvl w:val="0"/>
          <w:numId w:val="1120"/>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0"/>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50"/>
    <w:bookmarkEnd w:id="251"/>
    <w:bookmarkStart w:id="268" w:name="sec_precios_hedonicos"/>
    <w:p>
      <w:pPr>
        <w:pStyle w:val="Heading2"/>
      </w:pPr>
      <w:r>
        <w:t xml:space="preserve">III.3.</w:t>
      </w:r>
      <w:r>
        <w:t xml:space="preserve"> </w:t>
      </w:r>
      <w:r>
        <w:t xml:space="preserve">Precios hedónicos</w:t>
      </w:r>
    </w:p>
    <w:bookmarkStart w:id="252" w:name="a_idea_2"/>
    <w:p>
      <w:pPr>
        <w:pStyle w:val="Heading4"/>
      </w:pPr>
      <w:r>
        <w:t xml:space="preserve">a) Idea</w:t>
      </w:r>
    </w:p>
    <w:p>
      <w:pPr>
        <w:keepNext/>
        <w:numPr>
          <w:ilvl w:val="0"/>
          <w:numId w:val="1121"/>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2"/>
        </w:numPr>
      </w:pPr>
      <w:r>
        <w:t xml:space="preserve">Su fundamento es el enfoque de características de</w:t>
      </w:r>
      <w:r>
        <w:t xml:space="preserve"> </w:t>
      </w:r>
      <w:r>
        <w:rPr>
          <w:smallCaps/>
        </w:rPr>
        <w:t xml:space="preserve">Lancaster</w:t>
      </w:r>
      <w:r>
        <w:t xml:space="preserve"> </w:t>
      </w:r>
      <w:r>
        <w:t xml:space="preserve">(</w:t>
      </w:r>
      <w:hyperlink w:anchor="sec_produccion_domestica">
        <w:r>
          <w:rPr>
            <w:rStyle w:val="Hyperlink"/>
          </w:rPr>
          <w:t xml:space="preserve">III.2</w:t>
        </w:r>
      </w:hyperlink>
      <w:r>
        <w:t xml:space="preserve"> </w:t>
      </w:r>
      <w:r>
        <w:t xml:space="preserve">y anexo </w:t>
      </w:r>
      <w:hyperlink w:anchor="anexo_lancaster">
        <w:r>
          <w:rPr>
            <w:rStyle w:val="Hyperlink"/>
          </w:rPr>
          <w:t xml:space="preserve">F</w:t>
        </w:r>
      </w:hyperlink>
      <w:r>
        <w:t xml:space="preserve">):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2"/>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22"/>
        </w:numPr>
      </w:pP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_Goodman1998Court">
        <w:r>
          <w:rPr>
            <w:rStyle w:val="Hyperlink"/>
            <w:smallCaps/>
          </w:rPr>
          <w:t xml:space="preserve">Goodman</w:t>
        </w:r>
        <w:r>
          <w:rPr>
            <w:rStyle w:val="Hyperlink"/>
          </w:rPr>
          <w:t xml:space="preserve">, 1998</w:t>
        </w:r>
      </w:hyperlink>
      <w:r>
        <w:t xml:space="preserve">)</w:t>
      </w:r>
      <w:r>
        <w:t xml:space="preserve">;</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_Griliches1971Price">
        <w:r>
          <w:rPr>
            <w:rStyle w:val="Hyperlink"/>
            <w:smallCaps/>
          </w:rPr>
          <w:t xml:space="preserve">Griliches</w:t>
        </w:r>
        <w:r>
          <w:rPr>
            <w:rStyle w:val="Hyperlink"/>
          </w:rPr>
          <w:t xml:space="preserve">, 1971</w:t>
        </w:r>
      </w:hyperlink>
      <w:r>
        <w:t xml:space="preserve">)</w:t>
      </w:r>
      <w:r>
        <w:t xml:space="preserve">,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bookmarkEnd w:id="252"/>
    <w:bookmarkStart w:id="262" w:name="b_modelo_2"/>
    <w:p>
      <w:pPr>
        <w:pStyle w:val="Heading4"/>
      </w:pPr>
      <w:r>
        <w:t xml:space="preserve">b) Modelo</w:t>
      </w:r>
    </w:p>
    <w:bookmarkStart w:id="253" w:name="i_supuestos_2"/>
    <w:p>
      <w:pPr>
        <w:pStyle w:val="Heading5"/>
      </w:pPr>
      <w:r>
        <w:t xml:space="preserve">i) Supuestos</w:t>
      </w:r>
    </w:p>
    <w:p>
      <w:pPr>
        <w:numPr>
          <w:ilvl w:val="0"/>
          <w:numId w:val="1123"/>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3"/>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53"/>
    <w:bookmarkStart w:id="260" w:name="ii_desarrollo_2"/>
    <w:p>
      <w:pPr>
        <w:pStyle w:val="Heading5"/>
      </w:pPr>
      <w:r>
        <w:t xml:space="preserve">ii) Desarrollo</w:t>
      </w:r>
    </w:p>
    <w:p>
      <w:pPr>
        <w:numPr>
          <w:ilvl w:val="0"/>
          <w:numId w:val="1124"/>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57" w:name="fig_funcion_hedonica_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Gráfico 21.– La función hedónica como envolvente de curvas de puja y de oferta (Rosen, 1974)" title="" id="255" name="Picture"/>
            <a:graphic>
              <a:graphicData uri="http://schemas.openxmlformats.org/drawingml/2006/picture">
                <pic:pic>
                  <pic:nvPicPr>
                    <pic:cNvPr descr="C:\Users\vgutierrez\Documents\src\victorgutierrezmarcos.github.io-revision\oposicion\temario\fuentes\3A08\graficos/funcion-hedonica-rosen.png" id="256" name="Picture"/>
                    <pic:cNvPicPr>
                      <a:picLocks noChangeArrowheads="1" noChangeAspect="1"/>
                    </pic:cNvPicPr>
                  </pic:nvPicPr>
                  <pic:blipFill>
                    <a:blip r:embed="rId254"/>
                    <a:stretch>
                      <a:fillRect/>
                    </a:stretch>
                  </pic:blipFill>
                  <pic:spPr bwMode="auto">
                    <a:xfrm>
                      <a:off x="0" y="0"/>
                      <a:ext cx="3162172" cy="2492428"/>
                    </a:xfrm>
                    <a:prstGeom prst="rect">
                      <a:avLst/>
                    </a:prstGeom>
                    <a:noFill/>
                    <a:ln w="9525">
                      <a:noFill/>
                      <a:headEnd/>
                      <a:tailEnd/>
                    </a:ln>
                  </pic:spPr>
                </pic:pic>
              </a:graphicData>
            </a:graphic>
          </wp:inline>
        </w:drawing>
      </w:r>
    </w:p>
    <w:bookmarkEnd w:id="257"/>
    <w:p>
      <w:pPr>
        <w:pStyle w:val="Piedeimagen"/>
      </w:pPr>
      <w:r>
        <w:t xml:space="preserve">Fuente: elaboración propia basada en</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w:t>
      </w:r>
    </w:p>
    <w:p>
      <w:pPr>
        <w:keepNext/>
        <w:numPr>
          <w:ilvl w:val="0"/>
          <w:numId w:val="1125"/>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6"/>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r>
        <w:t xml:space="preserve"> </w:t>
      </w:r>
      <w:bookmarkStart w:id="258" w:name="eq_rosen_pmu"/>
      <w:bookmarkEnd w:id="2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r>
        <w:t xml:space="preserve"> </w:t>
      </w:r>
      <w:bookmarkStart w:id="259" w:name="eq_hedonico"/>
      <w:bookmarkEnd w:id="259"/>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w:t>
      </w:r>
      <w:hyperlink w:anchor="sec_problema_maximizacion_utilidad">
        <w:r>
          <w:rPr>
            <w:rStyle w:val="Hyperlink"/>
          </w:rPr>
          <w:t xml:space="preserve">I.2</w:t>
        </w:r>
      </w:hyperlink>
      <w:r>
        <w:t xml:space="preserve"> </w:t>
      </w:r>
      <w:r>
        <w:t xml:space="preserve">(ecuación (</w:t>
      </w:r>
      <w:hyperlink w:anchor="eq_tangencia">
        <w:r>
          <w:rPr>
            <w:rStyle w:val="Hyperlink"/>
          </w:rPr>
          <w:t xml:space="preserve">13</w:t>
        </w:r>
      </w:hyperlink>
      <w:r>
        <w:t xml:space="preserve">)),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6"/>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6"/>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w:t>
      </w:r>
      <w:hyperlink w:anchor="fig_funcion_hedonica_rosen">
        <w:r>
          <w:rPr>
            <w:rStyle w:val="Hyperlink"/>
          </w:rPr>
          <w:t xml:space="preserve">21</w:t>
        </w:r>
      </w:hyperlink>
      <w:r>
        <w:t xml:space="preserve">).</w:t>
      </w:r>
    </w:p>
    <w:bookmarkEnd w:id="260"/>
    <w:bookmarkStart w:id="261" w:name="iii_implicaciones_2"/>
    <w:p>
      <w:pPr>
        <w:pStyle w:val="Heading5"/>
      </w:pPr>
      <w:r>
        <w:t xml:space="preserve">iii) Implicaciones</w:t>
      </w:r>
    </w:p>
    <w:p>
      <w:pPr>
        <w:numPr>
          <w:ilvl w:val="0"/>
          <w:numId w:val="1127"/>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7"/>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61"/>
    <w:bookmarkEnd w:id="262"/>
    <w:bookmarkStart w:id="265" w:name="c_extensiones_2"/>
    <w:p>
      <w:pPr>
        <w:pStyle w:val="Heading4"/>
      </w:pPr>
      <w:r>
        <w:t xml:space="preserve">c) Extensiones</w:t>
      </w:r>
    </w:p>
    <w:p>
      <w:pPr>
        <w:numPr>
          <w:ilvl w:val="0"/>
          <w:numId w:val="1128"/>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63"/>
      </w:r>
      <w:r>
        <w:t xml:space="preserve"> </w:t>
      </w:r>
      <w:r>
        <w:t xml:space="preserve">Es una herramienta habitual del análisis coste-beneficio</w:t>
      </w:r>
      <w:r>
        <w:t xml:space="preserve"> </w:t>
      </w:r>
      <w:hyperlink r:id="rId264">
        <w:r>
          <w:rPr>
            <w:rStyle w:val="Referenciaatema"/>
          </w:rPr>
          <w:t xml:space="preserve">[ver tema 4.B.6]</w:t>
        </w:r>
      </w:hyperlink>
      <w:r>
        <w:t xml:space="preserve">.</w:t>
      </w:r>
    </w:p>
    <w:p>
      <w:pPr>
        <w:numPr>
          <w:ilvl w:val="0"/>
          <w:numId w:val="1128"/>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65"/>
    <w:bookmarkStart w:id="266" w:name="d_evidencia_emp__rica_1"/>
    <w:p>
      <w:pPr>
        <w:pStyle w:val="Heading4"/>
      </w:pPr>
      <w:r>
        <w:t xml:space="preserve">d) Evidencia empírica</w:t>
      </w:r>
    </w:p>
    <w:p>
      <w:pPr>
        <w:keepNext/>
        <w:numPr>
          <w:ilvl w:val="0"/>
          <w:numId w:val="1129"/>
        </w:numPr>
      </w:pPr>
      <w:r>
        <w:rPr>
          <w:i/>
          <w:iCs/>
        </w:rPr>
        <w:t xml:space="preserve">Estimación</w:t>
      </w:r>
      <w:r>
        <w:t xml:space="preserve">, en 2 etapas:</w:t>
      </w:r>
    </w:p>
    <w:p>
      <w:pPr>
        <w:numPr>
          <w:ilvl w:val="1"/>
          <w:numId w:val="1130"/>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0"/>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_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2004</w:t>
        </w:r>
      </w:hyperlink>
      <w:r>
        <w:t xml:space="preserve">)</w:t>
      </w:r>
      <w:r>
        <w:t xml:space="preserve">.</w:t>
      </w:r>
    </w:p>
    <w:p>
      <w:pPr>
        <w:keepNext/>
        <w:numPr>
          <w:ilvl w:val="0"/>
          <w:numId w:val="1129"/>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1"/>
        </w:numPr>
      </w:pPr>
      <w:r>
        <w:t xml:space="preserve">El informe de</w:t>
      </w:r>
      <w:r>
        <w:t xml:space="preserve"> </w:t>
      </w:r>
      <w:r>
        <w:rPr>
          <w:smallCaps/>
        </w:rPr>
        <w:t xml:space="preserve">Boskin</w:t>
      </w:r>
      <w:r>
        <w:t xml:space="preserve"> </w:t>
      </w:r>
      <w:r>
        <w:t xml:space="preserve">et al. (</w:t>
      </w:r>
      <w:hyperlink w:anchor="ref_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1"/>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_Eurostat2024HICPManual">
        <w:r>
          <w:rPr>
            <w:rStyle w:val="Hyperlink"/>
            <w:smallCaps/>
          </w:rPr>
          <w:t xml:space="preserve">Eurostat</w:t>
        </w:r>
        <w:r>
          <w:rPr>
            <w:rStyle w:val="Hyperlink"/>
          </w:rPr>
          <w:t xml:space="preserve">, 2024</w:t>
        </w:r>
      </w:hyperlink>
      <w:r>
        <w:t xml:space="preserve">;</w:t>
      </w:r>
      <w:r>
        <w:t xml:space="preserve"> </w:t>
      </w:r>
      <w:hyperlink w:anchor="ref_Triplett2006Handbook">
        <w:r>
          <w:rPr>
            <w:rStyle w:val="Hyperlink"/>
            <w:smallCaps/>
          </w:rPr>
          <w:t xml:space="preserve">Triplett</w:t>
        </w:r>
        <w:r>
          <w:rPr>
            <w:rStyle w:val="Hyperlink"/>
          </w:rPr>
          <w:t xml:space="preserve">,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_BLS2026QualityAdjustment">
        <w:r>
          <w:rPr>
            <w:rStyle w:val="Hyperlink"/>
            <w:smallCaps/>
          </w:rPr>
          <w:t xml:space="preserve">U.S. Bureau of Labor Statistics</w:t>
        </w:r>
        <w:r>
          <w:rPr>
            <w:rStyle w:val="Hyperlink"/>
          </w:rPr>
          <w:t xml:space="preserve">, 2026</w:t>
        </w:r>
      </w:hyperlink>
      <w:r>
        <w:t xml:space="preserve">)</w:t>
      </w:r>
      <w:r>
        <w:t xml:space="preserve">. El IPC español, en cambio, recurre sobre todo a los precios de solapamiento, la opinión de expertos y la imputación</w:t>
      </w:r>
      <w:r>
        <w:t xml:space="preserve"> </w:t>
      </w:r>
      <w:r>
        <w:t xml:space="preserve">(</w:t>
      </w:r>
      <w:hyperlink w:anchor="ref_INE2026IPCMetodologia">
        <w:r>
          <w:rPr>
            <w:rStyle w:val="Hyperlink"/>
            <w:smallCaps/>
          </w:rPr>
          <w:t xml:space="preserve">Instituto Nacional de Estadística</w:t>
        </w:r>
        <w:r>
          <w:rPr>
            <w:rStyle w:val="Hyperlink"/>
          </w:rPr>
          <w:t xml:space="preserve">, 2026c, 40-41</w:t>
        </w:r>
      </w:hyperlink>
      <w:r>
        <w:t xml:space="preserve">)</w:t>
      </w:r>
      <w:r>
        <w:t xml:space="preserve">.</w:t>
      </w:r>
    </w:p>
    <w:p>
      <w:pPr>
        <w:numPr>
          <w:ilvl w:val="1"/>
          <w:numId w:val="1131"/>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_INE2026IPVMetodologia">
        <w:r>
          <w:rPr>
            <w:rStyle w:val="Hyperlink"/>
            <w:smallCaps/>
          </w:rPr>
          <w:t xml:space="preserve">Instituto Nacional de Estadística</w:t>
        </w:r>
        <w:r>
          <w:rPr>
            <w:rStyle w:val="Hyperlink"/>
          </w:rPr>
          <w:t xml:space="preserve">, 2026d</w:t>
        </w:r>
      </w:hyperlink>
      <w:r>
        <w:t xml:space="preserve">)</w:t>
      </w:r>
      <w:r>
        <w:t xml:space="preserve">.</w:t>
      </w:r>
    </w:p>
    <w:bookmarkEnd w:id="266"/>
    <w:bookmarkStart w:id="267" w:name="e_valoraci__n_1"/>
    <w:p>
      <w:pPr>
        <w:pStyle w:val="Heading4"/>
      </w:pPr>
      <w:r>
        <w:t xml:space="preserve">e) Valoración</w:t>
      </w:r>
    </w:p>
    <w:p>
      <w:pPr>
        <w:numPr>
          <w:ilvl w:val="0"/>
          <w:numId w:val="1132"/>
        </w:numPr>
      </w:pPr>
      <w:r>
        <w:t xml:space="preserve">El resultado depende de la forma funcional y de las características que se incluyan (sesgo por variables omitidas, multicolinealidad entre características).</w:t>
      </w:r>
    </w:p>
    <w:p>
      <w:pPr>
        <w:numPr>
          <w:ilvl w:val="0"/>
          <w:numId w:val="1132"/>
        </w:numPr>
      </w:pPr>
      <w:r>
        <w:t xml:space="preserve">La segunda etapa está mal identificada.</w:t>
      </w:r>
    </w:p>
    <w:p>
      <w:pPr>
        <w:numPr>
          <w:ilvl w:val="0"/>
          <w:numId w:val="1132"/>
        </w:numPr>
      </w:pPr>
      <w:r>
        <w:t xml:space="preserve">Supone un mercado en equilibrio, competitivo y con información perfecta sobre las características, algo dudoso, por ejemplo, en la vivienda.</w:t>
      </w:r>
    </w:p>
    <w:p>
      <w:pPr>
        <w:numPr>
          <w:ilvl w:val="0"/>
          <w:numId w:val="1132"/>
        </w:numPr>
      </w:pPr>
      <w:r>
        <w:t xml:space="preserve">Los precios implícitos son marginales: no sirven para valorar cambios grandes.</w:t>
      </w:r>
    </w:p>
    <w:p>
      <w:pPr>
        <w:pStyle w:val="Ideaclave"/>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67"/>
    <w:bookmarkEnd w:id="268"/>
    <w:bookmarkEnd w:id="269"/>
    <w:bookmarkStart w:id="273" w:name="conclusi__n"/>
    <w:p>
      <w:pPr>
        <w:pStyle w:val="Heading1"/>
      </w:pPr>
      <w:r>
        <w:t xml:space="preserve">Conclusión</w:t>
      </w:r>
      <w:r>
        <w:t xml:space="preserve"> </w:t>
      </w:r>
      <w:r>
        <w:rPr>
          <w:rStyle w:val="Minutos"/>
        </w:rPr>
        <w:t xml:space="preserve">1′</w:t>
      </w:r>
    </w:p>
    <w:p>
      <w:pPr>
        <w:keepNext/>
        <w:numPr>
          <w:ilvl w:val="0"/>
          <w:numId w:val="1133"/>
        </w:numPr>
      </w:pPr>
      <w:r>
        <w:rPr>
          <w:b/>
          <w:bCs/>
          <w:i/>
          <w:iCs/>
        </w:rPr>
        <w:t xml:space="preserve">Recapitulación</w:t>
      </w:r>
      <w:r>
        <w:t xml:space="preserve">:</w:t>
      </w:r>
    </w:p>
    <w:p>
      <w:pPr>
        <w:numPr>
          <w:ilvl w:val="1"/>
          <w:numId w:val="1134"/>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w:t>
      </w:r>
      <w:hyperlink w:anchor="sec_analisis_teoria_neoclasica">
        <w:r>
          <w:rPr>
            <w:rStyle w:val="Hyperlink"/>
          </w:rPr>
          <w:t xml:space="preserve">I</w:t>
        </w:r>
      </w:hyperlink>
      <w:r>
        <w:t xml:space="preserve">).</w:t>
      </w:r>
    </w:p>
    <w:p>
      <w:pPr>
        <w:numPr>
          <w:ilvl w:val="1"/>
          <w:numId w:val="1134"/>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w:t>
      </w:r>
      <w:hyperlink w:anchor="sec_analisis_teoria_neoclasica_demanda">
        <w:r>
          <w:rPr>
            <w:rStyle w:val="Hyperlink"/>
          </w:rPr>
          <w:t xml:space="preserve">II</w:t>
        </w:r>
      </w:hyperlink>
      <w:r>
        <w:t xml:space="preserve">).</w:t>
      </w:r>
    </w:p>
    <w:p>
      <w:pPr>
        <w:numPr>
          <w:ilvl w:val="1"/>
          <w:numId w:val="1134"/>
        </w:numPr>
      </w:pPr>
      <w:r>
        <w:t xml:space="preserve">Y hemos visto 3 desarrollos que acercan la teoría a lo observable: la preferencia revelada, la producción doméstica y los precios hedónicos (</w:t>
      </w:r>
      <w:hyperlink w:anchor="sec_otros_desarrollos_teoria">
        <w:r>
          <w:rPr>
            <w:rStyle w:val="Hyperlink"/>
          </w:rPr>
          <w:t xml:space="preserve">III</w:t>
        </w:r>
      </w:hyperlink>
      <w:r>
        <w:t xml:space="preserve">).</w:t>
      </w:r>
    </w:p>
    <w:p>
      <w:pPr>
        <w:keepNext/>
        <w:numPr>
          <w:ilvl w:val="0"/>
          <w:numId w:val="1133"/>
        </w:numPr>
      </w:pPr>
      <w:r>
        <w:rPr>
          <w:b/>
          <w:bCs/>
          <w:i/>
          <w:iCs/>
        </w:rPr>
        <w:t xml:space="preserve">Valoración</w:t>
      </w:r>
      <w:r>
        <w:t xml:space="preserve">:</w:t>
      </w:r>
    </w:p>
    <w:p>
      <w:pPr>
        <w:numPr>
          <w:ilvl w:val="1"/>
          <w:numId w:val="1135"/>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hyperlink r:id="rId30">
        <w:r>
          <w:rPr>
            <w:rStyle w:val="Referenciaatema"/>
          </w:rPr>
          <w:t xml:space="preserve">[ver tema 3.A.9]</w:t>
        </w:r>
      </w:hyperlink>
      <w:r>
        <w:t xml:space="preserve"> </w:t>
      </w:r>
      <w:r>
        <w:t xml:space="preserve">puede recorrerse el camino inverso, de la conducta observada a unas preferencias que la generan.</w:t>
      </w:r>
    </w:p>
    <w:p>
      <w:pPr>
        <w:keepNext/>
        <w:numPr>
          <w:ilvl w:val="1"/>
          <w:numId w:val="1135"/>
        </w:numPr>
      </w:pPr>
      <w:r>
        <w:t xml:space="preserve">Su estatus empírico es más discutible:</w:t>
      </w:r>
    </w:p>
    <w:p>
      <w:pPr>
        <w:numPr>
          <w:ilvl w:val="2"/>
          <w:numId w:val="1136"/>
        </w:numPr>
      </w:pPr>
      <w:r>
        <w:t xml:space="preserve">las restricciones de homogeneidad y simetría se han rechazado con frecuencia al estimar sistemas de demanda con datos agregados, en parte por los problemas de agregación (</w:t>
      </w:r>
      <w:hyperlink w:anchor="sec_solucion_problema_maximizacion">
        <w:r>
          <w:rPr>
            <w:rStyle w:val="Hyperlink"/>
          </w:rPr>
          <w:t xml:space="preserve">I.3</w:t>
        </w:r>
      </w:hyperlink>
      <w:r>
        <w:t xml:space="preserve">)</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2"/>
          <w:numId w:val="1136"/>
        </w:numPr>
      </w:pPr>
      <w:r>
        <w:rPr>
          <w:smallCaps/>
        </w:rPr>
        <w:t xml:space="preserve">Friedman</w:t>
      </w:r>
      <w:r>
        <w:t xml:space="preserve"> </w:t>
      </w:r>
      <w:r>
        <w:t xml:space="preserve">(</w:t>
      </w:r>
      <w:hyperlink w:anchor="ref_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6"/>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_Thaler1980Positive">
        <w:r>
          <w:rPr>
            <w:rStyle w:val="Hyperlink"/>
          </w:rPr>
          <w:t xml:space="preserve">1980</w:t>
        </w:r>
      </w:hyperlink>
      <w:r>
        <w:t xml:space="preserve">,</w:t>
      </w:r>
      <w:r>
        <w:t xml:space="preserve"> </w:t>
      </w:r>
      <w:hyperlink w:anchor="ref_Thaler1985Mental">
        <w:r>
          <w:rPr>
            <w:rStyle w:val="Hyperlink"/>
          </w:rPr>
          <w:t xml:space="preserve">1985</w:t>
        </w:r>
      </w:hyperlink>
      <w:r>
        <w:t xml:space="preserve">)</w:t>
      </w:r>
      <w:r>
        <w:t xml:space="preserve">;</w:t>
      </w:r>
      <w:r>
        <w:rPr>
          <w:rStyle w:val="FootnoteReference"/>
        </w:rPr>
        <w:footnoteReference w:id="270"/>
      </w:r>
    </w:p>
    <w:p>
      <w:pPr>
        <w:numPr>
          <w:ilvl w:val="2"/>
          <w:numId w:val="1136"/>
        </w:numPr>
      </w:pPr>
      <w:r>
        <w:t xml:space="preserve">y</w:t>
      </w:r>
      <w:r>
        <w:t xml:space="preserve"> </w:t>
      </w:r>
      <w:r>
        <w:rPr>
          <w:smallCaps/>
        </w:rPr>
        <w:t xml:space="preserve">Sen</w:t>
      </w:r>
      <w:r>
        <w:t xml:space="preserve"> </w:t>
      </w:r>
      <w:r>
        <w:t xml:space="preserve">(</w:t>
      </w:r>
      <w:hyperlink w:anchor="ref_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5"/>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keepNext/>
        <w:numPr>
          <w:ilvl w:val="0"/>
          <w:numId w:val="1133"/>
        </w:numPr>
      </w:pPr>
      <w:r>
        <w:rPr>
          <w:b/>
          <w:bCs/>
          <w:i/>
          <w:iCs/>
        </w:rPr>
        <w:t xml:space="preserve">Extensiones y relación con otras partes del temario</w:t>
      </w:r>
      <w:r>
        <w:t xml:space="preserve">:</w:t>
      </w:r>
    </w:p>
    <w:p>
      <w:pPr>
        <w:numPr>
          <w:ilvl w:val="1"/>
          <w:numId w:val="1137"/>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w:t>
      </w:r>
      <w:hyperlink w:anchor="anexo_sistemas">
        <w:r>
          <w:rPr>
            <w:rStyle w:val="Hyperlink"/>
          </w:rPr>
          <w:t xml:space="preserve">D</w:t>
        </w:r>
      </w:hyperlink>
      <w:r>
        <w:t xml:space="preserve">)</w:t>
      </w:r>
      <w:r>
        <w:t xml:space="preserve"> </w:t>
      </w:r>
      <w:hyperlink r:id="rId30">
        <w:r>
          <w:rPr>
            <w:rStyle w:val="Referenciaatema"/>
          </w:rPr>
          <w:t xml:space="preserve">[ver tema 3.A.9]</w:t>
        </w:r>
      </w:hyperlink>
      <w:r>
        <w:t xml:space="preserve">.</w:t>
      </w:r>
      <w:r>
        <w:rPr>
          <w:rStyle w:val="FootnoteReference"/>
        </w:rPr>
        <w:footnoteReference w:id="271"/>
      </w:r>
    </w:p>
    <w:p>
      <w:pPr>
        <w:numPr>
          <w:ilvl w:val="1"/>
          <w:numId w:val="1137"/>
        </w:numPr>
      </w:pPr>
      <w:r>
        <w:t xml:space="preserve">La elección en condiciones de</w:t>
      </w:r>
      <w:r>
        <w:t xml:space="preserve"> </w:t>
      </w:r>
      <w:r>
        <w:rPr>
          <w:b/>
          <w:bCs/>
        </w:rPr>
        <w:t xml:space="preserve">riesgo e incertidumbre</w:t>
      </w:r>
      <w:r>
        <w:t xml:space="preserve"> </w:t>
      </w:r>
      <w:hyperlink r:id="rId26">
        <w:r>
          <w:rPr>
            <w:rStyle w:val="Referenciaatema"/>
          </w:rPr>
          <w:t xml:space="preserve">[ver tema 3.A.10]</w:t>
        </w:r>
      </w:hyperlink>
      <w:r>
        <w:t xml:space="preserve"> </w:t>
      </w:r>
      <w:r>
        <w:t xml:space="preserve">y las decisiones</w:t>
      </w:r>
      <w:r>
        <w:t xml:space="preserve"> </w:t>
      </w:r>
      <w:r>
        <w:rPr>
          <w:b/>
          <w:bCs/>
        </w:rPr>
        <w:t xml:space="preserve">intertemporales</w:t>
      </w:r>
      <w:r>
        <w:t xml:space="preserve"> </w:t>
      </w:r>
      <w:hyperlink r:id="rId38">
        <w:r>
          <w:rPr>
            <w:rStyle w:val="Referenciaatema"/>
          </w:rPr>
          <w:t xml:space="preserve">[ver tema 3.A.29]</w:t>
        </w:r>
      </w:hyperlink>
      <w:r>
        <w:t xml:space="preserve">, con su aplicación al consumo agregado y a los bienes duraderos</w:t>
      </w:r>
      <w:r>
        <w:t xml:space="preserve"> </w:t>
      </w:r>
      <w:hyperlink r:id="rId40">
        <w:r>
          <w:rPr>
            <w:rStyle w:val="Referenciaatema"/>
          </w:rPr>
          <w:t xml:space="preserve">[ver tema 3.A.33]</w:t>
        </w:r>
      </w:hyperlink>
      <w:r>
        <w:t xml:space="preserve">.</w:t>
      </w:r>
    </w:p>
    <w:p>
      <w:pPr>
        <w:numPr>
          <w:ilvl w:val="1"/>
          <w:numId w:val="1137"/>
        </w:numPr>
      </w:pPr>
      <w:r>
        <w:t xml:space="preserve">La demanda de mercado es una pieza del</w:t>
      </w:r>
      <w:r>
        <w:t xml:space="preserve"> </w:t>
      </w:r>
      <w:r>
        <w:rPr>
          <w:b/>
          <w:bCs/>
        </w:rPr>
        <w:t xml:space="preserve">equilibrio parcial</w:t>
      </w:r>
      <w:r>
        <w:t xml:space="preserve"> </w:t>
      </w:r>
      <w:hyperlink r:id="rId22">
        <w:r>
          <w:rPr>
            <w:rStyle w:val="Referenciaatema"/>
          </w:rPr>
          <w:t xml:space="preserve">[ver tema 3.A.16]</w:t>
        </w:r>
      </w:hyperlink>
      <w:r>
        <w:t xml:space="preserve"> </w:t>
      </w:r>
      <w:r>
        <w:t xml:space="preserve">y</w:t>
      </w:r>
      <w:r>
        <w:t xml:space="preserve"> </w:t>
      </w:r>
      <w:r>
        <w:rPr>
          <w:b/>
          <w:bCs/>
        </w:rPr>
        <w:t xml:space="preserve">general</w:t>
      </w:r>
      <w:r>
        <w:t xml:space="preserve"> </w:t>
      </w:r>
      <w:hyperlink r:id="rId23">
        <w:r>
          <w:rPr>
            <w:rStyle w:val="Referenciaatema"/>
          </w:rPr>
          <w:t xml:space="preserve">[ver tema 3.A.21]</w:t>
        </w:r>
      </w:hyperlink>
      <w:r>
        <w:t xml:space="preserve">; la asignación del tiempo entre trabajo y ocio, de la</w:t>
      </w:r>
      <w:r>
        <w:t xml:space="preserve"> </w:t>
      </w:r>
      <w:r>
        <w:rPr>
          <w:b/>
          <w:bCs/>
        </w:rPr>
        <w:t xml:space="preserve">oferta de trabajo</w:t>
      </w:r>
      <w:r>
        <w:t xml:space="preserve"> </w:t>
      </w:r>
      <w:hyperlink r:id="rId37">
        <w:r>
          <w:rPr>
            <w:rStyle w:val="Referenciaatema"/>
          </w:rPr>
          <w:t xml:space="preserve">[ver tema 3.A.25]</w:t>
        </w:r>
      </w:hyperlink>
      <w:r>
        <w:t xml:space="preserve">, y la demanda de características (anexo </w:t>
      </w:r>
      <w:hyperlink w:anchor="anexo_lancaster">
        <w:r>
          <w:rPr>
            <w:rStyle w:val="Hyperlink"/>
          </w:rPr>
          <w:t xml:space="preserve">F</w:t>
        </w:r>
      </w:hyperlink>
      <w:r>
        <w:t xml:space="preserve">), de la</w:t>
      </w:r>
      <w:r>
        <w:t xml:space="preserve"> </w:t>
      </w:r>
      <w:r>
        <w:rPr>
          <w:b/>
          <w:bCs/>
        </w:rPr>
        <w:t xml:space="preserve">diferenciación de productos</w:t>
      </w:r>
      <w:r>
        <w:t xml:space="preserve"> </w:t>
      </w:r>
      <w:hyperlink r:id="rId241">
        <w:r>
          <w:rPr>
            <w:rStyle w:val="Referenciaatema"/>
          </w:rPr>
          <w:t xml:space="preserve">[ver tema 3.A.18]</w:t>
        </w:r>
      </w:hyperlink>
      <w:r>
        <w:t xml:space="preserve">.</w:t>
      </w:r>
    </w:p>
    <w:p>
      <w:pPr>
        <w:numPr>
          <w:ilvl w:val="1"/>
          <w:numId w:val="1137"/>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hyperlink r:id="rId272">
        <w:r>
          <w:rPr>
            <w:rStyle w:val="Referenciaatema"/>
          </w:rPr>
          <w:t xml:space="preserve">[ver tema 3.A.11]</w:t>
        </w:r>
      </w:hyperlink>
      <w:r>
        <w:t xml:space="preserve">.</w:t>
      </w:r>
    </w:p>
    <w:p>
      <w:pPr>
        <w:numPr>
          <w:ilvl w:val="0"/>
          <w:numId w:val="1133"/>
        </w:numPr>
      </w:pPr>
      <w:r>
        <w:rPr>
          <w:b/>
          <w:bCs/>
          <w:i/>
          <w:iCs/>
        </w:rPr>
        <w:t xml:space="preserve">Idea final</w:t>
      </w:r>
      <w:r>
        <w:t xml:space="preserve">: ¿puede, entonces, una teoría explicar lo que elegimos sin ver lo que queremos? Sí, con matices: sobre gustos no hay nada escrito, pero sobre cómo se elige, sí.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3"/>
    <w:bookmarkStart w:id="278" w:name="anexo_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w:t>
      </w:r>
      <w:hyperlink w:anchor="sec_problema_maximizacion_utilidad">
        <w:r>
          <w:rPr>
            <w:rStyle w:val="Hyperlink"/>
          </w:rPr>
          <w:t xml:space="preserve">I.2</w:t>
        </w:r>
      </w:hyperlink>
      <w:r>
        <w:t xml:space="preserve"> </w:t>
      </w:r>
      <w:r>
        <w:t xml:space="preserve">y el gráfico de la superficie de utilidad (gráfico </w:t>
      </w:r>
      <w:hyperlink w:anchor="fig_superficie_utilidad">
        <w:r>
          <w:rPr>
            <w:rStyle w:val="Hyperlink"/>
          </w:rPr>
          <w:t xml:space="preserve">6</w:t>
        </w:r>
      </w:hyperlink>
      <w:r>
        <w:t xml:space="preserve">). Sirve para explicar en la pizarra, si lo pide el tribunal, por qué la restricción presupuestaria se satura y qué significa</w:t>
      </w:r>
      <w:r>
        <w:t xml:space="preserve"> </w:t>
      </w:r>
      <m:oMath>
        <m:r>
          <m:t>λ</m:t>
        </m:r>
      </m:oMath>
      <w:r>
        <w:t xml:space="preserve">.</w:t>
      </w:r>
    </w:p>
    <w:p>
      <w:pPr>
        <w:numPr>
          <w:ilvl w:val="0"/>
          <w:numId w:val="1138"/>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w:t>
      </w:r>
      <w:hyperlink w:anchor="fig_pmu_r3">
        <w:r>
          <w:rPr>
            <w:rStyle w:val="Hyperlink"/>
          </w:rPr>
          <w:t xml:space="preserve">22</w:t>
        </w:r>
      </w:hyperlink>
      <w:r>
        <w:t xml:space="preserve">).</w:t>
      </w:r>
    </w:p>
    <w:p>
      <w:pPr>
        <w:numPr>
          <w:ilvl w:val="0"/>
          <w:numId w:val="1138"/>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w:t>
      </w:r>
      <w:hyperlink w:anchor="eq_kt2">
        <w:r>
          <w:rPr>
            <w:rStyle w:val="Hyperlink"/>
          </w:rPr>
          <w:t xml:space="preserve">11</w:t>
        </w:r>
      </w:hyperlink>
      <w:r>
        <w:t xml:space="preserve">)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8"/>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8"/>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w:t>
      </w:r>
      <w:hyperlink w:anchor="eq_lagrangiana">
        <w:r>
          <w:rPr>
            <w:rStyle w:val="Hyperlink"/>
          </w:rPr>
          <w:t xml:space="preserve">9</w:t>
        </w:r>
      </w:hyperlink>
      <w:r>
        <w:t xml:space="preserve">) con la restricción de no negatividad. Proyectando los cortes horizontales de la superficie sobre el plano (gráfico </w:t>
      </w:r>
      <w:hyperlink w:anchor="fig_superficie_utilidad">
        <w:r>
          <w:rPr>
            <w:rStyle w:val="Hyperlink"/>
          </w:rPr>
          <w:t xml:space="preserve">6</w:t>
        </w:r>
      </w:hyperlink>
      <w:r>
        <w:t xml:space="preserve">), el punto más alto sobre la recta de balance es aquel en que la recta toca la curva de indiferencia más alta: la tangencia de la solución interior (</w:t>
      </w:r>
      <w:hyperlink w:anchor="eq_tangencia">
        <w:r>
          <w:rPr>
            <w:rStyle w:val="Hyperlink"/>
          </w:rPr>
          <w:t xml:space="preserve">13</w:t>
        </w:r>
      </w:hyperlink>
      <w:r>
        <w:t xml:space="preserve">).</w:t>
      </w:r>
    </w:p>
    <w:bookmarkStart w:id="277" w:name="fig_pmu_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Gráfico 22.– El problema de maximización de la utilidad en tres dimensiones: restricción no operativa (\lambda=0) y operativa (\lambda&gt;0)" title="" id="275" name="Picture"/>
            <a:graphic>
              <a:graphicData uri="http://schemas.openxmlformats.org/drawingml/2006/picture">
                <pic:pic>
                  <pic:nvPicPr>
                    <pic:cNvPr descr="C:\Users\vgutierrez\Documents\src\victorgutierrezmarcos.github.io-revision\oposicion\temario\fuentes\3A08\graficos/pmu-r3.png" id="276" name="Picture"/>
                    <pic:cNvPicPr>
                      <a:picLocks noChangeArrowheads="1" noChangeAspect="1"/>
                    </pic:cNvPicPr>
                  </pic:nvPicPr>
                  <pic:blipFill>
                    <a:blip r:embed="rId274"/>
                    <a:stretch>
                      <a:fillRect/>
                    </a:stretch>
                  </pic:blipFill>
                  <pic:spPr bwMode="auto">
                    <a:xfrm>
                      <a:off x="0" y="0"/>
                      <a:ext cx="4775200" cy="317023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_SydsaeterEtAl2008Further">
        <w:r>
          <w:rPr>
            <w:rStyle w:val="Hyperlink"/>
          </w:rPr>
          <w:t xml:space="preserve">2008, cap. 3</w:t>
        </w:r>
      </w:hyperlink>
      <w:r>
        <w:t xml:space="preserve">)</w:t>
      </w:r>
      <w:r>
        <w:t xml:space="preserve">.</w:t>
      </w:r>
    </w:p>
    <w:bookmarkEnd w:id="278"/>
    <w:bookmarkStart w:id="288" w:name="anexo_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hyperlink r:id="rId30">
        <w:r>
          <w:rPr>
            <w:rStyle w:val="Referenciaatema"/>
          </w:rPr>
          <w:t xml:space="preserve">[ver tema 3.A.9]</w:t>
        </w:r>
      </w:hyperlink>
      <w:r>
        <w:t xml:space="preserve">.</w:t>
      </w:r>
    </w:p>
    <w:bookmarkStart w:id="279" w:name="der_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9"/>
        </w:numPr>
      </w:pPr>
      <w:r>
        <w:t xml:space="preserve">Por la homogeneidad de grado cero (apartado </w:t>
      </w:r>
      <w:hyperlink w:anchor="sec_problema_maximizacion_utilidad">
        <w:r>
          <w:rPr>
            <w:rStyle w:val="Hyperlink"/>
          </w:rPr>
          <w:t xml:space="preserve">I.2</w:t>
        </w:r>
      </w:hyperlink>
      <w:r>
        <w:t xml:space="preserve">),</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9"/>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 ∎</w:t>
      </w:r>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79"/>
    <w:bookmarkStart w:id="280" w:name="der_engel"/>
    <w:p>
      <w:pPr>
        <w:pStyle w:val="Heading2"/>
      </w:pPr>
      <w:r>
        <w:t xml:space="preserve">B.2. Agregación de</w:t>
      </w:r>
      <w:r>
        <w:t xml:space="preserve"> </w:t>
      </w:r>
      <w:r>
        <w:rPr>
          <w:smallCaps/>
        </w:rPr>
        <w:t xml:space="preserve">Engel</w:t>
      </w:r>
    </w:p>
    <w:p>
      <w:pPr>
        <w:numPr>
          <w:ilvl w:val="0"/>
          <w:numId w:val="1140"/>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0"/>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w:t>
      </w:r>
      <w:hyperlink w:anchor="eq_agregacion_engel">
        <w:r>
          <w:rPr>
            <w:rStyle w:val="Hyperlink"/>
          </w:rPr>
          <w:t xml:space="preserve">20</w:t>
        </w:r>
      </w:hyperlink>
      <w:r>
        <w:t xml:space="preserve">) del tema, que con</w:t>
      </w:r>
      <w:r>
        <w:t xml:space="preserve"> </w:t>
      </w:r>
      <m:oMath>
        <m:r>
          <m:t>n</m:t>
        </m:r>
      </m:oMath>
      <w:r>
        <w:t xml:space="preserve"> </w:t>
      </w:r>
      <w:r>
        <w:t xml:space="preserve">bienes se obtiene igual. ∎</w:t>
      </w:r>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80"/>
    <w:bookmarkStart w:id="281" w:name="der_cournot"/>
    <w:p>
      <w:pPr>
        <w:pStyle w:val="Heading2"/>
      </w:pPr>
      <w:r>
        <w:t xml:space="preserve">B.3. Agregación de</w:t>
      </w:r>
      <w:r>
        <w:t xml:space="preserve"> </w:t>
      </w:r>
      <w:r>
        <w:rPr>
          <w:smallCaps/>
        </w:rPr>
        <w:t xml:space="preserve">Cournot</w:t>
      </w:r>
    </w:p>
    <w:p>
      <w:pPr>
        <w:numPr>
          <w:ilvl w:val="0"/>
          <w:numId w:val="1141"/>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41"/>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41"/>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w:t>
      </w:r>
      <w:hyperlink w:anchor="eq_agregacion_cournot">
        <w:r>
          <w:rPr>
            <w:rStyle w:val="Hyperlink"/>
          </w:rPr>
          <w:t xml:space="preserve">25</w:t>
        </w:r>
      </w:hyperlink>
      <w:r>
        <w:t xml:space="preserve">) del tema. ∎</w:t>
      </w:r>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81"/>
    <w:bookmarkStart w:id="282" w:name="der_roy"/>
    <w:p>
      <w:pPr>
        <w:pStyle w:val="Heading2"/>
      </w:pPr>
      <w:r>
        <w:t xml:space="preserve">B.4. Identidad de</w:t>
      </w:r>
      <w:r>
        <w:t xml:space="preserve"> </w:t>
      </w:r>
      <w:r>
        <w:rPr>
          <w:smallCaps/>
        </w:rPr>
        <w:t xml:space="preserve">Roy</w:t>
      </w:r>
    </w:p>
    <w:p>
      <w:pPr>
        <w:numPr>
          <w:ilvl w:val="0"/>
          <w:numId w:val="1142"/>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42"/>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w:t>
      </w:r>
      <w:hyperlink w:anchor="eq_roy">
        <w:r>
          <w:rPr>
            <w:rStyle w:val="Hyperlink"/>
          </w:rPr>
          <w:t xml:space="preserve">16</w:t>
        </w:r>
      </w:hyperlink>
      <w:r>
        <w:t xml:space="preserv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 ∎</w:t>
      </w:r>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82"/>
    <w:bookmarkStart w:id="283" w:name="der_slutsky"/>
    <w:p>
      <w:pPr>
        <w:pStyle w:val="Heading2"/>
      </w:pPr>
      <w:r>
        <w:t xml:space="preserve">B.5. Ecuación de</w:t>
      </w:r>
      <w:r>
        <w:t xml:space="preserve"> </w:t>
      </w:r>
      <w:r>
        <w:rPr>
          <w:smallCaps/>
        </w:rPr>
        <w:t xml:space="preserve">Slutsky</w:t>
      </w:r>
    </w:p>
    <w:p>
      <w:pPr>
        <w:numPr>
          <w:ilvl w:val="0"/>
          <w:numId w:val="1143"/>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43"/>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43"/>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w:t>
      </w:r>
      <w:hyperlink w:anchor="eq_slutsky">
        <w:r>
          <w:rPr>
            <w:rStyle w:val="Hyperlink"/>
          </w:rPr>
          <w:t xml:space="preserve">22</w:t>
        </w:r>
      </w:hyperlink>
      <w:r>
        <w:t xml:space="preserve">) y con</w:t>
      </w:r>
      <w:r>
        <w:t xml:space="preserve"> </w:t>
      </w:r>
      <m:oMath>
        <m:r>
          <m:t>j</m:t>
        </m:r>
        <m:r>
          <m:rPr>
            <m:sty m:val="p"/>
          </m:rPr>
          <m:t>≠</m:t>
        </m:r>
        <m:r>
          <m:t>i</m:t>
        </m:r>
      </m:oMath>
      <w:r>
        <w:t xml:space="preserve"> </w:t>
      </w:r>
      <w:r>
        <w:t xml:space="preserve">la (</w:t>
      </w:r>
      <w:hyperlink w:anchor="eq_slutsky_cruzada">
        <w:r>
          <w:rPr>
            <w:rStyle w:val="Hyperlink"/>
          </w:rPr>
          <w:t xml:space="preserve">24</w:t>
        </w:r>
      </w:hyperlink>
      <w:r>
        <w:t xml:space="preserve">). ∎</w:t>
      </w:r>
    </w:p>
    <w:p>
      <w:pPr>
        <w:numPr>
          <w:ilvl w:val="0"/>
          <w:numId w:val="1143"/>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 ∎</w:t>
      </w:r>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83"/>
    <w:bookmarkStart w:id="284" w:name="der_matriz_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44"/>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44"/>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44"/>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propio. ∎</w:t>
      </w:r>
    </w:p>
    <w:p>
      <w:pPr>
        <w:numPr>
          <w:ilvl w:val="0"/>
          <w:numId w:val="1144"/>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netos. ∎</w:t>
      </w:r>
    </w:p>
    <w:bookmarkEnd w:id="284"/>
    <w:bookmarkStart w:id="285" w:name="der_adpr"/>
    <w:p>
      <w:pPr>
        <w:pStyle w:val="Heading2"/>
      </w:pPr>
      <w:r>
        <w:t xml:space="preserve">B.7. Ley de la demanda compensada a partir del axioma débil</w:t>
      </w:r>
    </w:p>
    <w:p>
      <w:pPr>
        <w:numPr>
          <w:ilvl w:val="0"/>
          <w:numId w:val="1145"/>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5"/>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5"/>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w:t>
      </w:r>
      <w:hyperlink w:anchor="eq_ley_demanda_compensada">
        <w:r>
          <w:rPr>
            <w:rStyle w:val="Hyperlink"/>
          </w:rPr>
          <w:t xml:space="preserve">28</w:t>
        </w:r>
      </w:hyperlink>
      <w:r>
        <w:t xml:space="preserve">), con desigualdad estricta cuando la cesta elegida cambia. ∎</w:t>
      </w:r>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85"/>
    <w:bookmarkStart w:id="286" w:name="der_cobb_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6"/>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w:t>
      </w:r>
      <w:hyperlink w:anchor="eq_tangencia">
        <w:r>
          <w:rPr>
            <w:rStyle w:val="Hyperlink"/>
          </w:rPr>
          <w:t xml:space="preserve">13</w:t>
        </w:r>
      </w:hyperlink>
      <w:r>
        <w:t xml:space="preserve">)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6"/>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w:t>
      </w:r>
      <w:hyperlink w:anchor="eq_demandas_cobb_douglas">
        <w:r>
          <w:rPr>
            <w:rStyle w:val="Hyperlink"/>
          </w:rPr>
          <w:t xml:space="preserve">33</w:t>
        </w:r>
      </w:hyperlink>
      <w:r>
        <w:t xml:space="preserve">):</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 ∎</w:t>
      </w:r>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86"/>
    <w:bookmarkStart w:id="287" w:name="der_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7"/>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7"/>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w:t>
      </w:r>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87"/>
    <w:bookmarkEnd w:id="288"/>
    <w:bookmarkStart w:id="298" w:name="anexo_formas"/>
    <w:p>
      <w:pPr>
        <w:pStyle w:val="Heading1"/>
      </w:pPr>
      <w:r>
        <w:t xml:space="preserve">C. Anexo: formas comunes de la función de utilidad</w:t>
      </w:r>
    </w:p>
    <w:p>
      <w:pPr>
        <w:keepNext/>
        <w:numPr>
          <w:ilvl w:val="0"/>
          <w:numId w:val="1148"/>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w:t>
      </w:r>
      <w:hyperlink w:anchor="sec_solucion_problema_maximizacion">
        <w:r>
          <w:rPr>
            <w:rStyle w:val="Hyperlink"/>
          </w:rPr>
          <w:t xml:space="preserve">I.3</w:t>
        </w:r>
      </w:hyperlink>
      <w:r>
        <w:t xml:space="preserve">): curvas de</w:t>
      </w:r>
      <w:r>
        <w:t xml:space="preserve"> </w:t>
      </w:r>
      <w:r>
        <w:rPr>
          <w:smallCaps/>
        </w:rPr>
        <w:t xml:space="preserve">Engel</w:t>
      </w:r>
      <w:r>
        <w:t xml:space="preserve"> </w:t>
      </w:r>
      <w:r>
        <w:t xml:space="preserve">rectas. Incluye:</w:t>
      </w:r>
    </w:p>
    <w:p>
      <w:pPr>
        <w:numPr>
          <w:ilvl w:val="1"/>
          <w:numId w:val="1149"/>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49"/>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w:t>
      </w:r>
      <w:hyperlink w:anchor="eq_ces">
        <w:r>
          <w:rPr>
            <w:rStyle w:val="Hyperlink"/>
          </w:rPr>
          <w:t xml:space="preserve">6</w:t>
        </w:r>
      </w:hyperlink>
      <w:r>
        <w:t xml:space="preserve">):</w:t>
      </w:r>
    </w:p>
    <w:p>
      <w:pPr>
        <w:numPr>
          <w:ilvl w:val="2"/>
          <w:numId w:val="1150"/>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0"/>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0"/>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89"/>
      </w:r>
      <w:r>
        <w:t xml:space="preserve"> </w:t>
      </w:r>
      <w:r>
        <w:t xml:space="preserve">Sus propiedades:</w:t>
      </w:r>
    </w:p>
    <w:p>
      <w:pPr>
        <w:numPr>
          <w:ilvl w:val="3"/>
          <w:numId w:val="1151"/>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51"/>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51"/>
        </w:numPr>
      </w:pPr>
      <w:r>
        <w:t xml:space="preserve">su elasticidad de sustitución es constante e igual a uno;</w:t>
      </w:r>
    </w:p>
    <w:p>
      <w:pPr>
        <w:numPr>
          <w:ilvl w:val="3"/>
          <w:numId w:val="1151"/>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r>
        <w:t xml:space="preserve"> </w:t>
      </w:r>
      <w:bookmarkStart w:id="290" w:name="eq_demandas_cobb_douglas"/>
      <w:bookmarkEnd w:id="290"/>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w:t>
      </w:r>
      <w:hyperlink w:anchor="der_cobb_douglas">
        <w:r>
          <w:rPr>
            <w:rStyle w:val="Hyperlink"/>
          </w:rPr>
          <w:t xml:space="preserve">B.8</w:t>
        </w:r>
      </w:hyperlink>
      <w:r>
        <w:t xml:space="preserve">);</w:t>
      </w:r>
    </w:p>
    <w:p>
      <w:pPr>
        <w:numPr>
          <w:ilvl w:val="3"/>
          <w:numId w:val="1151"/>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9"/>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 </w:t>
      </w:r>
      <w:r>
        <w:t xml:space="preserve">(anexo </w:t>
      </w:r>
      <w:hyperlink w:anchor="anexo_sistemas">
        <w:r>
          <w:rPr>
            <w:rStyle w:val="Hyperlink"/>
          </w:rPr>
          <w:t xml:space="preserve">D</w:t>
        </w:r>
      </w:hyperlink>
      <w:r>
        <w:t xml:space="preserve">).</w:t>
      </w:r>
    </w:p>
    <w:p>
      <w:pPr>
        <w:numPr>
          <w:ilvl w:val="0"/>
          <w:numId w:val="1148"/>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 </w:t>
      </w:r>
      <w:r>
        <w:t xml:space="preserve">es una aproximación de segundo orden en logaritmos;</w:t>
      </w:r>
      <w:r>
        <w:rPr>
          <w:rStyle w:val="FootnoteReference"/>
        </w:rPr>
        <w:footnoteReference w:id="291"/>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w:t>
      </w:r>
      <w:r>
        <w:t xml:space="preserve">parte de preferencias PIGLOG. Su uso empírico se resume en el anexo </w:t>
      </w:r>
      <w:hyperlink w:anchor="anexo_sistemas">
        <w:r>
          <w:rPr>
            <w:rStyle w:val="Hyperlink"/>
          </w:rPr>
          <w:t xml:space="preserve">D</w:t>
        </w:r>
      </w:hyperlink>
      <w:r>
        <w:t xml:space="preserve"> </w:t>
      </w:r>
      <w:hyperlink r:id="rId30">
        <w:r>
          <w:rPr>
            <w:rStyle w:val="Referenciaatema"/>
          </w:rPr>
          <w:t xml:space="preserve">[ver tema 3.A.9]</w:t>
        </w:r>
      </w:hyperlink>
      <w:r>
        <w:t xml:space="preserve">.</w:t>
      </w:r>
    </w:p>
    <w:p>
      <w:pPr>
        <w:numPr>
          <w:ilvl w:val="0"/>
          <w:numId w:val="1148"/>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r>
        <w:t xml:space="preserve"> </w:t>
      </w:r>
      <w:bookmarkStart w:id="292" w:name="eq_crra"/>
      <w:bookmarkEnd w:id="292"/>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r>
        <w:rPr>
          <w:rStyle w:val="FootnoteReference"/>
        </w:rPr>
        <w:footnoteReference w:id="293"/>
      </w:r>
    </w:p>
    <w:p>
      <w:pPr>
        <w:keepNext/>
        <w:numPr>
          <w:ilvl w:val="0"/>
          <w:numId w:val="1148"/>
        </w:numPr>
      </w:pPr>
      <w:r>
        <w:rPr>
          <w:b/>
          <w:bCs/>
        </w:rPr>
        <w:t xml:space="preserve">Preferencias entre consumo y trabajo en macroeconomía</w:t>
      </w:r>
      <w:r>
        <w:t xml:space="preserve"> </w:t>
      </w:r>
      <w:r>
        <w:t xml:space="preserve">(para el test)</w:t>
      </w:r>
      <w:r>
        <w:t xml:space="preserve"> </w:t>
      </w:r>
      <w:hyperlink r:id="rId38">
        <w:r>
          <w:rPr>
            <w:rStyle w:val="Referenciaatema"/>
          </w:rPr>
          <w:t xml:space="preserve">[ver tema 3.A.29]</w:t>
        </w:r>
      </w:hyperlink>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52"/>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2002Appendix">
        <w:r>
          <w:rPr>
            <w:rStyle w:val="Hyperlink"/>
          </w:rPr>
          <w:t xml:space="preserve">2002</w:t>
        </w:r>
      </w:hyperlink>
      <w:r>
        <w:t xml:space="preserve">)</w:t>
      </w:r>
      <w:r>
        <w:t xml:space="preserve">):</w:t>
      </w:r>
      <w:r>
        <w:t xml:space="preserve"> </w:t>
      </w:r>
      <w:bookmarkStart w:id="294" w:name="eq_kpr"/>
      <w:bookmarkEnd w:id="294"/>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52"/>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_GreenwoodHercowitzHuffman1988">
        <w:r>
          <w:rPr>
            <w:rStyle w:val="Hyperlink"/>
          </w:rPr>
          <w:t xml:space="preserve">1988</w:t>
        </w:r>
      </w:hyperlink>
      <w:r>
        <w:t xml:space="preserve">)</w:t>
      </w:r>
      <w:r>
        <w:t xml:space="preserve">:</w:t>
      </w:r>
      <w:r>
        <w:t xml:space="preserve"> </w:t>
      </w:r>
      <w:bookmarkStart w:id="295" w:name="eq_ghh"/>
      <w:bookmarkEnd w:id="295"/>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52"/>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w:t>
      </w:r>
      <w:r>
        <w:t xml:space="preserve"> </w:t>
      </w:r>
      <w:bookmarkStart w:id="296" w:name="eq_jr"/>
      <w:bookmarkEnd w:id="296"/>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97"/>
      </w:r>
    </w:p>
    <w:bookmarkEnd w:id="298"/>
    <w:bookmarkStart w:id="303" w:name="anexo_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de la demanda</w:t>
      </w:r>
      <w:r>
        <w:t xml:space="preserve"> </w:t>
      </w:r>
      <w:hyperlink r:id="rId30">
        <w:r>
          <w:rPr>
            <w:rStyle w:val="Referenciaatema"/>
          </w:rPr>
          <w:t xml:space="preserve">[ver tema 3.A.9]</w:t>
        </w:r>
      </w:hyperlink>
      <w:r>
        <w:t xml:space="preserve">, cuyo título incluye los «sistemas de demanda utilizados en estudios empíricos». Aquí basta conocer los pasos y las formas funcionales principales.</w:t>
      </w:r>
    </w:p>
    <w:bookmarkStart w:id="299" w:name="a_idea_3"/>
    <w:p>
      <w:pPr>
        <w:pStyle w:val="Heading4"/>
      </w:pPr>
      <w:r>
        <w:t xml:space="preserve">a) Idea</w:t>
      </w:r>
    </w:p>
    <w:p>
      <w:pPr>
        <w:numPr>
          <w:ilvl w:val="0"/>
          <w:numId w:val="1153"/>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 caps. 1 y 3;</w:t>
      </w:r>
      <w:r>
        <w:t xml:space="preserve"> </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w:t>
        </w:r>
      </w:hyperlink>
      <w:r>
        <w:t xml:space="preserve">)</w:t>
      </w:r>
      <w:r>
        <w:t xml:space="preserve">.</w:t>
      </w:r>
    </w:p>
    <w:bookmarkEnd w:id="299"/>
    <w:bookmarkStart w:id="302" w:name="b_modelo_los_pasos_que_sigue_la_li_28866"/>
    <w:p>
      <w:pPr>
        <w:pStyle w:val="Heading4"/>
      </w:pPr>
      <w:r>
        <w:t xml:space="preserve">b) Modelo: los pasos que sigue la literatura</w:t>
      </w:r>
    </w:p>
    <w:p>
      <w:pPr>
        <w:keepNext/>
        <w:numPr>
          <w:ilvl w:val="0"/>
          <w:numId w:val="115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w:t>
      </w:r>
      <w:hyperlink w:anchor="der_cobb_douglas">
        <w:r>
          <w:rPr>
            <w:rStyle w:val="Hyperlink"/>
          </w:rPr>
          <w:t xml:space="preserve">B.8</w:t>
        </w:r>
      </w:hyperlink>
      <w:r>
        <w:t xml:space="preserve">). No recoge, por ejemplo, la ley de</w:t>
      </w:r>
      <w:r>
        <w:t xml:space="preserve"> </w:t>
      </w:r>
      <w:r>
        <w:rPr>
          <w:smallCaps/>
        </w:rPr>
        <w:t xml:space="preserve">Engel</w:t>
      </w:r>
      <w:r>
        <w:t xml:space="preserve">.</w:t>
      </w:r>
    </w:p>
    <w:p>
      <w:pPr>
        <w:numPr>
          <w:ilvl w:val="1"/>
          <w:numId w:val="115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_Deaton1974Analysis">
        <w:r>
          <w:rPr>
            <w:rStyle w:val="Hyperlink"/>
            <w:smallCaps/>
          </w:rPr>
          <w:t xml:space="preserve">Deaton</w:t>
        </w:r>
        <w:r>
          <w:rPr>
            <w:rStyle w:val="Hyperlink"/>
          </w:rPr>
          <w:t xml:space="preserve">, 1974</w:t>
        </w:r>
      </w:hyperlink>
      <w:r>
        <w:t xml:space="preserve">)</w:t>
      </w:r>
      <w:r>
        <w:t xml:space="preserve">.</w:t>
      </w:r>
    </w:p>
    <w:p>
      <w:pPr>
        <w:numPr>
          <w:ilvl w:val="1"/>
          <w:numId w:val="1155"/>
        </w:numPr>
      </w:pPr>
      <w:r>
        <w:rPr>
          <w:b/>
          <w:bCs/>
        </w:rPr>
        <w:t xml:space="preserve">Modelo de Rotterdam</w:t>
      </w:r>
      <w:r>
        <w:t xml:space="preserve"> </w:t>
      </w:r>
      <w:r>
        <w:t xml:space="preserve">(</w:t>
      </w:r>
      <w:hyperlink w:anchor="ref_Theil1965Information">
        <w:r>
          <w:rPr>
            <w:rStyle w:val="Hyperlink"/>
            <w:smallCaps/>
          </w:rPr>
          <w:t xml:space="preserve">Theil</w:t>
        </w:r>
        <w:r>
          <w:rPr>
            <w:rStyle w:val="Hyperlink"/>
          </w:rPr>
          <w:t xml:space="preserve">, 1965</w:t>
        </w:r>
      </w:hyperlink>
      <w:r>
        <w:t xml:space="preserve">;</w:t>
      </w:r>
      <w:r>
        <w:t xml:space="preserve"> </w:t>
      </w:r>
      <w:hyperlink w:anchor="ref_Barten1967Slutsky">
        <w:r>
          <w:rPr>
            <w:rStyle w:val="Hyperlink"/>
            <w:smallCaps/>
          </w:rPr>
          <w:t xml:space="preserve">Barten</w:t>
        </w:r>
        <w:r>
          <w:rPr>
            <w:rStyle w:val="Hyperlink"/>
          </w:rPr>
          <w:t xml:space="preserve">,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_Muellbauer1975Aggregation">
        <w:r>
          <w:rPr>
            <w:rStyle w:val="Hyperlink"/>
            <w:smallCaps/>
          </w:rPr>
          <w:t xml:space="preserve">Muellbauer</w:t>
        </w:r>
        <w:r>
          <w:rPr>
            <w:rStyle w:val="Hyperlink"/>
          </w:rPr>
          <w:t xml:space="preserve">, 1975</w:t>
        </w:r>
      </w:hyperlink>
      <w:r>
        <w:t xml:space="preserve">,</w:t>
      </w:r>
      <w:r>
        <w:t xml:space="preserve"> </w:t>
      </w:r>
      <w:hyperlink w:anchor="ref_Muellbauer1976Community">
        <w:r>
          <w:rPr>
            <w:rStyle w:val="Hyperlink"/>
          </w:rPr>
          <w:t xml:space="preserve">1976</w:t>
        </w:r>
      </w:hyperlink>
      <w:r>
        <w:t xml:space="preserve">)</w:t>
      </w:r>
      <w:r>
        <w:t xml:space="preserve"> </w:t>
      </w:r>
      <w:r>
        <w:t xml:space="preserve">(apartado </w:t>
      </w:r>
      <w:hyperlink w:anchor="sec_solucion_problema_maximizacion">
        <w:r>
          <w:rPr>
            <w:rStyle w:val="Hyperlink"/>
          </w:rPr>
          <w:t xml:space="preserve">I.3</w:t>
        </w:r>
      </w:hyperlink>
      <w:r>
        <w:t xml:space="preserve">).</w:t>
      </w:r>
      <w:r>
        <w:rPr>
          <w:rStyle w:val="FootnoteReference"/>
        </w:rPr>
        <w:footnoteReference w:id="300"/>
      </w:r>
    </w:p>
    <w:p>
      <w:pPr>
        <w:numPr>
          <w:ilvl w:val="0"/>
          <w:numId w:val="115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5</w:t>
        </w:r>
      </w:hyperlink>
      <w:r>
        <w:t xml:space="preserve">)</w:t>
      </w:r>
      <w:r>
        <w:t xml:space="preserve">.</w:t>
      </w:r>
    </w:p>
    <w:p>
      <w:pPr>
        <w:numPr>
          <w:ilvl w:val="0"/>
          <w:numId w:val="115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5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154"/>
        </w:numPr>
      </w:pPr>
      <w:r>
        <w:rPr>
          <w:i/>
          <w:iCs/>
        </w:rPr>
        <w:t xml:space="preserve">Resultados</w:t>
      </w:r>
      <w:r>
        <w:t xml:space="preserve">. Se obtienen las elasticidades</w:t>
      </w:r>
      <w:r>
        <w:rPr>
          <w:rStyle w:val="FootnoteReference"/>
        </w:rPr>
        <w:footnoteReference w:id="301"/>
      </w:r>
      <w:r>
        <w:t xml:space="preserve"> </w:t>
      </w:r>
      <w:r>
        <w:t xml:space="preserve">y se contrastan las restricciones que la forma funcional no impone (homogeneidad, simetría, negatividad), es decir, la integrabilidad de la demanda</w:t>
      </w:r>
      <w:r>
        <w:t xml:space="preserve"> </w:t>
      </w:r>
      <w:hyperlink r:id="rId30">
        <w:r>
          <w:rPr>
            <w:rStyle w:val="Referenciaatema"/>
          </w:rPr>
          <w:t xml:space="preserve">[ver tema 3.A.9]</w:t>
        </w:r>
      </w:hyperlink>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_Barten1967Slutsky">
        <w:r>
          <w:rPr>
            <w:rStyle w:val="Hyperlink"/>
            <w:smallCaps/>
          </w:rPr>
          <w:t xml:space="preserve">Barten</w:t>
        </w:r>
        <w:r>
          <w:rPr>
            <w:rStyle w:val="Hyperlink"/>
          </w:rPr>
          <w:t xml:space="preserve">, 1967</w:t>
        </w:r>
      </w:hyperlink>
      <w:r>
        <w:t xml:space="preserve">;</w:t>
      </w:r>
      <w:r>
        <w:t xml:space="preserve"> </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bookmarkEnd w:id="302"/>
    <w:bookmarkEnd w:id="303"/>
    <w:bookmarkStart w:id="317" w:name="anexo_cardinal"/>
    <w:p>
      <w:pPr>
        <w:pStyle w:val="Heading1"/>
      </w:pPr>
      <w:r>
        <w:t xml:space="preserve">E. Anexo: el enfoque cardinal de</w:t>
      </w:r>
      <w:r>
        <w:t xml:space="preserve"> </w:t>
      </w:r>
      <w:r>
        <w:rPr>
          <w:smallCaps/>
        </w:rPr>
        <w:t xml:space="preserve">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304" w:name="a_idea_4"/>
    <w:p>
      <w:pPr>
        <w:pStyle w:val="Heading4"/>
      </w:pPr>
      <w:r>
        <w:t xml:space="preserve">a) Idea</w:t>
      </w:r>
    </w:p>
    <w:p>
      <w:pPr>
        <w:numPr>
          <w:ilvl w:val="0"/>
          <w:numId w:val="1156"/>
        </w:numPr>
      </w:pPr>
      <w:r>
        <w:t xml:space="preserve">El enfoque cardinal, desarrollado por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304"/>
    <w:bookmarkStart w:id="315" w:name="b_modelo_3"/>
    <w:p>
      <w:pPr>
        <w:pStyle w:val="Heading4"/>
      </w:pPr>
      <w:r>
        <w:t xml:space="preserve">b) Modelo</w:t>
      </w:r>
    </w:p>
    <w:bookmarkStart w:id="306" w:name="i_supuestos_3"/>
    <w:p>
      <w:pPr>
        <w:pStyle w:val="Heading5"/>
      </w:pPr>
      <w:r>
        <w:t xml:space="preserve">i) Supuestos</w:t>
      </w:r>
    </w:p>
    <w:p>
      <w:pPr>
        <w:keepNext/>
        <w:numPr>
          <w:ilvl w:val="0"/>
          <w:numId w:val="1157"/>
        </w:numPr>
      </w:pPr>
      <w:r>
        <w:t xml:space="preserve">Sobre la función de utilidad:</w:t>
      </w:r>
    </w:p>
    <w:p>
      <w:pPr>
        <w:numPr>
          <w:ilvl w:val="1"/>
          <w:numId w:val="115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305"/>
      </w:r>
    </w:p>
    <w:p>
      <w:pPr>
        <w:numPr>
          <w:ilvl w:val="1"/>
          <w:numId w:val="115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8"/>
        </w:numPr>
      </w:pPr>
      <w:r>
        <w:rPr>
          <w:i/>
          <w:iCs/>
        </w:rPr>
        <w:t xml:space="preserve">creciente</w:t>
      </w:r>
      <w:r>
        <w:t xml:space="preserve"> </w:t>
      </w:r>
      <w:r>
        <w:t xml:space="preserve">en cada bien y en el dinero;</w:t>
      </w:r>
    </w:p>
    <w:p>
      <w:pPr>
        <w:numPr>
          <w:ilvl w:val="1"/>
          <w:numId w:val="115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306"/>
    <w:bookmarkStart w:id="313" w:name="ii_desarrollo_3"/>
    <w:p>
      <w:pPr>
        <w:pStyle w:val="Heading5"/>
      </w:pPr>
      <w:r>
        <w:t xml:space="preserve">ii) Desarrollo</w:t>
      </w:r>
    </w:p>
    <w:p>
      <w:pPr>
        <w:numPr>
          <w:ilvl w:val="0"/>
          <w:numId w:val="1159"/>
        </w:numPr>
      </w:pPr>
      <w:r>
        <w:t xml:space="preserve">Con 2 bienes y una renta</w:t>
      </w:r>
      <w:r>
        <w:t xml:space="preserve"> </w:t>
      </w:r>
      <m:oMath>
        <m:r>
          <m:t>Y</m:t>
        </m:r>
      </m:oMath>
      <w:r>
        <w:t xml:space="preserve">,</w:t>
      </w:r>
      <w:r>
        <w:t xml:space="preserve"> </w:t>
      </w:r>
      <w:bookmarkStart w:id="307" w:name="eq_cardinal"/>
      <w:bookmarkEnd w:id="30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r>
        <w:t xml:space="preserve"> </w:t>
      </w:r>
      <w:bookmarkStart w:id="308" w:name="eq_demanda_cardinal"/>
      <w:bookmarkEnd w:id="308"/>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w:t>
      </w:r>
      <w:hyperlink w:anchor="fig_demanda_cardinal">
        <w:r>
          <w:rPr>
            <w:rStyle w:val="Hyperlink"/>
          </w:rPr>
          <w:t xml:space="preserve">23</w:t>
        </w:r>
      </w:hyperlink>
      <w:r>
        <w:t xml:space="preserve">)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312" w:name="fig_demanda_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Gráfico 23.– Función de demanda en el enfoque cardinal: p_i=u_i'(x_i)" title="" id="310" name="Picture"/>
            <a:graphic>
              <a:graphicData uri="http://schemas.openxmlformats.org/drawingml/2006/picture">
                <pic:pic>
                  <pic:nvPicPr>
                    <pic:cNvPr descr="C:\Users\vgutierrez\Documents\src\victorgutierrezmarcos.github.io-revision\oposicion\temario\fuentes\3A08\graficos/demanda-cardinal.png" id="311" name="Picture"/>
                    <pic:cNvPicPr>
                      <a:picLocks noChangeArrowheads="1" noChangeAspect="1"/>
                    </pic:cNvPicPr>
                  </pic:nvPicPr>
                  <pic:blipFill>
                    <a:blip r:embed="rId309"/>
                    <a:stretch>
                      <a:fillRect/>
                    </a:stretch>
                  </pic:blipFill>
                  <pic:spPr bwMode="auto">
                    <a:xfrm>
                      <a:off x="0" y="0"/>
                      <a:ext cx="2960331" cy="2672861"/>
                    </a:xfrm>
                    <a:prstGeom prst="rect">
                      <a:avLst/>
                    </a:prstGeom>
                    <a:noFill/>
                    <a:ln w="9525">
                      <a:noFill/>
                      <a:headEnd/>
                      <a:tailEnd/>
                    </a:ln>
                  </pic:spPr>
                </pic:pic>
              </a:graphicData>
            </a:graphic>
          </wp:inline>
        </w:drawing>
      </w:r>
    </w:p>
    <w:bookmarkEnd w:id="312"/>
    <w:p>
      <w:pPr>
        <w:pStyle w:val="Piedeimagen"/>
      </w:pPr>
      <w:r>
        <w:t xml:space="preserve">Fuente: elaboración propia basada en</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bookmarkEnd w:id="313"/>
    <w:bookmarkStart w:id="314" w:name="iii_implicaciones_3"/>
    <w:p>
      <w:pPr>
        <w:pStyle w:val="Heading5"/>
      </w:pPr>
      <w:r>
        <w:t xml:space="preserve">iii) Implicaciones</w:t>
      </w:r>
    </w:p>
    <w:p>
      <w:pPr>
        <w:numPr>
          <w:ilvl w:val="0"/>
          <w:numId w:val="116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w:t>
      </w:r>
      <w:hyperlink w:anchor="sec_solucion_problema_maximizacion">
        <w:r>
          <w:rPr>
            <w:rStyle w:val="Hyperlink"/>
          </w:rPr>
          <w:t xml:space="preserve">I.3</w:t>
        </w:r>
      </w:hyperlink>
      <w:r>
        <w:t xml:space="preserve">): por eso el excedente del consumidor es en él una medida exacta del bienestar.</w:t>
      </w:r>
    </w:p>
    <w:bookmarkEnd w:id="314"/>
    <w:bookmarkEnd w:id="315"/>
    <w:bookmarkStart w:id="316" w:name="c_valoraci__n"/>
    <w:p>
      <w:pPr>
        <w:pStyle w:val="Heading4"/>
      </w:pPr>
      <w:r>
        <w:t xml:space="preserve">c) Valoración</w:t>
      </w:r>
    </w:p>
    <w:p>
      <w:pPr>
        <w:numPr>
          <w:ilvl w:val="0"/>
          <w:numId w:val="1161"/>
        </w:numPr>
      </w:pPr>
      <w:r>
        <w:t xml:space="preserve">la utilidad cardinal exige más información de la necesaria: para derivar la demanda basta con ordenar las cestas;</w:t>
      </w:r>
    </w:p>
    <w:p>
      <w:pPr>
        <w:numPr>
          <w:ilvl w:val="0"/>
          <w:numId w:val="116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6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316"/>
    <w:bookmarkEnd w:id="317"/>
    <w:bookmarkStart w:id="332" w:name="anexo_lancaster"/>
    <w:p>
      <w:pPr>
        <w:pStyle w:val="Heading1"/>
      </w:pPr>
      <w:r>
        <w:t xml:space="preserve">F. Anexo: la teoría de la demanda de características de</w:t>
      </w:r>
      <w:r>
        <w:t xml:space="preserve"> </w:t>
      </w:r>
      <w:r>
        <w:rPr>
          <w:smallCaps/>
        </w:rPr>
        <w:t xml:space="preserve">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w:t>
      </w:r>
      <w:hyperlink w:anchor="sec_produccion_domestica">
        <w:r>
          <w:rPr>
            <w:rStyle w:val="Hyperlink"/>
          </w:rPr>
          <w:t xml:space="preserve">III.2</w:t>
        </w:r>
      </w:hyperlink>
      <w:r>
        <w:t xml:space="preserve">) y como fundamento de los precios hedónicos (</w:t>
      </w:r>
      <w:hyperlink w:anchor="sec_precios_hedonicos">
        <w:r>
          <w:rPr>
            <w:rStyle w:val="Hyperlink"/>
          </w:rPr>
          <w:t xml:space="preserve">III.3</w:t>
        </w:r>
      </w:hyperlink>
      <w:r>
        <w:t xml:space="preserve">). Su papel en la diferenciación de productos, en</w:t>
      </w:r>
      <w:r>
        <w:t xml:space="preserve"> </w:t>
      </w:r>
      <w:hyperlink r:id="rId241">
        <w:r>
          <w:rPr>
            <w:rStyle w:val="Referenciaatema"/>
          </w:rPr>
          <w:t xml:space="preserve">[ver tema 3.A.18]</w:t>
        </w:r>
      </w:hyperlink>
      <w:r>
        <w:t xml:space="preserve">.</w:t>
      </w:r>
    </w:p>
    <w:bookmarkStart w:id="318" w:name="a_idea_5"/>
    <w:p>
      <w:pPr>
        <w:pStyle w:val="Heading4"/>
      </w:pPr>
      <w:r>
        <w:t xml:space="preserve">a) Idea</w:t>
      </w:r>
    </w:p>
    <w:p>
      <w:pPr>
        <w:numPr>
          <w:ilvl w:val="0"/>
          <w:numId w:val="116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318"/>
    <w:bookmarkStart w:id="324" w:name="b_modelo_4"/>
    <w:p>
      <w:pPr>
        <w:pStyle w:val="Heading4"/>
      </w:pPr>
      <w:r>
        <w:t xml:space="preserve">b) Modelo</w:t>
      </w:r>
    </w:p>
    <w:bookmarkStart w:id="319" w:name="i_supuestos_4"/>
    <w:p>
      <w:pPr>
        <w:pStyle w:val="Heading5"/>
      </w:pPr>
      <w:r>
        <w:t xml:space="preserve">i) Supuestos</w:t>
      </w:r>
    </w:p>
    <w:p>
      <w:pPr>
        <w:numPr>
          <w:ilvl w:val="0"/>
          <w:numId w:val="1163"/>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63"/>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63"/>
        </w:numPr>
      </w:pPr>
      <w:r>
        <w:t xml:space="preserve">la utilidad, ordinal y con las propiedades habituales, depende de las características, no de los bienes.</w:t>
      </w:r>
    </w:p>
    <w:bookmarkEnd w:id="319"/>
    <w:bookmarkStart w:id="321" w:name="ii_desarrollo_4"/>
    <w:p>
      <w:pPr>
        <w:pStyle w:val="Heading5"/>
      </w:pPr>
      <w:r>
        <w:t xml:space="preserve">ii) Desarrollo</w:t>
      </w:r>
    </w:p>
    <w:p>
      <w:pPr>
        <w:numPr>
          <w:ilvl w:val="0"/>
          <w:numId w:val="1164"/>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r>
        <w:t xml:space="preserve"> </w:t>
      </w:r>
      <w:bookmarkStart w:id="320" w:name="eq_lancaster"/>
      <w:bookmarkEnd w:id="32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64"/>
        </w:numPr>
      </w:pPr>
      <w:r>
        <w:rPr>
          <w:i/>
          <w:iCs/>
        </w:rPr>
        <w:t xml:space="preserve">Gráficamente</w:t>
      </w:r>
      <w:r>
        <w:t xml:space="preserve"> </w:t>
      </w:r>
      <w:r>
        <w:t xml:space="preserve">(gráfico </w:t>
      </w:r>
      <w:hyperlink w:anchor="fig_lancaster_caracteristicas">
        <w:r>
          <w:rPr>
            <w:rStyle w:val="Hyperlink"/>
          </w:rPr>
          <w:t xml:space="preserve">24</w:t>
        </w:r>
      </w:hyperlink>
      <w:r>
        <w:t xml:space="preserve">):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321"/>
    <w:bookmarkStart w:id="323" w:name="iii_implicaciones_4"/>
    <w:p>
      <w:pPr>
        <w:pStyle w:val="Heading5"/>
      </w:pPr>
      <w:r>
        <w:t xml:space="preserve">iii) Implicaciones</w:t>
      </w:r>
    </w:p>
    <w:p>
      <w:pPr>
        <w:numPr>
          <w:ilvl w:val="0"/>
          <w:numId w:val="1165"/>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5"/>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5"/>
        </w:numPr>
      </w:pPr>
      <w:r>
        <w:t xml:space="preserve">un bien nuevo es un rayo nuevo: tiene mercado si amplía la frontera de eficiencia;</w:t>
      </w:r>
    </w:p>
    <w:p>
      <w:pPr>
        <w:numPr>
          <w:ilvl w:val="0"/>
          <w:numId w:val="1165"/>
        </w:numPr>
      </w:pPr>
      <w:r>
        <w:t xml:space="preserve">para las empresas, la diferenciación consiste en elegir la combinación de características (estrategias de segmentación o de nicho) y la publicidad, en informar sobre ellas o influir en su valoración</w:t>
      </w:r>
      <w:r>
        <w:t xml:space="preserve"> </w:t>
      </w:r>
      <w:hyperlink r:id="rId241">
        <w:r>
          <w:rPr>
            <w:rStyle w:val="Referenciaatema"/>
          </w:rPr>
          <w:t xml:space="preserve">[ver tema 3.A.18]</w:t>
        </w:r>
      </w:hyperlink>
      <w:r>
        <w:t xml:space="preserve">.</w:t>
      </w:r>
      <w:r>
        <w:rPr>
          <w:rStyle w:val="FootnoteReference"/>
        </w:rPr>
        <w:footnoteReference w:id="322"/>
      </w:r>
    </w:p>
    <w:bookmarkEnd w:id="323"/>
    <w:bookmarkEnd w:id="324"/>
    <w:bookmarkStart w:id="326" w:name="c_extensiones_3"/>
    <w:p>
      <w:pPr>
        <w:pStyle w:val="Heading4"/>
      </w:pPr>
      <w:r>
        <w:t xml:space="preserve">c) Extensiones</w:t>
      </w:r>
    </w:p>
    <w:p>
      <w:pPr>
        <w:numPr>
          <w:ilvl w:val="0"/>
          <w:numId w:val="1167"/>
        </w:numPr>
      </w:pPr>
      <w:r>
        <w:t xml:space="preserve">el</w:t>
      </w:r>
      <w:r>
        <w:t xml:space="preserve"> </w:t>
      </w:r>
      <w:r>
        <w:rPr>
          <w:i/>
          <w:iCs/>
        </w:rPr>
        <w:t xml:space="preserve">método de los precios hedónicos</w:t>
      </w:r>
      <w:r>
        <w:t xml:space="preserve">, que estima cuánto se paga por cada característica de un bien (apartado </w:t>
      </w:r>
      <w:hyperlink w:anchor="sec_precios_hedonicos">
        <w:r>
          <w:rPr>
            <w:rStyle w:val="Hyperlink"/>
          </w:rPr>
          <w:t xml:space="preserve">III.3</w:t>
        </w:r>
      </w:hyperlink>
      <w:r>
        <w:t xml:space="preserve">);</w:t>
      </w:r>
    </w:p>
    <w:p>
      <w:pPr>
        <w:numPr>
          <w:ilvl w:val="0"/>
          <w:numId w:val="1167"/>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_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hyperlink r:id="rId26">
        <w:r>
          <w:rPr>
            <w:rStyle w:val="Referenciaatema"/>
          </w:rPr>
          <w:t xml:space="preserve">[ver tema 3.A.10]</w:t>
        </w:r>
      </w:hyperlink>
      <w:r>
        <w:t xml:space="preserve"> </w:t>
      </w:r>
      <w:hyperlink r:id="rId325">
        <w:r>
          <w:rPr>
            <w:rStyle w:val="Referenciaatema"/>
          </w:rPr>
          <w:t xml:space="preserve">[ver tema 3.B.23]</w:t>
        </w:r>
      </w:hyperlink>
      <w:r>
        <w:t xml:space="preserve">.</w:t>
      </w:r>
    </w:p>
    <w:bookmarkEnd w:id="326"/>
    <w:bookmarkStart w:id="331" w:name="d_valoraci__n_1"/>
    <w:p>
      <w:pPr>
        <w:pStyle w:val="Heading4"/>
      </w:pPr>
      <w:r>
        <w:t xml:space="preserve">d) Valoración</w:t>
      </w:r>
    </w:p>
    <w:p>
      <w:pPr>
        <w:numPr>
          <w:ilvl w:val="0"/>
          <w:numId w:val="1168"/>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w:t>
      </w:r>
    </w:p>
    <w:bookmarkStart w:id="330" w:name="fig_lancaster_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Gráfico 24.– Demanda de características: frontera de eficiencia, elección del consumidor y pérdida de eficiencia de un bien al subir su precio" title="" id="328" name="Picture"/>
            <a:graphic>
              <a:graphicData uri="http://schemas.openxmlformats.org/drawingml/2006/picture">
                <pic:pic>
                  <pic:nvPicPr>
                    <pic:cNvPr descr="C:\Users\vgutierrez\Documents\src\victorgutierrezmarcos.github.io-revision\oposicion\temario\fuentes\3A08\graficos/lancaster-caracteristicas.png" id="329" name="Picture"/>
                    <pic:cNvPicPr>
                      <a:picLocks noChangeArrowheads="1" noChangeAspect="1"/>
                    </pic:cNvPicPr>
                  </pic:nvPicPr>
                  <pic:blipFill>
                    <a:blip r:embed="rId327"/>
                    <a:stretch>
                      <a:fillRect/>
                    </a:stretch>
                  </pic:blipFill>
                  <pic:spPr bwMode="auto">
                    <a:xfrm>
                      <a:off x="0" y="0"/>
                      <a:ext cx="3039844" cy="2483253"/>
                    </a:xfrm>
                    <a:prstGeom prst="rect">
                      <a:avLst/>
                    </a:prstGeom>
                    <a:noFill/>
                    <a:ln w="9525">
                      <a:noFill/>
                      <a:headEnd/>
                      <a:tailEnd/>
                    </a:ln>
                  </pic:spPr>
                </pic:pic>
              </a:graphicData>
            </a:graphic>
          </wp:inline>
        </w:drawing>
      </w:r>
    </w:p>
    <w:bookmarkEnd w:id="330"/>
    <w:p>
      <w:pPr>
        <w:pStyle w:val="Piedeimagen"/>
      </w:pPr>
      <w:r>
        <w:t xml:space="preserve">Fuente: elaboración propia basada en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331"/>
    <w:bookmarkEnd w:id="332"/>
    <w:bookmarkStart w:id="340" w:name="anexo_thaler"/>
    <w:p>
      <w:pPr>
        <w:pStyle w:val="Heading1"/>
      </w:pPr>
      <w:r>
        <w:t xml:space="preserve">G. Anexo: psicología y economía (</w:t>
      </w:r>
      <w:r>
        <w:rPr>
          <w:smallCaps/>
        </w:rPr>
        <w:t xml:space="preserve">Thaler</w:t>
      </w:r>
      <w:r>
        <w:t xml:space="preserve">)</w:t>
      </w:r>
    </w:p>
    <w:p>
      <w:pPr>
        <w:pStyle w:val="Notaalopositor"/>
      </w:pPr>
      <w:r>
        <w:rPr>
          <w:b/>
          <w:bCs/>
        </w:rPr>
        <w:t xml:space="preserve">Nota al opositor. </w:t>
      </w:r>
      <w:r>
        <w:t xml:space="preserve">Este anexo no se canta: amplía la valoración de la Conclusión.</w:t>
      </w:r>
    </w:p>
    <w:bookmarkStart w:id="333" w:name="a_idea_6"/>
    <w:p>
      <w:pPr>
        <w:pStyle w:val="Heading4"/>
      </w:pPr>
      <w:r>
        <w:t xml:space="preserve">a) Idea</w:t>
      </w:r>
    </w:p>
    <w:p>
      <w:pPr>
        <w:numPr>
          <w:ilvl w:val="0"/>
          <w:numId w:val="1169"/>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cuestionan los axiomas sobre las preferencias (apartado </w:t>
      </w:r>
      <w:hyperlink w:anchor="sec_ingredientes">
        <w:r>
          <w:rPr>
            <w:rStyle w:val="Hyperlink"/>
          </w:rPr>
          <w:t xml:space="preserve">I.1</w:t>
        </w:r>
      </w:hyperlink>
      <w:r>
        <w:t xml:space="preserve">).</w:t>
      </w:r>
    </w:p>
    <w:bookmarkEnd w:id="333"/>
    <w:bookmarkStart w:id="337" w:name="b_modelo_5"/>
    <w:p>
      <w:pPr>
        <w:pStyle w:val="Heading4"/>
      </w:pPr>
      <w:r>
        <w:t xml:space="preserve">b) Modelo</w:t>
      </w:r>
    </w:p>
    <w:bookmarkStart w:id="334" w:name="i_supuestos_5"/>
    <w:p>
      <w:pPr>
        <w:pStyle w:val="Heading5"/>
      </w:pPr>
      <w:r>
        <w:t xml:space="preserve">i) Supuestos</w:t>
      </w:r>
    </w:p>
    <w:p>
      <w:pPr>
        <w:numPr>
          <w:ilvl w:val="0"/>
          <w:numId w:val="1170"/>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valora los resultados respecto a un punto de referencia, con aversión a las pérdidas</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y tiene en cuenta lo que considera justo.</w:t>
      </w:r>
    </w:p>
    <w:bookmarkEnd w:id="334"/>
    <w:bookmarkStart w:id="335" w:name="ii_desarrollo_las_3_aportaciones_d_37619"/>
    <w:p>
      <w:pPr>
        <w:pStyle w:val="Heading5"/>
      </w:pPr>
      <w:r>
        <w:t xml:space="preserve">ii) Desarrollo: las 3 aportaciones de</w:t>
      </w:r>
      <w:r>
        <w:t xml:space="preserve"> </w:t>
      </w:r>
      <w:r>
        <w:rPr>
          <w:smallCaps/>
        </w:rPr>
        <w:t xml:space="preserve">Thaler</w:t>
      </w:r>
    </w:p>
    <w:p>
      <w:pPr>
        <w:numPr>
          <w:ilvl w:val="0"/>
          <w:numId w:val="1171"/>
        </w:numPr>
      </w:pPr>
      <w:r>
        <w:rPr>
          <w:b/>
          <w:bCs/>
        </w:rPr>
        <w:t xml:space="preserve">Contabilidad mental</w:t>
      </w:r>
      <w:r>
        <w:t xml:space="preserve"> </w:t>
      </w:r>
      <w:r>
        <w:t xml:space="preserve">(</w:t>
      </w:r>
      <w:hyperlink w:anchor="ref_Thaler1985Mental">
        <w:r>
          <w:rPr>
            <w:rStyle w:val="Hyperlink"/>
            <w:smallCaps/>
          </w:rPr>
          <w:t xml:space="preserve">Thaler</w:t>
        </w:r>
        <w:r>
          <w:rPr>
            <w:rStyle w:val="Hyperlink"/>
          </w:rPr>
          <w:t xml:space="preserve">,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w:t>
      </w:r>
    </w:p>
    <w:p>
      <w:pPr>
        <w:numPr>
          <w:ilvl w:val="0"/>
          <w:numId w:val="1171"/>
        </w:numPr>
      </w:pPr>
      <w:r>
        <w:rPr>
          <w:b/>
          <w:bCs/>
        </w:rPr>
        <w:t xml:space="preserve">Efecto dotación</w:t>
      </w:r>
      <w:r>
        <w:t xml:space="preserve"> </w:t>
      </w:r>
      <w:r>
        <w:t xml:space="preserve">(</w:t>
      </w:r>
      <w:hyperlink w:anchor="ref_Thaler1980Positive">
        <w:r>
          <w:rPr>
            <w:rStyle w:val="Hyperlink"/>
            <w:smallCaps/>
          </w:rPr>
          <w:t xml:space="preserve">Thaler</w:t>
        </w:r>
        <w:r>
          <w:rPr>
            <w:rStyle w:val="Hyperlink"/>
          </w:rPr>
          <w:t xml:space="preserve">,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Contradice que las curvas de indiferencia no dependan de la dotación inicial.</w:t>
      </w:r>
    </w:p>
    <w:p>
      <w:pPr>
        <w:numPr>
          <w:ilvl w:val="0"/>
          <w:numId w:val="117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w:t>
      </w:r>
    </w:p>
    <w:bookmarkEnd w:id="335"/>
    <w:bookmarkStart w:id="336" w:name="iii_implicaciones_5"/>
    <w:p>
      <w:pPr>
        <w:pStyle w:val="Heading5"/>
      </w:pPr>
      <w:r>
        <w:t xml:space="preserve">iii) Implicaciones</w:t>
      </w:r>
    </w:p>
    <w:p>
      <w:pPr>
        <w:numPr>
          <w:ilvl w:val="0"/>
          <w:numId w:val="1172"/>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336"/>
    <w:bookmarkEnd w:id="337"/>
    <w:bookmarkStart w:id="338" w:name="c_evidencia_emp__rica"/>
    <w:p>
      <w:pPr>
        <w:pStyle w:val="Heading4"/>
      </w:pPr>
      <w:r>
        <w:t xml:space="preserve">c) Evidencia empírica</w:t>
      </w:r>
    </w:p>
    <w:p>
      <w:pPr>
        <w:numPr>
          <w:ilvl w:val="0"/>
          <w:numId w:val="1173"/>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338"/>
    <w:bookmarkStart w:id="339" w:name="d_valoraci__n_2"/>
    <w:p>
      <w:pPr>
        <w:pStyle w:val="Heading4"/>
      </w:pPr>
      <w:r>
        <w:t xml:space="preserve">d) Valoración</w:t>
      </w:r>
    </w:p>
    <w:p>
      <w:pPr>
        <w:numPr>
          <w:ilvl w:val="0"/>
          <w:numId w:val="1174"/>
        </w:numPr>
      </w:pPr>
      <w:r>
        <w:t xml:space="preserve">Sus resultados se repiten en el laboratorio, pero se discute cuánto pesan en los mercados reales; por eso amplía la teoría neoclásica, que sigue siendo el punto de partida (Conclusión), más que sustituirla.</w:t>
      </w:r>
    </w:p>
    <w:bookmarkEnd w:id="339"/>
    <w:bookmarkEnd w:id="340"/>
    <w:bookmarkStart w:id="347" w:name="anexo_test"/>
    <w:p>
      <w:pPr>
        <w:pStyle w:val="Heading1"/>
      </w:pPr>
      <w:r>
        <w:t xml:space="preserve">H. Anexo: aspectos relevantes para el test</w:t>
      </w:r>
    </w:p>
    <w:p>
      <w:pPr>
        <w:pStyle w:val="Cajadeanotaciones"/>
      </w:pPr>
      <w:r>
        <w:t xml:space="preserve">Preguntas tipo test:</w:t>
      </w:r>
      <w:r>
        <w:t xml:space="preserve"> </w:t>
      </w:r>
      <w:hyperlink r:id="rId341">
        <w:r>
          <w:rPr>
            <w:rStyle w:val="Hyperlink"/>
          </w:rPr>
          <w:t xml:space="preserve">simulador de test</w:t>
        </w:r>
      </w:hyperlink>
      <w:r>
        <w:t xml:space="preserve">.</w:t>
      </w:r>
    </w:p>
    <w:bookmarkStart w:id="343" w:name="anexo_bienes_males_bienes"/>
    <w:p>
      <w:pPr>
        <w:pStyle w:val="Heading2"/>
      </w:pPr>
      <w:r>
        <w:t xml:space="preserve">H.1. Bienes, males y bienes neutrales</w:t>
      </w:r>
    </w:p>
    <w:p>
      <w:pPr>
        <w:pStyle w:val="FirstParagraph"/>
      </w:pPr>
      <w:r>
        <w:t xml:space="preserve">Se mira el signo de las utilidades marginales:</w:t>
      </w:r>
    </w:p>
    <w:bookmarkStart w:id="342" w:name="tab_bienes_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342"/>
    <w:p>
      <w:pPr>
        <w:pStyle w:val="BodyText"/>
        <w:keepNext/>
      </w:pPr>
      <w:r>
        <w:rPr>
          <w:i/>
          <w:iCs/>
        </w:rPr>
        <w:t xml:space="preserve">Fuente: elaboración propia.</w:t>
      </w:r>
    </w:p>
    <w:p>
      <w:pPr>
        <w:numPr>
          <w:ilvl w:val="0"/>
          <w:numId w:val="1175"/>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75"/>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343"/>
    <w:bookmarkStart w:id="344" w:name="anexo_pendiente_curva_indiferencia"/>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w:t>
      </w:r>
      <w:hyperlink w:anchor="eq_rms">
        <w:r>
          <w:rPr>
            <w:rStyle w:val="Hyperlink"/>
          </w:rPr>
          <w:t xml:space="preserve">4</w:t>
        </w:r>
      </w:hyperlink>
      <w:r>
        <w:t xml:space="preserve">)).</w:t>
      </w:r>
    </w:p>
    <w:bookmarkEnd w:id="344"/>
    <w:bookmarkStart w:id="346" w:name="anexo_curvatura_curvas_indiferencia"/>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w:t>
      </w:r>
      <w:hyperlink w:anchor="tab_curvatura">
        <w:r>
          <w:rPr>
            <w:rStyle w:val="Hyperlink"/>
          </w:rPr>
          <w:t xml:space="preserve">5</w:t>
        </w:r>
      </w:hyperlink>
      <w:r>
        <w:t xml:space="preserve"> </w:t>
      </w:r>
      <w:r>
        <w:t xml:space="preserve">la garantizan, pero</w:t>
      </w:r>
      <w:r>
        <w:t xml:space="preserve"> </w:t>
      </w:r>
      <w:r>
        <w:rPr>
          <w:i/>
          <w:iCs/>
        </w:rPr>
        <w:t xml:space="preserve">no son necesarias</w:t>
      </w:r>
      <w:r>
        <w:t xml:space="preserve">: lo que decide es la derivada total.</w:t>
      </w:r>
    </w:p>
    <w:bookmarkStart w:id="345" w:name="tab_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345"/>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6"/>
        </w:numPr>
      </w:pPr>
      <w:r>
        <w:t xml:space="preserve">Ejemplos rápidos:</w:t>
      </w:r>
      <w:r>
        <w:t xml:space="preserve"> </w:t>
      </w: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6"/>
    <w:bookmarkEnd w:id="347"/>
    <w:bookmarkStart w:id="518" w:name="bibliografia"/>
    <w:p>
      <w:pPr>
        <w:pStyle w:val="Heading1"/>
      </w:pPr>
      <w:r>
        <w:t xml:space="preserve">Bibliografía</w:t>
      </w:r>
    </w:p>
    <w:bookmarkStart w:id="517" w:name="refs"/>
    <w:bookmarkStart w:id="349"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348">
        <w:r>
          <w:rPr>
            <w:rStyle w:val="Hyperlink"/>
          </w:rPr>
          <w:t xml:space="preserve">https://doi.org/10.2307/2525382</w:t>
        </w:r>
      </w:hyperlink>
      <w:r>
        <w:t xml:space="preserve">.</w:t>
      </w:r>
    </w:p>
    <w:bookmarkEnd w:id="349"/>
    <w:bookmarkStart w:id="351"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350">
        <w:r>
          <w:rPr>
            <w:rStyle w:val="Hyperlink"/>
          </w:rPr>
          <w:t xml:space="preserve">https://presidencia.gva.es/documents/166658342/166714754/Ejemplar+3070/2957e02b-f135-4235-98a6-bfc909292066</w:t>
        </w:r>
      </w:hyperlink>
      <w:r>
        <w:t xml:space="preserve">.</w:t>
      </w:r>
    </w:p>
    <w:bookmarkEnd w:id="351"/>
    <w:bookmarkStart w:id="352"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352"/>
    <w:bookmarkStart w:id="354"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53">
        <w:r>
          <w:rPr>
            <w:rStyle w:val="Hyperlink"/>
          </w:rPr>
          <w:t xml:space="preserve">https://doi.org/10.2307/1927286</w:t>
        </w:r>
      </w:hyperlink>
      <w:r>
        <w:t xml:space="preserve">.</w:t>
      </w:r>
    </w:p>
    <w:bookmarkEnd w:id="354"/>
    <w:bookmarkStart w:id="355"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55"/>
    <w:bookmarkStart w:id="356" w:name="ref_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56"/>
    <w:bookmarkStart w:id="358"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57">
        <w:r>
          <w:rPr>
            <w:rStyle w:val="Hyperlink"/>
          </w:rPr>
          <w:t xml:space="preserve">https://doi.org/10.2307/1937885</w:t>
        </w:r>
      </w:hyperlink>
      <w:r>
        <w:t xml:space="preserve">.</w:t>
      </w:r>
    </w:p>
    <w:bookmarkEnd w:id="358"/>
    <w:bookmarkStart w:id="360"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59">
        <w:r>
          <w:rPr>
            <w:rStyle w:val="Hyperlink"/>
          </w:rPr>
          <w:t xml:space="preserve">https://doi.org/10.1016/0014-2921(69)90017-8</w:t>
        </w:r>
      </w:hyperlink>
      <w:r>
        <w:t xml:space="preserve">.</w:t>
      </w:r>
    </w:p>
    <w:bookmarkEnd w:id="360"/>
    <w:bookmarkStart w:id="362"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61">
        <w:r>
          <w:rPr>
            <w:rStyle w:val="Hyperlink"/>
          </w:rPr>
          <w:t xml:space="preserve">https://doi.org/10.2307/2228949</w:t>
        </w:r>
      </w:hyperlink>
      <w:r>
        <w:t xml:space="preserve">.</w:t>
      </w:r>
    </w:p>
    <w:bookmarkEnd w:id="362"/>
    <w:bookmarkStart w:id="36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63">
        <w:r>
          <w:rPr>
            <w:rStyle w:val="Hyperlink"/>
          </w:rPr>
          <w:t xml:space="preserve">https://doi.org/10.2307/1909829</w:t>
        </w:r>
      </w:hyperlink>
      <w:r>
        <w:t xml:space="preserve">.</w:t>
      </w:r>
    </w:p>
    <w:bookmarkEnd w:id="364"/>
    <w:bookmarkStart w:id="365"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65"/>
    <w:bookmarkStart w:id="366"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66"/>
    <w:bookmarkStart w:id="367"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67"/>
    <w:bookmarkStart w:id="368"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68"/>
    <w:bookmarkStart w:id="370" w:name="ref_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69">
        <w:r>
          <w:rPr>
            <w:rStyle w:val="Hyperlink"/>
          </w:rPr>
          <w:t xml:space="preserve">https://allengoodman.wayne.edu/Research/PUBS/Court_Hedonic.pdf</w:t>
        </w:r>
      </w:hyperlink>
      <w:r>
        <w:t xml:space="preserve">.</w:t>
      </w:r>
    </w:p>
    <w:bookmarkEnd w:id="370"/>
    <w:bookmarkStart w:id="372"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71">
        <w:r>
          <w:rPr>
            <w:rStyle w:val="Hyperlink"/>
          </w:rPr>
          <w:t xml:space="preserve">https://doi.org/10.2307/1911983</w:t>
        </w:r>
      </w:hyperlink>
      <w:r>
        <w:t xml:space="preserve">.</w:t>
      </w:r>
    </w:p>
    <w:bookmarkEnd w:id="372"/>
    <w:bookmarkStart w:id="373"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73"/>
    <w:bookmarkStart w:id="374"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374"/>
    <w:bookmarkStart w:id="37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75">
        <w:r>
          <w:rPr>
            <w:rStyle w:val="Hyperlink"/>
          </w:rPr>
          <w:t xml:space="preserve">https://cowles.yale.edu/sites/default/files/2022-09/m17-all.pdf</w:t>
        </w:r>
      </w:hyperlink>
      <w:r>
        <w:t xml:space="preserve">.</w:t>
      </w:r>
    </w:p>
    <w:bookmarkEnd w:id="376"/>
    <w:bookmarkStart w:id="377"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77"/>
    <w:bookmarkStart w:id="379"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78">
        <w:r>
          <w:rPr>
            <w:rStyle w:val="Hyperlink"/>
          </w:rPr>
          <w:t xml:space="preserve">https://doi.org/10.1086/260489</w:t>
        </w:r>
      </w:hyperlink>
      <w:r>
        <w:t xml:space="preserve">.</w:t>
      </w:r>
    </w:p>
    <w:bookmarkEnd w:id="379"/>
    <w:bookmarkStart w:id="380"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80"/>
    <w:bookmarkStart w:id="381"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81"/>
    <w:bookmarkStart w:id="382" w:name="ref_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82"/>
    <w:bookmarkStart w:id="383"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83"/>
    <w:bookmarkStart w:id="384" w:name="ref_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84"/>
    <w:bookmarkStart w:id="386" w:name="ref_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85">
        <w:r>
          <w:rPr>
            <w:rStyle w:val="Hyperlink"/>
          </w:rPr>
          <w:t xml:space="preserve">https://doi.org/10.2785/055028</w:t>
        </w:r>
      </w:hyperlink>
      <w:r>
        <w:t xml:space="preserve">.</w:t>
      </w:r>
    </w:p>
    <w:bookmarkEnd w:id="386"/>
    <w:bookmarkStart w:id="38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87">
        <w:r>
          <w:rPr>
            <w:rStyle w:val="Hyperlink"/>
          </w:rPr>
          <w:t xml:space="preserve">https://ec.europa.eu/eurostat/databrowser/view/nama_10_gdp/default/table</w:t>
        </w:r>
      </w:hyperlink>
      <w:r>
        <w:t xml:space="preserve">.</w:t>
      </w:r>
    </w:p>
    <w:bookmarkEnd w:id="388"/>
    <w:bookmarkStart w:id="389" w:name="ref_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89"/>
    <w:bookmarkStart w:id="390" w:name="ref_Fisher1918Utility"/>
    <w:p>
      <w:pPr>
        <w:pStyle w:val="Bibliography"/>
      </w:pPr>
      <w:r>
        <w:t xml:space="preserve">Fisher, Irving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90"/>
    <w:bookmarkStart w:id="391" w:name="ref_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91"/>
    <w:bookmarkStart w:id="393"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92">
        <w:r>
          <w:rPr>
            <w:rStyle w:val="Hyperlink"/>
          </w:rPr>
          <w:t xml:space="preserve">https://web.archive.org/web/20260106065001/http://www2.hawaii.edu/~fuleky/anatomy/anatomy.html</w:t>
        </w:r>
      </w:hyperlink>
      <w:r>
        <w:t xml:space="preserve">.</w:t>
      </w:r>
    </w:p>
    <w:bookmarkEnd w:id="393"/>
    <w:bookmarkStart w:id="395"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94">
        <w:r>
          <w:rPr>
            <w:rStyle w:val="Hyperlink"/>
          </w:rPr>
          <w:t xml:space="preserve">https://doi.org/10.2307/2296107</w:t>
        </w:r>
      </w:hyperlink>
      <w:r>
        <w:t xml:space="preserve">.</w:t>
      </w:r>
    </w:p>
    <w:bookmarkEnd w:id="395"/>
    <w:bookmarkStart w:id="397" w:name="ref_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96">
        <w:r>
          <w:rPr>
            <w:rStyle w:val="Hyperlink"/>
          </w:rPr>
          <w:t xml:space="preserve">https://doi.org/10.1006/juec.1997.2071</w:t>
        </w:r>
      </w:hyperlink>
      <w:r>
        <w:t xml:space="preserve">.</w:t>
      </w:r>
    </w:p>
    <w:bookmarkEnd w:id="397"/>
    <w:bookmarkStart w:id="399"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98">
        <w:r>
          <w:rPr>
            <w:rStyle w:val="Hyperlink"/>
          </w:rPr>
          <w:t xml:space="preserve">https://doi.org/10.2307/1906943</w:t>
        </w:r>
      </w:hyperlink>
      <w:r>
        <w:t xml:space="preserve">.</w:t>
      </w:r>
    </w:p>
    <w:bookmarkEnd w:id="399"/>
    <w:bookmarkStart w:id="401"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400">
        <w:r>
          <w:rPr>
            <w:rStyle w:val="Hyperlink"/>
          </w:rPr>
          <w:t xml:space="preserve">https://doi.org/10.1111/j.1467-999X.1961.tb00819.x</w:t>
        </w:r>
      </w:hyperlink>
      <w:r>
        <w:t xml:space="preserve">.</w:t>
      </w:r>
    </w:p>
    <w:bookmarkEnd w:id="401"/>
    <w:bookmarkStart w:id="402" w:name="ref_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402"/>
    <w:bookmarkStart w:id="403" w:name="ref_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403"/>
    <w:bookmarkStart w:id="405" w:name="ref_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404">
        <w:r>
          <w:rPr>
            <w:rStyle w:val="Hyperlink"/>
          </w:rPr>
          <w:t xml:space="preserve">https://www.nber.org/system/files/chapters/c6492/c6492.pdf</w:t>
        </w:r>
      </w:hyperlink>
      <w:r>
        <w:t xml:space="preserve">.</w:t>
      </w:r>
    </w:p>
    <w:bookmarkEnd w:id="405"/>
    <w:bookmarkStart w:id="406" w:name="ref_Griliches1971Price"/>
    <w:p>
      <w:pPr>
        <w:pStyle w:val="Bibliography"/>
      </w:pPr>
      <w:r>
        <w:t xml:space="preserve">Griliches, Zvi, ed. (1971).</w:t>
      </w:r>
      <w:r>
        <w:t xml:space="preserve"> </w:t>
      </w:r>
      <w:r>
        <w:rPr>
          <w:i/>
          <w:iCs/>
        </w:rPr>
        <w:t xml:space="preserve">Price Indexes and Quality Change: Studies in New Methods of Measurement</w:t>
      </w:r>
      <w:r>
        <w:t xml:space="preserve">. Cambridge (Mass.): Harvard University Press.</w:t>
      </w:r>
    </w:p>
    <w:bookmarkEnd w:id="406"/>
    <w:bookmarkStart w:id="408"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407">
        <w:r>
          <w:rPr>
            <w:rStyle w:val="Hyperlink"/>
          </w:rPr>
          <w:t xml:space="preserve">https://doi.org/10.1086/260629</w:t>
        </w:r>
      </w:hyperlink>
      <w:r>
        <w:t xml:space="preserve">.</w:t>
      </w:r>
    </w:p>
    <w:bookmarkEnd w:id="408"/>
    <w:bookmarkStart w:id="410"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409">
        <w:r>
          <w:rPr>
            <w:rStyle w:val="Hyperlink"/>
          </w:rPr>
          <w:t xml:space="preserve">https://doi.org/10.2307/2548574</w:t>
        </w:r>
      </w:hyperlink>
      <w:r>
        <w:t xml:space="preserve">.</w:t>
      </w:r>
    </w:p>
    <w:bookmarkEnd w:id="410"/>
    <w:bookmarkStart w:id="412"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411">
        <w:r>
          <w:rPr>
            <w:rStyle w:val="Hyperlink"/>
          </w:rPr>
          <w:t xml:space="preserve">https://doi.org/10.2307/2549382</w:t>
        </w:r>
      </w:hyperlink>
      <w:r>
        <w:t xml:space="preserve">.</w:t>
      </w:r>
    </w:p>
    <w:bookmarkEnd w:id="412"/>
    <w:bookmarkStart w:id="413"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413"/>
    <w:bookmarkStart w:id="415"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414">
        <w:r>
          <w:rPr>
            <w:rStyle w:val="Hyperlink"/>
          </w:rPr>
          <w:t xml:space="preserve">https://www.ine.es/daco/daco42/daco4213/resmeto06.pdf</w:t>
        </w:r>
      </w:hyperlink>
      <w:r>
        <w:t xml:space="preserve">.</w:t>
      </w:r>
    </w:p>
    <w:bookmarkEnd w:id="415"/>
    <w:bookmarkStart w:id="417" w:name="ref_INE2026CNTRDemanda"/>
    <w:p>
      <w:pPr>
        <w:pStyle w:val="Bibliography"/>
      </w:pPr>
      <w:r>
        <w:t xml:space="preserve">Instituto Nacional de Estadística (2026a).</w:t>
      </w:r>
      <w:r>
        <w:t xml:space="preserve"> </w:t>
      </w:r>
      <w:r>
        <w:t xml:space="preserve">«Contabilidad Nacional Trimestral de España: principales agregados. PIB pm. Demanda (precios corrientes) (tabla 67823)»</w:t>
      </w:r>
      <w:r>
        <w:t xml:space="preserve">. 2026.</w:t>
      </w:r>
      <w:r>
        <w:t xml:space="preserve"> </w:t>
      </w:r>
      <w:hyperlink r:id="rId416">
        <w:r>
          <w:rPr>
            <w:rStyle w:val="Hyperlink"/>
          </w:rPr>
          <w:t xml:space="preserve">https://www.ine.es/jaxiT3/Tabla.htm?t=67823</w:t>
        </w:r>
      </w:hyperlink>
      <w:r>
        <w:t xml:space="preserve">.</w:t>
      </w:r>
    </w:p>
    <w:bookmarkEnd w:id="417"/>
    <w:bookmarkStart w:id="419" w:name="ref_INE2026EPFTabla73828"/>
    <w:p>
      <w:pPr>
        <w:pStyle w:val="Bibliography"/>
      </w:pPr>
      <w:r>
        <w:t xml:space="preserve">Instituto Nacional de Estadística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418">
        <w:r>
          <w:rPr>
            <w:rStyle w:val="Hyperlink"/>
          </w:rPr>
          <w:t xml:space="preserve">https://www.ine.es/jaxiT3/Tabla.htm?t=73828</w:t>
        </w:r>
      </w:hyperlink>
      <w:r>
        <w:t xml:space="preserve">.</w:t>
      </w:r>
    </w:p>
    <w:bookmarkEnd w:id="419"/>
    <w:bookmarkStart w:id="421" w:name="ref_INE2026IPCMetodologia"/>
    <w:p>
      <w:pPr>
        <w:pStyle w:val="Bibliography"/>
      </w:pPr>
      <w:r>
        <w:t xml:space="preserve">Instituto Nacional de Estadística (2026c).</w:t>
      </w:r>
      <w:r>
        <w:t xml:space="preserve"> </w:t>
      </w:r>
      <w:r>
        <w:t xml:space="preserve">«Índice de Precios de Consumo. Base 2025. Metodología»</w:t>
      </w:r>
      <w:r>
        <w:t xml:space="preserve">. enero de 2026.</w:t>
      </w:r>
      <w:r>
        <w:t xml:space="preserve"> </w:t>
      </w:r>
      <w:hyperlink r:id="rId420">
        <w:r>
          <w:rPr>
            <w:rStyle w:val="Hyperlink"/>
          </w:rPr>
          <w:t xml:space="preserve">https://www.ine.es/metodologia/t25/metodologia_IPC_base_2025.pdf</w:t>
        </w:r>
      </w:hyperlink>
      <w:r>
        <w:t xml:space="preserve">.</w:t>
      </w:r>
    </w:p>
    <w:bookmarkEnd w:id="421"/>
    <w:bookmarkStart w:id="423" w:name="ref_INE2026IPVMetodologia"/>
    <w:p>
      <w:pPr>
        <w:pStyle w:val="Bibliography"/>
      </w:pPr>
      <w:r>
        <w:t xml:space="preserve">Instituto Nacional de Estadística (2026d).</w:t>
      </w:r>
      <w:r>
        <w:t xml:space="preserve"> </w:t>
      </w:r>
      <w:r>
        <w:t xml:space="preserve">«Índice de Precios de Vivienda. Base 2025. Metodología»</w:t>
      </w:r>
      <w:r>
        <w:t xml:space="preserve">. junio de 2026.</w:t>
      </w:r>
      <w:r>
        <w:t xml:space="preserve"> </w:t>
      </w:r>
      <w:hyperlink r:id="rId422">
        <w:r>
          <w:rPr>
            <w:rStyle w:val="Hyperlink"/>
          </w:rPr>
          <w:t xml:space="preserve">https://www.ine.es/daco/daco42/ipv/metodologia2025.pdf</w:t>
        </w:r>
      </w:hyperlink>
      <w:r>
        <w:t xml:space="preserve">.</w:t>
      </w:r>
    </w:p>
    <w:bookmarkEnd w:id="423"/>
    <w:bookmarkStart w:id="425" w:name="ref_INE2026EPF"/>
    <w:p>
      <w:pPr>
        <w:pStyle w:val="Bibliography"/>
      </w:pPr>
      <w:r>
        <w:t xml:space="preserve">Instituto Nacional de Estadística (2026e).</w:t>
      </w:r>
      <w:r>
        <w:t xml:space="preserve"> </w:t>
      </w:r>
      <w:r>
        <w:t xml:space="preserve">«Encuesta de Presupuestos Familiares (EPF). Año 2025. Resultados definitivos. Nota de prensa»</w:t>
      </w:r>
      <w:r>
        <w:t xml:space="preserve">. 25 de junio de 2026.</w:t>
      </w:r>
      <w:r>
        <w:t xml:space="preserve"> </w:t>
      </w:r>
      <w:hyperlink r:id="rId424">
        <w:r>
          <w:rPr>
            <w:rStyle w:val="Hyperlink"/>
          </w:rPr>
          <w:t xml:space="preserve">https://www.ine.es/dyngs/Prensa/EPF2025.htm</w:t>
        </w:r>
      </w:hyperlink>
      <w:r>
        <w:t xml:space="preserve">.</w:t>
      </w:r>
    </w:p>
    <w:bookmarkEnd w:id="425"/>
    <w:bookmarkStart w:id="427"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426">
        <w:r>
          <w:rPr>
            <w:rStyle w:val="Hyperlink"/>
          </w:rPr>
          <w:t xml:space="preserve">https://www.ine.es/metodologia/t25/t2530p458.pdf</w:t>
        </w:r>
      </w:hyperlink>
      <w:r>
        <w:t xml:space="preserve">.</w:t>
      </w:r>
    </w:p>
    <w:bookmarkEnd w:id="427"/>
    <w:bookmarkStart w:id="429" w:name="ref_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428">
        <w:r>
          <w:rPr>
            <w:rStyle w:val="Hyperlink"/>
          </w:rPr>
          <w:t xml:space="preserve">https://doi.org/10.1257/aer.99.4.1097</w:t>
        </w:r>
      </w:hyperlink>
      <w:r>
        <w:t xml:space="preserve">.</w:t>
      </w:r>
    </w:p>
    <w:bookmarkEnd w:id="429"/>
    <w:bookmarkStart w:id="43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430"/>
    <w:bookmarkStart w:id="431" w:name="ref_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431"/>
    <w:bookmarkStart w:id="432"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432"/>
    <w:bookmarkStart w:id="434"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433">
        <w:r>
          <w:rPr>
            <w:rStyle w:val="Hyperlink"/>
          </w:rPr>
          <w:t xml:space="preserve">https://doi.org/10.1086/261737</w:t>
        </w:r>
      </w:hyperlink>
      <w:r>
        <w:t xml:space="preserve">.</w:t>
      </w:r>
    </w:p>
    <w:bookmarkEnd w:id="434"/>
    <w:bookmarkStart w:id="436"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435">
        <w:r>
          <w:rPr>
            <w:rStyle w:val="Hyperlink"/>
          </w:rPr>
          <w:t xml:space="preserve">https://doi.org/10.2307/1914185</w:t>
        </w:r>
      </w:hyperlink>
      <w:r>
        <w:t xml:space="preserve">.</w:t>
      </w:r>
    </w:p>
    <w:bookmarkEnd w:id="436"/>
    <w:bookmarkStart w:id="438" w:name="ref_KahnemanTversky1984Choices"/>
    <w:p>
      <w:pPr>
        <w:pStyle w:val="Bibliography"/>
      </w:pPr>
      <w:r>
        <w:t xml:space="preserve">Kahneman, Daniel y Amos Tversky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437">
        <w:r>
          <w:rPr>
            <w:rStyle w:val="Hyperlink"/>
          </w:rPr>
          <w:t xml:space="preserve">https://doi.org/10.1037/0003-066X.39.4.341</w:t>
        </w:r>
      </w:hyperlink>
      <w:r>
        <w:t xml:space="preserve">.</w:t>
      </w:r>
    </w:p>
    <w:bookmarkEnd w:id="438"/>
    <w:bookmarkStart w:id="440"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439">
        <w:r>
          <w:rPr>
            <w:rStyle w:val="Hyperlink"/>
          </w:rPr>
          <w:t xml:space="preserve">https://doi.org/10.2307/1911539</w:t>
        </w:r>
      </w:hyperlink>
      <w:r>
        <w:t xml:space="preserve">.</w:t>
      </w:r>
    </w:p>
    <w:bookmarkEnd w:id="440"/>
    <w:bookmarkStart w:id="442" w:name="ref_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441">
        <w:r>
          <w:rPr>
            <w:rStyle w:val="Hyperlink"/>
          </w:rPr>
          <w:t xml:space="preserve">https://doi.org/10.1016/0304-3932(88)90030-X</w:t>
        </w:r>
      </w:hyperlink>
      <w:r>
        <w:t xml:space="preserve">.</w:t>
      </w:r>
    </w:p>
    <w:bookmarkEnd w:id="442"/>
    <w:bookmarkStart w:id="444" w:name="ref_KingPlosserRebelo2002Appendix"/>
    <w:p>
      <w:pPr>
        <w:pStyle w:val="Bibliography"/>
      </w:pPr>
      <w:r>
        <w:t xml:space="preserve">King, Robert G., Charles I. Plosser y Sergio T. Rebelo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443">
        <w:r>
          <w:rPr>
            <w:rStyle w:val="Hyperlink"/>
          </w:rPr>
          <w:t xml:space="preserve">https://doi.org/10.1023/A:1020529028761</w:t>
        </w:r>
      </w:hyperlink>
      <w:r>
        <w:t xml:space="preserve">.</w:t>
      </w:r>
    </w:p>
    <w:bookmarkEnd w:id="444"/>
    <w:bookmarkStart w:id="445" w:name="ref_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445"/>
    <w:bookmarkStart w:id="447"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446">
        <w:r>
          <w:rPr>
            <w:rStyle w:val="Hyperlink"/>
          </w:rPr>
          <w:t xml:space="preserve">https://www.nobelprize.org/prizes/economic-sciences/2017/press-release/</w:t>
        </w:r>
      </w:hyperlink>
      <w:r>
        <w:t xml:space="preserve">.</w:t>
      </w:r>
    </w:p>
    <w:bookmarkEnd w:id="447"/>
    <w:bookmarkStart w:id="449"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48">
        <w:r>
          <w:rPr>
            <w:rStyle w:val="Hyperlink"/>
          </w:rPr>
          <w:t xml:space="preserve">https://doi.org/10.1086/259131</w:t>
        </w:r>
      </w:hyperlink>
      <w:r>
        <w:t xml:space="preserve">.</w:t>
      </w:r>
    </w:p>
    <w:bookmarkEnd w:id="449"/>
    <w:bookmarkStart w:id="450" w:name="ref_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450"/>
    <w:bookmarkStart w:id="451"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451"/>
    <w:bookmarkStart w:id="453" w:name="ref_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52">
        <w:r>
          <w:rPr>
            <w:rStyle w:val="Hyperlink"/>
          </w:rPr>
          <w:t xml:space="preserve">https://doi.org/10.2307/2975974</w:t>
        </w:r>
      </w:hyperlink>
      <w:r>
        <w:t xml:space="preserve">.</w:t>
      </w:r>
    </w:p>
    <w:bookmarkEnd w:id="453"/>
    <w:bookmarkStart w:id="45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54">
        <w:r>
          <w:rPr>
            <w:rStyle w:val="Hyperlink"/>
          </w:rPr>
          <w:t xml:space="preserve">https://www.marxists.org/reference/subject/economics/marshall/bk1ch01.htm</w:t>
        </w:r>
      </w:hyperlink>
      <w:r>
        <w:t xml:space="preserve">.</w:t>
      </w:r>
    </w:p>
    <w:bookmarkEnd w:id="455"/>
    <w:bookmarkStart w:id="45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56"/>
    <w:bookmarkStart w:id="458"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57">
        <w:r>
          <w:rPr>
            <w:rStyle w:val="Hyperlink"/>
          </w:rPr>
          <w:t xml:space="preserve">https://doi.org/10.2307/2296792</w:t>
        </w:r>
      </w:hyperlink>
      <w:r>
        <w:t xml:space="preserve">.</w:t>
      </w:r>
    </w:p>
    <w:bookmarkEnd w:id="458"/>
    <w:bookmarkStart w:id="460"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59">
        <w:r>
          <w:rPr>
            <w:rStyle w:val="Hyperlink"/>
          </w:rPr>
          <w:t xml:space="preserve">https://doi.org/10.2307/1911540</w:t>
        </w:r>
      </w:hyperlink>
      <w:r>
        <w:t xml:space="preserve">.</w:t>
      </w:r>
    </w:p>
    <w:bookmarkEnd w:id="460"/>
    <w:bookmarkStart w:id="462" w:name="ref_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61">
        <w:r>
          <w:rPr>
            <w:rStyle w:val="Hyperlink"/>
          </w:rPr>
          <w:t xml:space="preserve">https://doi.org/10.11647/OBP.0204</w:t>
        </w:r>
      </w:hyperlink>
      <w:r>
        <w:t xml:space="preserve">.</w:t>
      </w:r>
    </w:p>
    <w:bookmarkEnd w:id="462"/>
    <w:bookmarkStart w:id="463" w:name="ref_Pareto1896Cours"/>
    <w:p>
      <w:pPr>
        <w:pStyle w:val="Bibliography"/>
      </w:pPr>
      <w:r>
        <w:t xml:space="preserve">Pareto, Vilfredo (1896).</w:t>
      </w:r>
      <w:r>
        <w:t xml:space="preserve"> </w:t>
      </w:r>
      <w:r>
        <w:rPr>
          <w:i/>
          <w:iCs/>
        </w:rPr>
        <w:t xml:space="preserve">Cours d’économie politique</w:t>
      </w:r>
      <w:r>
        <w:t xml:space="preserve">. Lausana: F. Rouge.</w:t>
      </w:r>
    </w:p>
    <w:bookmarkEnd w:id="463"/>
    <w:bookmarkStart w:id="46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464"/>
    <w:bookmarkStart w:id="46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65"/>
    <w:bookmarkStart w:id="466" w:name="ref_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66"/>
    <w:bookmarkStart w:id="468" w:name="ref_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67">
        <w:r>
          <w:rPr>
            <w:rStyle w:val="Hyperlink"/>
          </w:rPr>
          <w:t xml:space="preserve">https://doi.org/10.1086/260169</w:t>
        </w:r>
      </w:hyperlink>
      <w:r>
        <w:t xml:space="preserve">.</w:t>
      </w:r>
    </w:p>
    <w:bookmarkEnd w:id="468"/>
    <w:bookmarkStart w:id="469" w:name="ref_Rosen1999Potato"/>
    <w:p>
      <w:pPr>
        <w:pStyle w:val="Bibliography"/>
      </w:pPr>
      <w:r>
        <w:t xml:space="preserve">Rosen, Sherwin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69"/>
    <w:bookmarkStart w:id="471"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70">
        <w:r>
          <w:rPr>
            <w:rStyle w:val="Hyperlink"/>
          </w:rPr>
          <w:t xml:space="preserve">https://doi.org/10.2307/1905479</w:t>
        </w:r>
      </w:hyperlink>
      <w:r>
        <w:t xml:space="preserve">.</w:t>
      </w:r>
    </w:p>
    <w:bookmarkEnd w:id="471"/>
    <w:bookmarkStart w:id="473"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72">
        <w:r>
          <w:rPr>
            <w:rStyle w:val="Hyperlink"/>
          </w:rPr>
          <w:t xml:space="preserve">https://doi.org/10.2307/2548836</w:t>
        </w:r>
      </w:hyperlink>
      <w:r>
        <w:t xml:space="preserve">.</w:t>
      </w:r>
    </w:p>
    <w:bookmarkEnd w:id="473"/>
    <w:bookmarkStart w:id="475"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74">
        <w:r>
          <w:rPr>
            <w:rStyle w:val="Hyperlink"/>
          </w:rPr>
          <w:t xml:space="preserve">https://doi.org/10.2307/2549561</w:t>
        </w:r>
      </w:hyperlink>
      <w:r>
        <w:t xml:space="preserve">.</w:t>
      </w:r>
    </w:p>
    <w:bookmarkEnd w:id="475"/>
    <w:bookmarkStart w:id="47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76"/>
    <w:bookmarkStart w:id="477" w:name="ref_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77"/>
    <w:bookmarkStart w:id="478"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78"/>
    <w:bookmarkStart w:id="480"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79">
        <w:r>
          <w:rPr>
            <w:rStyle w:val="Hyperlink"/>
          </w:rPr>
          <w:t xml:space="preserve">https://doi.org/10.2307/1884852</w:t>
        </w:r>
      </w:hyperlink>
      <w:r>
        <w:t xml:space="preserve">.</w:t>
      </w:r>
    </w:p>
    <w:bookmarkEnd w:id="480"/>
    <w:bookmarkStart w:id="481"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81"/>
    <w:bookmarkStart w:id="483"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82">
        <w:r>
          <w:rPr>
            <w:rStyle w:val="Hyperlink"/>
          </w:rPr>
          <w:t xml:space="preserve">https://doi.org/10.2307/1913184</w:t>
        </w:r>
      </w:hyperlink>
      <w:r>
        <w:t xml:space="preserve">.</w:t>
      </w:r>
    </w:p>
    <w:bookmarkEnd w:id="483"/>
    <w:bookmarkStart w:id="485"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84">
        <w:r>
          <w:rPr>
            <w:rStyle w:val="Hyperlink"/>
          </w:rPr>
          <w:t xml:space="preserve">https://doi.org/10.1016/0022-0531(73)90066-5</w:t>
        </w:r>
      </w:hyperlink>
      <w:r>
        <w:t xml:space="preserve">.</w:t>
      </w:r>
    </w:p>
    <w:bookmarkEnd w:id="485"/>
    <w:bookmarkStart w:id="487"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86">
        <w:r>
          <w:rPr>
            <w:rStyle w:val="Hyperlink"/>
          </w:rPr>
          <w:t xml:space="preserve">https://doi.org/10.2307/1909201</w:t>
        </w:r>
      </w:hyperlink>
      <w:r>
        <w:t xml:space="preserve">.</w:t>
      </w:r>
    </w:p>
    <w:bookmarkEnd w:id="487"/>
    <w:bookmarkStart w:id="48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88">
        <w:r>
          <w:rPr>
            <w:rStyle w:val="Hyperlink"/>
          </w:rPr>
          <w:t xml:space="preserve">https://doi.org/10.1086/258464</w:t>
        </w:r>
      </w:hyperlink>
      <w:r>
        <w:t xml:space="preserve">.</w:t>
      </w:r>
    </w:p>
    <w:bookmarkEnd w:id="489"/>
    <w:bookmarkStart w:id="49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90">
        <w:r>
          <w:rPr>
            <w:rStyle w:val="Hyperlink"/>
          </w:rPr>
          <w:t xml:space="preserve">https://doi.org/10.2307/2227743</w:t>
        </w:r>
      </w:hyperlink>
      <w:r>
        <w:t xml:space="preserve">.</w:t>
      </w:r>
    </w:p>
    <w:bookmarkEnd w:id="491"/>
    <w:bookmarkStart w:id="492"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92"/>
    <w:bookmarkStart w:id="494" w:name="ref_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93">
        <w:r>
          <w:rPr>
            <w:rStyle w:val="Hyperlink"/>
          </w:rPr>
          <w:t xml:space="preserve">https://doi.org/10.1016/0167-2681(80)90051-7</w:t>
        </w:r>
      </w:hyperlink>
      <w:r>
        <w:t xml:space="preserve">.</w:t>
      </w:r>
    </w:p>
    <w:bookmarkEnd w:id="494"/>
    <w:bookmarkStart w:id="496"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95">
        <w:r>
          <w:rPr>
            <w:rStyle w:val="Hyperlink"/>
          </w:rPr>
          <w:t xml:space="preserve">https://doi.org/10.1287/mksc.4.3.199</w:t>
        </w:r>
      </w:hyperlink>
      <w:r>
        <w:t xml:space="preserve">.</w:t>
      </w:r>
    </w:p>
    <w:bookmarkEnd w:id="496"/>
    <w:bookmarkStart w:id="498"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97">
        <w:r>
          <w:rPr>
            <w:rStyle w:val="Hyperlink"/>
          </w:rPr>
          <w:t xml:space="preserve">https://www.nobelprize.org/prizes/economic-sciences/1970/summary/</w:t>
        </w:r>
      </w:hyperlink>
      <w:r>
        <w:t xml:space="preserve">.</w:t>
      </w:r>
    </w:p>
    <w:bookmarkEnd w:id="498"/>
    <w:bookmarkStart w:id="500" w:name="ref_Nobel1992Becker"/>
    <w:p>
      <w:pPr>
        <w:pStyle w:val="Bibliography"/>
      </w:pPr>
      <w:r>
        <w:t xml:space="preserve">The Nobel Prize (1992).</w:t>
      </w:r>
      <w:r>
        <w:t xml:space="preserve"> </w:t>
      </w:r>
      <w:r>
        <w:t xml:space="preserve">«The Sveriges Riksbank Prize in Economic Sciences in Memory of Alfred Nobel 1992: Gary S. Becker»</w:t>
      </w:r>
      <w:r>
        <w:t xml:space="preserve">. 1992.</w:t>
      </w:r>
      <w:r>
        <w:t xml:space="preserve"> </w:t>
      </w:r>
      <w:hyperlink r:id="rId499">
        <w:r>
          <w:rPr>
            <w:rStyle w:val="Hyperlink"/>
          </w:rPr>
          <w:t xml:space="preserve">https://www.nobelprize.org/prizes/economic-sciences/1992/summary/</w:t>
        </w:r>
      </w:hyperlink>
      <w:r>
        <w:t xml:space="preserve">.</w:t>
      </w:r>
    </w:p>
    <w:bookmarkEnd w:id="500"/>
    <w:bookmarkStart w:id="502"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501">
        <w:r>
          <w:rPr>
            <w:rStyle w:val="Hyperlink"/>
          </w:rPr>
          <w:t xml:space="preserve">https://www.nobelprize.org/prizes/economic-sciences/2015/summary/</w:t>
        </w:r>
      </w:hyperlink>
      <w:r>
        <w:t xml:space="preserve">.</w:t>
      </w:r>
    </w:p>
    <w:bookmarkEnd w:id="502"/>
    <w:bookmarkStart w:id="504"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503">
        <w:r>
          <w:rPr>
            <w:rStyle w:val="Hyperlink"/>
          </w:rPr>
          <w:t xml:space="preserve">https://doi.org/10.2307/1911889</w:t>
        </w:r>
      </w:hyperlink>
      <w:r>
        <w:t xml:space="preserve">.</w:t>
      </w:r>
    </w:p>
    <w:bookmarkEnd w:id="504"/>
    <w:bookmarkStart w:id="506" w:name="ref_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505">
        <w:r>
          <w:rPr>
            <w:rStyle w:val="Hyperlink"/>
          </w:rPr>
          <w:t xml:space="preserve">https://doi.org/10.1787/9789264028159-en</w:t>
        </w:r>
      </w:hyperlink>
      <w:r>
        <w:t xml:space="preserve">.</w:t>
      </w:r>
    </w:p>
    <w:bookmarkEnd w:id="506"/>
    <w:bookmarkStart w:id="508"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507">
        <w:r>
          <w:rPr>
            <w:rStyle w:val="Hyperlink"/>
          </w:rPr>
          <w:t xml:space="preserve">https://doi.org/10.1126/science.7455683</w:t>
        </w:r>
      </w:hyperlink>
      <w:r>
        <w:t xml:space="preserve">.</w:t>
      </w:r>
    </w:p>
    <w:bookmarkEnd w:id="508"/>
    <w:bookmarkStart w:id="510" w:name="ref_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509">
        <w:r>
          <w:rPr>
            <w:rStyle w:val="Hyperlink"/>
          </w:rPr>
          <w:t xml:space="preserve">https://www.bls.gov/cpi/quality-adjustment/</w:t>
        </w:r>
      </w:hyperlink>
      <w:r>
        <w:t xml:space="preserve">.</w:t>
      </w:r>
    </w:p>
    <w:bookmarkEnd w:id="510"/>
    <w:bookmarkStart w:id="512" w:name="ref_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511">
        <w:r>
          <w:rPr>
            <w:rStyle w:val="Hyperlink"/>
          </w:rPr>
          <w:t xml:space="preserve">https://doi.org/10.2307/1912771</w:t>
        </w:r>
      </w:hyperlink>
      <w:r>
        <w:t xml:space="preserve">.</w:t>
      </w:r>
    </w:p>
    <w:bookmarkEnd w:id="512"/>
    <w:bookmarkStart w:id="513"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513"/>
    <w:bookmarkStart w:id="514"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514"/>
    <w:bookmarkStart w:id="515" w:name="ref_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515"/>
    <w:bookmarkStart w:id="516"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516"/>
    <w:bookmarkEnd w:id="517"/>
    <w:bookmarkEnd w:id="5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hyperlink r:id="rId22">
        <w:r>
          <w:rPr>
            <w:rStyle w:val="Referenciaatema"/>
          </w:rPr>
          <w:t xml:space="preserve">[ver tema 3.A.16]</w:t>
        </w:r>
      </w:hyperlink>
      <w:r>
        <w:t xml:space="preserve"> </w:t>
      </w:r>
      <w:r>
        <w:t xml:space="preserve">y del equilibrio general</w:t>
      </w:r>
      <w:r>
        <w:t xml:space="preserve"> </w:t>
      </w:r>
      <w:hyperlink r:id="rId23">
        <w:r>
          <w:rPr>
            <w:rStyle w:val="Referenciaatema"/>
          </w:rPr>
          <w:t xml:space="preserve">[ver tema 3.A.21]</w:t>
        </w:r>
      </w:hyperlink>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4">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5">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8">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_Barbe2006Edgeworth">
        <w:r>
          <w:rPr>
            <w:rStyle w:val="Hyperlink"/>
            <w:smallCaps/>
          </w:rPr>
          <w:t xml:space="preserve">Barbé</w:t>
        </w:r>
        <w:r>
          <w:rPr>
            <w:rStyle w:val="Hyperlink"/>
          </w:rPr>
          <w:t xml:space="preserve">, 2006</w:t>
        </w:r>
      </w:hyperlink>
      <w:r>
        <w:t xml:space="preserve">)</w:t>
      </w:r>
      <w:r>
        <w:t xml:space="preserve">. Es una de las pocas apariciones de España en la historia del pensamiento económico.</w:t>
      </w:r>
    </w:p>
  </w:footnote>
  <w:footnote w:id="29">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32">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9">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hyperlink r:id="rId40">
        <w:r>
          <w:rPr>
            <w:rStyle w:val="Referenciaatema"/>
          </w:rPr>
          <w:t xml:space="preserve">[ver tema 3.A.33]</w:t>
        </w:r>
      </w:hyperlink>
      <w:r>
        <w:t xml:space="preserve">. Tampoco se analiza la elección entre ocio y trabajo</w:t>
      </w:r>
      <w:r>
        <w:t xml:space="preserve"> </w:t>
      </w:r>
      <w:hyperlink r:id="rId37">
        <w:r>
          <w:rPr>
            <w:rStyle w:val="Referenciaatema"/>
          </w:rPr>
          <w:t xml:space="preserve">[ver tema 3.A.25]</w:t>
        </w:r>
      </w:hyperlink>
      <w:r>
        <w:t xml:space="preserve">.</w:t>
      </w:r>
    </w:p>
  </w:footnote>
  <w:footnote w:id="41">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2.C</w:t>
        </w:r>
      </w:hyperlink>
      <w:r>
        <w:t xml:space="preserve">)</w:t>
      </w:r>
      <w:r>
        <w:t xml:space="preserve">.</w:t>
      </w:r>
    </w:p>
  </w:footnote>
  <w:footnote w:id="57">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8">
    <w:p>
      <w:pPr>
        <w:pStyle w:val="FootnoteText"/>
      </w:pPr>
      <w:r>
        <w:rPr>
          <w:rStyle w:val="FootnoteReference"/>
        </w:rPr>
        <w:footnoteRef/>
      </w:r>
      <w:r>
        <w:t xml:space="preserve"> </w:t>
      </w:r>
      <w:r>
        <w:t xml:space="preserve">En algunos manuales la reflexividad se presenta como corolario de la completitud.</w:t>
      </w:r>
    </w:p>
  </w:footnote>
  <w:footnote w:id="59">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60">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w:t>
      </w:r>
      <w:hyperlink w:anchor="ref_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hyperlink r:id="rId61">
        <w:r>
          <w:rPr>
            <w:rStyle w:val="Referenciaatema"/>
          </w:rPr>
          <w:t xml:space="preserve">[ver tema 3.A.24]</w:t>
        </w:r>
      </w:hyperlink>
      <w:r>
        <w:t xml:space="preserve">.</w:t>
      </w:r>
    </w:p>
  </w:footnote>
  <w:footnote w:id="62">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64">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6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66">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footnote>
  <w:footnote w:id="67">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_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hyperlink r:id="rId68">
        <w:r>
          <w:rPr>
            <w:rStyle w:val="Referenciaatema"/>
          </w:rPr>
          <w:t xml:space="preserve">[ver tema 3.A.22]</w:t>
        </w:r>
      </w:hyperlink>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Con muchos consumidores, la no convexidad de las preferencias individuales pierde importancia</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w:t>
      </w:r>
    </w:p>
  </w:footnote>
  <w:footnote w:id="69">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75">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_Pareto1896Cours">
        <w:r>
          <w:rPr>
            <w:rStyle w:val="Hyperlink"/>
            <w:smallCaps/>
          </w:rPr>
          <w:t xml:space="preserve">Pareto</w:t>
        </w:r>
        <w:r>
          <w:rPr>
            <w:rStyle w:val="Hyperlink"/>
          </w:rPr>
          <w:t xml:space="preserve">, 1896</w:t>
        </w:r>
      </w:hyperlink>
      <w:r>
        <w:t xml:space="preserve">)</w:t>
      </w:r>
      <w:r>
        <w:t xml:space="preserve">.</w:t>
      </w:r>
      <w:r>
        <w:t xml:space="preserve"> </w:t>
      </w:r>
      <w:r>
        <w:rPr>
          <w:smallCaps/>
        </w:rPr>
        <w:t xml:space="preserve">Fisher</w:t>
      </w:r>
      <w:r>
        <w:t xml:space="preserve"> </w:t>
      </w:r>
      <w:r>
        <w:t xml:space="preserve">(</w:t>
      </w:r>
      <w:hyperlink w:anchor="ref_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76">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8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el criterio de la hessiana y de la hessiana orlada, en</w:t>
      </w:r>
      <w:r>
        <w:t xml:space="preserve"> </w:t>
      </w:r>
      <w:hyperlink r:id="rId30">
        <w:r>
          <w:rPr>
            <w:rStyle w:val="Referenciaatema"/>
          </w:rPr>
          <w:t xml:space="preserve">[ver tema 3.A.9]</w:t>
        </w:r>
      </w:hyperlink>
      <w:r>
        <w:t xml:space="preserve"> </w:t>
      </w:r>
      <w:r>
        <w:t xml:space="preserve">(anexo).</w:t>
      </w:r>
    </w:p>
  </w:footnote>
  <w:footnote w:id="8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8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96">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106">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hyperlink r:id="rId30">
        <w:r>
          <w:rPr>
            <w:rStyle w:val="Referenciaatema"/>
          </w:rPr>
          <w:t xml:space="preserve">[ver tema 3.A.9]</w:t>
        </w:r>
      </w:hyperlink>
      <w:r>
        <w:t xml:space="preserve">.</w:t>
      </w:r>
    </w:p>
  </w:footnote>
  <w:footnote w:id="108">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109">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18">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w:t>
      </w:r>
      <w:hyperlink w:anchor="anexo_cardinal">
        <w:r>
          <w:rPr>
            <w:rStyle w:val="Hyperlink"/>
          </w:rPr>
          <w:t xml:space="preserve">E</w:t>
        </w:r>
      </w:hyperlink>
      <w:r>
        <w:t xml:space="preserve">).</w:t>
      </w:r>
    </w:p>
  </w:footnote>
  <w:footnote w:id="131">
    <w:p>
      <w:pPr>
        <w:pStyle w:val="FootnoteText"/>
      </w:pPr>
      <w:r>
        <w:rPr>
          <w:rStyle w:val="FootnoteReference"/>
        </w:rPr>
        <w:footnoteRef/>
      </w:r>
      <w:r>
        <w:t xml:space="preserve"> </w:t>
      </w:r>
      <w:r>
        <w:t xml:space="preserve">Esto permitirá, en el apartado </w:t>
      </w:r>
      <w:hyperlink w:anchor="sec_analisis_teoria_neoclasica_demanda">
        <w:r>
          <w:rPr>
            <w:rStyle w:val="Hyperlink"/>
          </w:rPr>
          <w:t xml:space="preserve">II</w:t>
        </w:r>
      </w:hyperlink>
      <w:r>
        <w:t xml:space="preserve">, hacer estática comparativa: estudiar cómo cambian las demandas ante cambios en los parámetros del problema.</w:t>
      </w:r>
    </w:p>
  </w:footnote>
  <w:footnote w:id="133">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34">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35">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w:t>
      </w:r>
      <w:hyperlink w:anchor="sec_analisis_teoria_neoclasica_demanda">
        <w:r>
          <w:rPr>
            <w:rStyle w:val="Hyperlink"/>
          </w:rPr>
          <w:t xml:space="preserve">II</w:t>
        </w:r>
      </w:hyperlink>
      <w:r>
        <w:t xml:space="preserve"> </w:t>
      </w:r>
      <w:r>
        <w:t xml:space="preserve">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w:t>
      </w:r>
      <w:hyperlink w:anchor="der_homogeneidad">
        <w:r>
          <w:rPr>
            <w:rStyle w:val="Hyperlink"/>
          </w:rPr>
          <w:t xml:space="preserve">B.1</w:t>
        </w:r>
      </w:hyperlink>
      <w:r>
        <w:t xml:space="preserve">).</w:t>
      </w:r>
    </w:p>
  </w:footnote>
  <w:footnote w:id="136">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hyperlink r:id="rId23">
        <w:r>
          <w:rPr>
            <w:rStyle w:val="Referenciaatema"/>
          </w:rPr>
          <w:t xml:space="preserve">[ver tema 3.A.21]</w:t>
        </w:r>
      </w:hyperlink>
      <w:r>
        <w:t xml:space="preserve">.</w:t>
      </w:r>
    </w:p>
  </w:footnote>
  <w:footnote w:id="137">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1.5)</w:t>
      </w:r>
      <w:r>
        <w:t xml:space="preserve">.</w:t>
      </w:r>
    </w:p>
  </w:footnote>
  <w:footnote w:id="143">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45">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w:t>
      </w:r>
      <w:hyperlink w:anchor="eq_gorman">
        <w:r>
          <w:rPr>
            <w:rStyle w:val="Hyperlink"/>
          </w:rPr>
          <w:t xml:space="preserve">18</w:t>
        </w:r>
      </w:hyperlink>
      <w:r>
        <w:t xml:space="preserve">)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53">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_Marshall1890Principles">
        <w:r>
          <w:rPr>
            <w:rStyle w:val="Hyperlink"/>
          </w:rPr>
          <w:t xml:space="preserve">1890, lib. III</w:t>
        </w:r>
      </w:hyperlink>
      <w:r>
        <w:t xml:space="preserve">, cap. IV)</w:t>
      </w:r>
      <w:r>
        <w:t xml:space="preserve">.</w:t>
      </w:r>
    </w:p>
  </w:footnote>
  <w:footnote w:id="154">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w:t>
      </w:r>
      <w:hyperlink w:anchor="sec_solucion_problema_maximizacion">
        <w:r>
          <w:rPr>
            <w:rStyle w:val="Hyperlink"/>
          </w:rPr>
          <w:t xml:space="preserve">I.3</w:t>
        </w:r>
      </w:hyperlink>
      <w:r>
        <w:t xml:space="preserve">, ecuación (</w:t>
      </w:r>
      <w:hyperlink w:anchor="eq_gorman">
        <w:r>
          <w:rPr>
            <w:rStyle w:val="Hyperlink"/>
          </w:rPr>
          <w:t xml:space="preserve">18</w:t>
        </w:r>
      </w:hyperlink>
      <w:r>
        <w:t xml:space="preserve">)).</w:t>
      </w:r>
    </w:p>
  </w:footnote>
  <w:footnote w:id="15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6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w:t>
      </w:r>
    </w:p>
  </w:footnote>
  <w:footnote w:id="17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8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hyperlink r:id="rId30">
        <w:r>
          <w:rPr>
            <w:rStyle w:val="Referenciaatema"/>
          </w:rPr>
          <w:t xml:space="preserve">[ver tema 3.A.9]</w:t>
        </w:r>
      </w:hyperlink>
      <w:r>
        <w:t xml:space="preserve">. La derivación completa está en el anexo </w:t>
      </w:r>
      <w:hyperlink w:anchor="der_slutsky">
        <w:r>
          <w:rPr>
            <w:rStyle w:val="Hyperlink"/>
          </w:rPr>
          <w:t xml:space="preserve">B.5</w:t>
        </w:r>
      </w:hyperlink>
      <w:r>
        <w:t xml:space="preserve">.</w:t>
      </w:r>
    </w:p>
  </w:footnote>
  <w:footnote w:id="182">
    <w:p>
      <w:pPr>
        <w:pStyle w:val="FootnoteText"/>
      </w:pPr>
      <w:r>
        <w:rPr>
          <w:rStyle w:val="FootnoteReference"/>
        </w:rPr>
        <w:footnoteRef/>
      </w:r>
      <w:r>
        <w:t xml:space="preserve"> </w:t>
      </w:r>
      <w:r>
        <w:t xml:space="preserve">Se debe a la concavidad de la función de gasto</w:t>
      </w:r>
      <w:r>
        <w:t xml:space="preserve"> </w:t>
      </w:r>
      <w:hyperlink r:id="rId30">
        <w:r>
          <w:rPr>
            <w:rStyle w:val="Referenciaatema"/>
          </w:rPr>
          <w:t xml:space="preserve">[ver tema 3.A.9]</w:t>
        </w:r>
      </w:hyperlink>
      <w:r>
        <w:t xml:space="preserve">. En el apartado </w:t>
      </w:r>
      <w:hyperlink w:anchor="sec_teoria_preferencia_revelada">
        <w:r>
          <w:rPr>
            <w:rStyle w:val="Hyperlink"/>
          </w:rPr>
          <w:t xml:space="preserve">III.1</w:t>
        </w:r>
      </w:hyperlink>
      <w:r>
        <w:t xml:space="preserve"> </w:t>
      </w:r>
      <w:r>
        <w:t xml:space="preserve">se obtiene el mismo resultado con el axioma débil de la preferencia revelada, sin recurrir a la utilidad.</w:t>
      </w:r>
    </w:p>
  </w:footnote>
  <w:footnote w:id="183">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w:t>
      </w:r>
      <w:hyperlink w:anchor="der_slutsky">
        <w:r>
          <w:rPr>
            <w:rStyle w:val="Hyperlink"/>
          </w:rPr>
          <w:t xml:space="preserve">B.5</w:t>
        </w:r>
      </w:hyperlink>
      <w:r>
        <w:t xml:space="preserve">).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84">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_Rosen1999Potato">
        <w:r>
          <w:rPr>
            <w:rStyle w:val="Hyperlink"/>
            <w:smallCaps/>
          </w:rPr>
          <w:t xml:space="preserve">Rosen</w:t>
        </w:r>
        <w:r>
          <w:rPr>
            <w:rStyle w:val="Hyperlink"/>
          </w:rPr>
          <w:t xml:space="preserve">, 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_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94">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205">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211">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hyperlink r:id="rId30">
        <w:r>
          <w:rPr>
            <w:rStyle w:val="Referenciaatema"/>
          </w:rPr>
          <w:t xml:space="preserve">[ver tema 3.A.9]</w:t>
        </w:r>
      </w:hyperlink>
      <w:r>
        <w:t xml:space="preserve">.</w:t>
      </w:r>
    </w:p>
  </w:footnote>
  <w:footnote w:id="212">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14">
    <w:p>
      <w:pPr>
        <w:pStyle w:val="FootnoteText"/>
      </w:pPr>
      <w:r>
        <w:rPr>
          <w:rStyle w:val="FootnoteReference"/>
        </w:rPr>
        <w:footnoteRef/>
      </w:r>
      <w:r>
        <w:t xml:space="preserve"> </w:t>
      </w:r>
      <w:r>
        <w:t xml:space="preserve">No del consumidor representativo: la agregación no conserva el axioma débil (apartado </w:t>
      </w:r>
      <w:hyperlink w:anchor="sec_solucion_problema_maximizacion">
        <w:r>
          <w:rPr>
            <w:rStyle w:val="Hyperlink"/>
          </w:rPr>
          <w:t xml:space="preserve">I.3</w:t>
        </w:r>
      </w:hyperlink>
      <w:r>
        <w:t xml:space="preserve">).</w:t>
      </w:r>
    </w:p>
  </w:footnote>
  <w:footnote w:id="217">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227">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ADPR. ∎</w:t>
      </w:r>
    </w:p>
  </w:footnote>
  <w:footnote w:id="229">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3.J</w:t>
        </w:r>
      </w:hyperlink>
      <w:r>
        <w:t xml:space="preserve">)</w:t>
      </w:r>
      <w:r>
        <w:t xml:space="preserve">.</w:t>
      </w:r>
    </w:p>
  </w:footnote>
  <w:footnote w:id="240">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_Nobel1992Becker">
        <w:r>
          <w:rPr>
            <w:rStyle w:val="Hyperlink"/>
            <w:smallCaps/>
          </w:rPr>
          <w:t xml:space="preserve">The Nobel Prize</w:t>
        </w:r>
        <w:r>
          <w:rPr>
            <w:rStyle w:val="Hyperlink"/>
          </w:rPr>
          <w:t xml:space="preserve">, 1992</w:t>
        </w:r>
      </w:hyperlink>
      <w:r>
        <w:t xml:space="preserve">)</w:t>
      </w:r>
      <w:r>
        <w:t xml:space="preserve">.</w:t>
      </w:r>
    </w:p>
  </w:footnote>
  <w:footnote w:id="263">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70">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se resumen en el anexo </w:t>
      </w:r>
      <w:hyperlink w:anchor="anexo_thaler">
        <w:r>
          <w:rPr>
            <w:rStyle w:val="Hyperlink"/>
          </w:rPr>
          <w:t xml:space="preserve">G</w:t>
        </w:r>
      </w:hyperlink>
      <w:r>
        <w:t xml:space="preserve">.</w:t>
      </w:r>
    </w:p>
  </w:footnote>
  <w:footnote w:id="27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289">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w:t>
      </w:r>
      <w:hyperlink w:anchor="der_ces">
        <w:r>
          <w:rPr>
            <w:rStyle w:val="Hyperlink"/>
          </w:rPr>
          <w:t xml:space="preserve">B.9</w:t>
        </w:r>
      </w:hyperlink>
      <w:r>
        <w:t xml:space="preserve">.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usaron como función de producción</w:t>
      </w:r>
      <w:r>
        <w:t xml:space="preserve"> </w:t>
      </w:r>
      <w:hyperlink r:id="rId272">
        <w:r>
          <w:rPr>
            <w:rStyle w:val="Referenciaatema"/>
          </w:rPr>
          <w:t xml:space="preserve">[ver tema 3.A.11]</w:t>
        </w:r>
      </w:hyperlink>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Años después fue senador por Illinois, de 1949 a 1967.</w:t>
      </w:r>
    </w:p>
  </w:footnote>
  <w:footnote w:id="29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9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97">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300">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301">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305">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hyperlink r:id="rId26">
        <w:r>
          <w:rPr>
            <w:rStyle w:val="Referenciaatema"/>
          </w:rPr>
          <w:t xml:space="preserve">[ver tema 3.A.10]</w:t>
        </w:r>
      </w:hyperlink>
      <w:r>
        <w:t xml:space="preserve">.</w:t>
      </w:r>
    </w:p>
  </w:footnote>
  <w:footnote w:id="322">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66"/>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66"/>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66"/>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09" Target="media/rId309.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254" Target="media/rId254.png" /><Relationship Type="http://schemas.openxmlformats.org/officeDocument/2006/relationships/image" Id="rId327" Target="media/rId327.png" /><Relationship Type="http://schemas.openxmlformats.org/officeDocument/2006/relationships/image" Id="rId274" Target="media/rId274.png" /><Relationship Type="http://schemas.openxmlformats.org/officeDocument/2006/relationships/image" Id="rId171" Target="media/rId171.png" /><Relationship Type="http://schemas.openxmlformats.org/officeDocument/2006/relationships/image" Id="rId230" Target="media/rId230.png" /><Relationship Type="http://schemas.openxmlformats.org/officeDocument/2006/relationships/image" Id="rId43" Target="media/rId43.png" /><Relationship Type="http://schemas.openxmlformats.org/officeDocument/2006/relationships/image" Id="rId92" Target="media/rId92.png" /><Relationship Type="http://schemas.openxmlformats.org/officeDocument/2006/relationships/image" Id="rId156" Target="media/rId156.png" /><Relationship Type="http://schemas.openxmlformats.org/officeDocument/2006/relationships/image" Id="rId125" Target="media/rId125.png" /><Relationship Type="http://schemas.openxmlformats.org/officeDocument/2006/relationships/image" Id="rId78" Target="media/rId78.png" /><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2026-10-20T20:44:10Z</dcterms:created>
  <dcterms:modified xsi:type="dcterms:W3CDTF">2026-10-20T20:44:10Z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3A08</vt:lpwstr>
  </property>
  <property fmtid="{D5CDD505-2E9C-101B-9397-08002B2CF9AE}" pid="6" name="bibliography">
    <vt:lpwstr>C:\Users\vgutierrez\Documents\src\victorgutierrezmarcos.github.io-revision\oposicion\temario\fuentes\3A08\3A08.bib</vt:lpwstr>
  </property>
  <property fmtid="{D5CDD505-2E9C-101B-9397-08002B2CF9AE}" pid="7" name="carpeta">
    <vt:lpwstr>tercer-ejercicio</vt:lpwstr>
  </property>
  <property fmtid="{D5CDD505-2E9C-101B-9397-08002B2CF9AE}" pid="8" name="codigo">
    <vt:lpwstr>3.A.8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C:\Users\vgutierrez\Documents\src\victorgutierrezmarcos.github.io-revision\oposicion\temario\fuentes\3A08\graficos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44 págs. · Anexos: 16 · Bibliografía: 6</vt:lpwstr>
  </property>
  <property fmtid="{D5CDD505-2E9C-101B-9397-08002B2CF9AE}" pid="19"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20" name="reference-section-title">
    <vt:lpwstr>Bibliografía</vt:lpwstr>
  </property>
  <property fmtid="{D5CDD505-2E9C-101B-9397-08002B2CF9AE}" pid="21" name="resumen">
    <vt:lpwstr>Axiomas de preferencias, función de utilidad, demanda marshalliana, ecuación de Slutsky, curvas de Engel, preferencia revelada y precios hedónicos.</vt:lpwstr>
  </property>
  <property fmtid="{D5CDD505-2E9C-101B-9397-08002B2CF9AE}" pid="22" name="titulo">
    <vt:lpwstr>Teoría de la demanda del consumidor (I). Axiomas sobre las preferencias, función de utilidad y función de demanda marshalliana. La teoría de la preferencia revelada. Precios hedónicos.</vt:lpwstr>
  </property>
  <property fmtid="{D5CDD505-2E9C-101B-9397-08002B2CF9AE}" pid="23" name="titulo-cita">
    <vt:lpwstr>Teoría de la demanda del consumidor (I). Axiomas sobre las preferencias, función de utilidad y función de demanda marshalliana. La teoría de la preferencia revelada. Precios hedónicos</vt:lpwstr>
  </property>
  <property fmtid="{D5CDD505-2E9C-101B-9397-08002B2CF9AE}" pid="24" name="titulo-seo">
    <vt:lpwstr>Teoría del consumidor: preferencias y demanda</vt:lpwstr>
  </property>
</Properties>
</file>