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2987F5" w14:textId="77777777" w:rsidR="00207BB8" w:rsidRPr="005F14E0" w:rsidRDefault="00000000">
      <w:pPr>
        <w:spacing w:after="120"/>
        <w:rPr>
          <w:sz w:val="16"/>
          <w:szCs w:val="21"/>
        </w:rPr>
      </w:pPr>
      <w:r w:rsidRPr="005F14E0">
        <w:rPr>
          <w:b/>
          <w:sz w:val="22"/>
          <w:szCs w:val="21"/>
        </w:rPr>
        <w:t>Table of Contents</w:t>
      </w:r>
    </w:p>
    <w:p w14:paraId="63B3536E" w14:textId="10FFED9F" w:rsidR="005F14E0" w:rsidRDefault="00000000">
      <w:pPr>
        <w:pStyle w:val="TOC1"/>
        <w:tabs>
          <w:tab w:val="right" w:leader="dot" w:pos="8630"/>
        </w:tabs>
        <w:rPr>
          <w:rFonts w:asciiTheme="minorHAnsi" w:hAnsiTheme="minorHAnsi"/>
          <w:noProof/>
          <w:kern w:val="2"/>
          <w:sz w:val="24"/>
          <w:szCs w:val="24"/>
          <w14:ligatures w14:val="standardContextual"/>
        </w:rPr>
      </w:pPr>
      <w:r w:rsidRPr="005F14E0">
        <w:rPr>
          <w:sz w:val="16"/>
          <w:szCs w:val="21"/>
        </w:rPr>
        <w:fldChar w:fldCharType="begin"/>
      </w:r>
      <w:r w:rsidRPr="005F14E0">
        <w:rPr>
          <w:sz w:val="16"/>
          <w:szCs w:val="21"/>
        </w:rPr>
        <w:instrText xml:space="preserve"> TOC \o "1-3" \h \z \u </w:instrText>
      </w:r>
      <w:r w:rsidRPr="005F14E0">
        <w:rPr>
          <w:sz w:val="16"/>
          <w:szCs w:val="21"/>
        </w:rPr>
        <w:fldChar w:fldCharType="separate"/>
      </w:r>
      <w:hyperlink w:anchor="_Toc233563358" w:history="1">
        <w:r w:rsidR="005F14E0" w:rsidRPr="005C225A">
          <w:rPr>
            <w:rStyle w:val="Hyperlink"/>
            <w:noProof/>
          </w:rPr>
          <w:t>Hershey’s NPI + Agents — Talking Points</w:t>
        </w:r>
        <w:r w:rsidR="005F14E0">
          <w:rPr>
            <w:noProof/>
            <w:webHidden/>
          </w:rPr>
          <w:tab/>
        </w:r>
        <w:r w:rsidR="005F14E0">
          <w:rPr>
            <w:noProof/>
            <w:webHidden/>
          </w:rPr>
          <w:fldChar w:fldCharType="begin"/>
        </w:r>
        <w:r w:rsidR="005F14E0">
          <w:rPr>
            <w:noProof/>
            <w:webHidden/>
          </w:rPr>
          <w:instrText xml:space="preserve"> PAGEREF _Toc233563358 \h </w:instrText>
        </w:r>
        <w:r w:rsidR="005F14E0">
          <w:rPr>
            <w:noProof/>
            <w:webHidden/>
          </w:rPr>
        </w:r>
        <w:r w:rsidR="005F14E0">
          <w:rPr>
            <w:noProof/>
            <w:webHidden/>
          </w:rPr>
          <w:fldChar w:fldCharType="separate"/>
        </w:r>
        <w:r w:rsidR="005F14E0">
          <w:rPr>
            <w:noProof/>
            <w:webHidden/>
          </w:rPr>
          <w:t>2</w:t>
        </w:r>
        <w:r w:rsidR="005F14E0">
          <w:rPr>
            <w:noProof/>
            <w:webHidden/>
          </w:rPr>
          <w:fldChar w:fldCharType="end"/>
        </w:r>
      </w:hyperlink>
    </w:p>
    <w:p w14:paraId="71948B09" w14:textId="04F26BEF" w:rsidR="005F14E0" w:rsidRDefault="005F14E0">
      <w:pPr>
        <w:pStyle w:val="TOC2"/>
        <w:tabs>
          <w:tab w:val="right" w:leader="dot" w:pos="8630"/>
        </w:tabs>
        <w:rPr>
          <w:rFonts w:asciiTheme="minorHAnsi" w:hAnsiTheme="minorHAnsi"/>
          <w:noProof/>
          <w:kern w:val="2"/>
          <w:sz w:val="24"/>
          <w:szCs w:val="24"/>
          <w14:ligatures w14:val="standardContextual"/>
        </w:rPr>
      </w:pPr>
      <w:hyperlink w:anchor="_Toc233563359" w:history="1">
        <w:r w:rsidRPr="005C225A">
          <w:rPr>
            <w:rStyle w:val="Hyperlink"/>
            <w:noProof/>
          </w:rPr>
          <w:t>The Opening — Set the Frame</w:t>
        </w:r>
        <w:r>
          <w:rPr>
            <w:noProof/>
            <w:webHidden/>
          </w:rPr>
          <w:tab/>
        </w:r>
        <w:r>
          <w:rPr>
            <w:noProof/>
            <w:webHidden/>
          </w:rPr>
          <w:fldChar w:fldCharType="begin"/>
        </w:r>
        <w:r>
          <w:rPr>
            <w:noProof/>
            <w:webHidden/>
          </w:rPr>
          <w:instrText xml:space="preserve"> PAGEREF _Toc233563359 \h </w:instrText>
        </w:r>
        <w:r>
          <w:rPr>
            <w:noProof/>
            <w:webHidden/>
          </w:rPr>
        </w:r>
        <w:r>
          <w:rPr>
            <w:noProof/>
            <w:webHidden/>
          </w:rPr>
          <w:fldChar w:fldCharType="separate"/>
        </w:r>
        <w:r>
          <w:rPr>
            <w:noProof/>
            <w:webHidden/>
          </w:rPr>
          <w:t>2</w:t>
        </w:r>
        <w:r>
          <w:rPr>
            <w:noProof/>
            <w:webHidden/>
          </w:rPr>
          <w:fldChar w:fldCharType="end"/>
        </w:r>
      </w:hyperlink>
    </w:p>
    <w:p w14:paraId="6AA6BD92" w14:textId="60B3867C" w:rsidR="005F14E0" w:rsidRDefault="005F14E0">
      <w:pPr>
        <w:pStyle w:val="TOC2"/>
        <w:tabs>
          <w:tab w:val="right" w:leader="dot" w:pos="8630"/>
        </w:tabs>
        <w:rPr>
          <w:rFonts w:asciiTheme="minorHAnsi" w:hAnsiTheme="minorHAnsi"/>
          <w:noProof/>
          <w:kern w:val="2"/>
          <w:sz w:val="24"/>
          <w:szCs w:val="24"/>
          <w14:ligatures w14:val="standardContextual"/>
        </w:rPr>
      </w:pPr>
      <w:hyperlink w:anchor="_Toc233563360" w:history="1">
        <w:r w:rsidRPr="005C225A">
          <w:rPr>
            <w:rStyle w:val="Hyperlink"/>
            <w:noProof/>
          </w:rPr>
          <w:t>The Process Today — Three Things That Are True</w:t>
        </w:r>
        <w:r>
          <w:rPr>
            <w:noProof/>
            <w:webHidden/>
          </w:rPr>
          <w:tab/>
        </w:r>
        <w:r>
          <w:rPr>
            <w:noProof/>
            <w:webHidden/>
          </w:rPr>
          <w:fldChar w:fldCharType="begin"/>
        </w:r>
        <w:r>
          <w:rPr>
            <w:noProof/>
            <w:webHidden/>
          </w:rPr>
          <w:instrText xml:space="preserve"> PAGEREF _Toc233563360 \h </w:instrText>
        </w:r>
        <w:r>
          <w:rPr>
            <w:noProof/>
            <w:webHidden/>
          </w:rPr>
        </w:r>
        <w:r>
          <w:rPr>
            <w:noProof/>
            <w:webHidden/>
          </w:rPr>
          <w:fldChar w:fldCharType="separate"/>
        </w:r>
        <w:r>
          <w:rPr>
            <w:noProof/>
            <w:webHidden/>
          </w:rPr>
          <w:t>2</w:t>
        </w:r>
        <w:r>
          <w:rPr>
            <w:noProof/>
            <w:webHidden/>
          </w:rPr>
          <w:fldChar w:fldCharType="end"/>
        </w:r>
      </w:hyperlink>
    </w:p>
    <w:p w14:paraId="19C37A0F" w14:textId="15EEC72B" w:rsidR="005F14E0" w:rsidRDefault="005F14E0">
      <w:pPr>
        <w:pStyle w:val="TOC2"/>
        <w:tabs>
          <w:tab w:val="right" w:leader="dot" w:pos="8630"/>
        </w:tabs>
        <w:rPr>
          <w:rFonts w:asciiTheme="minorHAnsi" w:hAnsiTheme="minorHAnsi"/>
          <w:noProof/>
          <w:kern w:val="2"/>
          <w:sz w:val="24"/>
          <w:szCs w:val="24"/>
          <w14:ligatures w14:val="standardContextual"/>
        </w:rPr>
      </w:pPr>
      <w:hyperlink w:anchor="_Toc233563361" w:history="1">
        <w:r w:rsidRPr="005C225A">
          <w:rPr>
            <w:rStyle w:val="Hyperlink"/>
            <w:noProof/>
          </w:rPr>
          <w:t>The Agents</w:t>
        </w:r>
        <w:r>
          <w:rPr>
            <w:noProof/>
            <w:webHidden/>
          </w:rPr>
          <w:tab/>
        </w:r>
        <w:r>
          <w:rPr>
            <w:noProof/>
            <w:webHidden/>
          </w:rPr>
          <w:fldChar w:fldCharType="begin"/>
        </w:r>
        <w:r>
          <w:rPr>
            <w:noProof/>
            <w:webHidden/>
          </w:rPr>
          <w:instrText xml:space="preserve"> PAGEREF _Toc233563361 \h </w:instrText>
        </w:r>
        <w:r>
          <w:rPr>
            <w:noProof/>
            <w:webHidden/>
          </w:rPr>
        </w:r>
        <w:r>
          <w:rPr>
            <w:noProof/>
            <w:webHidden/>
          </w:rPr>
          <w:fldChar w:fldCharType="separate"/>
        </w:r>
        <w:r>
          <w:rPr>
            <w:noProof/>
            <w:webHidden/>
          </w:rPr>
          <w:t>2</w:t>
        </w:r>
        <w:r>
          <w:rPr>
            <w:noProof/>
            <w:webHidden/>
          </w:rPr>
          <w:fldChar w:fldCharType="end"/>
        </w:r>
      </w:hyperlink>
    </w:p>
    <w:p w14:paraId="7B2E5A20" w14:textId="42EE007F" w:rsidR="005F14E0" w:rsidRDefault="005F14E0">
      <w:pPr>
        <w:pStyle w:val="TOC2"/>
        <w:tabs>
          <w:tab w:val="right" w:leader="dot" w:pos="8630"/>
        </w:tabs>
        <w:rPr>
          <w:rFonts w:asciiTheme="minorHAnsi" w:hAnsiTheme="minorHAnsi"/>
          <w:noProof/>
          <w:kern w:val="2"/>
          <w:sz w:val="24"/>
          <w:szCs w:val="24"/>
          <w14:ligatures w14:val="standardContextual"/>
        </w:rPr>
      </w:pPr>
      <w:hyperlink w:anchor="_Toc233563362" w:history="1">
        <w:r w:rsidRPr="005C225A">
          <w:rPr>
            <w:rStyle w:val="Hyperlink"/>
            <w:noProof/>
          </w:rPr>
          <w:t>DEMO Click-Guidance Step One (Differentiator) : The Orchestration Layer</w:t>
        </w:r>
        <w:r>
          <w:rPr>
            <w:noProof/>
            <w:webHidden/>
          </w:rPr>
          <w:tab/>
        </w:r>
        <w:r>
          <w:rPr>
            <w:noProof/>
            <w:webHidden/>
          </w:rPr>
          <w:fldChar w:fldCharType="begin"/>
        </w:r>
        <w:r>
          <w:rPr>
            <w:noProof/>
            <w:webHidden/>
          </w:rPr>
          <w:instrText xml:space="preserve"> PAGEREF _Toc233563362 \h </w:instrText>
        </w:r>
        <w:r>
          <w:rPr>
            <w:noProof/>
            <w:webHidden/>
          </w:rPr>
        </w:r>
        <w:r>
          <w:rPr>
            <w:noProof/>
            <w:webHidden/>
          </w:rPr>
          <w:fldChar w:fldCharType="separate"/>
        </w:r>
        <w:r>
          <w:rPr>
            <w:noProof/>
            <w:webHidden/>
          </w:rPr>
          <w:t>3</w:t>
        </w:r>
        <w:r>
          <w:rPr>
            <w:noProof/>
            <w:webHidden/>
          </w:rPr>
          <w:fldChar w:fldCharType="end"/>
        </w:r>
      </w:hyperlink>
    </w:p>
    <w:p w14:paraId="3C44852C" w14:textId="72BD947E" w:rsidR="005F14E0" w:rsidRDefault="005F14E0">
      <w:pPr>
        <w:pStyle w:val="TOC2"/>
        <w:tabs>
          <w:tab w:val="right" w:leader="dot" w:pos="8630"/>
        </w:tabs>
        <w:rPr>
          <w:rFonts w:asciiTheme="minorHAnsi" w:hAnsiTheme="minorHAnsi"/>
          <w:noProof/>
          <w:kern w:val="2"/>
          <w:sz w:val="24"/>
          <w:szCs w:val="24"/>
          <w14:ligatures w14:val="standardContextual"/>
        </w:rPr>
      </w:pPr>
      <w:hyperlink w:anchor="_Toc233563363" w:history="1">
        <w:r w:rsidRPr="005C225A">
          <w:rPr>
            <w:rStyle w:val="Hyperlink"/>
            <w:noProof/>
          </w:rPr>
          <w:t>What an Agent Actually Is — Two Moments</w:t>
        </w:r>
        <w:r>
          <w:rPr>
            <w:noProof/>
            <w:webHidden/>
          </w:rPr>
          <w:tab/>
        </w:r>
        <w:r>
          <w:rPr>
            <w:noProof/>
            <w:webHidden/>
          </w:rPr>
          <w:fldChar w:fldCharType="begin"/>
        </w:r>
        <w:r>
          <w:rPr>
            <w:noProof/>
            <w:webHidden/>
          </w:rPr>
          <w:instrText xml:space="preserve"> PAGEREF _Toc233563363 \h </w:instrText>
        </w:r>
        <w:r>
          <w:rPr>
            <w:noProof/>
            <w:webHidden/>
          </w:rPr>
        </w:r>
        <w:r>
          <w:rPr>
            <w:noProof/>
            <w:webHidden/>
          </w:rPr>
          <w:fldChar w:fldCharType="separate"/>
        </w:r>
        <w:r>
          <w:rPr>
            <w:noProof/>
            <w:webHidden/>
          </w:rPr>
          <w:t>3</w:t>
        </w:r>
        <w:r>
          <w:rPr>
            <w:noProof/>
            <w:webHidden/>
          </w:rPr>
          <w:fldChar w:fldCharType="end"/>
        </w:r>
      </w:hyperlink>
    </w:p>
    <w:p w14:paraId="2BB5B317" w14:textId="271F9E0A" w:rsidR="005F14E0" w:rsidRDefault="005F14E0">
      <w:pPr>
        <w:pStyle w:val="TOC2"/>
        <w:tabs>
          <w:tab w:val="right" w:leader="dot" w:pos="8630"/>
        </w:tabs>
        <w:rPr>
          <w:rFonts w:asciiTheme="minorHAnsi" w:hAnsiTheme="minorHAnsi"/>
          <w:noProof/>
          <w:kern w:val="2"/>
          <w:sz w:val="24"/>
          <w:szCs w:val="24"/>
          <w14:ligatures w14:val="standardContextual"/>
        </w:rPr>
      </w:pPr>
      <w:hyperlink w:anchor="_Toc233563364" w:history="1">
        <w:r w:rsidRPr="005C225A">
          <w:rPr>
            <w:rStyle w:val="Hyperlink"/>
            <w:noProof/>
          </w:rPr>
          <w:t>The People Story — Say It Plainly</w:t>
        </w:r>
        <w:r>
          <w:rPr>
            <w:noProof/>
            <w:webHidden/>
          </w:rPr>
          <w:tab/>
        </w:r>
        <w:r>
          <w:rPr>
            <w:noProof/>
            <w:webHidden/>
          </w:rPr>
          <w:fldChar w:fldCharType="begin"/>
        </w:r>
        <w:r>
          <w:rPr>
            <w:noProof/>
            <w:webHidden/>
          </w:rPr>
          <w:instrText xml:space="preserve"> PAGEREF _Toc233563364 \h </w:instrText>
        </w:r>
        <w:r>
          <w:rPr>
            <w:noProof/>
            <w:webHidden/>
          </w:rPr>
        </w:r>
        <w:r>
          <w:rPr>
            <w:noProof/>
            <w:webHidden/>
          </w:rPr>
          <w:fldChar w:fldCharType="separate"/>
        </w:r>
        <w:r>
          <w:rPr>
            <w:noProof/>
            <w:webHidden/>
          </w:rPr>
          <w:t>3</w:t>
        </w:r>
        <w:r>
          <w:rPr>
            <w:noProof/>
            <w:webHidden/>
          </w:rPr>
          <w:fldChar w:fldCharType="end"/>
        </w:r>
      </w:hyperlink>
    </w:p>
    <w:p w14:paraId="4251A895" w14:textId="74A4457B" w:rsidR="00207BB8" w:rsidRPr="005F14E0" w:rsidRDefault="00000000">
      <w:pPr>
        <w:spacing w:after="120"/>
        <w:rPr>
          <w:sz w:val="16"/>
          <w:szCs w:val="21"/>
        </w:rPr>
      </w:pPr>
      <w:r w:rsidRPr="005F14E0">
        <w:rPr>
          <w:sz w:val="16"/>
          <w:szCs w:val="21"/>
        </w:rPr>
        <w:fldChar w:fldCharType="end"/>
      </w:r>
    </w:p>
    <w:p w14:paraId="51BD2928" w14:textId="77777777" w:rsidR="00207BB8" w:rsidRPr="005F14E0" w:rsidRDefault="00000000">
      <w:pPr>
        <w:spacing w:after="0"/>
        <w:rPr>
          <w:sz w:val="16"/>
          <w:szCs w:val="21"/>
        </w:rPr>
      </w:pPr>
      <w:r w:rsidRPr="005F14E0">
        <w:rPr>
          <w:sz w:val="16"/>
          <w:szCs w:val="21"/>
        </w:rPr>
        <w:br w:type="page"/>
      </w:r>
    </w:p>
    <w:p w14:paraId="60E0B2E1" w14:textId="77777777" w:rsidR="00207BB8" w:rsidRPr="005F14E0" w:rsidRDefault="00000000">
      <w:pPr>
        <w:pStyle w:val="Heading1"/>
        <w:spacing w:before="360"/>
        <w:rPr>
          <w:sz w:val="24"/>
          <w:szCs w:val="24"/>
        </w:rPr>
      </w:pPr>
      <w:bookmarkStart w:id="0" w:name="_Toc233563358"/>
      <w:r w:rsidRPr="005F14E0">
        <w:rPr>
          <w:sz w:val="24"/>
          <w:szCs w:val="24"/>
        </w:rPr>
        <w:lastRenderedPageBreak/>
        <w:t>Hershey’s NPI + Agents — Talking Points</w:t>
      </w:r>
      <w:bookmarkEnd w:id="0"/>
    </w:p>
    <w:p w14:paraId="273B494B" w14:textId="77777777" w:rsidR="00207BB8" w:rsidRPr="005F14E0" w:rsidRDefault="00000000">
      <w:pPr>
        <w:spacing w:after="120"/>
        <w:rPr>
          <w:sz w:val="16"/>
          <w:szCs w:val="21"/>
        </w:rPr>
      </w:pPr>
      <w:r w:rsidRPr="005F14E0">
        <w:rPr>
          <w:b/>
          <w:sz w:val="16"/>
          <w:szCs w:val="21"/>
        </w:rPr>
        <w:t>Accenture Confidential · MD to Senior Executive</w:t>
      </w:r>
    </w:p>
    <w:p w14:paraId="0A144A12" w14:textId="77777777" w:rsidR="00207BB8" w:rsidRPr="005F14E0" w:rsidRDefault="00000000">
      <w:pPr>
        <w:pStyle w:val="Heading2"/>
        <w:spacing w:before="240"/>
        <w:rPr>
          <w:sz w:val="21"/>
          <w:szCs w:val="24"/>
        </w:rPr>
      </w:pPr>
      <w:bookmarkStart w:id="1" w:name="_Toc233563359"/>
      <w:r w:rsidRPr="005F14E0">
        <w:rPr>
          <w:sz w:val="21"/>
          <w:szCs w:val="24"/>
        </w:rPr>
        <w:t>The Opening — Set the Frame</w:t>
      </w:r>
      <w:bookmarkEnd w:id="1"/>
    </w:p>
    <w:p w14:paraId="476A5A99" w14:textId="37821149" w:rsidR="00207BB8" w:rsidRPr="005F14E0" w:rsidRDefault="00000000">
      <w:pPr>
        <w:pStyle w:val="ListBullet"/>
        <w:spacing w:after="120"/>
        <w:rPr>
          <w:sz w:val="16"/>
          <w:szCs w:val="21"/>
        </w:rPr>
      </w:pPr>
      <w:r w:rsidRPr="005F14E0">
        <w:rPr>
          <w:sz w:val="16"/>
          <w:szCs w:val="21"/>
        </w:rPr>
        <w:t xml:space="preserve">Hershey runs Kinaxis, SAP S/4HANA, and Aera. The question is whether </w:t>
      </w:r>
      <w:r w:rsidR="002619D5" w:rsidRPr="005F14E0">
        <w:rPr>
          <w:sz w:val="16"/>
          <w:szCs w:val="21"/>
        </w:rPr>
        <w:t>these systems</w:t>
      </w:r>
      <w:r w:rsidRPr="005F14E0">
        <w:rPr>
          <w:sz w:val="16"/>
          <w:szCs w:val="21"/>
        </w:rPr>
        <w:t xml:space="preserve"> connected enough to launch a new product the way a modern consumer goods company </w:t>
      </w:r>
      <w:r w:rsidR="002619D5" w:rsidRPr="005F14E0">
        <w:rPr>
          <w:sz w:val="16"/>
          <w:szCs w:val="21"/>
        </w:rPr>
        <w:t>must</w:t>
      </w:r>
      <w:r w:rsidRPr="005F14E0">
        <w:rPr>
          <w:sz w:val="16"/>
          <w:szCs w:val="21"/>
        </w:rPr>
        <w:t>.</w:t>
      </w:r>
    </w:p>
    <w:p w14:paraId="5622730D" w14:textId="77777777" w:rsidR="00207BB8" w:rsidRPr="005F14E0" w:rsidRDefault="00000000">
      <w:pPr>
        <w:pStyle w:val="ListBullet"/>
        <w:spacing w:after="120"/>
        <w:rPr>
          <w:sz w:val="16"/>
          <w:szCs w:val="21"/>
        </w:rPr>
      </w:pPr>
      <w:r w:rsidRPr="005F14E0">
        <w:rPr>
          <w:sz w:val="16"/>
          <w:szCs w:val="21"/>
        </w:rPr>
        <w:t>NPI is the one process these systems were never designed to handle together. Kinaxis was built for existing SKUs. SAP executes against Kinaxis. Aera has three live optimization skills in production. But when a new product enters the picture, the coordination that ties all of that together happens in email.</w:t>
      </w:r>
    </w:p>
    <w:p w14:paraId="7F635979" w14:textId="77777777" w:rsidR="00207BB8" w:rsidRPr="005F14E0" w:rsidRDefault="00000000">
      <w:pPr>
        <w:pStyle w:val="Heading2"/>
        <w:spacing w:before="240"/>
        <w:rPr>
          <w:sz w:val="21"/>
          <w:szCs w:val="24"/>
        </w:rPr>
      </w:pPr>
      <w:bookmarkStart w:id="2" w:name="_Toc233563360"/>
      <w:r w:rsidRPr="005F14E0">
        <w:rPr>
          <w:sz w:val="21"/>
          <w:szCs w:val="24"/>
        </w:rPr>
        <w:t>The Process Today — Three Things That Are True</w:t>
      </w:r>
      <w:bookmarkEnd w:id="2"/>
    </w:p>
    <w:p w14:paraId="216C7881" w14:textId="77777777" w:rsidR="00207BB8" w:rsidRPr="005F14E0" w:rsidRDefault="00000000">
      <w:pPr>
        <w:pStyle w:val="ListBullet"/>
        <w:spacing w:after="120"/>
        <w:rPr>
          <w:sz w:val="16"/>
          <w:szCs w:val="21"/>
        </w:rPr>
      </w:pPr>
      <w:r w:rsidRPr="005F14E0">
        <w:rPr>
          <w:sz w:val="16"/>
          <w:szCs w:val="21"/>
        </w:rPr>
        <w:t>Eight steps. Five teams. Dozens of handoffs. Brand, supply planning, logistics, customer service, and S&amp;OP each own a piece — and none of them have a shared view of where the plan stands.</w:t>
      </w:r>
    </w:p>
    <w:p w14:paraId="5957B5C4" w14:textId="60C82E38" w:rsidR="00207BB8" w:rsidRPr="005F14E0" w:rsidRDefault="00000000">
      <w:pPr>
        <w:pStyle w:val="ListBullet"/>
        <w:spacing w:after="120"/>
        <w:rPr>
          <w:sz w:val="16"/>
          <w:szCs w:val="21"/>
        </w:rPr>
      </w:pPr>
      <w:r w:rsidRPr="005F14E0">
        <w:rPr>
          <w:sz w:val="16"/>
          <w:szCs w:val="21"/>
        </w:rPr>
        <w:t xml:space="preserve">The problem isn’t </w:t>
      </w:r>
      <w:r w:rsidR="002619D5" w:rsidRPr="005F14E0">
        <w:rPr>
          <w:sz w:val="16"/>
          <w:szCs w:val="21"/>
        </w:rPr>
        <w:t>a better pipeline</w:t>
      </w:r>
      <w:r w:rsidRPr="005F14E0">
        <w:rPr>
          <w:sz w:val="16"/>
          <w:szCs w:val="21"/>
        </w:rPr>
        <w:t xml:space="preserve">. </w:t>
      </w:r>
      <w:r w:rsidRPr="005F14E0">
        <w:rPr>
          <w:b/>
          <w:bCs/>
          <w:i/>
          <w:iCs/>
          <w:sz w:val="16"/>
          <w:szCs w:val="21"/>
        </w:rPr>
        <w:t>It’s judgment</w:t>
      </w:r>
      <w:r w:rsidRPr="005F14E0">
        <w:rPr>
          <w:sz w:val="16"/>
          <w:szCs w:val="21"/>
        </w:rPr>
        <w:t>. Every step needs someone to pull numbers, reconcile them across systems, make a call, and pass it forward. NPI cycles are getting shorter. The people and time to do that aren’t growing with them.</w:t>
      </w:r>
    </w:p>
    <w:p w14:paraId="14E5164B" w14:textId="0C6511B5" w:rsidR="00207BB8" w:rsidRPr="005F14E0" w:rsidRDefault="00000000">
      <w:pPr>
        <w:pStyle w:val="ListBullet"/>
        <w:spacing w:after="120"/>
        <w:rPr>
          <w:sz w:val="16"/>
          <w:szCs w:val="21"/>
        </w:rPr>
      </w:pPr>
      <w:r w:rsidRPr="005F14E0">
        <w:rPr>
          <w:sz w:val="16"/>
          <w:szCs w:val="21"/>
        </w:rPr>
        <w:t xml:space="preserve">Right now: </w:t>
      </w:r>
      <w:r w:rsidR="002619D5" w:rsidRPr="005F14E0">
        <w:rPr>
          <w:sz w:val="16"/>
          <w:szCs w:val="21"/>
        </w:rPr>
        <w:t xml:space="preserve">in most cases we’ve seen, </w:t>
      </w:r>
      <w:r w:rsidRPr="005F14E0">
        <w:rPr>
          <w:sz w:val="16"/>
          <w:szCs w:val="21"/>
        </w:rPr>
        <w:t xml:space="preserve">a static 12-week forecast loaded into Kinaxis once and rarely touched. Launch quantities set by planner intuition. DC allocation based on </w:t>
      </w:r>
      <w:r w:rsidR="002619D5" w:rsidRPr="005F14E0">
        <w:rPr>
          <w:sz w:val="16"/>
          <w:szCs w:val="21"/>
        </w:rPr>
        <w:t>historical</w:t>
      </w:r>
      <w:r w:rsidRPr="005F14E0">
        <w:rPr>
          <w:sz w:val="16"/>
          <w:szCs w:val="21"/>
        </w:rPr>
        <w:t xml:space="preserve"> regional patterns</w:t>
      </w:r>
      <w:r w:rsidR="002619D5" w:rsidRPr="005F14E0">
        <w:rPr>
          <w:sz w:val="16"/>
          <w:szCs w:val="21"/>
        </w:rPr>
        <w:t xml:space="preserve"> and customer asks</w:t>
      </w:r>
      <w:r w:rsidRPr="005F14E0">
        <w:rPr>
          <w:sz w:val="16"/>
          <w:szCs w:val="21"/>
        </w:rPr>
        <w:t xml:space="preserve">. </w:t>
      </w:r>
      <w:r w:rsidR="002619D5" w:rsidRPr="005F14E0">
        <w:rPr>
          <w:sz w:val="16"/>
          <w:szCs w:val="21"/>
        </w:rPr>
        <w:t>There can be m</w:t>
      </w:r>
      <w:r w:rsidRPr="005F14E0">
        <w:rPr>
          <w:sz w:val="16"/>
          <w:szCs w:val="21"/>
        </w:rPr>
        <w:t>ore than 25 manual coordination touchpoints before a product ships.</w:t>
      </w:r>
    </w:p>
    <w:p w14:paraId="751DEF4A" w14:textId="6B4DD0C3" w:rsidR="00207BB8" w:rsidRPr="005F14E0" w:rsidRDefault="002619D5">
      <w:pPr>
        <w:pStyle w:val="Heading2"/>
        <w:spacing w:before="240"/>
        <w:rPr>
          <w:sz w:val="21"/>
          <w:szCs w:val="24"/>
        </w:rPr>
      </w:pPr>
      <w:bookmarkStart w:id="3" w:name="_Toc233563361"/>
      <w:r w:rsidRPr="005F14E0">
        <w:rPr>
          <w:sz w:val="21"/>
          <w:szCs w:val="24"/>
        </w:rPr>
        <w:t>The Agents</w:t>
      </w:r>
      <w:bookmarkEnd w:id="3"/>
    </w:p>
    <w:p w14:paraId="1871D243" w14:textId="2420DC2A" w:rsidR="00207BB8" w:rsidRPr="005F14E0" w:rsidRDefault="00000000">
      <w:pPr>
        <w:spacing w:after="120"/>
        <w:rPr>
          <w:sz w:val="16"/>
          <w:szCs w:val="21"/>
        </w:rPr>
      </w:pPr>
      <w:r w:rsidRPr="005F14E0">
        <w:rPr>
          <w:sz w:val="16"/>
          <w:szCs w:val="21"/>
        </w:rPr>
        <w:t>Five reasoning agents sit between the systems Hershey already runs. They don’t replace Kinaxis, SAP, or Aera. They do the judgment work that today requires a meeting</w:t>
      </w:r>
      <w:r w:rsidR="005F14E0" w:rsidRPr="005F14E0">
        <w:rPr>
          <w:sz w:val="16"/>
          <w:szCs w:val="21"/>
        </w:rPr>
        <w:t>. . Each has full click through discussion (see Appendix) and a process flow</w:t>
      </w:r>
    </w:p>
    <w:p w14:paraId="4A34327D" w14:textId="45AF9A74" w:rsidR="005F14E0" w:rsidRPr="005F14E0" w:rsidRDefault="005F14E0">
      <w:pPr>
        <w:spacing w:after="120"/>
        <w:rPr>
          <w:sz w:val="16"/>
          <w:szCs w:val="21"/>
        </w:rPr>
      </w:pPr>
      <w:r w:rsidRPr="005F14E0">
        <w:rPr>
          <w:noProof/>
          <w:sz w:val="16"/>
          <w:szCs w:val="21"/>
        </w:rPr>
        <w:drawing>
          <wp:inline distT="0" distB="0" distL="0" distR="0" wp14:anchorId="7CC523F0" wp14:editId="1F7E1A2C">
            <wp:extent cx="5486400" cy="1328420"/>
            <wp:effectExtent l="0" t="0" r="0" b="5080"/>
            <wp:docPr id="155356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66067" name="Picture 1553566067"/>
                    <pic:cNvPicPr/>
                  </pic:nvPicPr>
                  <pic:blipFill>
                    <a:blip r:embed="rId8"/>
                    <a:stretch>
                      <a:fillRect/>
                    </a:stretch>
                  </pic:blipFill>
                  <pic:spPr>
                    <a:xfrm>
                      <a:off x="0" y="0"/>
                      <a:ext cx="5486400" cy="1328420"/>
                    </a:xfrm>
                    <a:prstGeom prst="rect">
                      <a:avLst/>
                    </a:prstGeom>
                  </pic:spPr>
                </pic:pic>
              </a:graphicData>
            </a:graphic>
          </wp:inline>
        </w:drawing>
      </w:r>
    </w:p>
    <w:p w14:paraId="099F8195" w14:textId="77777777" w:rsidR="005F14E0" w:rsidRPr="005F14E0" w:rsidRDefault="005F14E0">
      <w:pPr>
        <w:spacing w:after="120"/>
        <w:rPr>
          <w:sz w:val="16"/>
          <w:szCs w:val="21"/>
        </w:rPr>
      </w:pPr>
    </w:p>
    <w:p w14:paraId="37E850EC" w14:textId="3CA0C011" w:rsidR="005F14E0" w:rsidRPr="005F14E0" w:rsidRDefault="005F14E0">
      <w:pPr>
        <w:spacing w:after="120"/>
        <w:rPr>
          <w:sz w:val="16"/>
          <w:szCs w:val="21"/>
        </w:rPr>
      </w:pPr>
      <w:r w:rsidRPr="005F14E0">
        <w:rPr>
          <w:noProof/>
          <w:sz w:val="16"/>
          <w:szCs w:val="21"/>
        </w:rPr>
        <w:drawing>
          <wp:inline distT="0" distB="0" distL="0" distR="0" wp14:anchorId="7DF518E6" wp14:editId="06121740">
            <wp:extent cx="3601039" cy="2189382"/>
            <wp:effectExtent l="0" t="0" r="0" b="0"/>
            <wp:docPr id="1410412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12422" name="Picture 1410412422"/>
                    <pic:cNvPicPr/>
                  </pic:nvPicPr>
                  <pic:blipFill>
                    <a:blip r:embed="rId9"/>
                    <a:stretch>
                      <a:fillRect/>
                    </a:stretch>
                  </pic:blipFill>
                  <pic:spPr>
                    <a:xfrm>
                      <a:off x="0" y="0"/>
                      <a:ext cx="3624420" cy="2203597"/>
                    </a:xfrm>
                    <a:prstGeom prst="rect">
                      <a:avLst/>
                    </a:prstGeom>
                  </pic:spPr>
                </pic:pic>
              </a:graphicData>
            </a:graphic>
          </wp:inline>
        </w:drawing>
      </w:r>
    </w:p>
    <w:tbl>
      <w:tblPr>
        <w:tblStyle w:val="LightGrid-Accent1"/>
        <w:tblW w:w="0" w:type="auto"/>
        <w:tblLook w:val="04A0" w:firstRow="1" w:lastRow="0" w:firstColumn="1" w:lastColumn="0" w:noHBand="0" w:noVBand="1"/>
      </w:tblPr>
      <w:tblGrid>
        <w:gridCol w:w="2268"/>
        <w:gridCol w:w="3780"/>
        <w:gridCol w:w="2592"/>
      </w:tblGrid>
      <w:tr w:rsidR="00207BB8" w:rsidRPr="005F14E0" w14:paraId="0FC40D86" w14:textId="77777777" w:rsidTr="002619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19C08DD" w14:textId="77777777" w:rsidR="00207BB8" w:rsidRPr="005F14E0" w:rsidRDefault="00000000">
            <w:pPr>
              <w:rPr>
                <w:sz w:val="16"/>
                <w:szCs w:val="21"/>
              </w:rPr>
            </w:pPr>
            <w:r w:rsidRPr="005F14E0">
              <w:rPr>
                <w:sz w:val="16"/>
                <w:szCs w:val="21"/>
              </w:rPr>
              <w:t>Agent</w:t>
            </w:r>
          </w:p>
        </w:tc>
        <w:tc>
          <w:tcPr>
            <w:tcW w:w="3780" w:type="dxa"/>
          </w:tcPr>
          <w:p w14:paraId="3A0CECCA" w14:textId="77777777" w:rsidR="00207BB8" w:rsidRPr="005F14E0" w:rsidRDefault="00000000">
            <w:pPr>
              <w:cnfStyle w:val="100000000000" w:firstRow="1" w:lastRow="0" w:firstColumn="0" w:lastColumn="0" w:oddVBand="0" w:evenVBand="0" w:oddHBand="0" w:evenHBand="0" w:firstRowFirstColumn="0" w:firstRowLastColumn="0" w:lastRowFirstColumn="0" w:lastRowLastColumn="0"/>
              <w:rPr>
                <w:sz w:val="16"/>
                <w:szCs w:val="21"/>
              </w:rPr>
            </w:pPr>
            <w:r w:rsidRPr="005F14E0">
              <w:rPr>
                <w:sz w:val="16"/>
                <w:szCs w:val="21"/>
              </w:rPr>
              <w:t>Decision it owns</w:t>
            </w:r>
          </w:p>
        </w:tc>
        <w:tc>
          <w:tcPr>
            <w:tcW w:w="2592" w:type="dxa"/>
          </w:tcPr>
          <w:p w14:paraId="1CE4C771" w14:textId="77777777" w:rsidR="00207BB8" w:rsidRPr="005F14E0" w:rsidRDefault="00000000">
            <w:pPr>
              <w:cnfStyle w:val="100000000000" w:firstRow="1" w:lastRow="0" w:firstColumn="0" w:lastColumn="0" w:oddVBand="0" w:evenVBand="0" w:oddHBand="0" w:evenHBand="0" w:firstRowFirstColumn="0" w:firstRowLastColumn="0" w:lastRowFirstColumn="0" w:lastRowLastColumn="0"/>
              <w:rPr>
                <w:sz w:val="16"/>
                <w:szCs w:val="21"/>
              </w:rPr>
            </w:pPr>
            <w:r w:rsidRPr="005F14E0">
              <w:rPr>
                <w:sz w:val="16"/>
                <w:szCs w:val="21"/>
              </w:rPr>
              <w:t>Systems it works with</w:t>
            </w:r>
          </w:p>
        </w:tc>
      </w:tr>
      <w:tr w:rsidR="00207BB8" w:rsidRPr="005F14E0" w14:paraId="7E81C578" w14:textId="77777777" w:rsidTr="0026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F478E7D" w14:textId="77777777" w:rsidR="00207BB8" w:rsidRPr="005F14E0" w:rsidRDefault="00000000">
            <w:pPr>
              <w:rPr>
                <w:sz w:val="16"/>
                <w:szCs w:val="21"/>
              </w:rPr>
            </w:pPr>
            <w:r w:rsidRPr="005F14E0">
              <w:rPr>
                <w:sz w:val="16"/>
                <w:szCs w:val="21"/>
              </w:rPr>
              <w:t>Portfolio Intelligence</w:t>
            </w:r>
          </w:p>
        </w:tc>
        <w:tc>
          <w:tcPr>
            <w:tcW w:w="3780" w:type="dxa"/>
          </w:tcPr>
          <w:p w14:paraId="2732562F" w14:textId="77777777" w:rsidR="00207BB8" w:rsidRPr="005F14E0" w:rsidRDefault="00000000">
            <w:pPr>
              <w:cnfStyle w:val="000000100000" w:firstRow="0" w:lastRow="0" w:firstColumn="0" w:lastColumn="0" w:oddVBand="0" w:evenVBand="0" w:oddHBand="1" w:evenHBand="0" w:firstRowFirstColumn="0" w:firstRowLastColumn="0" w:lastRowFirstColumn="0" w:lastRowLastColumn="0"/>
              <w:rPr>
                <w:sz w:val="16"/>
                <w:szCs w:val="21"/>
              </w:rPr>
            </w:pPr>
            <w:r w:rsidRPr="005F14E0">
              <w:rPr>
                <w:sz w:val="16"/>
                <w:szCs w:val="21"/>
              </w:rPr>
              <w:t>Which SKUs advance, in what channel sequence</w:t>
            </w:r>
          </w:p>
        </w:tc>
        <w:tc>
          <w:tcPr>
            <w:tcW w:w="2592" w:type="dxa"/>
          </w:tcPr>
          <w:p w14:paraId="51211DD1" w14:textId="77777777" w:rsidR="00207BB8" w:rsidRPr="005F14E0" w:rsidRDefault="00000000">
            <w:pPr>
              <w:cnfStyle w:val="000000100000" w:firstRow="0" w:lastRow="0" w:firstColumn="0" w:lastColumn="0" w:oddVBand="0" w:evenVBand="0" w:oddHBand="1" w:evenHBand="0" w:firstRowFirstColumn="0" w:firstRowLastColumn="0" w:lastRowFirstColumn="0" w:lastRowLastColumn="0"/>
              <w:rPr>
                <w:sz w:val="16"/>
                <w:szCs w:val="21"/>
              </w:rPr>
            </w:pPr>
            <w:r w:rsidRPr="005F14E0">
              <w:rPr>
                <w:sz w:val="16"/>
                <w:szCs w:val="21"/>
              </w:rPr>
              <w:t>NPI SaaS tool · Snowflake · SAP</w:t>
            </w:r>
          </w:p>
        </w:tc>
      </w:tr>
      <w:tr w:rsidR="00207BB8" w:rsidRPr="005F14E0" w14:paraId="26D5C3E4" w14:textId="77777777" w:rsidTr="002619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3819809" w14:textId="77777777" w:rsidR="00207BB8" w:rsidRPr="005F14E0" w:rsidRDefault="00000000">
            <w:pPr>
              <w:rPr>
                <w:sz w:val="16"/>
                <w:szCs w:val="21"/>
              </w:rPr>
            </w:pPr>
            <w:r w:rsidRPr="005F14E0">
              <w:rPr>
                <w:sz w:val="16"/>
                <w:szCs w:val="21"/>
              </w:rPr>
              <w:t>Demand Intelligence</w:t>
            </w:r>
          </w:p>
        </w:tc>
        <w:tc>
          <w:tcPr>
            <w:tcW w:w="3780" w:type="dxa"/>
          </w:tcPr>
          <w:p w14:paraId="2DB26C75" w14:textId="77777777" w:rsidR="00207BB8" w:rsidRPr="005F14E0" w:rsidRDefault="00000000">
            <w:pPr>
              <w:cnfStyle w:val="000000010000" w:firstRow="0" w:lastRow="0" w:firstColumn="0" w:lastColumn="0" w:oddVBand="0" w:evenVBand="0" w:oddHBand="0" w:evenHBand="1" w:firstRowFirstColumn="0" w:firstRowLastColumn="0" w:lastRowFirstColumn="0" w:lastRowLastColumn="0"/>
              <w:rPr>
                <w:sz w:val="16"/>
                <w:szCs w:val="21"/>
              </w:rPr>
            </w:pPr>
            <w:r w:rsidRPr="005F14E0">
              <w:rPr>
                <w:sz w:val="16"/>
                <w:szCs w:val="21"/>
              </w:rPr>
              <w:t>What the demand curve is, and when it needs to change</w:t>
            </w:r>
          </w:p>
        </w:tc>
        <w:tc>
          <w:tcPr>
            <w:tcW w:w="2592" w:type="dxa"/>
          </w:tcPr>
          <w:p w14:paraId="30F7A084" w14:textId="77777777" w:rsidR="00207BB8" w:rsidRPr="005F14E0" w:rsidRDefault="00000000">
            <w:pPr>
              <w:cnfStyle w:val="000000010000" w:firstRow="0" w:lastRow="0" w:firstColumn="0" w:lastColumn="0" w:oddVBand="0" w:evenVBand="0" w:oddHBand="0" w:evenHBand="1" w:firstRowFirstColumn="0" w:firstRowLastColumn="0" w:lastRowFirstColumn="0" w:lastRowLastColumn="0"/>
              <w:rPr>
                <w:sz w:val="16"/>
                <w:szCs w:val="21"/>
              </w:rPr>
            </w:pPr>
            <w:r w:rsidRPr="005F14E0">
              <w:rPr>
                <w:sz w:val="16"/>
                <w:szCs w:val="21"/>
              </w:rPr>
              <w:t>Kinaxis · Aera Demand Sensing · PlanX</w:t>
            </w:r>
          </w:p>
        </w:tc>
      </w:tr>
      <w:tr w:rsidR="00207BB8" w:rsidRPr="005F14E0" w14:paraId="364AA0A2" w14:textId="77777777" w:rsidTr="0026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1C8D6CB" w14:textId="77777777" w:rsidR="00207BB8" w:rsidRPr="005F14E0" w:rsidRDefault="00000000">
            <w:pPr>
              <w:rPr>
                <w:sz w:val="16"/>
                <w:szCs w:val="21"/>
              </w:rPr>
            </w:pPr>
            <w:r w:rsidRPr="005F14E0">
              <w:rPr>
                <w:sz w:val="16"/>
                <w:szCs w:val="21"/>
              </w:rPr>
              <w:t>Inventory &amp; Deployment</w:t>
            </w:r>
          </w:p>
        </w:tc>
        <w:tc>
          <w:tcPr>
            <w:tcW w:w="3780" w:type="dxa"/>
          </w:tcPr>
          <w:p w14:paraId="40E52933" w14:textId="77777777" w:rsidR="00207BB8" w:rsidRPr="005F14E0" w:rsidRDefault="00000000">
            <w:pPr>
              <w:cnfStyle w:val="000000100000" w:firstRow="0" w:lastRow="0" w:firstColumn="0" w:lastColumn="0" w:oddVBand="0" w:evenVBand="0" w:oddHBand="1" w:evenHBand="0" w:firstRowFirstColumn="0" w:firstRowLastColumn="0" w:lastRowFirstColumn="0" w:lastRowLastColumn="0"/>
              <w:rPr>
                <w:sz w:val="16"/>
                <w:szCs w:val="21"/>
              </w:rPr>
            </w:pPr>
            <w:r w:rsidRPr="005F14E0">
              <w:rPr>
                <w:sz w:val="16"/>
                <w:szCs w:val="21"/>
              </w:rPr>
              <w:t xml:space="preserve">How much to build, where to position it, how to </w:t>
            </w:r>
            <w:r w:rsidRPr="005F14E0">
              <w:rPr>
                <w:sz w:val="16"/>
                <w:szCs w:val="21"/>
              </w:rPr>
              <w:lastRenderedPageBreak/>
              <w:t>allocate</w:t>
            </w:r>
          </w:p>
        </w:tc>
        <w:tc>
          <w:tcPr>
            <w:tcW w:w="2592" w:type="dxa"/>
          </w:tcPr>
          <w:p w14:paraId="326A6252" w14:textId="77777777" w:rsidR="00207BB8" w:rsidRPr="005F14E0" w:rsidRDefault="00000000">
            <w:pPr>
              <w:cnfStyle w:val="000000100000" w:firstRow="0" w:lastRow="0" w:firstColumn="0" w:lastColumn="0" w:oddVBand="0" w:evenVBand="0" w:oddHBand="1" w:evenHBand="0" w:firstRowFirstColumn="0" w:firstRowLastColumn="0" w:lastRowFirstColumn="0" w:lastRowLastColumn="0"/>
              <w:rPr>
                <w:sz w:val="16"/>
                <w:szCs w:val="21"/>
              </w:rPr>
            </w:pPr>
            <w:r w:rsidRPr="005F14E0">
              <w:rPr>
                <w:sz w:val="16"/>
                <w:szCs w:val="21"/>
              </w:rPr>
              <w:lastRenderedPageBreak/>
              <w:t>Kinaxis · SAP · Aera SCLP</w:t>
            </w:r>
          </w:p>
        </w:tc>
      </w:tr>
      <w:tr w:rsidR="00207BB8" w:rsidRPr="005F14E0" w14:paraId="1D1F5257" w14:textId="77777777" w:rsidTr="002619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8012D35" w14:textId="77777777" w:rsidR="00207BB8" w:rsidRPr="005F14E0" w:rsidRDefault="00000000">
            <w:pPr>
              <w:rPr>
                <w:sz w:val="16"/>
                <w:szCs w:val="21"/>
              </w:rPr>
            </w:pPr>
            <w:r w:rsidRPr="005F14E0">
              <w:rPr>
                <w:sz w:val="16"/>
                <w:szCs w:val="21"/>
              </w:rPr>
              <w:t>Exception &amp; Risk</w:t>
            </w:r>
          </w:p>
        </w:tc>
        <w:tc>
          <w:tcPr>
            <w:tcW w:w="3780" w:type="dxa"/>
          </w:tcPr>
          <w:p w14:paraId="1030399A" w14:textId="77777777" w:rsidR="00207BB8" w:rsidRPr="005F14E0" w:rsidRDefault="00000000">
            <w:pPr>
              <w:cnfStyle w:val="000000010000" w:firstRow="0" w:lastRow="0" w:firstColumn="0" w:lastColumn="0" w:oddVBand="0" w:evenVBand="0" w:oddHBand="0" w:evenHBand="1" w:firstRowFirstColumn="0" w:firstRowLastColumn="0" w:lastRowFirstColumn="0" w:lastRowLastColumn="0"/>
              <w:rPr>
                <w:sz w:val="16"/>
                <w:szCs w:val="21"/>
              </w:rPr>
            </w:pPr>
            <w:r w:rsidRPr="005F14E0">
              <w:rPr>
                <w:sz w:val="16"/>
                <w:szCs w:val="21"/>
              </w:rPr>
              <w:t>Which exceptions to resolve automatically, which need a human</w:t>
            </w:r>
          </w:p>
        </w:tc>
        <w:tc>
          <w:tcPr>
            <w:tcW w:w="2592" w:type="dxa"/>
          </w:tcPr>
          <w:p w14:paraId="251E7947" w14:textId="77777777" w:rsidR="00207BB8" w:rsidRPr="005F14E0" w:rsidRDefault="00000000">
            <w:pPr>
              <w:cnfStyle w:val="000000010000" w:firstRow="0" w:lastRow="0" w:firstColumn="0" w:lastColumn="0" w:oddVBand="0" w:evenVBand="0" w:oddHBand="0" w:evenHBand="1" w:firstRowFirstColumn="0" w:firstRowLastColumn="0" w:lastRowFirstColumn="0" w:lastRowLastColumn="0"/>
              <w:rPr>
                <w:sz w:val="16"/>
                <w:szCs w:val="21"/>
              </w:rPr>
            </w:pPr>
            <w:r w:rsidRPr="005F14E0">
              <w:rPr>
                <w:sz w:val="16"/>
                <w:szCs w:val="21"/>
              </w:rPr>
              <w:t>Kinaxis · SAP · Aera SCLP</w:t>
            </w:r>
          </w:p>
        </w:tc>
      </w:tr>
      <w:tr w:rsidR="00207BB8" w:rsidRPr="005F14E0" w14:paraId="3A957AFE" w14:textId="77777777" w:rsidTr="0026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5A69A43" w14:textId="77777777" w:rsidR="00207BB8" w:rsidRPr="005F14E0" w:rsidRDefault="00000000">
            <w:pPr>
              <w:rPr>
                <w:sz w:val="16"/>
                <w:szCs w:val="21"/>
              </w:rPr>
            </w:pPr>
            <w:r w:rsidRPr="005F14E0">
              <w:rPr>
                <w:sz w:val="16"/>
                <w:szCs w:val="21"/>
              </w:rPr>
              <w:t>Learning &amp; Calibration</w:t>
            </w:r>
          </w:p>
        </w:tc>
        <w:tc>
          <w:tcPr>
            <w:tcW w:w="3780" w:type="dxa"/>
          </w:tcPr>
          <w:p w14:paraId="7378E131" w14:textId="77777777" w:rsidR="00207BB8" w:rsidRPr="005F14E0" w:rsidRDefault="00000000">
            <w:pPr>
              <w:cnfStyle w:val="000000100000" w:firstRow="0" w:lastRow="0" w:firstColumn="0" w:lastColumn="0" w:oddVBand="0" w:evenVBand="0" w:oddHBand="1" w:evenHBand="0" w:firstRowFirstColumn="0" w:firstRowLastColumn="0" w:lastRowFirstColumn="0" w:lastRowLastColumn="0"/>
              <w:rPr>
                <w:sz w:val="16"/>
                <w:szCs w:val="21"/>
              </w:rPr>
            </w:pPr>
            <w:r w:rsidRPr="005F14E0">
              <w:rPr>
                <w:sz w:val="16"/>
                <w:szCs w:val="21"/>
              </w:rPr>
              <w:t>What this launch teaches us and how it changes the next one</w:t>
            </w:r>
          </w:p>
        </w:tc>
        <w:tc>
          <w:tcPr>
            <w:tcW w:w="2592" w:type="dxa"/>
          </w:tcPr>
          <w:p w14:paraId="7F64015E" w14:textId="77777777" w:rsidR="00207BB8" w:rsidRPr="005F14E0" w:rsidRDefault="00000000">
            <w:pPr>
              <w:cnfStyle w:val="000000100000" w:firstRow="0" w:lastRow="0" w:firstColumn="0" w:lastColumn="0" w:oddVBand="0" w:evenVBand="0" w:oddHBand="1" w:evenHBand="0" w:firstRowFirstColumn="0" w:firstRowLastColumn="0" w:lastRowFirstColumn="0" w:lastRowLastColumn="0"/>
              <w:rPr>
                <w:sz w:val="16"/>
                <w:szCs w:val="21"/>
              </w:rPr>
            </w:pPr>
            <w:r w:rsidRPr="005F14E0">
              <w:rPr>
                <w:sz w:val="16"/>
                <w:szCs w:val="21"/>
              </w:rPr>
              <w:t>SAP · Kinaxis · Snowflake</w:t>
            </w:r>
          </w:p>
        </w:tc>
      </w:tr>
    </w:tbl>
    <w:p w14:paraId="139C4841" w14:textId="77777777" w:rsidR="00207BB8" w:rsidRPr="005F14E0" w:rsidRDefault="00207BB8">
      <w:pPr>
        <w:spacing w:after="120"/>
        <w:rPr>
          <w:sz w:val="16"/>
          <w:szCs w:val="21"/>
        </w:rPr>
      </w:pPr>
    </w:p>
    <w:p w14:paraId="6D8CA141" w14:textId="58C57A39" w:rsidR="00207BB8" w:rsidRPr="005F14E0" w:rsidRDefault="005F14E0">
      <w:pPr>
        <w:spacing w:after="120"/>
        <w:rPr>
          <w:sz w:val="16"/>
          <w:szCs w:val="21"/>
        </w:rPr>
      </w:pPr>
      <w:r w:rsidRPr="005F14E0">
        <w:rPr>
          <w:rFonts w:asciiTheme="majorHAnsi" w:eastAsiaTheme="majorEastAsia" w:hAnsiTheme="majorHAnsi" w:cstheme="majorBidi"/>
          <w:b/>
          <w:bCs/>
          <w:color w:val="4F81BD" w:themeColor="accent1"/>
          <w:sz w:val="21"/>
          <w:szCs w:val="24"/>
        </w:rPr>
        <w:t>Aera Scope</w:t>
      </w:r>
      <w:r w:rsidRPr="005F14E0">
        <w:rPr>
          <w:sz w:val="16"/>
          <w:szCs w:val="21"/>
        </w:rPr>
        <w:br/>
      </w:r>
      <w:r w:rsidR="00000000" w:rsidRPr="005F14E0">
        <w:rPr>
          <w:sz w:val="16"/>
          <w:szCs w:val="21"/>
        </w:rPr>
        <w:t xml:space="preserve">Three Aera skills are </w:t>
      </w:r>
      <w:r w:rsidR="00000000" w:rsidRPr="005F14E0">
        <w:rPr>
          <w:b/>
          <w:sz w:val="16"/>
          <w:szCs w:val="21"/>
        </w:rPr>
        <w:t>already running in production today</w:t>
      </w:r>
      <w:r w:rsidR="00000000" w:rsidRPr="005F14E0">
        <w:rPr>
          <w:sz w:val="16"/>
          <w:szCs w:val="21"/>
        </w:rPr>
        <w:t xml:space="preserve"> — Demand Sensing, Demand Plan Reconciliation, and Supply Chain Loss Prevention. </w:t>
      </w:r>
      <w:r w:rsidR="00000000" w:rsidRPr="005F14E0">
        <w:rPr>
          <w:color w:val="4BACC6" w:themeColor="accent5"/>
          <w:sz w:val="16"/>
          <w:szCs w:val="21"/>
        </w:rPr>
        <w:t xml:space="preserve">The agents </w:t>
      </w:r>
      <w:r w:rsidR="002619D5" w:rsidRPr="005F14E0">
        <w:rPr>
          <w:color w:val="4BACC6" w:themeColor="accent5"/>
          <w:sz w:val="16"/>
          <w:szCs w:val="21"/>
        </w:rPr>
        <w:t xml:space="preserve">would </w:t>
      </w:r>
      <w:r w:rsidR="00000000" w:rsidRPr="005F14E0">
        <w:rPr>
          <w:i/>
          <w:iCs/>
          <w:color w:val="4BACC6" w:themeColor="accent5"/>
          <w:sz w:val="16"/>
          <w:szCs w:val="21"/>
        </w:rPr>
        <w:t>read their outputs and apply</w:t>
      </w:r>
      <w:r w:rsidR="002619D5" w:rsidRPr="005F14E0">
        <w:rPr>
          <w:i/>
          <w:iCs/>
          <w:color w:val="4BACC6" w:themeColor="accent5"/>
          <w:sz w:val="16"/>
          <w:szCs w:val="21"/>
        </w:rPr>
        <w:t xml:space="preserve"> its</w:t>
      </w:r>
      <w:r w:rsidR="00000000" w:rsidRPr="005F14E0">
        <w:rPr>
          <w:i/>
          <w:iCs/>
          <w:color w:val="4BACC6" w:themeColor="accent5"/>
          <w:sz w:val="16"/>
          <w:szCs w:val="21"/>
        </w:rPr>
        <w:t xml:space="preserve"> reasoning </w:t>
      </w:r>
      <w:r w:rsidR="002619D5" w:rsidRPr="005F14E0">
        <w:rPr>
          <w:i/>
          <w:iCs/>
          <w:color w:val="4BACC6" w:themeColor="accent5"/>
          <w:sz w:val="16"/>
          <w:szCs w:val="21"/>
        </w:rPr>
        <w:t>“</w:t>
      </w:r>
      <w:r w:rsidR="00000000" w:rsidRPr="005F14E0">
        <w:rPr>
          <w:i/>
          <w:iCs/>
          <w:color w:val="4BACC6" w:themeColor="accent5"/>
          <w:sz w:val="16"/>
          <w:szCs w:val="21"/>
        </w:rPr>
        <w:t>on top</w:t>
      </w:r>
      <w:r w:rsidR="00000000" w:rsidRPr="005F14E0">
        <w:rPr>
          <w:color w:val="4BACC6" w:themeColor="accent5"/>
          <w:sz w:val="16"/>
          <w:szCs w:val="21"/>
        </w:rPr>
        <w:t>.</w:t>
      </w:r>
      <w:r w:rsidR="002619D5" w:rsidRPr="005F14E0">
        <w:rPr>
          <w:color w:val="4BACC6" w:themeColor="accent5"/>
          <w:sz w:val="16"/>
          <w:szCs w:val="21"/>
        </w:rPr>
        <w:t>”</w:t>
      </w:r>
      <w:r w:rsidR="00000000" w:rsidRPr="005F14E0">
        <w:rPr>
          <w:color w:val="4BACC6" w:themeColor="accent5"/>
          <w:sz w:val="16"/>
          <w:szCs w:val="21"/>
        </w:rPr>
        <w:t xml:space="preserve"> </w:t>
      </w:r>
      <w:r w:rsidR="002619D5" w:rsidRPr="005F14E0">
        <w:rPr>
          <w:sz w:val="16"/>
          <w:szCs w:val="21"/>
        </w:rPr>
        <w:t>E</w:t>
      </w:r>
      <w:r w:rsidR="00000000" w:rsidRPr="005F14E0">
        <w:rPr>
          <w:sz w:val="16"/>
          <w:szCs w:val="21"/>
        </w:rPr>
        <w:t xml:space="preserve">xisting tech does the deterministic work; agents handle the </w:t>
      </w:r>
      <w:r w:rsidR="002619D5" w:rsidRPr="005F14E0">
        <w:rPr>
          <w:sz w:val="16"/>
          <w:szCs w:val="21"/>
        </w:rPr>
        <w:t>reasoning</w:t>
      </w:r>
      <w:r w:rsidRPr="005F14E0">
        <w:rPr>
          <w:sz w:val="16"/>
          <w:szCs w:val="21"/>
        </w:rPr>
        <w:t>.</w:t>
      </w:r>
    </w:p>
    <w:p w14:paraId="4562D117" w14:textId="00F81658" w:rsidR="00207BB8" w:rsidRPr="005F14E0" w:rsidRDefault="005F14E0">
      <w:pPr>
        <w:pStyle w:val="Heading2"/>
        <w:spacing w:before="240"/>
        <w:rPr>
          <w:sz w:val="21"/>
          <w:szCs w:val="24"/>
        </w:rPr>
      </w:pPr>
      <w:bookmarkStart w:id="4" w:name="_Toc233563362"/>
      <w:r w:rsidRPr="005F14E0">
        <w:rPr>
          <w:sz w:val="21"/>
          <w:szCs w:val="24"/>
        </w:rPr>
        <w:t>DEMO</w:t>
      </w:r>
      <w:r w:rsidRPr="005F14E0">
        <w:rPr>
          <w:sz w:val="21"/>
          <w:szCs w:val="24"/>
        </w:rPr>
        <w:br/>
      </w:r>
      <w:r w:rsidR="002619D5" w:rsidRPr="005F14E0">
        <w:rPr>
          <w:sz w:val="21"/>
          <w:szCs w:val="24"/>
        </w:rPr>
        <w:t xml:space="preserve">Click-Guidance Step One (Differentiator) </w:t>
      </w:r>
      <w:r w:rsidR="00000000" w:rsidRPr="005F14E0">
        <w:rPr>
          <w:sz w:val="21"/>
          <w:szCs w:val="24"/>
        </w:rPr>
        <w:t>: The Orchestration Layer</w:t>
      </w:r>
      <w:bookmarkEnd w:id="4"/>
    </w:p>
    <w:p w14:paraId="7AFC3705" w14:textId="79A294AF" w:rsidR="00207BB8" w:rsidRPr="005F14E0" w:rsidRDefault="00000000">
      <w:pPr>
        <w:spacing w:after="120"/>
        <w:rPr>
          <w:sz w:val="16"/>
          <w:szCs w:val="21"/>
        </w:rPr>
      </w:pPr>
      <w:r w:rsidRPr="005F14E0">
        <w:rPr>
          <w:i/>
          <w:sz w:val="16"/>
          <w:szCs w:val="21"/>
        </w:rPr>
        <w:t xml:space="preserve">Spend real time here. </w:t>
      </w:r>
      <w:r w:rsidR="005F14E0" w:rsidRPr="005F14E0">
        <w:rPr>
          <w:i/>
          <w:sz w:val="16"/>
          <w:szCs w:val="21"/>
        </w:rPr>
        <w:t xml:space="preserve"> See App</w:t>
      </w:r>
      <w:r w:rsidR="005F14E0" w:rsidRPr="005F14E0">
        <w:rPr>
          <w:i/>
          <w:sz w:val="16"/>
          <w:szCs w:val="21"/>
        </w:rPr>
        <w:lastRenderedPageBreak/>
        <w:t xml:space="preserve">endix for a preview of some of what it shows. It’s a nice discussion piece on how Agents are Orchestrated. </w:t>
      </w:r>
      <w:r w:rsidR="002619D5" w:rsidRPr="005F14E0">
        <w:rPr>
          <w:i/>
          <w:sz w:val="16"/>
          <w:szCs w:val="21"/>
        </w:rPr>
        <w:t xml:space="preserve"> </w:t>
      </w:r>
    </w:p>
    <w:p w14:paraId="38D7A896" w14:textId="77777777" w:rsidR="00207BB8" w:rsidRPr="005F14E0" w:rsidRDefault="00000000">
      <w:pPr>
        <w:pStyle w:val="ListBullet"/>
        <w:spacing w:after="120"/>
        <w:rPr>
          <w:sz w:val="16"/>
          <w:szCs w:val="21"/>
        </w:rPr>
      </w:pPr>
      <w:r w:rsidRPr="005F14E0">
        <w:rPr>
          <w:b/>
          <w:bCs/>
          <w:sz w:val="16"/>
          <w:szCs w:val="21"/>
        </w:rPr>
        <w:t>There is one layer above the five agents — the NPI Control Tower.</w:t>
      </w:r>
      <w:r w:rsidRPr="005F14E0">
        <w:rPr>
          <w:sz w:val="16"/>
          <w:szCs w:val="21"/>
        </w:rPr>
        <w:t xml:space="preserve"> It holds the live state of every decision across all eight steps. It doesn’t do the analytical work; it decides what runs next and whether the answer was good enough to move forward.</w:t>
      </w:r>
    </w:p>
    <w:p w14:paraId="446B6061" w14:textId="77777777" w:rsidR="00207BB8" w:rsidRPr="005F14E0" w:rsidRDefault="00000000">
      <w:pPr>
        <w:pStyle w:val="ListBullet"/>
        <w:spacing w:after="120"/>
        <w:rPr>
          <w:sz w:val="16"/>
          <w:szCs w:val="21"/>
        </w:rPr>
      </w:pPr>
      <w:r w:rsidRPr="005F14E0">
        <w:rPr>
          <w:sz w:val="16"/>
          <w:szCs w:val="21"/>
        </w:rPr>
        <w:t>This is not a pipeline. A pipeline runs the same steps in the same order regardless of what came back. This is a decision graph — the path forward depends on the answer at every node.</w:t>
      </w:r>
    </w:p>
    <w:p w14:paraId="665D3391" w14:textId="77777777" w:rsidR="00207BB8" w:rsidRPr="005F14E0" w:rsidRDefault="00000000">
      <w:pPr>
        <w:pStyle w:val="ListBullet"/>
        <w:spacing w:after="120"/>
        <w:rPr>
          <w:sz w:val="16"/>
          <w:szCs w:val="21"/>
        </w:rPr>
      </w:pPr>
      <w:r w:rsidRPr="005F14E0">
        <w:rPr>
          <w:b/>
          <w:sz w:val="16"/>
          <w:szCs w:val="21"/>
        </w:rPr>
        <w:t>Three routing examples that land the concept:</w:t>
      </w:r>
    </w:p>
    <w:p w14:paraId="209022B6" w14:textId="77777777" w:rsidR="00207BB8" w:rsidRPr="005F14E0" w:rsidRDefault="00000000" w:rsidP="002619D5">
      <w:pPr>
        <w:pStyle w:val="ListBullet"/>
        <w:numPr>
          <w:ilvl w:val="0"/>
          <w:numId w:val="10"/>
        </w:numPr>
        <w:spacing w:after="120"/>
        <w:rPr>
          <w:sz w:val="16"/>
          <w:szCs w:val="21"/>
        </w:rPr>
      </w:pPr>
      <w:r w:rsidRPr="005F14E0">
        <w:rPr>
          <w:i/>
          <w:sz w:val="16"/>
          <w:szCs w:val="21"/>
        </w:rPr>
        <w:t>Forecast too uncertain:</w:t>
      </w:r>
      <w:r w:rsidRPr="005F14E0">
        <w:rPr>
          <w:sz w:val="16"/>
          <w:szCs w:val="21"/>
        </w:rPr>
        <w:t xml:space="preserve"> Agent 2 returns a wide confidence interval. Instead of passing an unreliable number downstream, the orchestrator routes back to Agent 1 — narrow the SKU list, then re-forecast.</w:t>
      </w:r>
    </w:p>
    <w:p w14:paraId="54905C35" w14:textId="77777777" w:rsidR="00207BB8" w:rsidRPr="005F14E0" w:rsidRDefault="00000000" w:rsidP="002619D5">
      <w:pPr>
        <w:pStyle w:val="ListBullet"/>
        <w:numPr>
          <w:ilvl w:val="0"/>
          <w:numId w:val="10"/>
        </w:numPr>
        <w:spacing w:after="120"/>
        <w:rPr>
          <w:sz w:val="16"/>
          <w:szCs w:val="21"/>
        </w:rPr>
      </w:pPr>
      <w:r w:rsidRPr="005F14E0">
        <w:rPr>
          <w:i/>
          <w:sz w:val="16"/>
          <w:szCs w:val="21"/>
        </w:rPr>
        <w:t>Mid-launch demand spike:</w:t>
      </w:r>
      <w:r w:rsidRPr="005F14E0">
        <w:rPr>
          <w:sz w:val="16"/>
          <w:szCs w:val="21"/>
        </w:rPr>
        <w:t xml:space="preserve"> Week 2 post-launch, live POS data shows demand tracking 35% above plan. Threshold crossed. The orchestrator re-triggers Agent 3 automatically. DC positions update before launch week is lost. No meeting.</w:t>
      </w:r>
    </w:p>
    <w:p w14:paraId="412E5105" w14:textId="77777777" w:rsidR="00207BB8" w:rsidRPr="005F14E0" w:rsidRDefault="00000000" w:rsidP="002619D5">
      <w:pPr>
        <w:pStyle w:val="ListBullet"/>
        <w:numPr>
          <w:ilvl w:val="0"/>
          <w:numId w:val="10"/>
        </w:numPr>
        <w:spacing w:after="120"/>
        <w:rPr>
          <w:sz w:val="16"/>
          <w:szCs w:val="21"/>
        </w:rPr>
      </w:pPr>
      <w:r w:rsidRPr="005F14E0">
        <w:rPr>
          <w:i/>
          <w:sz w:val="16"/>
          <w:szCs w:val="21"/>
        </w:rPr>
        <w:t>Large expedite decision:</w:t>
      </w:r>
      <w:r w:rsidRPr="005F14E0">
        <w:rPr>
          <w:sz w:val="16"/>
          <w:szCs w:val="21"/>
        </w:rPr>
        <w:t xml:space="preserve"> Agent 4 flags a $420K air freight resolution. That’s above the auto-resolve limit. The orchestrator holds the plan — nothing moves until a planner explicitly signs off.</w:t>
      </w:r>
    </w:p>
    <w:p w14:paraId="3FDDA4E3" w14:textId="77777777" w:rsidR="00207BB8" w:rsidRPr="005F14E0" w:rsidRDefault="00207BB8">
      <w:pPr>
        <w:pBdr>
          <w:bottom w:val="single" w:sz="12" w:space="1" w:color="CCCCCC"/>
        </w:pBdr>
        <w:spacing w:before="120" w:after="120"/>
        <w:rPr>
          <w:sz w:val="16"/>
          <w:szCs w:val="21"/>
        </w:rPr>
      </w:pPr>
    </w:p>
    <w:p w14:paraId="350B753A" w14:textId="77777777" w:rsidR="00207BB8" w:rsidRPr="005F14E0" w:rsidRDefault="00000000">
      <w:pPr>
        <w:pStyle w:val="Heading2"/>
        <w:spacing w:before="240"/>
        <w:rPr>
          <w:sz w:val="21"/>
          <w:szCs w:val="24"/>
        </w:rPr>
      </w:pPr>
      <w:bookmarkStart w:id="5" w:name="_Toc233563363"/>
      <w:r w:rsidRPr="005F14E0">
        <w:rPr>
          <w:sz w:val="21"/>
          <w:szCs w:val="24"/>
        </w:rPr>
        <w:t>What an Agent Actually Is — Two Moments</w:t>
      </w:r>
      <w:bookmarkEnd w:id="5"/>
    </w:p>
    <w:p w14:paraId="139D06F8" w14:textId="77777777" w:rsidR="00207BB8" w:rsidRPr="005F14E0" w:rsidRDefault="00000000">
      <w:pPr>
        <w:spacing w:after="120"/>
        <w:rPr>
          <w:sz w:val="16"/>
          <w:szCs w:val="21"/>
        </w:rPr>
      </w:pPr>
      <w:r w:rsidRPr="005F14E0">
        <w:rPr>
          <w:sz w:val="16"/>
          <w:szCs w:val="21"/>
        </w:rPr>
        <w:t>These are the two places in the demo where the concept becomes concrete. Use them.</w:t>
      </w:r>
    </w:p>
    <w:p w14:paraId="0A2103DB" w14:textId="62A5E5BE" w:rsidR="00207BB8" w:rsidRPr="005F14E0" w:rsidRDefault="00000000">
      <w:pPr>
        <w:spacing w:after="120"/>
        <w:rPr>
          <w:sz w:val="16"/>
          <w:szCs w:val="21"/>
        </w:rPr>
      </w:pPr>
      <w:r w:rsidRPr="005F14E0">
        <w:rPr>
          <w:b/>
          <w:sz w:val="16"/>
          <w:szCs w:val="21"/>
        </w:rPr>
        <w:t>Moment 1 — Inventory &amp; Deployment Agent (Step 3</w:t>
      </w:r>
      <w:r w:rsidR="002619D5" w:rsidRPr="005F14E0">
        <w:rPr>
          <w:b/>
          <w:sz w:val="16"/>
          <w:szCs w:val="21"/>
        </w:rPr>
        <w:t xml:space="preserve"> in the graphic</w:t>
      </w:r>
      <w:r w:rsidRPr="005F14E0">
        <w:rPr>
          <w:b/>
          <w:sz w:val="16"/>
          <w:szCs w:val="21"/>
        </w:rPr>
        <w:t>)</w:t>
      </w:r>
    </w:p>
    <w:p w14:paraId="2F9D9F08" w14:textId="3421A669" w:rsidR="00207BB8" w:rsidRPr="005F14E0" w:rsidRDefault="00000000" w:rsidP="002619D5">
      <w:pPr>
        <w:pStyle w:val="NoSpacing"/>
        <w:spacing w:after="120" w:line="276" w:lineRule="auto"/>
        <w:rPr>
          <w:b/>
          <w:bCs/>
          <w:color w:val="4BACC6" w:themeColor="accent5"/>
          <w:sz w:val="21"/>
          <w:szCs w:val="21"/>
        </w:rPr>
      </w:pPr>
      <w:r w:rsidRPr="005F14E0">
        <w:rPr>
          <w:rFonts w:ascii="Calibri" w:hAnsi="Calibri"/>
          <w:i/>
          <w:color w:val="4BACC6" w:themeColor="accent5"/>
          <w:sz w:val="16"/>
          <w:szCs w:val="21"/>
        </w:rPr>
        <w:t>“A straightforward buy gets a cost model</w:t>
      </w:r>
      <w:r w:rsidR="002619D5" w:rsidRPr="005F14E0">
        <w:rPr>
          <w:rFonts w:ascii="Calibri" w:hAnsi="Calibri"/>
          <w:i/>
          <w:color w:val="4BACC6" w:themeColor="accent5"/>
          <w:sz w:val="16"/>
          <w:szCs w:val="21"/>
        </w:rPr>
        <w:t xml:space="preserve"> to generate an answer</w:t>
      </w:r>
      <w:r w:rsidRPr="005F14E0">
        <w:rPr>
          <w:rFonts w:ascii="Calibri" w:hAnsi="Calibri"/>
          <w:i/>
          <w:color w:val="4BACC6" w:themeColor="accent5"/>
          <w:sz w:val="16"/>
          <w:szCs w:val="21"/>
        </w:rPr>
        <w:t xml:space="preserve">. </w:t>
      </w:r>
      <w:r w:rsidR="002619D5" w:rsidRPr="005F14E0">
        <w:rPr>
          <w:rFonts w:ascii="Calibri" w:hAnsi="Calibri"/>
          <w:i/>
          <w:color w:val="4BACC6" w:themeColor="accent5"/>
          <w:sz w:val="16"/>
          <w:szCs w:val="21"/>
        </w:rPr>
        <w:t>Alternatively, a</w:t>
      </w:r>
      <w:r w:rsidRPr="005F14E0">
        <w:rPr>
          <w:rFonts w:ascii="Calibri" w:hAnsi="Calibri"/>
          <w:i/>
          <w:color w:val="4BACC6" w:themeColor="accent5"/>
          <w:sz w:val="16"/>
          <w:szCs w:val="21"/>
        </w:rPr>
        <w:t xml:space="preserve"> complex multi-DC network gets a network-wide solver that optimizes across all distribution points simultaneously</w:t>
      </w:r>
      <w:r w:rsidR="002619D5" w:rsidRPr="005F14E0">
        <w:rPr>
          <w:rFonts w:ascii="Calibri" w:hAnsi="Calibri"/>
          <w:i/>
          <w:color w:val="4BACC6" w:themeColor="accent5"/>
          <w:sz w:val="16"/>
          <w:szCs w:val="21"/>
        </w:rPr>
        <w:t xml:space="preserve"> to generate its answer</w:t>
      </w:r>
      <w:r w:rsidRPr="005F14E0">
        <w:rPr>
          <w:rFonts w:ascii="Calibri" w:hAnsi="Calibri"/>
          <w:i/>
          <w:color w:val="4BACC6" w:themeColor="accent5"/>
          <w:sz w:val="16"/>
          <w:szCs w:val="21"/>
        </w:rPr>
        <w:t xml:space="preserve">. </w:t>
      </w:r>
      <w:r w:rsidRPr="005F14E0">
        <w:rPr>
          <w:rFonts w:ascii="Calibri" w:hAnsi="Calibri"/>
          <w:b/>
          <w:bCs/>
          <w:i/>
          <w:color w:val="4BACC6" w:themeColor="accent5"/>
          <w:sz w:val="16"/>
          <w:szCs w:val="21"/>
        </w:rPr>
        <w:t>The agent reasons about which approach fits before running anything.”</w:t>
      </w:r>
    </w:p>
    <w:p w14:paraId="4CEAD1C5" w14:textId="39714D98" w:rsidR="00207BB8" w:rsidRPr="005F14E0" w:rsidRDefault="002619D5">
      <w:pPr>
        <w:spacing w:after="120"/>
        <w:rPr>
          <w:sz w:val="16"/>
          <w:szCs w:val="21"/>
        </w:rPr>
      </w:pPr>
      <w:r w:rsidRPr="005F14E0">
        <w:rPr>
          <w:sz w:val="16"/>
          <w:szCs w:val="21"/>
        </w:rPr>
        <w:t xml:space="preserve">This is where </w:t>
      </w:r>
      <w:r w:rsidR="00000000" w:rsidRPr="005F14E0">
        <w:rPr>
          <w:sz w:val="16"/>
          <w:szCs w:val="21"/>
        </w:rPr>
        <w:t>an agent decid</w:t>
      </w:r>
      <w:r w:rsidRPr="005F14E0">
        <w:rPr>
          <w:sz w:val="16"/>
          <w:szCs w:val="21"/>
        </w:rPr>
        <w:t>es</w:t>
      </w:r>
      <w:r w:rsidR="00000000" w:rsidRPr="005F14E0">
        <w:rPr>
          <w:sz w:val="16"/>
          <w:szCs w:val="21"/>
        </w:rPr>
        <w:t xml:space="preserve"> how to solve the problem</w:t>
      </w:r>
      <w:r w:rsidRPr="005F14E0">
        <w:rPr>
          <w:sz w:val="16"/>
          <w:szCs w:val="21"/>
        </w:rPr>
        <w:t xml:space="preserve"> and </w:t>
      </w:r>
      <w:r w:rsidR="00000000" w:rsidRPr="005F14E0">
        <w:rPr>
          <w:sz w:val="16"/>
          <w:szCs w:val="21"/>
        </w:rPr>
        <w:t>then solv</w:t>
      </w:r>
      <w:r w:rsidRPr="005F14E0">
        <w:rPr>
          <w:sz w:val="16"/>
          <w:szCs w:val="21"/>
        </w:rPr>
        <w:t>es</w:t>
      </w:r>
      <w:r w:rsidR="00000000" w:rsidRPr="005F14E0">
        <w:rPr>
          <w:sz w:val="16"/>
          <w:szCs w:val="21"/>
        </w:rPr>
        <w:t xml:space="preserve"> it.</w:t>
      </w:r>
    </w:p>
    <w:p w14:paraId="677E4091" w14:textId="21C6F004" w:rsidR="00207BB8" w:rsidRPr="005F14E0" w:rsidRDefault="00000000">
      <w:pPr>
        <w:spacing w:after="120"/>
        <w:rPr>
          <w:sz w:val="16"/>
          <w:szCs w:val="21"/>
        </w:rPr>
      </w:pPr>
      <w:r w:rsidRPr="005F14E0">
        <w:rPr>
          <w:b/>
          <w:sz w:val="16"/>
          <w:szCs w:val="21"/>
        </w:rPr>
        <w:t>Moment 2 — Exception &amp; Risk Agent (Step 7</w:t>
      </w:r>
      <w:r w:rsidR="002619D5" w:rsidRPr="005F14E0">
        <w:rPr>
          <w:b/>
          <w:sz w:val="16"/>
          <w:szCs w:val="21"/>
        </w:rPr>
        <w:t xml:space="preserve"> in the graphic</w:t>
      </w:r>
      <w:r w:rsidRPr="005F14E0">
        <w:rPr>
          <w:b/>
          <w:sz w:val="16"/>
          <w:szCs w:val="21"/>
        </w:rPr>
        <w:t>)</w:t>
      </w:r>
    </w:p>
    <w:p w14:paraId="717FD7E2" w14:textId="67F284CB" w:rsidR="00207BB8" w:rsidRPr="005F14E0" w:rsidRDefault="00000000" w:rsidP="002619D5">
      <w:pPr>
        <w:pStyle w:val="NoSpacing"/>
        <w:spacing w:after="120" w:line="276" w:lineRule="auto"/>
        <w:rPr>
          <w:b/>
          <w:bCs/>
          <w:color w:val="4BACC6" w:themeColor="accent5"/>
          <w:sz w:val="21"/>
          <w:szCs w:val="21"/>
        </w:rPr>
      </w:pPr>
      <w:r w:rsidRPr="005F14E0">
        <w:rPr>
          <w:rFonts w:ascii="Calibri" w:hAnsi="Calibri"/>
          <w:i/>
          <w:color w:val="4BACC6" w:themeColor="accent5"/>
          <w:sz w:val="16"/>
          <w:szCs w:val="21"/>
        </w:rPr>
        <w:t xml:space="preserve">“The boundary between act and escalate is dynamic based on magnitude and risk type, </w:t>
      </w:r>
      <w:r w:rsidRPr="005F14E0">
        <w:rPr>
          <w:rFonts w:ascii="Calibri" w:hAnsi="Calibri"/>
          <w:b/>
          <w:bCs/>
          <w:i/>
          <w:color w:val="4BACC6" w:themeColor="accent5"/>
          <w:sz w:val="16"/>
          <w:szCs w:val="21"/>
        </w:rPr>
        <w:t>not a hardcoded rule.”</w:t>
      </w:r>
    </w:p>
    <w:p w14:paraId="70249980" w14:textId="77777777" w:rsidR="005F14E0" w:rsidRPr="005F14E0" w:rsidRDefault="002619D5" w:rsidP="005F14E0">
      <w:pPr>
        <w:pStyle w:val="ListParagraph"/>
        <w:numPr>
          <w:ilvl w:val="0"/>
          <w:numId w:val="11"/>
        </w:numPr>
        <w:spacing w:after="120"/>
        <w:rPr>
          <w:sz w:val="16"/>
          <w:szCs w:val="21"/>
        </w:rPr>
      </w:pPr>
      <w:r w:rsidRPr="005F14E0">
        <w:rPr>
          <w:sz w:val="16"/>
          <w:szCs w:val="21"/>
        </w:rPr>
        <w:t xml:space="preserve">In the case of  </w:t>
      </w:r>
      <w:r w:rsidR="00000000" w:rsidRPr="005F14E0">
        <w:rPr>
          <w:sz w:val="16"/>
          <w:szCs w:val="21"/>
        </w:rPr>
        <w:t>200-unit DC reallocation: the agent handles it and logs the action</w:t>
      </w:r>
      <w:r w:rsidR="005F14E0" w:rsidRPr="005F14E0">
        <w:rPr>
          <w:sz w:val="16"/>
          <w:szCs w:val="21"/>
        </w:rPr>
        <w:t xml:space="preserve"> (low-mid consequence)</w:t>
      </w:r>
      <w:r w:rsidR="00000000" w:rsidRPr="005F14E0">
        <w:rPr>
          <w:sz w:val="16"/>
          <w:szCs w:val="21"/>
        </w:rPr>
        <w:t xml:space="preserve">. </w:t>
      </w:r>
    </w:p>
    <w:p w14:paraId="5089F7CE" w14:textId="5156205E" w:rsidR="00207BB8" w:rsidRPr="005F14E0" w:rsidRDefault="00000000" w:rsidP="005F14E0">
      <w:pPr>
        <w:pStyle w:val="ListParagraph"/>
        <w:numPr>
          <w:ilvl w:val="0"/>
          <w:numId w:val="11"/>
        </w:numPr>
        <w:spacing w:after="120"/>
        <w:rPr>
          <w:sz w:val="16"/>
          <w:szCs w:val="21"/>
        </w:rPr>
      </w:pPr>
      <w:r w:rsidRPr="005F14E0">
        <w:rPr>
          <w:sz w:val="16"/>
          <w:szCs w:val="21"/>
        </w:rPr>
        <w:t>A</w:t>
      </w:r>
      <w:r w:rsidR="005F14E0" w:rsidRPr="005F14E0">
        <w:rPr>
          <w:sz w:val="16"/>
          <w:szCs w:val="21"/>
        </w:rPr>
        <w:t xml:space="preserve">t a higher consequence action (e.g., </w:t>
      </w:r>
      <w:r w:rsidRPr="005F14E0">
        <w:rPr>
          <w:sz w:val="16"/>
          <w:szCs w:val="21"/>
        </w:rPr>
        <w:t>$420K expedite fee</w:t>
      </w:r>
      <w:r w:rsidR="005F14E0" w:rsidRPr="005F14E0">
        <w:rPr>
          <w:sz w:val="16"/>
          <w:szCs w:val="21"/>
        </w:rPr>
        <w:t>) the agent</w:t>
      </w:r>
      <w:r w:rsidRPr="005F14E0">
        <w:rPr>
          <w:sz w:val="16"/>
          <w:szCs w:val="21"/>
        </w:rPr>
        <w:t xml:space="preserve"> stops, writes up the recommendation, and waits for a human. It knows the difference between the two without being told explicitly for every case.</w:t>
      </w:r>
    </w:p>
    <w:p w14:paraId="57F479AB" w14:textId="77777777" w:rsidR="00207BB8" w:rsidRPr="005F14E0" w:rsidRDefault="00207BB8">
      <w:pPr>
        <w:pBdr>
          <w:bottom w:val="single" w:sz="12" w:space="1" w:color="CCCCCC"/>
        </w:pBdr>
        <w:spacing w:before="120" w:after="120"/>
        <w:rPr>
          <w:sz w:val="16"/>
          <w:szCs w:val="21"/>
        </w:rPr>
      </w:pPr>
    </w:p>
    <w:p w14:paraId="58EC7B2C" w14:textId="77777777" w:rsidR="00207BB8" w:rsidRPr="005F14E0" w:rsidRDefault="00000000">
      <w:pPr>
        <w:pStyle w:val="Heading2"/>
        <w:spacing w:before="240"/>
        <w:rPr>
          <w:sz w:val="21"/>
          <w:szCs w:val="24"/>
        </w:rPr>
      </w:pPr>
      <w:bookmarkStart w:id="6" w:name="_Toc233563364"/>
      <w:r w:rsidRPr="005F14E0">
        <w:rPr>
          <w:sz w:val="21"/>
          <w:szCs w:val="24"/>
        </w:rPr>
        <w:t>The People Story — Say It Plainly</w:t>
      </w:r>
      <w:bookmarkEnd w:id="6"/>
    </w:p>
    <w:p w14:paraId="033E2FF7" w14:textId="3AC1F88D" w:rsidR="00207BB8" w:rsidRPr="005F14E0" w:rsidRDefault="00000000">
      <w:pPr>
        <w:pStyle w:val="ListBullet"/>
        <w:spacing w:after="120"/>
        <w:rPr>
          <w:sz w:val="16"/>
          <w:szCs w:val="21"/>
        </w:rPr>
      </w:pPr>
      <w:r w:rsidRPr="005F14E0">
        <w:rPr>
          <w:sz w:val="16"/>
          <w:szCs w:val="21"/>
        </w:rPr>
        <w:t xml:space="preserve">Today’s NPI process </w:t>
      </w:r>
      <w:r w:rsidR="002619D5" w:rsidRPr="005F14E0">
        <w:rPr>
          <w:sz w:val="16"/>
          <w:szCs w:val="21"/>
        </w:rPr>
        <w:t xml:space="preserve">could </w:t>
      </w:r>
      <w:r w:rsidRPr="005F14E0">
        <w:rPr>
          <w:sz w:val="16"/>
          <w:szCs w:val="21"/>
        </w:rPr>
        <w:t xml:space="preserve">involve 8–12 planners </w:t>
      </w:r>
      <w:r w:rsidR="002619D5" w:rsidRPr="005F14E0">
        <w:rPr>
          <w:sz w:val="16"/>
          <w:szCs w:val="21"/>
        </w:rPr>
        <w:t xml:space="preserve">(benchmarked vs. best practices in CPG) </w:t>
      </w:r>
      <w:r w:rsidRPr="005F14E0">
        <w:rPr>
          <w:sz w:val="16"/>
          <w:szCs w:val="21"/>
        </w:rPr>
        <w:t>actively coordinating across the 8 steps. The majority of their time is coordination: pulling data, aligning systems, passing decisions forward manually.</w:t>
      </w:r>
    </w:p>
    <w:p w14:paraId="03C2B634" w14:textId="77777777" w:rsidR="00207BB8" w:rsidRPr="005F14E0" w:rsidRDefault="00000000">
      <w:pPr>
        <w:pStyle w:val="ListBullet"/>
        <w:spacing w:after="120"/>
        <w:rPr>
          <w:sz w:val="16"/>
          <w:szCs w:val="21"/>
        </w:rPr>
      </w:pPr>
      <w:r w:rsidRPr="005F14E0">
        <w:rPr>
          <w:sz w:val="16"/>
          <w:szCs w:val="21"/>
        </w:rPr>
        <w:t xml:space="preserve">With this architecture, the coordination is automated. The planners who remain are </w:t>
      </w:r>
      <w:r w:rsidRPr="005F14E0">
        <w:rPr>
          <w:b/>
          <w:sz w:val="16"/>
          <w:szCs w:val="21"/>
        </w:rPr>
        <w:t>approving, not building</w:t>
      </w:r>
      <w:r w:rsidRPr="005F14E0">
        <w:rPr>
          <w:sz w:val="16"/>
          <w:szCs w:val="21"/>
        </w:rPr>
        <w:t>. Three governance touchpoints instead of 25+.</w:t>
      </w:r>
    </w:p>
    <w:p w14:paraId="5FD4A775" w14:textId="77777777" w:rsidR="00207BB8" w:rsidRPr="005F14E0" w:rsidRDefault="00000000">
      <w:pPr>
        <w:pStyle w:val="ListBullet"/>
        <w:spacing w:after="120"/>
        <w:rPr>
          <w:sz w:val="16"/>
          <w:szCs w:val="21"/>
        </w:rPr>
      </w:pPr>
      <w:r w:rsidRPr="005F14E0">
        <w:rPr>
          <w:sz w:val="16"/>
          <w:szCs w:val="21"/>
        </w:rPr>
        <w:t>This isn’t a headcount-reduction conversation. It’s a capability conversation. Those same people, freed from coordination, can run more launches, tighter cycles, and better post-launch learning — which is the actual competitive lever.</w:t>
      </w:r>
    </w:p>
    <w:p w14:paraId="42E257F7" w14:textId="40C823DD" w:rsidR="005F14E0" w:rsidRPr="005F14E0" w:rsidRDefault="005F14E0">
      <w:pPr>
        <w:rPr>
          <w:sz w:val="16"/>
          <w:szCs w:val="21"/>
        </w:rPr>
      </w:pPr>
    </w:p>
    <w:p w14:paraId="29D65E7F" w14:textId="728CD9D1" w:rsidR="00207BB8" w:rsidRPr="005F14E0" w:rsidRDefault="005F14E0" w:rsidP="005F14E0">
      <w:pPr>
        <w:pStyle w:val="ListNumber"/>
        <w:numPr>
          <w:ilvl w:val="0"/>
          <w:numId w:val="0"/>
        </w:numPr>
        <w:spacing w:after="120"/>
        <w:rPr>
          <w:sz w:val="16"/>
          <w:szCs w:val="21"/>
        </w:rPr>
      </w:pPr>
      <w:r w:rsidRPr="005F14E0">
        <w:rPr>
          <w:sz w:val="16"/>
          <w:szCs w:val="21"/>
        </w:rPr>
        <w:lastRenderedPageBreak/>
        <w:t xml:space="preserve">Appendix </w:t>
      </w:r>
    </w:p>
    <w:p w14:paraId="7A8DDD48" w14:textId="7EEEC0DF" w:rsidR="005F14E0" w:rsidRPr="005F14E0" w:rsidRDefault="005F14E0" w:rsidP="005F14E0">
      <w:pPr>
        <w:pStyle w:val="ListNumber"/>
        <w:numPr>
          <w:ilvl w:val="0"/>
          <w:numId w:val="0"/>
        </w:numPr>
        <w:spacing w:after="120"/>
        <w:rPr>
          <w:sz w:val="16"/>
          <w:szCs w:val="21"/>
        </w:rPr>
      </w:pPr>
      <w:r w:rsidRPr="005F14E0">
        <w:rPr>
          <w:sz w:val="16"/>
          <w:szCs w:val="21"/>
        </w:rPr>
        <w:t>Agent Right Hand Panel Slider</w:t>
      </w:r>
    </w:p>
    <w:p w14:paraId="5FD2C960" w14:textId="7093EE2A" w:rsidR="005F14E0" w:rsidRPr="005F14E0" w:rsidRDefault="005F14E0" w:rsidP="005F14E0">
      <w:pPr>
        <w:pStyle w:val="ListNumber"/>
        <w:numPr>
          <w:ilvl w:val="0"/>
          <w:numId w:val="0"/>
        </w:numPr>
        <w:spacing w:after="120"/>
        <w:jc w:val="center"/>
        <w:rPr>
          <w:sz w:val="16"/>
          <w:szCs w:val="21"/>
        </w:rPr>
      </w:pPr>
      <w:r w:rsidRPr="005F14E0">
        <w:rPr>
          <w:noProof/>
          <w:sz w:val="16"/>
          <w:szCs w:val="21"/>
        </w:rPr>
        <w:drawing>
          <wp:inline distT="0" distB="0" distL="0" distR="0" wp14:anchorId="38CE89D4" wp14:editId="43E20B38">
            <wp:extent cx="2397103" cy="5260156"/>
            <wp:effectExtent l="0" t="0" r="3810" b="0"/>
            <wp:docPr id="339522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22631" name="Picture 339522631"/>
                    <pic:cNvPicPr/>
                  </pic:nvPicPr>
                  <pic:blipFill>
                    <a:blip r:embed="rId10"/>
                    <a:stretch>
                      <a:fillRect/>
                    </a:stretch>
                  </pic:blipFill>
                  <pic:spPr>
                    <a:xfrm>
                      <a:off x="0" y="0"/>
                      <a:ext cx="2439723" cy="5353680"/>
                    </a:xfrm>
                    <a:prstGeom prst="rect">
                      <a:avLst/>
                    </a:prstGeom>
                  </pic:spPr>
                </pic:pic>
              </a:graphicData>
            </a:graphic>
          </wp:inline>
        </w:drawing>
      </w:r>
      <w:r w:rsidRPr="005F14E0">
        <w:rPr>
          <w:sz w:val="16"/>
          <w:szCs w:val="21"/>
        </w:rPr>
        <w:t xml:space="preserve">   </w:t>
      </w:r>
      <w:r w:rsidRPr="005F14E0">
        <w:rPr>
          <w:noProof/>
          <w:sz w:val="16"/>
          <w:szCs w:val="21"/>
        </w:rPr>
        <w:drawing>
          <wp:inline distT="0" distB="0" distL="0" distR="0" wp14:anchorId="73799461" wp14:editId="545303BA">
            <wp:extent cx="2146598" cy="5368565"/>
            <wp:effectExtent l="0" t="0" r="0" b="3810"/>
            <wp:docPr id="713900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00566" name="Picture 713900566"/>
                    <pic:cNvPicPr/>
                  </pic:nvPicPr>
                  <pic:blipFill>
                    <a:blip r:embed="rId11"/>
                    <a:stretch>
                      <a:fillRect/>
                    </a:stretch>
                  </pic:blipFill>
                  <pic:spPr>
                    <a:xfrm>
                      <a:off x="0" y="0"/>
                      <a:ext cx="2158707" cy="5398848"/>
                    </a:xfrm>
                    <a:prstGeom prst="rect">
                      <a:avLst/>
                    </a:prstGeom>
                  </pic:spPr>
                </pic:pic>
              </a:graphicData>
            </a:graphic>
          </wp:inline>
        </w:drawing>
      </w:r>
    </w:p>
    <w:sectPr w:rsidR="005F14E0" w:rsidRPr="005F14E0" w:rsidSect="00034616">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D3D640" w14:textId="77777777" w:rsidR="00987DB4" w:rsidRDefault="00987DB4">
      <w:pPr>
        <w:spacing w:after="0" w:line="240" w:lineRule="auto"/>
      </w:pPr>
      <w:r>
        <w:separator/>
      </w:r>
    </w:p>
  </w:endnote>
  <w:endnote w:type="continuationSeparator" w:id="0">
    <w:p w14:paraId="39A1053D" w14:textId="77777777" w:rsidR="00987DB4" w:rsidRDefault="00987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67489F" w14:textId="77777777" w:rsidR="00207BB8" w:rsidRDefault="00000000">
    <w:pPr>
      <w:pStyle w:val="Footer"/>
      <w:jc w:val="right"/>
    </w:pPr>
    <w:r>
      <w:rPr>
        <w:sz w:val="16"/>
      </w:rPr>
      <w:fldChar w:fldCharType="begin"/>
    </w:r>
    <w:r>
      <w:rPr>
        <w:sz w:val="16"/>
      </w:rPr>
      <w:instrText xml:space="preserve"> PAGE </w:instrText>
    </w:r>
    <w:r w:rsidR="002619D5">
      <w:rPr>
        <w:sz w:val="16"/>
      </w:rPr>
      <w:fldChar w:fldCharType="separate"/>
    </w:r>
    <w:r w:rsidR="002619D5">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261F7E" w14:textId="77777777" w:rsidR="00987DB4" w:rsidRDefault="00987DB4">
      <w:pPr>
        <w:spacing w:after="0" w:line="240" w:lineRule="auto"/>
      </w:pPr>
      <w:r>
        <w:separator/>
      </w:r>
    </w:p>
  </w:footnote>
  <w:footnote w:type="continuationSeparator" w:id="0">
    <w:p w14:paraId="75E2A2D8" w14:textId="77777777" w:rsidR="00987DB4" w:rsidRDefault="00987D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F02039"/>
    <w:multiLevelType w:val="hybridMultilevel"/>
    <w:tmpl w:val="A75AC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5D220D"/>
    <w:multiLevelType w:val="hybridMultilevel"/>
    <w:tmpl w:val="EFA8A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9550963">
    <w:abstractNumId w:val="8"/>
  </w:num>
  <w:num w:numId="2" w16cid:durableId="1795636606">
    <w:abstractNumId w:val="6"/>
  </w:num>
  <w:num w:numId="3" w16cid:durableId="147481717">
    <w:abstractNumId w:val="5"/>
  </w:num>
  <w:num w:numId="4" w16cid:durableId="371080769">
    <w:abstractNumId w:val="4"/>
  </w:num>
  <w:num w:numId="5" w16cid:durableId="173766801">
    <w:abstractNumId w:val="7"/>
  </w:num>
  <w:num w:numId="6" w16cid:durableId="39600868">
    <w:abstractNumId w:val="3"/>
  </w:num>
  <w:num w:numId="7" w16cid:durableId="448010929">
    <w:abstractNumId w:val="2"/>
  </w:num>
  <w:num w:numId="8" w16cid:durableId="1828083045">
    <w:abstractNumId w:val="1"/>
  </w:num>
  <w:num w:numId="9" w16cid:durableId="1078677560">
    <w:abstractNumId w:val="0"/>
  </w:num>
  <w:num w:numId="10" w16cid:durableId="1786845346">
    <w:abstractNumId w:val="10"/>
  </w:num>
  <w:num w:numId="11" w16cid:durableId="57963192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BB8"/>
    <w:rsid w:val="002619D5"/>
    <w:rsid w:val="0029639D"/>
    <w:rsid w:val="00326F90"/>
    <w:rsid w:val="005D0F26"/>
    <w:rsid w:val="005F14E0"/>
    <w:rsid w:val="00987DB4"/>
    <w:rsid w:val="00AA1D8D"/>
    <w:rsid w:val="00AC54F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E522B"/>
  <w14:defaultImageDpi w14:val="300"/>
  <w15:docId w15:val="{A165EDAD-EBF2-9845-B5A0-6AA1C4658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619D5"/>
    <w:pPr>
      <w:spacing w:after="100"/>
    </w:pPr>
  </w:style>
  <w:style w:type="paragraph" w:styleId="TOC2">
    <w:name w:val="toc 2"/>
    <w:basedOn w:val="Normal"/>
    <w:next w:val="Normal"/>
    <w:autoRedefine/>
    <w:uiPriority w:val="39"/>
    <w:unhideWhenUsed/>
    <w:rsid w:val="002619D5"/>
    <w:pPr>
      <w:spacing w:after="100"/>
      <w:ind w:left="180"/>
    </w:pPr>
  </w:style>
  <w:style w:type="character" w:styleId="Hyperlink">
    <w:name w:val="Hyperlink"/>
    <w:basedOn w:val="DefaultParagraphFont"/>
    <w:uiPriority w:val="99"/>
    <w:unhideWhenUsed/>
    <w:rsid w:val="002619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Pages>
  <Words>1028</Words>
  <Characters>5331</Characters>
  <Application>Microsoft Office Word</Application>
  <DocSecurity>0</DocSecurity>
  <Lines>113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Wicker, Vincent</cp:lastModifiedBy>
  <cp:revision>2</cp:revision>
  <dcterms:created xsi:type="dcterms:W3CDTF">2013-12-23T23:15:00Z</dcterms:created>
  <dcterms:modified xsi:type="dcterms:W3CDTF">2026-06-28T22:22:00Z</dcterms:modified>
  <cp:category/>
</cp:coreProperties>
</file>