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spacing w:before="240" w:after="60"/>
        <w:rPr/>
      </w:pPr>
      <w:r>
        <w:rPr/>
        <w:t>Informe Ejecutivo y Técnico</w:t>
      </w:r>
    </w:p>
    <w:p>
      <w:pPr>
        <w:pStyle w:val="TextBody"/>
        <w:spacing w:before="0" w:after="270"/>
        <w:rPr>
          <w:color w:val="48606A"/>
          <w:sz w:val="20"/>
        </w:rPr>
      </w:pPr>
      <w:r>
        <w:rPr>
          <w:color w:val="48606A"/>
          <w:sz w:val="20"/>
        </w:rPr>
        <w:t>Motor de diagnóstico académico-operativo y base de conocimiento SIGIE V2</w:t>
        <w:br/>
        <w:t>Fecha: 22 de julio de 2026</w:t>
        <w:br/>
        <w:t xml:space="preserve">Base de referencia: </w:t>
      </w:r>
      <w:r>
        <w:rPr>
          <w:b/>
          <w:color w:val="48606A"/>
          <w:sz w:val="20"/>
        </w:rPr>
        <w:t>propuesta_tecnica_asistente_curricular_v2_20260716.md</w:t>
      </w:r>
      <w:r>
        <w:rPr>
          <w:color w:val="48606A"/>
          <w:sz w:val="20"/>
        </w:rPr>
        <w:t xml:space="preserve"> </w:t>
      </w:r>
    </w:p>
    <w:p>
      <w:pPr>
        <w:pStyle w:val="Heading2"/>
        <w:ind w:left="420" w:right="420" w:hanging="0"/>
        <w:rPr/>
      </w:pPr>
      <w:r>
        <w:rPr/>
        <w:t>1. Resumen ejecutivo</w:t>
      </w:r>
    </w:p>
    <w:p>
      <w:pPr>
        <w:pStyle w:val="TextBody"/>
        <w:rPr/>
      </w:pPr>
      <w:r>
        <w:rPr/>
        <w:t xml:space="preserve">SIGIE V2 introduce una capacidad nueva en la plataforma: un motor que interpreta la situación académica, clasifica casos, genera diagnóstico, recomienda acciones y deja trazabilidad institucional. Este cambio no es solamente visual. Cambia el modo en que Historial, Malla Curricular y Asistente Curricular consumen y exponen información para estudiante y gestor. </w:t>
      </w:r>
    </w:p>
    <w:p>
      <w:pPr>
        <w:pStyle w:val="TextBody"/>
        <w:spacing w:before="210" w:after="210"/>
        <w:ind w:left="210" w:right="210" w:hanging="0"/>
        <w:rPr>
          <w:highlight w:val="cyan"/>
          <w:bdr w:val="single" w:sz="2" w:space="9" w:color="BFD7DF"/>
        </w:rPr>
      </w:pPr>
      <w:r>
        <w:rPr>
          <w:b/>
          <w:highlight w:val="cyan"/>
          <w:bdr w:val="single" w:sz="2" w:space="9" w:color="BFD7DF"/>
        </w:rPr>
        <w:t>Resultado institucional:</w:t>
      </w:r>
      <w:r>
        <w:rPr>
          <w:highlight w:val="cyan"/>
          <w:bdr w:val="single" w:sz="2" w:space="9" w:color="BFD7DF"/>
        </w:rPr>
        <w:t xml:space="preserve"> </w:t>
      </w:r>
    </w:p>
    <w:p>
      <w:pPr>
        <w:pStyle w:val="TextBody"/>
        <w:numPr>
          <w:ilvl w:val="0"/>
          <w:numId w:val="1"/>
        </w:numPr>
        <w:tabs>
          <w:tab w:val="left" w:pos="0" w:leader="none"/>
        </w:tabs>
        <w:spacing w:before="210" w:after="210"/>
        <w:ind w:left="917" w:right="210" w:hanging="283"/>
        <w:rPr>
          <w:highlight w:val="cyan"/>
          <w:bdr w:val="single" w:sz="2" w:space="9" w:color="BFD7DF"/>
        </w:rPr>
      </w:pPr>
      <w:r>
        <w:rPr>
          <w:highlight w:val="cyan"/>
          <w:bdr w:val="single" w:sz="2" w:space="9" w:color="BFD7DF"/>
        </w:rPr>
        <w:t xml:space="preserve">estandariza el criterio de atención académica; </w:t>
      </w:r>
    </w:p>
    <w:p>
      <w:pPr>
        <w:pStyle w:val="TextBody"/>
        <w:numPr>
          <w:ilvl w:val="0"/>
          <w:numId w:val="1"/>
        </w:numPr>
        <w:tabs>
          <w:tab w:val="left" w:pos="0" w:leader="none"/>
        </w:tabs>
        <w:spacing w:before="210" w:after="210"/>
        <w:ind w:left="917" w:right="210" w:hanging="283"/>
        <w:rPr>
          <w:highlight w:val="cyan"/>
          <w:bdr w:val="single" w:sz="2" w:space="9" w:color="BFD7DF"/>
        </w:rPr>
      </w:pPr>
      <w:r>
        <w:rPr>
          <w:highlight w:val="cyan"/>
          <w:bdr w:val="single" w:sz="2" w:space="9" w:color="BFD7DF"/>
        </w:rPr>
        <w:t xml:space="preserve">reduce respuestas manuales no homogéneas; </w:t>
      </w:r>
    </w:p>
    <w:p>
      <w:pPr>
        <w:pStyle w:val="TextBody"/>
        <w:numPr>
          <w:ilvl w:val="0"/>
          <w:numId w:val="1"/>
        </w:numPr>
        <w:tabs>
          <w:tab w:val="left" w:pos="0" w:leader="none"/>
        </w:tabs>
        <w:spacing w:before="210" w:after="210"/>
        <w:ind w:left="917" w:right="210" w:hanging="283"/>
        <w:rPr>
          <w:highlight w:val="cyan"/>
          <w:bdr w:val="single" w:sz="2" w:space="9" w:color="BFD7DF"/>
        </w:rPr>
      </w:pPr>
      <w:r>
        <w:rPr>
          <w:highlight w:val="cyan"/>
          <w:bdr w:val="single" w:sz="2" w:space="9" w:color="BFD7DF"/>
        </w:rPr>
        <w:t xml:space="preserve">permite diferenciar orientación al estudiante y soporte operativo al gestor; </w:t>
      </w:r>
    </w:p>
    <w:p>
      <w:pPr>
        <w:pStyle w:val="TextBody"/>
        <w:numPr>
          <w:ilvl w:val="0"/>
          <w:numId w:val="1"/>
        </w:numPr>
        <w:tabs>
          <w:tab w:val="left" w:pos="0" w:leader="none"/>
        </w:tabs>
        <w:spacing w:before="210" w:after="210"/>
        <w:ind w:left="917" w:right="210" w:hanging="283"/>
        <w:rPr>
          <w:highlight w:val="cyan"/>
          <w:bdr w:val="single" w:sz="2" w:space="9" w:color="BFD7DF"/>
        </w:rPr>
      </w:pPr>
      <w:r>
        <w:rPr>
          <w:highlight w:val="cyan"/>
          <w:bdr w:val="single" w:sz="2" w:space="9" w:color="BFD7DF"/>
        </w:rPr>
        <w:t xml:space="preserve">deja evidencia y bitácora del caso; </w:t>
      </w:r>
    </w:p>
    <w:p>
      <w:pPr>
        <w:pStyle w:val="TextBody"/>
        <w:numPr>
          <w:ilvl w:val="0"/>
          <w:numId w:val="1"/>
        </w:numPr>
        <w:tabs>
          <w:tab w:val="left" w:pos="0" w:leader="none"/>
        </w:tabs>
        <w:spacing w:before="210" w:after="210"/>
        <w:ind w:left="917" w:right="210" w:hanging="283"/>
        <w:rPr>
          <w:highlight w:val="cyan"/>
          <w:bdr w:val="single" w:sz="2" w:space="9" w:color="BFD7DF"/>
        </w:rPr>
      </w:pPr>
      <w:r>
        <w:rPr>
          <w:highlight w:val="cyan"/>
          <w:bdr w:val="single" w:sz="2" w:space="9" w:color="BFD7DF"/>
        </w:rPr>
        <w:t xml:space="preserve">sienta la base para un sistema formal de seguimiento y resolución. </w:t>
      </w:r>
    </w:p>
    <w:p>
      <w:pPr>
        <w:pStyle w:val="Heading2"/>
        <w:ind w:left="210" w:right="210" w:hanging="0"/>
        <w:rPr/>
      </w:pPr>
      <w:r>
        <w:rPr/>
        <w:t>2. Qué representa este cambio</w:t>
      </w:r>
    </w:p>
    <w:p>
      <w:pPr>
        <w:pStyle w:val="TextBody"/>
        <w:rPr/>
      </w:pPr>
      <w:r>
        <w:rPr/>
        <w:t>Antes de V2, la lógica vivía principalmente en las vistas y en reglas distribuidas. Con V2 se introduce un núcleo nuevo:</w:t>
      </w:r>
    </w:p>
    <w:p>
      <w:pPr>
        <w:pStyle w:val="TextBody"/>
        <w:numPr>
          <w:ilvl w:val="0"/>
          <w:numId w:val="2"/>
        </w:numPr>
        <w:tabs>
          <w:tab w:val="left" w:pos="0" w:leader="none"/>
        </w:tabs>
        <w:spacing w:before="0" w:after="0"/>
        <w:ind w:left="1127" w:right="420" w:hanging="283"/>
        <w:rPr/>
      </w:pPr>
      <w:r>
        <w:rPr>
          <w:b/>
        </w:rPr>
        <w:t>Caso académico-operativo:</w:t>
      </w:r>
      <w:r>
        <w:rPr/>
        <w:t xml:space="preserve"> expediente estructurado del problema que se está atendiendo. </w:t>
      </w:r>
    </w:p>
    <w:p>
      <w:pPr>
        <w:pStyle w:val="TextBody"/>
        <w:numPr>
          <w:ilvl w:val="0"/>
          <w:numId w:val="2"/>
        </w:numPr>
        <w:tabs>
          <w:tab w:val="left" w:pos="0" w:leader="none"/>
        </w:tabs>
        <w:spacing w:before="0" w:after="0"/>
        <w:ind w:left="1127" w:right="420" w:hanging="283"/>
        <w:rPr/>
      </w:pPr>
      <w:r>
        <w:rPr>
          <w:b/>
        </w:rPr>
        <w:t>Diagnóstico académico-operativo:</w:t>
      </w:r>
      <w:r>
        <w:rPr/>
        <w:t xml:space="preserve"> interpretación de causa dominante, riesgo, bloqueo y viabilidad. </w:t>
      </w:r>
    </w:p>
    <w:p>
      <w:pPr>
        <w:pStyle w:val="TextBody"/>
        <w:numPr>
          <w:ilvl w:val="0"/>
          <w:numId w:val="2"/>
        </w:numPr>
        <w:tabs>
          <w:tab w:val="left" w:pos="0" w:leader="none"/>
        </w:tabs>
        <w:spacing w:before="0" w:after="0"/>
        <w:ind w:left="1127" w:right="420" w:hanging="283"/>
        <w:rPr/>
      </w:pPr>
      <w:r>
        <w:rPr>
          <w:b/>
        </w:rPr>
        <w:t>Base de conocimiento:</w:t>
      </w:r>
      <w:r>
        <w:rPr/>
        <w:t xml:space="preserve"> patrones, criterios, mensajes y acciones reutilizables. </w:t>
      </w:r>
    </w:p>
    <w:p>
      <w:pPr>
        <w:pStyle w:val="TextBody"/>
        <w:numPr>
          <w:ilvl w:val="0"/>
          <w:numId w:val="2"/>
        </w:numPr>
        <w:tabs>
          <w:tab w:val="left" w:pos="0" w:leader="none"/>
        </w:tabs>
        <w:ind w:left="1127" w:right="420" w:hanging="283"/>
        <w:rPr/>
      </w:pPr>
      <w:r>
        <w:rPr>
          <w:b/>
        </w:rPr>
        <w:t>Bitácora y evidencia:</w:t>
      </w:r>
      <w:r>
        <w:rPr/>
        <w:t xml:space="preserve"> trazabilidad institucional de seguimiento, soporte y resolución. </w:t>
      </w:r>
    </w:p>
    <w:p>
      <w:pPr>
        <w:pStyle w:val="TextBody"/>
        <w:rPr/>
      </w:pPr>
      <w:r>
        <w:rPr/>
        <w:t xml:space="preserve">En términos ejecutivos, el sistema evoluciona de una capa descriptiva a una capa resolutiva. </w:t>
      </w:r>
    </w:p>
    <w:p>
      <w:pPr>
        <w:pStyle w:val="Heading2"/>
        <w:ind w:left="420" w:right="420" w:hanging="0"/>
        <w:rPr/>
      </w:pPr>
      <w:r>
        <w:rPr/>
        <w:t>3. Cómo funciona el motor</w:t>
      </w:r>
    </w:p>
    <w:p>
      <w:pPr>
        <w:pStyle w:val="TextBody"/>
        <w:numPr>
          <w:ilvl w:val="0"/>
          <w:numId w:val="3"/>
        </w:numPr>
        <w:tabs>
          <w:tab w:val="left" w:pos="0" w:leader="none"/>
        </w:tabs>
        <w:spacing w:before="0" w:after="0"/>
        <w:ind w:left="1127" w:right="420" w:hanging="283"/>
        <w:rPr/>
      </w:pPr>
      <w:r>
        <w:rPr/>
        <w:t xml:space="preserve">Recibe contexto: perfil, periodo, persona objetivo y origen de consulta. </w:t>
      </w:r>
    </w:p>
    <w:p>
      <w:pPr>
        <w:pStyle w:val="TextBody"/>
        <w:numPr>
          <w:ilvl w:val="0"/>
          <w:numId w:val="3"/>
        </w:numPr>
        <w:tabs>
          <w:tab w:val="left" w:pos="0" w:leader="none"/>
        </w:tabs>
        <w:spacing w:before="0" w:after="0"/>
        <w:ind w:left="1127" w:right="420" w:hanging="283"/>
        <w:rPr/>
      </w:pPr>
      <w:r>
        <w:rPr/>
        <w:t xml:space="preserve">Obtiene información de trayectoria: reprobadas, omisiones, seriación, carga, avance y oferta. </w:t>
      </w:r>
    </w:p>
    <w:p>
      <w:pPr>
        <w:pStyle w:val="TextBody"/>
        <w:numPr>
          <w:ilvl w:val="0"/>
          <w:numId w:val="3"/>
        </w:numPr>
        <w:tabs>
          <w:tab w:val="left" w:pos="0" w:leader="none"/>
        </w:tabs>
        <w:spacing w:before="0" w:after="0"/>
        <w:ind w:left="1127" w:right="420" w:hanging="283"/>
        <w:rPr/>
      </w:pPr>
      <w:r>
        <w:rPr/>
        <w:t xml:space="preserve">Clasifica el caso. </w:t>
      </w:r>
    </w:p>
    <w:p>
      <w:pPr>
        <w:pStyle w:val="TextBody"/>
        <w:numPr>
          <w:ilvl w:val="0"/>
          <w:numId w:val="3"/>
        </w:numPr>
        <w:tabs>
          <w:tab w:val="left" w:pos="0" w:leader="none"/>
        </w:tabs>
        <w:spacing w:before="0" w:after="0"/>
        <w:ind w:left="1127" w:right="420" w:hanging="283"/>
        <w:rPr/>
      </w:pPr>
      <w:r>
        <w:rPr/>
        <w:t xml:space="preserve">Valida expediente mínimo. </w:t>
      </w:r>
    </w:p>
    <w:p>
      <w:pPr>
        <w:pStyle w:val="TextBody"/>
        <w:numPr>
          <w:ilvl w:val="0"/>
          <w:numId w:val="3"/>
        </w:numPr>
        <w:tabs>
          <w:tab w:val="left" w:pos="0" w:leader="none"/>
        </w:tabs>
        <w:spacing w:before="0" w:after="0"/>
        <w:ind w:left="1127" w:right="420" w:hanging="283"/>
        <w:rPr/>
      </w:pPr>
      <w:r>
        <w:rPr/>
        <w:t xml:space="preserve">Construye diagnóstico enriquecido. </w:t>
      </w:r>
    </w:p>
    <w:p>
      <w:pPr>
        <w:pStyle w:val="TextBody"/>
        <w:numPr>
          <w:ilvl w:val="0"/>
          <w:numId w:val="3"/>
        </w:numPr>
        <w:tabs>
          <w:tab w:val="left" w:pos="0" w:leader="none"/>
        </w:tabs>
        <w:spacing w:before="0" w:after="0"/>
        <w:ind w:left="1127" w:right="420" w:hanging="283"/>
        <w:rPr/>
      </w:pPr>
      <w:r>
        <w:rPr/>
        <w:t xml:space="preserve">Consulta la base de conocimiento para identificar el patrón más relevante. </w:t>
      </w:r>
    </w:p>
    <w:p>
      <w:pPr>
        <w:pStyle w:val="TextBody"/>
        <w:numPr>
          <w:ilvl w:val="0"/>
          <w:numId w:val="3"/>
        </w:numPr>
        <w:tabs>
          <w:tab w:val="left" w:pos="0" w:leader="none"/>
        </w:tabs>
        <w:spacing w:before="0" w:after="0"/>
        <w:ind w:left="1127" w:right="420" w:hanging="283"/>
        <w:rPr/>
      </w:pPr>
      <w:r>
        <w:rPr/>
        <w:t xml:space="preserve">Produce dictamen, mensaje y acción sugerida. </w:t>
      </w:r>
    </w:p>
    <w:p>
      <w:pPr>
        <w:pStyle w:val="TextBody"/>
        <w:numPr>
          <w:ilvl w:val="0"/>
          <w:numId w:val="3"/>
        </w:numPr>
        <w:tabs>
          <w:tab w:val="left" w:pos="0" w:leader="none"/>
        </w:tabs>
        <w:ind w:left="1127" w:right="420" w:hanging="283"/>
        <w:rPr/>
      </w:pPr>
      <w:r>
        <w:rPr/>
        <w:t xml:space="preserve">Si el caso ya existía, recalcula y actualiza la persistencia cuando cambió el contexto. </w:t>
      </w:r>
    </w:p>
    <w:p>
      <w:pPr>
        <w:pStyle w:val="Heading2"/>
        <w:ind w:left="420" w:right="420" w:hanging="0"/>
        <w:rPr/>
      </w:pPr>
      <w:r>
        <w:rPr/>
        <w:t>4. Cobertura actual de la base de conocimiento</w:t>
      </w:r>
    </w:p>
    <w:p>
      <w:pPr>
        <w:pStyle w:val="TextBody"/>
        <w:rPr/>
      </w:pPr>
      <w:r>
        <w:rPr/>
        <w:t xml:space="preserve">Se analizó el archivo </w:t>
      </w:r>
      <w:r>
        <w:rPr>
          <w:b/>
        </w:rPr>
        <w:t>casos_avance_anual_2026_2 (2).xlsx</w:t>
      </w:r>
      <w:r>
        <w:rPr/>
        <w:t xml:space="preserve">. La fuente reporta </w:t>
      </w:r>
      <w:r>
        <w:rPr>
          <w:b/>
        </w:rPr>
        <w:t>184 casos operativos</w:t>
      </w:r>
      <w:r>
        <w:rPr/>
        <w:t xml:space="preserve">. El análisis revela una realidad importante: el histórico tiene valor, pero viene con calidad de captura irregular. </w:t>
      </w:r>
    </w:p>
    <w:tbl>
      <w:tblPr>
        <w:tblW w:w="9678" w:type="dxa"/>
        <w:jc w:val="left"/>
        <w:tblInd w:w="0" w:type="dxa"/>
        <w:tblBorders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425"/>
        <w:gridCol w:w="1021"/>
        <w:gridCol w:w="4232"/>
      </w:tblGrid>
      <w:tr>
        <w:trPr/>
        <w:tc>
          <w:tcPr>
            <w:tcW w:w="4425" w:type="dxa"/>
            <w:tcBorders/>
            <w:shd w:fill="auto" w:val="clear"/>
            <w:vAlign w:val="center"/>
          </w:tcPr>
          <w:p>
            <w:pPr>
              <w:pStyle w:val="TableHeading"/>
              <w:suppressLineNumbers/>
              <w:spacing w:before="0" w:after="283"/>
              <w:jc w:val="left"/>
              <w:rPr/>
            </w:pPr>
            <w:r>
              <w:rPr/>
              <w:t>Métrica observada en el Excel</w:t>
            </w:r>
          </w:p>
        </w:tc>
        <w:tc>
          <w:tcPr>
            <w:tcW w:w="1021" w:type="dxa"/>
            <w:tcBorders/>
            <w:shd w:fill="auto" w:val="clear"/>
            <w:vAlign w:val="center"/>
          </w:tcPr>
          <w:p>
            <w:pPr>
              <w:pStyle w:val="TableHeading"/>
              <w:suppressLineNumbers/>
              <w:spacing w:before="0" w:after="283"/>
              <w:jc w:val="left"/>
              <w:rPr/>
            </w:pPr>
            <w:r>
              <w:rPr/>
              <w:t>Valor</w:t>
            </w:r>
          </w:p>
        </w:tc>
        <w:tc>
          <w:tcPr>
            <w:tcW w:w="4232" w:type="dxa"/>
            <w:tcBorders/>
            <w:shd w:fill="auto" w:val="clear"/>
            <w:vAlign w:val="center"/>
          </w:tcPr>
          <w:p>
            <w:pPr>
              <w:pStyle w:val="TableHeading"/>
              <w:suppressLineNumbers/>
              <w:spacing w:before="0" w:after="283"/>
              <w:jc w:val="left"/>
              <w:rPr/>
            </w:pPr>
            <w:r>
              <w:rPr/>
              <w:t>Impacto</w:t>
            </w:r>
          </w:p>
        </w:tc>
      </w:tr>
      <w:tr>
        <w:trPr/>
        <w:tc>
          <w:tcPr>
            <w:tcW w:w="4425" w:type="dxa"/>
            <w:tcBorders/>
            <w:shd w:fill="auto" w:val="clear"/>
            <w:vAlign w:val="center"/>
          </w:tcPr>
          <w:p>
            <w:pPr>
              <w:pStyle w:val="TableContents"/>
              <w:spacing w:before="0" w:after="283"/>
              <w:rPr/>
            </w:pPr>
            <w:r>
              <w:rPr/>
              <w:t>Total de casos reportados</w:t>
            </w:r>
          </w:p>
        </w:tc>
        <w:tc>
          <w:tcPr>
            <w:tcW w:w="1021" w:type="dxa"/>
            <w:tcBorders/>
            <w:shd w:fill="auto" w:val="clear"/>
            <w:vAlign w:val="center"/>
          </w:tcPr>
          <w:p>
            <w:pPr>
              <w:pStyle w:val="TableContents"/>
              <w:spacing w:before="0" w:after="283"/>
              <w:rPr/>
            </w:pPr>
            <w:r>
              <w:rPr/>
              <w:t>184</w:t>
            </w:r>
          </w:p>
        </w:tc>
        <w:tc>
          <w:tcPr>
            <w:tcW w:w="4232" w:type="dxa"/>
            <w:tcBorders/>
            <w:shd w:fill="auto" w:val="clear"/>
            <w:vAlign w:val="center"/>
          </w:tcPr>
          <w:p>
            <w:pPr>
              <w:pStyle w:val="TableContents"/>
              <w:spacing w:before="0" w:after="283"/>
              <w:rPr/>
            </w:pPr>
            <w:r>
              <w:rPr/>
              <w:t>Base real para medir cobertura</w:t>
            </w:r>
          </w:p>
        </w:tc>
      </w:tr>
      <w:tr>
        <w:trPr/>
        <w:tc>
          <w:tcPr>
            <w:tcW w:w="4425" w:type="dxa"/>
            <w:tcBorders/>
            <w:shd w:fill="auto" w:val="clear"/>
            <w:vAlign w:val="center"/>
          </w:tcPr>
          <w:p>
            <w:pPr>
              <w:pStyle w:val="TableContents"/>
              <w:spacing w:before="0" w:after="283"/>
              <w:rPr/>
            </w:pPr>
            <w:r>
              <w:rPr/>
              <w:t>Casos sin “Tipo de caso”</w:t>
            </w:r>
          </w:p>
        </w:tc>
        <w:tc>
          <w:tcPr>
            <w:tcW w:w="1021" w:type="dxa"/>
            <w:tcBorders/>
            <w:shd w:fill="auto" w:val="clear"/>
            <w:vAlign w:val="center"/>
          </w:tcPr>
          <w:p>
            <w:pPr>
              <w:pStyle w:val="TableContents"/>
              <w:spacing w:before="0" w:after="283"/>
              <w:rPr/>
            </w:pPr>
            <w:r>
              <w:rPr/>
              <w:t>89</w:t>
            </w:r>
          </w:p>
        </w:tc>
        <w:tc>
          <w:tcPr>
            <w:tcW w:w="4232" w:type="dxa"/>
            <w:tcBorders/>
            <w:shd w:fill="auto" w:val="clear"/>
            <w:vAlign w:val="center"/>
          </w:tcPr>
          <w:p>
            <w:pPr>
              <w:pStyle w:val="TableContents"/>
              <w:spacing w:before="0" w:after="283"/>
              <w:rPr/>
            </w:pPr>
            <w:r>
              <w:rPr/>
              <w:t>Reduce capacidad de carga directa</w:t>
            </w:r>
          </w:p>
        </w:tc>
      </w:tr>
      <w:tr>
        <w:trPr/>
        <w:tc>
          <w:tcPr>
            <w:tcW w:w="4425" w:type="dxa"/>
            <w:tcBorders/>
            <w:shd w:fill="auto" w:val="clear"/>
            <w:vAlign w:val="center"/>
          </w:tcPr>
          <w:p>
            <w:pPr>
              <w:pStyle w:val="TableContents"/>
              <w:spacing w:before="0" w:after="283"/>
              <w:rPr/>
            </w:pPr>
            <w:r>
              <w:rPr/>
              <w:t>Casos sin “Viabilidad técnica”</w:t>
            </w:r>
          </w:p>
        </w:tc>
        <w:tc>
          <w:tcPr>
            <w:tcW w:w="1021" w:type="dxa"/>
            <w:tcBorders/>
            <w:shd w:fill="auto" w:val="clear"/>
            <w:vAlign w:val="center"/>
          </w:tcPr>
          <w:p>
            <w:pPr>
              <w:pStyle w:val="TableContents"/>
              <w:spacing w:before="0" w:after="283"/>
              <w:rPr/>
            </w:pPr>
            <w:r>
              <w:rPr/>
              <w:t>60</w:t>
            </w:r>
          </w:p>
        </w:tc>
        <w:tc>
          <w:tcPr>
            <w:tcW w:w="4232" w:type="dxa"/>
            <w:tcBorders/>
            <w:shd w:fill="auto" w:val="clear"/>
            <w:vAlign w:val="center"/>
          </w:tcPr>
          <w:p>
            <w:pPr>
              <w:pStyle w:val="TableContents"/>
              <w:spacing w:before="0" w:after="283"/>
              <w:rPr/>
            </w:pPr>
            <w:r>
              <w:rPr/>
              <w:t>Obliga a inferir o a curar antes de sembrar</w:t>
            </w:r>
          </w:p>
        </w:tc>
      </w:tr>
      <w:tr>
        <w:trPr/>
        <w:tc>
          <w:tcPr>
            <w:tcW w:w="4425" w:type="dxa"/>
            <w:tcBorders/>
            <w:shd w:fill="auto" w:val="clear"/>
            <w:vAlign w:val="center"/>
          </w:tcPr>
          <w:p>
            <w:pPr>
              <w:pStyle w:val="TableContents"/>
              <w:spacing w:before="0" w:after="283"/>
              <w:rPr/>
            </w:pPr>
            <w:r>
              <w:rPr/>
              <w:t>Filas donde el tipo es texto libre o resolución</w:t>
            </w:r>
          </w:p>
        </w:tc>
        <w:tc>
          <w:tcPr>
            <w:tcW w:w="1021" w:type="dxa"/>
            <w:tcBorders/>
            <w:shd w:fill="auto" w:val="clear"/>
            <w:vAlign w:val="center"/>
          </w:tcPr>
          <w:p>
            <w:pPr>
              <w:pStyle w:val="TableContents"/>
              <w:spacing w:before="0" w:after="283"/>
              <w:rPr/>
            </w:pPr>
            <w:r>
              <w:rPr/>
              <w:t>Alto</w:t>
            </w:r>
          </w:p>
        </w:tc>
        <w:tc>
          <w:tcPr>
            <w:tcW w:w="4232" w:type="dxa"/>
            <w:tcBorders/>
            <w:shd w:fill="auto" w:val="clear"/>
            <w:vAlign w:val="center"/>
          </w:tcPr>
          <w:p>
            <w:pPr>
              <w:pStyle w:val="TableContents"/>
              <w:spacing w:before="0" w:after="283"/>
              <w:rPr/>
            </w:pPr>
            <w:r>
              <w:rPr/>
              <w:t>Contamina la taxonomía y baja precisión</w:t>
            </w:r>
          </w:p>
        </w:tc>
      </w:tr>
    </w:tbl>
    <w:p>
      <w:pPr>
        <w:pStyle w:val="Heading3"/>
        <w:ind w:left="420" w:right="420" w:hanging="0"/>
        <w:rPr/>
      </w:pPr>
      <w:r>
        <w:rPr/>
        <w:t>4.1 Cobertura por familias formales</w:t>
      </w:r>
    </w:p>
    <w:p>
      <w:pPr>
        <w:pStyle w:val="TextBody"/>
        <w:rPr/>
      </w:pPr>
      <w:r>
        <w:rPr/>
        <w:t>De las 7 familias formales observables en la hoja de catálogos del Excel:</w:t>
      </w:r>
    </w:p>
    <w:p>
      <w:pPr>
        <w:pStyle w:val="TextBody"/>
        <w:numPr>
          <w:ilvl w:val="0"/>
          <w:numId w:val="4"/>
        </w:numPr>
        <w:tabs>
          <w:tab w:val="left" w:pos="0" w:leader="none"/>
        </w:tabs>
        <w:spacing w:before="0" w:after="0"/>
        <w:ind w:left="1127" w:right="420" w:hanging="283"/>
        <w:rPr/>
      </w:pPr>
      <w:r>
        <w:rPr/>
        <w:t xml:space="preserve">cubiertas explícitamente: </w:t>
      </w:r>
      <w:r>
        <w:rPr>
          <w:b/>
        </w:rPr>
        <w:t>5</w:t>
      </w:r>
      <w:r>
        <w:rPr/>
        <w:t xml:space="preserve"> </w:t>
      </w:r>
    </w:p>
    <w:p>
      <w:pPr>
        <w:pStyle w:val="TextBody"/>
        <w:numPr>
          <w:ilvl w:val="0"/>
          <w:numId w:val="4"/>
        </w:numPr>
        <w:tabs>
          <w:tab w:val="left" w:pos="0" w:leader="none"/>
        </w:tabs>
        <w:spacing w:before="0" w:after="0"/>
        <w:ind w:left="1127" w:right="420" w:hanging="283"/>
        <w:rPr/>
      </w:pPr>
      <w:r>
        <w:rPr/>
        <w:t xml:space="preserve">cubiertas parcialmente o genéricas: </w:t>
      </w:r>
      <w:r>
        <w:rPr>
          <w:b/>
        </w:rPr>
        <w:t>1</w:t>
      </w:r>
      <w:r>
        <w:rPr/>
        <w:t xml:space="preserve"> </w:t>
      </w:r>
    </w:p>
    <w:p>
      <w:pPr>
        <w:pStyle w:val="TextBody"/>
        <w:numPr>
          <w:ilvl w:val="0"/>
          <w:numId w:val="4"/>
        </w:numPr>
        <w:tabs>
          <w:tab w:val="left" w:pos="0" w:leader="none"/>
        </w:tabs>
        <w:ind w:left="1127" w:right="420" w:hanging="283"/>
        <w:rPr/>
      </w:pPr>
      <w:r>
        <w:rPr/>
        <w:t xml:space="preserve">no cubiertas explícitamente: </w:t>
      </w:r>
      <w:r>
        <w:rPr>
          <w:b/>
        </w:rPr>
        <w:t>1</w:t>
      </w:r>
      <w:r>
        <w:rPr/>
        <w:t xml:space="preserve"> </w:t>
      </w:r>
    </w:p>
    <w:p>
      <w:pPr>
        <w:pStyle w:val="TextBody"/>
        <w:rPr/>
      </w:pPr>
      <w:r>
        <w:rPr>
          <w:b/>
        </w:rPr>
        <w:t>Cobertura formal explícita actual:</w:t>
      </w:r>
      <w:r>
        <w:rPr/>
        <w:t xml:space="preserve"> </w:t>
      </w:r>
      <w:r>
        <w:rPr>
          <w:b/>
        </w:rPr>
        <w:t>71.4%</w:t>
      </w:r>
      <w:r>
        <w:rPr/>
        <w:t>.</w:t>
      </w:r>
    </w:p>
    <w:p>
      <w:pPr>
        <w:pStyle w:val="Heading3"/>
        <w:ind w:left="420" w:right="420" w:hanging="0"/>
        <w:rPr/>
      </w:pPr>
      <w:r>
        <w:rPr/>
        <w:t>4.2 Cobertura efectiva sobre tickets reales</w:t>
      </w:r>
    </w:p>
    <w:p>
      <w:pPr>
        <w:pStyle w:val="TextBody"/>
        <w:rPr/>
      </w:pPr>
      <w:r>
        <w:rPr/>
        <w:t xml:space="preserve">La cobertura real no se debe reportar sólo con familias nominales. Debe medirse contra los 184 tickets reales. Con esa lógica, la cobertura actual se estima así: </w:t>
      </w:r>
    </w:p>
    <w:tbl>
      <w:tblPr>
        <w:tblW w:w="10539" w:type="dxa"/>
        <w:jc w:val="left"/>
        <w:tblInd w:w="0" w:type="dxa"/>
        <w:tblBorders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646"/>
        <w:gridCol w:w="2015"/>
        <w:gridCol w:w="5878"/>
      </w:tblGrid>
      <w:tr>
        <w:trPr/>
        <w:tc>
          <w:tcPr>
            <w:tcW w:w="2646" w:type="dxa"/>
            <w:tcBorders/>
            <w:shd w:fill="auto" w:val="clear"/>
            <w:vAlign w:val="center"/>
          </w:tcPr>
          <w:p>
            <w:pPr>
              <w:pStyle w:val="TableHeading"/>
              <w:suppressLineNumbers/>
              <w:spacing w:before="0" w:after="283"/>
              <w:jc w:val="left"/>
              <w:rPr/>
            </w:pPr>
            <w:r>
              <w:rPr/>
              <w:t>Tipo de cobertura</w:t>
            </w:r>
          </w:p>
        </w:tc>
        <w:tc>
          <w:tcPr>
            <w:tcW w:w="2015" w:type="dxa"/>
            <w:tcBorders/>
            <w:shd w:fill="auto" w:val="clear"/>
            <w:vAlign w:val="center"/>
          </w:tcPr>
          <w:p>
            <w:pPr>
              <w:pStyle w:val="TableHeading"/>
              <w:suppressLineNumbers/>
              <w:spacing w:before="0" w:after="283"/>
              <w:jc w:val="left"/>
              <w:rPr/>
            </w:pPr>
            <w:r>
              <w:rPr/>
              <w:t>Estimación actual</w:t>
            </w:r>
          </w:p>
        </w:tc>
        <w:tc>
          <w:tcPr>
            <w:tcW w:w="5878" w:type="dxa"/>
            <w:tcBorders/>
            <w:shd w:fill="auto" w:val="clear"/>
            <w:vAlign w:val="center"/>
          </w:tcPr>
          <w:p>
            <w:pPr>
              <w:pStyle w:val="TableHeading"/>
              <w:suppressLineNumbers/>
              <w:spacing w:before="0" w:after="283"/>
              <w:jc w:val="left"/>
              <w:rPr/>
            </w:pPr>
            <w:r>
              <w:rPr/>
              <w:t>Lectura</w:t>
            </w:r>
          </w:p>
        </w:tc>
      </w:tr>
      <w:tr>
        <w:trPr/>
        <w:tc>
          <w:tcPr>
            <w:tcW w:w="2646" w:type="dxa"/>
            <w:tcBorders/>
            <w:shd w:fill="auto" w:val="clear"/>
            <w:vAlign w:val="center"/>
          </w:tcPr>
          <w:p>
            <w:pPr>
              <w:pStyle w:val="TableContents"/>
              <w:spacing w:before="0" w:after="283"/>
              <w:rPr/>
            </w:pPr>
            <w:r>
              <w:rPr/>
              <w:t>Cobertura precisa</w:t>
            </w:r>
          </w:p>
        </w:tc>
        <w:tc>
          <w:tcPr>
            <w:tcW w:w="2015" w:type="dxa"/>
            <w:tcBorders/>
            <w:shd w:fill="auto" w:val="clear"/>
            <w:vAlign w:val="center"/>
          </w:tcPr>
          <w:p>
            <w:pPr>
              <w:pStyle w:val="TableContents"/>
              <w:spacing w:before="0" w:after="283"/>
              <w:rPr/>
            </w:pPr>
            <w:r>
              <w:rPr/>
              <w:t>35% a 45%</w:t>
            </w:r>
          </w:p>
        </w:tc>
        <w:tc>
          <w:tcPr>
            <w:tcW w:w="5878" w:type="dxa"/>
            <w:tcBorders/>
            <w:shd w:fill="auto" w:val="clear"/>
            <w:vAlign w:val="center"/>
          </w:tcPr>
          <w:p>
            <w:pPr>
              <w:pStyle w:val="TableContents"/>
              <w:spacing w:before="0" w:after="283"/>
              <w:rPr/>
            </w:pPr>
            <w:r>
              <w:rPr/>
              <w:t>Casos en los que la respuesta ya es fina y contextualmente correcta</w:t>
            </w:r>
          </w:p>
        </w:tc>
      </w:tr>
      <w:tr>
        <w:trPr/>
        <w:tc>
          <w:tcPr>
            <w:tcW w:w="2646" w:type="dxa"/>
            <w:tcBorders/>
            <w:shd w:fill="auto" w:val="clear"/>
            <w:vAlign w:val="center"/>
          </w:tcPr>
          <w:p>
            <w:pPr>
              <w:pStyle w:val="TableContents"/>
              <w:spacing w:before="0" w:after="283"/>
              <w:rPr/>
            </w:pPr>
            <w:r>
              <w:rPr/>
              <w:t>Cobertura operativa aceptable</w:t>
            </w:r>
          </w:p>
        </w:tc>
        <w:tc>
          <w:tcPr>
            <w:tcW w:w="2015" w:type="dxa"/>
            <w:tcBorders/>
            <w:shd w:fill="auto" w:val="clear"/>
            <w:vAlign w:val="center"/>
          </w:tcPr>
          <w:p>
            <w:pPr>
              <w:pStyle w:val="TableContents"/>
              <w:spacing w:before="0" w:after="283"/>
              <w:rPr/>
            </w:pPr>
            <w:r>
              <w:rPr/>
              <w:t>55% a 60%</w:t>
            </w:r>
          </w:p>
        </w:tc>
        <w:tc>
          <w:tcPr>
            <w:tcW w:w="5878" w:type="dxa"/>
            <w:tcBorders/>
            <w:shd w:fill="auto" w:val="clear"/>
            <w:vAlign w:val="center"/>
          </w:tcPr>
          <w:p>
            <w:pPr>
              <w:pStyle w:val="TableContents"/>
              <w:spacing w:before="0" w:after="283"/>
              <w:rPr/>
            </w:pPr>
            <w:r>
              <w:rPr/>
              <w:t>Casos que ya reciben una orientación o dictamen útil, aunque todavía genérico</w:t>
            </w:r>
          </w:p>
        </w:tc>
      </w:tr>
    </w:tbl>
    <w:p>
      <w:pPr>
        <w:pStyle w:val="TextBody"/>
        <w:spacing w:before="210" w:after="210"/>
        <w:ind w:left="210" w:right="210" w:hanging="0"/>
        <w:rPr>
          <w:highlight w:val="yellow"/>
          <w:bdr w:val="single" w:sz="24" w:space="10" w:color="CC8B2C"/>
        </w:rPr>
      </w:pPr>
      <w:r>
        <w:rPr>
          <w:b/>
          <w:highlight w:val="yellow"/>
          <w:bdr w:val="single" w:sz="24" w:space="10" w:color="CC8B2C"/>
        </w:rPr>
        <w:t>Conclusión ejecutiva:</w:t>
      </w:r>
      <w:r>
        <w:rPr>
          <w:highlight w:val="yellow"/>
          <w:bdr w:val="single" w:sz="24" w:space="10" w:color="CC8B2C"/>
        </w:rPr>
        <w:t xml:space="preserve"> el motor ya es funcional, pero la base de conocimiento aún está en fase intermedia de madurez. No debe presentarse como cobertura completa del universo de casos. </w:t>
      </w:r>
    </w:p>
    <w:p>
      <w:pPr>
        <w:pStyle w:val="Heading2"/>
        <w:ind w:left="420" w:right="420" w:hanging="0"/>
        <w:rPr/>
      </w:pPr>
      <w:r>
        <w:rPr/>
        <w:t>5. Cómo se alimentará la base para hacerla más fina y precisa</w:t>
      </w:r>
    </w:p>
    <w:p>
      <w:pPr>
        <w:pStyle w:val="Heading3"/>
        <w:ind w:left="420" w:right="420" w:hanging="0"/>
        <w:rPr/>
      </w:pPr>
      <w:r>
        <w:rPr/>
        <w:t>5.1 Recomendación</w:t>
      </w:r>
    </w:p>
    <w:p>
      <w:pPr>
        <w:pStyle w:val="TextBody"/>
        <w:rPr/>
      </w:pPr>
      <w:r>
        <w:rPr/>
        <w:t>La estrategia correcta es mixta:</w:t>
      </w:r>
    </w:p>
    <w:p>
      <w:pPr>
        <w:pStyle w:val="TextBody"/>
        <w:numPr>
          <w:ilvl w:val="0"/>
          <w:numId w:val="5"/>
        </w:numPr>
        <w:tabs>
          <w:tab w:val="left" w:pos="0" w:leader="none"/>
        </w:tabs>
        <w:spacing w:before="0" w:after="0"/>
        <w:ind w:left="1127" w:right="420" w:hanging="283"/>
        <w:rPr/>
      </w:pPr>
      <w:r>
        <w:rPr>
          <w:b/>
        </w:rPr>
        <w:t>Carga inicial adicional curada:</w:t>
      </w:r>
      <w:r>
        <w:rPr/>
        <w:t xml:space="preserve"> sí se necesitan más lotes iniciales desde el histórico. </w:t>
      </w:r>
    </w:p>
    <w:p>
      <w:pPr>
        <w:pStyle w:val="TextBody"/>
        <w:numPr>
          <w:ilvl w:val="0"/>
          <w:numId w:val="5"/>
        </w:numPr>
        <w:tabs>
          <w:tab w:val="left" w:pos="0" w:leader="none"/>
        </w:tabs>
        <w:spacing w:before="0" w:after="0"/>
        <w:ind w:left="1127" w:right="420" w:hanging="283"/>
        <w:rPr/>
      </w:pPr>
      <w:r>
        <w:rPr>
          <w:b/>
        </w:rPr>
        <w:t>Retroalimentación operativa estructurada:</w:t>
      </w:r>
      <w:r>
        <w:rPr/>
        <w:t xml:space="preserve"> cada caso atendido debe dejar datos útiles para el conocimiento. </w:t>
      </w:r>
    </w:p>
    <w:p>
      <w:pPr>
        <w:pStyle w:val="TextBody"/>
        <w:numPr>
          <w:ilvl w:val="0"/>
          <w:numId w:val="5"/>
        </w:numPr>
        <w:tabs>
          <w:tab w:val="left" w:pos="0" w:leader="none"/>
        </w:tabs>
        <w:ind w:left="1127" w:right="420" w:hanging="283"/>
        <w:rPr/>
      </w:pPr>
      <w:r>
        <w:rPr>
          <w:b/>
        </w:rPr>
        <w:t>Gobernanza funcional:</w:t>
      </w:r>
      <w:r>
        <w:rPr/>
        <w:t xml:space="preserve"> no cualquier usuario debe editar patrones y mensajes libremente. </w:t>
      </w:r>
    </w:p>
    <w:p>
      <w:pPr>
        <w:pStyle w:val="Heading3"/>
        <w:ind w:left="420" w:right="420" w:hanging="0"/>
        <w:rPr/>
      </w:pPr>
      <w:r>
        <w:rPr/>
        <w:t>5.2 Por qué no basta con aprender “sobre la marcha”</w:t>
      </w:r>
    </w:p>
    <w:p>
      <w:pPr>
        <w:pStyle w:val="TextBody"/>
        <w:rPr/>
      </w:pPr>
      <w:r>
        <w:rPr/>
        <w:t xml:space="preserve">Si la base se alimenta sólo conforme se atienden casos, el crecimiento será lento, inconsistente y sesgado por los casos recientes. Para llegar a una cobertura útil de corto plazo, se necesita una segunda y tercera carga curada del histórico. </w:t>
      </w:r>
    </w:p>
    <w:p>
      <w:pPr>
        <w:pStyle w:val="Heading3"/>
        <w:ind w:left="420" w:right="420" w:hanging="0"/>
        <w:rPr/>
      </w:pPr>
      <w:r>
        <w:rPr/>
        <w:t>5.3 Cómo debe quedar el modelo de alimentación</w:t>
      </w:r>
    </w:p>
    <w:tbl>
      <w:tblPr>
        <w:tblW w:w="10539" w:type="dxa"/>
        <w:jc w:val="left"/>
        <w:tblInd w:w="0" w:type="dxa"/>
        <w:tblBorders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788"/>
        <w:gridCol w:w="4990"/>
        <w:gridCol w:w="2761"/>
      </w:tblGrid>
      <w:tr>
        <w:trPr/>
        <w:tc>
          <w:tcPr>
            <w:tcW w:w="2788" w:type="dxa"/>
            <w:tcBorders/>
            <w:shd w:fill="auto" w:val="clear"/>
            <w:vAlign w:val="center"/>
          </w:tcPr>
          <w:p>
            <w:pPr>
              <w:pStyle w:val="TableHeading"/>
              <w:suppressLineNumbers/>
              <w:spacing w:before="0" w:after="283"/>
              <w:jc w:val="left"/>
              <w:rPr/>
            </w:pPr>
            <w:r>
              <w:rPr/>
              <w:t>Fase</w:t>
            </w:r>
          </w:p>
        </w:tc>
        <w:tc>
          <w:tcPr>
            <w:tcW w:w="4990" w:type="dxa"/>
            <w:tcBorders/>
            <w:shd w:fill="auto" w:val="clear"/>
            <w:vAlign w:val="center"/>
          </w:tcPr>
          <w:p>
            <w:pPr>
              <w:pStyle w:val="TableHeading"/>
              <w:suppressLineNumbers/>
              <w:spacing w:before="0" w:after="283"/>
              <w:jc w:val="left"/>
              <w:rPr/>
            </w:pPr>
            <w:r>
              <w:rPr/>
              <w:t>Qué se hace</w:t>
            </w:r>
          </w:p>
        </w:tc>
        <w:tc>
          <w:tcPr>
            <w:tcW w:w="2761" w:type="dxa"/>
            <w:tcBorders/>
            <w:shd w:fill="auto" w:val="clear"/>
            <w:vAlign w:val="center"/>
          </w:tcPr>
          <w:p>
            <w:pPr>
              <w:pStyle w:val="TableHeading"/>
              <w:suppressLineNumbers/>
              <w:spacing w:before="0" w:after="283"/>
              <w:jc w:val="left"/>
              <w:rPr/>
            </w:pPr>
            <w:r>
              <w:rPr/>
              <w:t>Resultado esperado</w:t>
            </w:r>
          </w:p>
        </w:tc>
      </w:tr>
      <w:tr>
        <w:trPr/>
        <w:tc>
          <w:tcPr>
            <w:tcW w:w="2788" w:type="dxa"/>
            <w:tcBorders/>
            <w:shd w:fill="auto" w:val="clear"/>
            <w:vAlign w:val="center"/>
          </w:tcPr>
          <w:p>
            <w:pPr>
              <w:pStyle w:val="TableContents"/>
              <w:spacing w:before="0" w:after="283"/>
              <w:rPr/>
            </w:pPr>
            <w:r>
              <w:rPr/>
              <w:t>1. Curación inicial</w:t>
            </w:r>
          </w:p>
        </w:tc>
        <w:tc>
          <w:tcPr>
            <w:tcW w:w="4990" w:type="dxa"/>
            <w:tcBorders/>
            <w:shd w:fill="auto" w:val="clear"/>
            <w:vAlign w:val="center"/>
          </w:tcPr>
          <w:p>
            <w:pPr>
              <w:pStyle w:val="TableContents"/>
              <w:spacing w:before="0" w:after="283"/>
              <w:rPr/>
            </w:pPr>
            <w:r>
              <w:rPr/>
              <w:t>Normalizar el Excel histórico y sembrar nuevos patrones, mensajes, criterios y acciones</w:t>
            </w:r>
          </w:p>
        </w:tc>
        <w:tc>
          <w:tcPr>
            <w:tcW w:w="2761" w:type="dxa"/>
            <w:tcBorders/>
            <w:shd w:fill="auto" w:val="clear"/>
            <w:vAlign w:val="center"/>
          </w:tcPr>
          <w:p>
            <w:pPr>
              <w:pStyle w:val="TableContents"/>
              <w:spacing w:before="0" w:after="283"/>
              <w:rPr/>
            </w:pPr>
            <w:r>
              <w:rPr/>
              <w:t>Subir cobertura precisa a 60%-70%</w:t>
            </w:r>
          </w:p>
        </w:tc>
      </w:tr>
      <w:tr>
        <w:trPr/>
        <w:tc>
          <w:tcPr>
            <w:tcW w:w="2788" w:type="dxa"/>
            <w:tcBorders/>
            <w:shd w:fill="auto" w:val="clear"/>
            <w:vAlign w:val="center"/>
          </w:tcPr>
          <w:p>
            <w:pPr>
              <w:pStyle w:val="TableContents"/>
              <w:spacing w:before="0" w:after="283"/>
              <w:rPr/>
            </w:pPr>
            <w:r>
              <w:rPr/>
              <w:t>2. Captura estructurada al cerrar casos</w:t>
            </w:r>
          </w:p>
        </w:tc>
        <w:tc>
          <w:tcPr>
            <w:tcW w:w="4990" w:type="dxa"/>
            <w:tcBorders/>
            <w:shd w:fill="auto" w:val="clear"/>
            <w:vAlign w:val="center"/>
          </w:tcPr>
          <w:p>
            <w:pPr>
              <w:pStyle w:val="TableContents"/>
              <w:spacing w:before="0" w:after="283"/>
              <w:rPr/>
            </w:pPr>
            <w:r>
              <w:rPr/>
              <w:t>Registrar tipo confirmado, motivo, viabilidad, resolución y excepción</w:t>
            </w:r>
          </w:p>
        </w:tc>
        <w:tc>
          <w:tcPr>
            <w:tcW w:w="2761" w:type="dxa"/>
            <w:tcBorders/>
            <w:shd w:fill="auto" w:val="clear"/>
            <w:vAlign w:val="center"/>
          </w:tcPr>
          <w:p>
            <w:pPr>
              <w:pStyle w:val="TableContents"/>
              <w:spacing w:before="0" w:after="283"/>
              <w:rPr/>
            </w:pPr>
            <w:r>
              <w:rPr/>
              <w:t>Aprendizaje institucional acumulativo</w:t>
            </w:r>
          </w:p>
        </w:tc>
      </w:tr>
      <w:tr>
        <w:trPr/>
        <w:tc>
          <w:tcPr>
            <w:tcW w:w="2788" w:type="dxa"/>
            <w:tcBorders/>
            <w:shd w:fill="auto" w:val="clear"/>
            <w:vAlign w:val="center"/>
          </w:tcPr>
          <w:p>
            <w:pPr>
              <w:pStyle w:val="TableContents"/>
              <w:spacing w:before="0" w:after="283"/>
              <w:rPr/>
            </w:pPr>
            <w:r>
              <w:rPr/>
              <w:t>3. Gobernanza</w:t>
            </w:r>
          </w:p>
        </w:tc>
        <w:tc>
          <w:tcPr>
            <w:tcW w:w="4990" w:type="dxa"/>
            <w:tcBorders/>
            <w:shd w:fill="auto" w:val="clear"/>
            <w:vAlign w:val="center"/>
          </w:tcPr>
          <w:p>
            <w:pPr>
              <w:pStyle w:val="TableContents"/>
              <w:spacing w:before="0" w:after="283"/>
              <w:rPr/>
            </w:pPr>
            <w:r>
              <w:rPr/>
              <w:t>Validar y aprobar cambios de conocimiento con un comité funcional</w:t>
            </w:r>
          </w:p>
        </w:tc>
        <w:tc>
          <w:tcPr>
            <w:tcW w:w="2761" w:type="dxa"/>
            <w:tcBorders/>
            <w:shd w:fill="auto" w:val="clear"/>
            <w:vAlign w:val="center"/>
          </w:tcPr>
          <w:p>
            <w:pPr>
              <w:pStyle w:val="TableContents"/>
              <w:spacing w:before="0" w:after="283"/>
              <w:rPr/>
            </w:pPr>
            <w:r>
              <w:rPr/>
              <w:t>Consistencia y control de calidad</w:t>
            </w:r>
          </w:p>
        </w:tc>
      </w:tr>
    </w:tbl>
    <w:p>
      <w:pPr>
        <w:pStyle w:val="Heading2"/>
        <w:ind w:left="420" w:right="420" w:hanging="0"/>
        <w:rPr/>
      </w:pPr>
      <w:r>
        <w:rPr/>
        <w:t>6. ¿Se necesita una interfaz de carga?</w:t>
      </w:r>
    </w:p>
    <w:p>
      <w:pPr>
        <w:pStyle w:val="TextBody"/>
        <w:rPr>
          <w:b/>
          <w:b/>
        </w:rPr>
      </w:pPr>
      <w:r>
        <w:rPr>
          <w:b/>
        </w:rPr>
        <w:t>Sí, pero no como primer paso absoluto.</w:t>
      </w:r>
    </w:p>
    <w:p>
      <w:pPr>
        <w:pStyle w:val="TextBody"/>
        <w:rPr/>
      </w:pPr>
      <w:r>
        <w:rPr/>
        <w:t>La secuencia correcta es:</w:t>
      </w:r>
    </w:p>
    <w:p>
      <w:pPr>
        <w:pStyle w:val="TextBody"/>
        <w:numPr>
          <w:ilvl w:val="0"/>
          <w:numId w:val="6"/>
        </w:numPr>
        <w:tabs>
          <w:tab w:val="left" w:pos="0" w:leader="none"/>
        </w:tabs>
        <w:spacing w:before="0" w:after="0"/>
        <w:ind w:left="1127" w:right="420" w:hanging="283"/>
        <w:rPr/>
      </w:pPr>
      <w:r>
        <w:rPr/>
        <w:t xml:space="preserve">hacer más cargas curadas por lote; </w:t>
      </w:r>
    </w:p>
    <w:p>
      <w:pPr>
        <w:pStyle w:val="TextBody"/>
        <w:numPr>
          <w:ilvl w:val="0"/>
          <w:numId w:val="6"/>
        </w:numPr>
        <w:tabs>
          <w:tab w:val="left" w:pos="0" w:leader="none"/>
        </w:tabs>
        <w:spacing w:before="0" w:after="0"/>
        <w:ind w:left="1127" w:right="420" w:hanging="283"/>
        <w:rPr/>
      </w:pPr>
      <w:r>
        <w:rPr/>
        <w:t xml:space="preserve">estabilizar taxonomía, mensajes y criterios; </w:t>
      </w:r>
    </w:p>
    <w:p>
      <w:pPr>
        <w:pStyle w:val="TextBody"/>
        <w:numPr>
          <w:ilvl w:val="0"/>
          <w:numId w:val="6"/>
        </w:numPr>
        <w:tabs>
          <w:tab w:val="left" w:pos="0" w:leader="none"/>
        </w:tabs>
        <w:ind w:left="1127" w:right="420" w:hanging="283"/>
        <w:rPr/>
      </w:pPr>
      <w:r>
        <w:rPr/>
        <w:t xml:space="preserve">después construir una interfaz administrativa ligera. </w:t>
      </w:r>
    </w:p>
    <w:p>
      <w:pPr>
        <w:pStyle w:val="TextBody"/>
        <w:rPr/>
      </w:pPr>
      <w:r>
        <w:rPr/>
        <w:t>La interfaz deberá permitir:</w:t>
      </w:r>
    </w:p>
    <w:p>
      <w:pPr>
        <w:pStyle w:val="TextBody"/>
        <w:numPr>
          <w:ilvl w:val="0"/>
          <w:numId w:val="7"/>
        </w:numPr>
        <w:tabs>
          <w:tab w:val="left" w:pos="0" w:leader="none"/>
        </w:tabs>
        <w:spacing w:before="0" w:after="0"/>
        <w:ind w:left="1127" w:right="420" w:hanging="283"/>
        <w:rPr/>
      </w:pPr>
      <w:r>
        <w:rPr/>
        <w:t xml:space="preserve">alta/edición de patrones; </w:t>
      </w:r>
    </w:p>
    <w:p>
      <w:pPr>
        <w:pStyle w:val="TextBody"/>
        <w:numPr>
          <w:ilvl w:val="0"/>
          <w:numId w:val="7"/>
        </w:numPr>
        <w:tabs>
          <w:tab w:val="left" w:pos="0" w:leader="none"/>
        </w:tabs>
        <w:spacing w:before="0" w:after="0"/>
        <w:ind w:left="1127" w:right="420" w:hanging="283"/>
        <w:rPr/>
      </w:pPr>
      <w:r>
        <w:rPr/>
        <w:t xml:space="preserve">alta/edición de mensajes; </w:t>
      </w:r>
    </w:p>
    <w:p>
      <w:pPr>
        <w:pStyle w:val="TextBody"/>
        <w:numPr>
          <w:ilvl w:val="0"/>
          <w:numId w:val="7"/>
        </w:numPr>
        <w:tabs>
          <w:tab w:val="left" w:pos="0" w:leader="none"/>
        </w:tabs>
        <w:spacing w:before="0" w:after="0"/>
        <w:ind w:left="1127" w:right="420" w:hanging="283"/>
        <w:rPr/>
      </w:pPr>
      <w:r>
        <w:rPr/>
        <w:t xml:space="preserve">importación de lotes normalizados; </w:t>
      </w:r>
    </w:p>
    <w:p>
      <w:pPr>
        <w:pStyle w:val="TextBody"/>
        <w:numPr>
          <w:ilvl w:val="0"/>
          <w:numId w:val="7"/>
        </w:numPr>
        <w:tabs>
          <w:tab w:val="left" w:pos="0" w:leader="none"/>
        </w:tabs>
        <w:ind w:left="1127" w:right="420" w:hanging="283"/>
        <w:rPr/>
      </w:pPr>
      <w:r>
        <w:rPr/>
        <w:t xml:space="preserve">aprobación/versionado de cambios. </w:t>
      </w:r>
    </w:p>
    <w:p>
      <w:pPr>
        <w:pStyle w:val="Heading2"/>
        <w:ind w:left="420" w:right="420" w:hanging="0"/>
        <w:rPr/>
      </w:pPr>
      <w:r>
        <w:rPr/>
        <w:t>7. Diagrama de tablas nuevas y relación con el modelo existente</w:t>
      </w:r>
    </w:p>
    <w:p>
      <w:pPr>
        <w:pStyle w:val="TextBodysmall"/>
        <w:rPr/>
      </w:pPr>
      <w:r>
        <w:rPr/>
        <w:t xml:space="preserve">El diagrama muestra tanto las tablas nuevas de V2 como su anclaje lógico con el modelo existente de SIGIE por persona, plan y periodo. </w:t>
      </w:r>
    </w:p>
    <w:p>
      <w:pPr>
        <w:pStyle w:val="TextBodycenter"/>
        <w:rPr/>
      </w:pPr>
      <w:r>
        <w:rPr/>
        <w:drawing>
          <wp:inline distT="0" distB="0" distL="0" distR="0">
            <wp:extent cx="2267585" cy="1132840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7585" cy="113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Heading2"/>
        <w:ind w:left="420" w:right="420" w:hanging="0"/>
        <w:rPr/>
      </w:pPr>
      <w:r>
        <w:rPr/>
        <w:t>8. Diccionario de tablas nuevas</w:t>
      </w:r>
    </w:p>
    <w:tbl>
      <w:tblPr>
        <w:tblW w:w="10539" w:type="dxa"/>
        <w:jc w:val="left"/>
        <w:tblInd w:w="0" w:type="dxa"/>
        <w:tblBorders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991"/>
        <w:gridCol w:w="2003"/>
        <w:gridCol w:w="2913"/>
        <w:gridCol w:w="3631"/>
      </w:tblGrid>
      <w:tr>
        <w:trPr/>
        <w:tc>
          <w:tcPr>
            <w:tcW w:w="1991" w:type="dxa"/>
            <w:tcBorders/>
            <w:shd w:fill="auto" w:val="clear"/>
            <w:vAlign w:val="center"/>
          </w:tcPr>
          <w:p>
            <w:pPr>
              <w:pStyle w:val="TableHeading"/>
              <w:suppressLineNumbers/>
              <w:spacing w:before="0" w:after="283"/>
              <w:jc w:val="left"/>
              <w:rPr/>
            </w:pPr>
            <w:r>
              <w:rPr/>
              <w:t>Tabla</w:t>
            </w:r>
          </w:p>
        </w:tc>
        <w:tc>
          <w:tcPr>
            <w:tcW w:w="2003" w:type="dxa"/>
            <w:tcBorders/>
            <w:shd w:fill="auto" w:val="clear"/>
            <w:vAlign w:val="center"/>
          </w:tcPr>
          <w:p>
            <w:pPr>
              <w:pStyle w:val="TableHeading"/>
              <w:suppressLineNumbers/>
              <w:spacing w:before="0" w:after="283"/>
              <w:jc w:val="left"/>
              <w:rPr/>
            </w:pPr>
            <w:r>
              <w:rPr/>
              <w:t>Tipo</w:t>
            </w:r>
          </w:p>
        </w:tc>
        <w:tc>
          <w:tcPr>
            <w:tcW w:w="2913" w:type="dxa"/>
            <w:tcBorders/>
            <w:shd w:fill="auto" w:val="clear"/>
            <w:vAlign w:val="center"/>
          </w:tcPr>
          <w:p>
            <w:pPr>
              <w:pStyle w:val="TableHeading"/>
              <w:suppressLineNumbers/>
              <w:spacing w:before="0" w:after="283"/>
              <w:jc w:val="left"/>
              <w:rPr/>
            </w:pPr>
            <w:r>
              <w:rPr/>
              <w:t>Propósito</w:t>
            </w:r>
          </w:p>
        </w:tc>
        <w:tc>
          <w:tcPr>
            <w:tcW w:w="3631" w:type="dxa"/>
            <w:tcBorders/>
            <w:shd w:fill="auto" w:val="clear"/>
            <w:vAlign w:val="center"/>
          </w:tcPr>
          <w:p>
            <w:pPr>
              <w:pStyle w:val="TableHeading"/>
              <w:suppressLineNumbers/>
              <w:spacing w:before="0" w:after="283"/>
              <w:jc w:val="left"/>
              <w:rPr/>
            </w:pPr>
            <w:r>
              <w:rPr/>
              <w:t>Relaciones</w:t>
            </w:r>
          </w:p>
        </w:tc>
      </w:tr>
      <w:tr>
        <w:trPr/>
        <w:tc>
          <w:tcPr>
            <w:tcW w:w="1991" w:type="dxa"/>
            <w:tcBorders/>
            <w:shd w:fill="auto" w:val="clear"/>
            <w:vAlign w:val="center"/>
          </w:tcPr>
          <w:p>
            <w:pPr>
              <w:pStyle w:val="TableContents"/>
              <w:spacing w:before="0" w:after="283"/>
              <w:rPr/>
            </w:pPr>
            <w:r>
              <w:rPr/>
              <w:t>cat_tipo_caso_academico</w:t>
            </w:r>
          </w:p>
        </w:tc>
        <w:tc>
          <w:tcPr>
            <w:tcW w:w="2003" w:type="dxa"/>
            <w:tcBorders/>
            <w:shd w:fill="auto" w:val="clear"/>
            <w:vAlign w:val="center"/>
          </w:tcPr>
          <w:p>
            <w:pPr>
              <w:pStyle w:val="TableContents"/>
              <w:spacing w:before="0" w:after="283"/>
              <w:rPr/>
            </w:pPr>
            <w:r>
              <w:rPr/>
              <w:t>Catálogo</w:t>
            </w:r>
          </w:p>
        </w:tc>
        <w:tc>
          <w:tcPr>
            <w:tcW w:w="2913" w:type="dxa"/>
            <w:tcBorders/>
            <w:shd w:fill="auto" w:val="clear"/>
            <w:vAlign w:val="center"/>
          </w:tcPr>
          <w:p>
            <w:pPr>
              <w:pStyle w:val="TableContents"/>
              <w:spacing w:before="0" w:after="283"/>
              <w:rPr/>
            </w:pPr>
            <w:r>
              <w:rPr/>
              <w:t>Define la taxonomía principal del caso.</w:t>
            </w:r>
          </w:p>
        </w:tc>
        <w:tc>
          <w:tcPr>
            <w:tcW w:w="3631" w:type="dxa"/>
            <w:tcBorders/>
            <w:shd w:fill="auto" w:val="clear"/>
            <w:vAlign w:val="center"/>
          </w:tcPr>
          <w:p>
            <w:pPr>
              <w:pStyle w:val="TableContents"/>
              <w:spacing w:before="0" w:after="283"/>
              <w:rPr/>
            </w:pPr>
            <w:r>
              <w:rPr/>
              <w:t xml:space="preserve">La usa </w:t>
            </w:r>
            <w:r>
              <w:rPr>
                <w:b/>
              </w:rPr>
              <w:t>rel_patron_caso_academico</w:t>
            </w:r>
            <w:r>
              <w:rPr/>
              <w:t xml:space="preserve"> y </w:t>
            </w:r>
            <w:r>
              <w:rPr>
                <w:b/>
              </w:rPr>
              <w:t>tbl_caso_academico_operativo</w:t>
            </w:r>
            <w:r>
              <w:rPr/>
              <w:t>.</w:t>
            </w:r>
          </w:p>
        </w:tc>
      </w:tr>
      <w:tr>
        <w:trPr/>
        <w:tc>
          <w:tcPr>
            <w:tcW w:w="1991" w:type="dxa"/>
            <w:tcBorders/>
            <w:shd w:fill="auto" w:val="clear"/>
            <w:vAlign w:val="center"/>
          </w:tcPr>
          <w:p>
            <w:pPr>
              <w:pStyle w:val="TableContents"/>
              <w:spacing w:before="0" w:after="283"/>
              <w:rPr/>
            </w:pPr>
            <w:r>
              <w:rPr/>
              <w:t>cat_motivo_restriccion</w:t>
            </w:r>
          </w:p>
        </w:tc>
        <w:tc>
          <w:tcPr>
            <w:tcW w:w="2003" w:type="dxa"/>
            <w:tcBorders/>
            <w:shd w:fill="auto" w:val="clear"/>
            <w:vAlign w:val="center"/>
          </w:tcPr>
          <w:p>
            <w:pPr>
              <w:pStyle w:val="TableContents"/>
              <w:spacing w:before="0" w:after="283"/>
              <w:rPr/>
            </w:pPr>
            <w:r>
              <w:rPr/>
              <w:t>Catálogo</w:t>
            </w:r>
          </w:p>
        </w:tc>
        <w:tc>
          <w:tcPr>
            <w:tcW w:w="2913" w:type="dxa"/>
            <w:tcBorders/>
            <w:shd w:fill="auto" w:val="clear"/>
            <w:vAlign w:val="center"/>
          </w:tcPr>
          <w:p>
            <w:pPr>
              <w:pStyle w:val="TableContents"/>
              <w:spacing w:before="0" w:after="283"/>
              <w:rPr/>
            </w:pPr>
            <w:r>
              <w:rPr/>
              <w:t>Define la causa dominante del problema.</w:t>
            </w:r>
          </w:p>
        </w:tc>
        <w:tc>
          <w:tcPr>
            <w:tcW w:w="3631" w:type="dxa"/>
            <w:tcBorders/>
            <w:shd w:fill="auto" w:val="clear"/>
            <w:vAlign w:val="center"/>
          </w:tcPr>
          <w:p>
            <w:pPr>
              <w:pStyle w:val="TableContents"/>
              <w:spacing w:before="0" w:after="283"/>
              <w:rPr/>
            </w:pPr>
            <w:r>
              <w:rPr/>
              <w:t xml:space="preserve">La usa </w:t>
            </w:r>
            <w:r>
              <w:rPr>
                <w:b/>
              </w:rPr>
              <w:t>tbl_caso_academico_operativo</w:t>
            </w:r>
            <w:r>
              <w:rPr/>
              <w:t>.</w:t>
            </w:r>
          </w:p>
        </w:tc>
      </w:tr>
      <w:tr>
        <w:trPr/>
        <w:tc>
          <w:tcPr>
            <w:tcW w:w="1991" w:type="dxa"/>
            <w:tcBorders/>
            <w:shd w:fill="auto" w:val="clear"/>
            <w:vAlign w:val="center"/>
          </w:tcPr>
          <w:p>
            <w:pPr>
              <w:pStyle w:val="TableContents"/>
              <w:spacing w:before="0" w:after="283"/>
              <w:rPr/>
            </w:pPr>
            <w:r>
              <w:rPr/>
              <w:t>cat_criterio_operativo</w:t>
            </w:r>
          </w:p>
        </w:tc>
        <w:tc>
          <w:tcPr>
            <w:tcW w:w="2003" w:type="dxa"/>
            <w:tcBorders/>
            <w:shd w:fill="auto" w:val="clear"/>
            <w:vAlign w:val="center"/>
          </w:tcPr>
          <w:p>
            <w:pPr>
              <w:pStyle w:val="TableContents"/>
              <w:spacing w:before="0" w:after="283"/>
              <w:rPr/>
            </w:pPr>
            <w:r>
              <w:rPr/>
              <w:t>Catálogo</w:t>
            </w:r>
          </w:p>
        </w:tc>
        <w:tc>
          <w:tcPr>
            <w:tcW w:w="2913" w:type="dxa"/>
            <w:tcBorders/>
            <w:shd w:fill="auto" w:val="clear"/>
            <w:vAlign w:val="center"/>
          </w:tcPr>
          <w:p>
            <w:pPr>
              <w:pStyle w:val="TableContents"/>
              <w:spacing w:before="0" w:after="283"/>
              <w:rPr/>
            </w:pPr>
            <w:r>
              <w:rPr/>
              <w:t>Formaliza las reglas institucionales que sustentan un dictamen.</w:t>
            </w:r>
          </w:p>
        </w:tc>
        <w:tc>
          <w:tcPr>
            <w:tcW w:w="3631" w:type="dxa"/>
            <w:tcBorders/>
            <w:shd w:fill="auto" w:val="clear"/>
            <w:vAlign w:val="center"/>
          </w:tcPr>
          <w:p>
            <w:pPr>
              <w:pStyle w:val="TableContents"/>
              <w:spacing w:before="0" w:after="283"/>
              <w:rPr/>
            </w:pPr>
            <w:r>
              <w:rPr/>
              <w:t xml:space="preserve">La usa </w:t>
            </w:r>
            <w:r>
              <w:rPr>
                <w:b/>
              </w:rPr>
              <w:t>rel_patron_criterio_operativo</w:t>
            </w:r>
            <w:r>
              <w:rPr/>
              <w:t>.</w:t>
            </w:r>
          </w:p>
        </w:tc>
      </w:tr>
      <w:tr>
        <w:trPr/>
        <w:tc>
          <w:tcPr>
            <w:tcW w:w="1991" w:type="dxa"/>
            <w:tcBorders/>
            <w:shd w:fill="auto" w:val="clear"/>
            <w:vAlign w:val="center"/>
          </w:tcPr>
          <w:p>
            <w:pPr>
              <w:pStyle w:val="TableContents"/>
              <w:spacing w:before="0" w:after="283"/>
              <w:rPr/>
            </w:pPr>
            <w:r>
              <w:rPr/>
              <w:t>cat_accion_operativa</w:t>
            </w:r>
          </w:p>
        </w:tc>
        <w:tc>
          <w:tcPr>
            <w:tcW w:w="2003" w:type="dxa"/>
            <w:tcBorders/>
            <w:shd w:fill="auto" w:val="clear"/>
            <w:vAlign w:val="center"/>
          </w:tcPr>
          <w:p>
            <w:pPr>
              <w:pStyle w:val="TableContents"/>
              <w:spacing w:before="0" w:after="283"/>
              <w:rPr/>
            </w:pPr>
            <w:r>
              <w:rPr/>
              <w:t>Catálogo</w:t>
            </w:r>
          </w:p>
        </w:tc>
        <w:tc>
          <w:tcPr>
            <w:tcW w:w="2913" w:type="dxa"/>
            <w:tcBorders/>
            <w:shd w:fill="auto" w:val="clear"/>
            <w:vAlign w:val="center"/>
          </w:tcPr>
          <w:p>
            <w:pPr>
              <w:pStyle w:val="TableContents"/>
              <w:spacing w:before="0" w:after="283"/>
              <w:rPr/>
            </w:pPr>
            <w:r>
              <w:rPr/>
              <w:t>Lista las acciones sugeridas por el motor.</w:t>
            </w:r>
          </w:p>
        </w:tc>
        <w:tc>
          <w:tcPr>
            <w:tcW w:w="3631" w:type="dxa"/>
            <w:tcBorders/>
            <w:shd w:fill="auto" w:val="clear"/>
            <w:vAlign w:val="center"/>
          </w:tcPr>
          <w:p>
            <w:pPr>
              <w:pStyle w:val="TableContents"/>
              <w:spacing w:before="0" w:after="283"/>
              <w:rPr/>
            </w:pPr>
            <w:r>
              <w:rPr/>
              <w:t xml:space="preserve">La usan </w:t>
            </w:r>
            <w:r>
              <w:rPr>
                <w:b/>
              </w:rPr>
              <w:t>rel_patron_accion_operativa</w:t>
            </w:r>
            <w:r>
              <w:rPr/>
              <w:t xml:space="preserve"> y </w:t>
            </w:r>
            <w:r>
              <w:rPr>
                <w:b/>
              </w:rPr>
              <w:t>tbl_caso_dictamen</w:t>
            </w:r>
            <w:r>
              <w:rPr/>
              <w:t>.</w:t>
            </w:r>
          </w:p>
        </w:tc>
      </w:tr>
      <w:tr>
        <w:trPr/>
        <w:tc>
          <w:tcPr>
            <w:tcW w:w="1991" w:type="dxa"/>
            <w:tcBorders/>
            <w:shd w:fill="auto" w:val="clear"/>
            <w:vAlign w:val="center"/>
          </w:tcPr>
          <w:p>
            <w:pPr>
              <w:pStyle w:val="TableContents"/>
              <w:spacing w:before="0" w:after="283"/>
              <w:rPr/>
            </w:pPr>
            <w:r>
              <w:rPr/>
              <w:t>cat_viabilidad_tecnica</w:t>
            </w:r>
          </w:p>
        </w:tc>
        <w:tc>
          <w:tcPr>
            <w:tcW w:w="2003" w:type="dxa"/>
            <w:tcBorders/>
            <w:shd w:fill="auto" w:val="clear"/>
            <w:vAlign w:val="center"/>
          </w:tcPr>
          <w:p>
            <w:pPr>
              <w:pStyle w:val="TableContents"/>
              <w:spacing w:before="0" w:after="283"/>
              <w:rPr/>
            </w:pPr>
            <w:r>
              <w:rPr/>
              <w:t>Catálogo</w:t>
            </w:r>
          </w:p>
        </w:tc>
        <w:tc>
          <w:tcPr>
            <w:tcW w:w="2913" w:type="dxa"/>
            <w:tcBorders/>
            <w:shd w:fill="auto" w:val="clear"/>
            <w:vAlign w:val="center"/>
          </w:tcPr>
          <w:p>
            <w:pPr>
              <w:pStyle w:val="TableContents"/>
              <w:spacing w:before="0" w:after="283"/>
              <w:rPr/>
            </w:pPr>
            <w:r>
              <w:rPr/>
              <w:t>Normaliza el resultado de viabilidad del caso.</w:t>
            </w:r>
          </w:p>
        </w:tc>
        <w:tc>
          <w:tcPr>
            <w:tcW w:w="3631" w:type="dxa"/>
            <w:tcBorders/>
            <w:shd w:fill="auto" w:val="clear"/>
            <w:vAlign w:val="center"/>
          </w:tcPr>
          <w:p>
            <w:pPr>
              <w:pStyle w:val="TableContents"/>
              <w:spacing w:before="0" w:after="283"/>
              <w:rPr/>
            </w:pPr>
            <w:r>
              <w:rPr/>
              <w:t xml:space="preserve">La usan </w:t>
            </w:r>
            <w:r>
              <w:rPr>
                <w:b/>
              </w:rPr>
              <w:t>tbl_caso_academico_operativo</w:t>
            </w:r>
            <w:r>
              <w:rPr/>
              <w:t xml:space="preserve"> y </w:t>
            </w:r>
            <w:r>
              <w:rPr>
                <w:b/>
              </w:rPr>
              <w:t>tbl_caso_dictamen</w:t>
            </w:r>
            <w:r>
              <w:rPr/>
              <w:t>.</w:t>
            </w:r>
          </w:p>
        </w:tc>
      </w:tr>
      <w:tr>
        <w:trPr/>
        <w:tc>
          <w:tcPr>
            <w:tcW w:w="1991" w:type="dxa"/>
            <w:tcBorders/>
            <w:shd w:fill="auto" w:val="clear"/>
            <w:vAlign w:val="center"/>
          </w:tcPr>
          <w:p>
            <w:pPr>
              <w:pStyle w:val="TableContents"/>
              <w:spacing w:before="0" w:after="283"/>
              <w:rPr/>
            </w:pPr>
            <w:r>
              <w:rPr/>
              <w:t>cat_mensaje_institucional_contextual</w:t>
            </w:r>
          </w:p>
        </w:tc>
        <w:tc>
          <w:tcPr>
            <w:tcW w:w="2003" w:type="dxa"/>
            <w:tcBorders/>
            <w:shd w:fill="auto" w:val="clear"/>
            <w:vAlign w:val="center"/>
          </w:tcPr>
          <w:p>
            <w:pPr>
              <w:pStyle w:val="TableContents"/>
              <w:spacing w:before="0" w:after="283"/>
              <w:rPr/>
            </w:pPr>
            <w:r>
              <w:rPr/>
              <w:t>Catálogo</w:t>
            </w:r>
          </w:p>
        </w:tc>
        <w:tc>
          <w:tcPr>
            <w:tcW w:w="2913" w:type="dxa"/>
            <w:tcBorders/>
            <w:shd w:fill="auto" w:val="clear"/>
            <w:vAlign w:val="center"/>
          </w:tcPr>
          <w:p>
            <w:pPr>
              <w:pStyle w:val="TableContents"/>
              <w:spacing w:before="0" w:after="283"/>
              <w:rPr/>
            </w:pPr>
            <w:r>
              <w:rPr/>
              <w:t>Define mensajes por perfil y periodo operativo.</w:t>
            </w:r>
          </w:p>
        </w:tc>
        <w:tc>
          <w:tcPr>
            <w:tcW w:w="3631" w:type="dxa"/>
            <w:tcBorders/>
            <w:shd w:fill="auto" w:val="clear"/>
            <w:vAlign w:val="center"/>
          </w:tcPr>
          <w:p>
            <w:pPr>
              <w:pStyle w:val="TableContents"/>
              <w:spacing w:before="0" w:after="283"/>
              <w:rPr/>
            </w:pPr>
            <w:r>
              <w:rPr/>
              <w:t xml:space="preserve">La usa </w:t>
            </w:r>
            <w:r>
              <w:rPr>
                <w:b/>
              </w:rPr>
              <w:t>rel_patron_mensaje_contextual</w:t>
            </w:r>
            <w:r>
              <w:rPr/>
              <w:t>.</w:t>
            </w:r>
          </w:p>
        </w:tc>
      </w:tr>
      <w:tr>
        <w:trPr/>
        <w:tc>
          <w:tcPr>
            <w:tcW w:w="1991" w:type="dxa"/>
            <w:tcBorders/>
            <w:shd w:fill="auto" w:val="clear"/>
            <w:vAlign w:val="center"/>
          </w:tcPr>
          <w:p>
            <w:pPr>
              <w:pStyle w:val="TableContents"/>
              <w:spacing w:before="0" w:after="283"/>
              <w:rPr/>
            </w:pPr>
            <w:r>
              <w:rPr/>
              <w:t>rel_patron_caso_academico</w:t>
            </w:r>
          </w:p>
        </w:tc>
        <w:tc>
          <w:tcPr>
            <w:tcW w:w="2003" w:type="dxa"/>
            <w:tcBorders/>
            <w:shd w:fill="auto" w:val="clear"/>
            <w:vAlign w:val="center"/>
          </w:tcPr>
          <w:p>
            <w:pPr>
              <w:pStyle w:val="TableContents"/>
              <w:spacing w:before="0" w:after="283"/>
              <w:rPr/>
            </w:pPr>
            <w:r>
              <w:rPr/>
              <w:t>Conocimiento</w:t>
            </w:r>
          </w:p>
        </w:tc>
        <w:tc>
          <w:tcPr>
            <w:tcW w:w="2913" w:type="dxa"/>
            <w:tcBorders/>
            <w:shd w:fill="auto" w:val="clear"/>
            <w:vAlign w:val="center"/>
          </w:tcPr>
          <w:p>
            <w:pPr>
              <w:pStyle w:val="TableContents"/>
              <w:spacing w:before="0" w:after="283"/>
              <w:rPr/>
            </w:pPr>
            <w:r>
              <w:rPr/>
              <w:t>Representa patrones reutilizables derivados del histórico.</w:t>
            </w:r>
          </w:p>
        </w:tc>
        <w:tc>
          <w:tcPr>
            <w:tcW w:w="3631" w:type="dxa"/>
            <w:tcBorders/>
            <w:shd w:fill="auto" w:val="clear"/>
            <w:vAlign w:val="center"/>
          </w:tcPr>
          <w:p>
            <w:pPr>
              <w:pStyle w:val="TableContents"/>
              <w:spacing w:before="0" w:after="283"/>
              <w:rPr/>
            </w:pPr>
            <w:r>
              <w:rPr/>
              <w:t>Se relaciona con tipo de caso, criterios, acciones y mensajes.</w:t>
            </w:r>
          </w:p>
        </w:tc>
      </w:tr>
      <w:tr>
        <w:trPr/>
        <w:tc>
          <w:tcPr>
            <w:tcW w:w="1991" w:type="dxa"/>
            <w:tcBorders/>
            <w:shd w:fill="auto" w:val="clear"/>
            <w:vAlign w:val="center"/>
          </w:tcPr>
          <w:p>
            <w:pPr>
              <w:pStyle w:val="TableContents"/>
              <w:spacing w:before="0" w:after="283"/>
              <w:rPr/>
            </w:pPr>
            <w:r>
              <w:rPr/>
              <w:t>rel_patron_criterio_operativo</w:t>
            </w:r>
          </w:p>
        </w:tc>
        <w:tc>
          <w:tcPr>
            <w:tcW w:w="2003" w:type="dxa"/>
            <w:tcBorders/>
            <w:shd w:fill="auto" w:val="clear"/>
            <w:vAlign w:val="center"/>
          </w:tcPr>
          <w:p>
            <w:pPr>
              <w:pStyle w:val="TableContents"/>
              <w:spacing w:before="0" w:after="283"/>
              <w:rPr/>
            </w:pPr>
            <w:r>
              <w:rPr/>
              <w:t>Conocimiento</w:t>
            </w:r>
          </w:p>
        </w:tc>
        <w:tc>
          <w:tcPr>
            <w:tcW w:w="2913" w:type="dxa"/>
            <w:tcBorders/>
            <w:shd w:fill="auto" w:val="clear"/>
            <w:vAlign w:val="center"/>
          </w:tcPr>
          <w:p>
            <w:pPr>
              <w:pStyle w:val="TableContents"/>
              <w:spacing w:before="0" w:after="283"/>
              <w:rPr/>
            </w:pPr>
            <w:r>
              <w:rPr/>
              <w:t>Asocia un patrón a uno o varios criterios.</w:t>
            </w:r>
          </w:p>
        </w:tc>
        <w:tc>
          <w:tcPr>
            <w:tcW w:w="3631" w:type="dxa"/>
            <w:tcBorders/>
            <w:shd w:fill="auto" w:val="clear"/>
            <w:vAlign w:val="center"/>
          </w:tcPr>
          <w:p>
            <w:pPr>
              <w:pStyle w:val="TableContents"/>
              <w:spacing w:before="0" w:after="283"/>
              <w:rPr/>
            </w:pPr>
            <w:r>
              <w:rPr/>
              <w:t xml:space="preserve">Une </w:t>
            </w:r>
            <w:r>
              <w:rPr>
                <w:b/>
              </w:rPr>
              <w:t>rel_patron_caso_academico</w:t>
            </w:r>
            <w:r>
              <w:rPr/>
              <w:t xml:space="preserve"> con </w:t>
            </w:r>
            <w:r>
              <w:rPr>
                <w:b/>
              </w:rPr>
              <w:t>cat_criterio_operativo</w:t>
            </w:r>
            <w:r>
              <w:rPr/>
              <w:t>.</w:t>
            </w:r>
          </w:p>
        </w:tc>
      </w:tr>
      <w:tr>
        <w:trPr/>
        <w:tc>
          <w:tcPr>
            <w:tcW w:w="1991" w:type="dxa"/>
            <w:tcBorders/>
            <w:shd w:fill="auto" w:val="clear"/>
            <w:vAlign w:val="center"/>
          </w:tcPr>
          <w:p>
            <w:pPr>
              <w:pStyle w:val="TableContents"/>
              <w:spacing w:before="0" w:after="283"/>
              <w:rPr/>
            </w:pPr>
            <w:r>
              <w:rPr/>
              <w:t>rel_patron_accion_operativa</w:t>
            </w:r>
          </w:p>
        </w:tc>
        <w:tc>
          <w:tcPr>
            <w:tcW w:w="2003" w:type="dxa"/>
            <w:tcBorders/>
            <w:shd w:fill="auto" w:val="clear"/>
            <w:vAlign w:val="center"/>
          </w:tcPr>
          <w:p>
            <w:pPr>
              <w:pStyle w:val="TableContents"/>
              <w:spacing w:before="0" w:after="283"/>
              <w:rPr/>
            </w:pPr>
            <w:r>
              <w:rPr/>
              <w:t>Conocimiento</w:t>
            </w:r>
          </w:p>
        </w:tc>
        <w:tc>
          <w:tcPr>
            <w:tcW w:w="2913" w:type="dxa"/>
            <w:tcBorders/>
            <w:shd w:fill="auto" w:val="clear"/>
            <w:vAlign w:val="center"/>
          </w:tcPr>
          <w:p>
            <w:pPr>
              <w:pStyle w:val="TableContents"/>
              <w:spacing w:before="0" w:after="283"/>
              <w:rPr/>
            </w:pPr>
            <w:r>
              <w:rPr/>
              <w:t>Asocia un patrón a una o varias acciones sugeridas.</w:t>
            </w:r>
          </w:p>
        </w:tc>
        <w:tc>
          <w:tcPr>
            <w:tcW w:w="3631" w:type="dxa"/>
            <w:tcBorders/>
            <w:shd w:fill="auto" w:val="clear"/>
            <w:vAlign w:val="center"/>
          </w:tcPr>
          <w:p>
            <w:pPr>
              <w:pStyle w:val="TableContents"/>
              <w:spacing w:before="0" w:after="283"/>
              <w:rPr/>
            </w:pPr>
            <w:r>
              <w:rPr/>
              <w:t xml:space="preserve">Une </w:t>
            </w:r>
            <w:r>
              <w:rPr>
                <w:b/>
              </w:rPr>
              <w:t>rel_patron_caso_academico</w:t>
            </w:r>
            <w:r>
              <w:rPr/>
              <w:t xml:space="preserve"> con </w:t>
            </w:r>
            <w:r>
              <w:rPr>
                <w:b/>
              </w:rPr>
              <w:t>cat_accion_operativa</w:t>
            </w:r>
            <w:r>
              <w:rPr/>
              <w:t>.</w:t>
            </w:r>
          </w:p>
        </w:tc>
      </w:tr>
      <w:tr>
        <w:trPr/>
        <w:tc>
          <w:tcPr>
            <w:tcW w:w="1991" w:type="dxa"/>
            <w:tcBorders/>
            <w:shd w:fill="auto" w:val="clear"/>
            <w:vAlign w:val="center"/>
          </w:tcPr>
          <w:p>
            <w:pPr>
              <w:pStyle w:val="TableContents"/>
              <w:spacing w:before="0" w:after="283"/>
              <w:rPr/>
            </w:pPr>
            <w:r>
              <w:rPr/>
              <w:t>rel_patron_mensaje_contextual</w:t>
            </w:r>
          </w:p>
        </w:tc>
        <w:tc>
          <w:tcPr>
            <w:tcW w:w="2003" w:type="dxa"/>
            <w:tcBorders/>
            <w:shd w:fill="auto" w:val="clear"/>
            <w:vAlign w:val="center"/>
          </w:tcPr>
          <w:p>
            <w:pPr>
              <w:pStyle w:val="TableContents"/>
              <w:spacing w:before="0" w:after="283"/>
              <w:rPr/>
            </w:pPr>
            <w:r>
              <w:rPr/>
              <w:t>Conocimiento</w:t>
            </w:r>
          </w:p>
        </w:tc>
        <w:tc>
          <w:tcPr>
            <w:tcW w:w="2913" w:type="dxa"/>
            <w:tcBorders/>
            <w:shd w:fill="auto" w:val="clear"/>
            <w:vAlign w:val="center"/>
          </w:tcPr>
          <w:p>
            <w:pPr>
              <w:pStyle w:val="TableContents"/>
              <w:spacing w:before="0" w:after="283"/>
              <w:rPr/>
            </w:pPr>
            <w:r>
              <w:rPr/>
              <w:t>Asocia un patrón con mensajes específicos por perfil.</w:t>
            </w:r>
          </w:p>
        </w:tc>
        <w:tc>
          <w:tcPr>
            <w:tcW w:w="3631" w:type="dxa"/>
            <w:tcBorders/>
            <w:shd w:fill="auto" w:val="clear"/>
            <w:vAlign w:val="center"/>
          </w:tcPr>
          <w:p>
            <w:pPr>
              <w:pStyle w:val="TableContents"/>
              <w:spacing w:before="0" w:after="283"/>
              <w:rPr/>
            </w:pPr>
            <w:r>
              <w:rPr/>
              <w:t xml:space="preserve">Une </w:t>
            </w:r>
            <w:r>
              <w:rPr>
                <w:b/>
              </w:rPr>
              <w:t>rel_patron_caso_academico</w:t>
            </w:r>
            <w:r>
              <w:rPr/>
              <w:t xml:space="preserve"> con </w:t>
            </w:r>
            <w:r>
              <w:rPr>
                <w:b/>
              </w:rPr>
              <w:t>cat_mensaje_institucional_contextual</w:t>
            </w:r>
            <w:r>
              <w:rPr/>
              <w:t>.</w:t>
            </w:r>
          </w:p>
        </w:tc>
      </w:tr>
      <w:tr>
        <w:trPr/>
        <w:tc>
          <w:tcPr>
            <w:tcW w:w="1991" w:type="dxa"/>
            <w:tcBorders/>
            <w:shd w:fill="auto" w:val="clear"/>
            <w:vAlign w:val="center"/>
          </w:tcPr>
          <w:p>
            <w:pPr>
              <w:pStyle w:val="TableContents"/>
              <w:spacing w:before="0" w:after="283"/>
              <w:rPr/>
            </w:pPr>
            <w:r>
              <w:rPr/>
              <w:t>tbl_caso_academico_operativo</w:t>
            </w:r>
          </w:p>
        </w:tc>
        <w:tc>
          <w:tcPr>
            <w:tcW w:w="2003" w:type="dxa"/>
            <w:tcBorders/>
            <w:shd w:fill="auto" w:val="clear"/>
            <w:vAlign w:val="center"/>
          </w:tcPr>
          <w:p>
            <w:pPr>
              <w:pStyle w:val="TableContents"/>
              <w:spacing w:before="0" w:after="283"/>
              <w:rPr/>
            </w:pPr>
            <w:r>
              <w:rPr/>
              <w:t>Operación</w:t>
            </w:r>
          </w:p>
        </w:tc>
        <w:tc>
          <w:tcPr>
            <w:tcW w:w="2913" w:type="dxa"/>
            <w:tcBorders/>
            <w:shd w:fill="auto" w:val="clear"/>
            <w:vAlign w:val="center"/>
          </w:tcPr>
          <w:p>
            <w:pPr>
              <w:pStyle w:val="TableContents"/>
              <w:spacing w:before="0" w:after="283"/>
              <w:rPr/>
            </w:pPr>
            <w:r>
              <w:rPr/>
              <w:t>Es la entidad central del motor. Contiene folio, persona, plan, periodo, tipo, motivo, viabilidad y estatus.</w:t>
            </w:r>
          </w:p>
        </w:tc>
        <w:tc>
          <w:tcPr>
            <w:tcW w:w="3631" w:type="dxa"/>
            <w:tcBorders/>
            <w:shd w:fill="auto" w:val="clear"/>
            <w:vAlign w:val="center"/>
          </w:tcPr>
          <w:p>
            <w:pPr>
              <w:pStyle w:val="TableContents"/>
              <w:spacing w:before="0" w:after="283"/>
              <w:rPr/>
            </w:pPr>
            <w:r>
              <w:rPr/>
              <w:t xml:space="preserve">Se ancla lógicamente a </w:t>
            </w:r>
            <w:r>
              <w:rPr>
                <w:b/>
              </w:rPr>
              <w:t>tbl_persona</w:t>
            </w:r>
            <w:r>
              <w:rPr/>
              <w:t xml:space="preserve">, </w:t>
            </w:r>
            <w:r>
              <w:rPr>
                <w:b/>
              </w:rPr>
              <w:t>tbl_planes</w:t>
            </w:r>
            <w:r>
              <w:rPr/>
              <w:t xml:space="preserve"> y </w:t>
            </w:r>
            <w:r>
              <w:rPr>
                <w:b/>
              </w:rPr>
              <w:t>cat_periodos</w:t>
            </w:r>
            <w:r>
              <w:rPr/>
              <w:t>. De ella cuelgan diagnóstico, dictamen, bitácora, evidencia, UD relacionadas y similares.</w:t>
            </w:r>
          </w:p>
        </w:tc>
      </w:tr>
      <w:tr>
        <w:trPr/>
        <w:tc>
          <w:tcPr>
            <w:tcW w:w="1991" w:type="dxa"/>
            <w:tcBorders/>
            <w:shd w:fill="auto" w:val="clear"/>
            <w:vAlign w:val="center"/>
          </w:tcPr>
          <w:p>
            <w:pPr>
              <w:pStyle w:val="TableContents"/>
              <w:spacing w:before="0" w:after="283"/>
              <w:rPr/>
            </w:pPr>
            <w:r>
              <w:rPr/>
              <w:t>tbl_caso_ud_relacionada</w:t>
            </w:r>
          </w:p>
        </w:tc>
        <w:tc>
          <w:tcPr>
            <w:tcW w:w="2003" w:type="dxa"/>
            <w:tcBorders/>
            <w:shd w:fill="auto" w:val="clear"/>
            <w:vAlign w:val="center"/>
          </w:tcPr>
          <w:p>
            <w:pPr>
              <w:pStyle w:val="TableContents"/>
              <w:spacing w:before="0" w:after="283"/>
              <w:rPr/>
            </w:pPr>
            <w:r>
              <w:rPr/>
              <w:t>Operación</w:t>
            </w:r>
          </w:p>
        </w:tc>
        <w:tc>
          <w:tcPr>
            <w:tcW w:w="2913" w:type="dxa"/>
            <w:tcBorders/>
            <w:shd w:fill="auto" w:val="clear"/>
            <w:vAlign w:val="center"/>
          </w:tcPr>
          <w:p>
            <w:pPr>
              <w:pStyle w:val="TableContents"/>
              <w:spacing w:before="0" w:after="283"/>
              <w:rPr/>
            </w:pPr>
            <w:r>
              <w:rPr/>
              <w:t>Guarda el detalle por UD involucrada en el caso.</w:t>
            </w:r>
          </w:p>
        </w:tc>
        <w:tc>
          <w:tcPr>
            <w:tcW w:w="3631" w:type="dxa"/>
            <w:tcBorders/>
            <w:shd w:fill="auto" w:val="clear"/>
            <w:vAlign w:val="center"/>
          </w:tcPr>
          <w:p>
            <w:pPr>
              <w:pStyle w:val="TableContents"/>
              <w:spacing w:before="0" w:after="283"/>
              <w:rPr/>
            </w:pPr>
            <w:r>
              <w:rPr/>
              <w:t xml:space="preserve">Depende de </w:t>
            </w:r>
            <w:r>
              <w:rPr>
                <w:b/>
              </w:rPr>
              <w:t>tbl_caso_academico_operativo</w:t>
            </w:r>
            <w:r>
              <w:rPr/>
              <w:t>.</w:t>
            </w:r>
          </w:p>
        </w:tc>
      </w:tr>
      <w:tr>
        <w:trPr/>
        <w:tc>
          <w:tcPr>
            <w:tcW w:w="1991" w:type="dxa"/>
            <w:tcBorders/>
            <w:shd w:fill="auto" w:val="clear"/>
            <w:vAlign w:val="center"/>
          </w:tcPr>
          <w:p>
            <w:pPr>
              <w:pStyle w:val="TableContents"/>
              <w:spacing w:before="0" w:after="283"/>
              <w:rPr/>
            </w:pPr>
            <w:r>
              <w:rPr/>
              <w:t>tbl_caso_diagnostico</w:t>
            </w:r>
          </w:p>
        </w:tc>
        <w:tc>
          <w:tcPr>
            <w:tcW w:w="2003" w:type="dxa"/>
            <w:tcBorders/>
            <w:shd w:fill="auto" w:val="clear"/>
            <w:vAlign w:val="center"/>
          </w:tcPr>
          <w:p>
            <w:pPr>
              <w:pStyle w:val="TableContents"/>
              <w:spacing w:before="0" w:after="283"/>
              <w:rPr/>
            </w:pPr>
            <w:r>
              <w:rPr/>
              <w:t>Operación</w:t>
            </w:r>
          </w:p>
        </w:tc>
        <w:tc>
          <w:tcPr>
            <w:tcW w:w="2913" w:type="dxa"/>
            <w:tcBorders/>
            <w:shd w:fill="auto" w:val="clear"/>
            <w:vAlign w:val="center"/>
          </w:tcPr>
          <w:p>
            <w:pPr>
              <w:pStyle w:val="TableContents"/>
              <w:spacing w:before="0" w:after="283"/>
              <w:rPr/>
            </w:pPr>
            <w:r>
              <w:rPr/>
              <w:t>Guarda la lectura del motor: riesgo, seriación, carga, oferta y resumen.</w:t>
            </w:r>
          </w:p>
        </w:tc>
        <w:tc>
          <w:tcPr>
            <w:tcW w:w="3631" w:type="dxa"/>
            <w:tcBorders/>
            <w:shd w:fill="auto" w:val="clear"/>
            <w:vAlign w:val="center"/>
          </w:tcPr>
          <w:p>
            <w:pPr>
              <w:pStyle w:val="TableContents"/>
              <w:spacing w:before="0" w:after="283"/>
              <w:rPr/>
            </w:pPr>
            <w:r>
              <w:rPr/>
              <w:t xml:space="preserve">Relación 1:1 con </w:t>
            </w:r>
            <w:r>
              <w:rPr>
                <w:b/>
              </w:rPr>
              <w:t>tbl_caso_academico_operativo</w:t>
            </w:r>
            <w:r>
              <w:rPr/>
              <w:t>.</w:t>
            </w:r>
          </w:p>
        </w:tc>
      </w:tr>
      <w:tr>
        <w:trPr/>
        <w:tc>
          <w:tcPr>
            <w:tcW w:w="1991" w:type="dxa"/>
            <w:tcBorders/>
            <w:shd w:fill="auto" w:val="clear"/>
            <w:vAlign w:val="center"/>
          </w:tcPr>
          <w:p>
            <w:pPr>
              <w:pStyle w:val="TableContents"/>
              <w:spacing w:before="0" w:after="283"/>
              <w:rPr/>
            </w:pPr>
            <w:r>
              <w:rPr/>
              <w:t>tbl_caso_dictamen</w:t>
            </w:r>
          </w:p>
        </w:tc>
        <w:tc>
          <w:tcPr>
            <w:tcW w:w="2003" w:type="dxa"/>
            <w:tcBorders/>
            <w:shd w:fill="auto" w:val="clear"/>
            <w:vAlign w:val="center"/>
          </w:tcPr>
          <w:p>
            <w:pPr>
              <w:pStyle w:val="TableContents"/>
              <w:spacing w:before="0" w:after="283"/>
              <w:rPr/>
            </w:pPr>
            <w:r>
              <w:rPr/>
              <w:t>Operación</w:t>
            </w:r>
          </w:p>
        </w:tc>
        <w:tc>
          <w:tcPr>
            <w:tcW w:w="2913" w:type="dxa"/>
            <w:tcBorders/>
            <w:shd w:fill="auto" w:val="clear"/>
            <w:vAlign w:val="center"/>
          </w:tcPr>
          <w:p>
            <w:pPr>
              <w:pStyle w:val="TableContents"/>
              <w:spacing w:before="0" w:after="283"/>
              <w:rPr/>
            </w:pPr>
            <w:r>
              <w:rPr/>
              <w:t>Guarda la salida resolutiva: acción, viabilidad, mensaje a estudiante y mensaje a gestor.</w:t>
            </w:r>
          </w:p>
        </w:tc>
        <w:tc>
          <w:tcPr>
            <w:tcW w:w="3631" w:type="dxa"/>
            <w:tcBorders/>
            <w:shd w:fill="auto" w:val="clear"/>
            <w:vAlign w:val="center"/>
          </w:tcPr>
          <w:p>
            <w:pPr>
              <w:pStyle w:val="TableContents"/>
              <w:spacing w:before="0" w:after="283"/>
              <w:rPr/>
            </w:pPr>
            <w:r>
              <w:rPr/>
              <w:t xml:space="preserve">Depende de </w:t>
            </w:r>
            <w:r>
              <w:rPr>
                <w:b/>
              </w:rPr>
              <w:t>tbl_caso_academico_operativo</w:t>
            </w:r>
            <w:r>
              <w:rPr/>
              <w:t xml:space="preserve"> y referencia acción y viabilidad.</w:t>
            </w:r>
          </w:p>
        </w:tc>
      </w:tr>
      <w:tr>
        <w:trPr/>
        <w:tc>
          <w:tcPr>
            <w:tcW w:w="1991" w:type="dxa"/>
            <w:tcBorders/>
            <w:shd w:fill="auto" w:val="clear"/>
            <w:vAlign w:val="center"/>
          </w:tcPr>
          <w:p>
            <w:pPr>
              <w:pStyle w:val="TableContents"/>
              <w:spacing w:before="0" w:after="283"/>
              <w:rPr/>
            </w:pPr>
            <w:r>
              <w:rPr/>
              <w:t>tbl_caso_bitacora</w:t>
            </w:r>
          </w:p>
        </w:tc>
        <w:tc>
          <w:tcPr>
            <w:tcW w:w="2003" w:type="dxa"/>
            <w:tcBorders/>
            <w:shd w:fill="auto" w:val="clear"/>
            <w:vAlign w:val="center"/>
          </w:tcPr>
          <w:p>
            <w:pPr>
              <w:pStyle w:val="TableContents"/>
              <w:spacing w:before="0" w:after="283"/>
              <w:rPr/>
            </w:pPr>
            <w:r>
              <w:rPr/>
              <w:t>Operación</w:t>
            </w:r>
          </w:p>
        </w:tc>
        <w:tc>
          <w:tcPr>
            <w:tcW w:w="2913" w:type="dxa"/>
            <w:tcBorders/>
            <w:shd w:fill="auto" w:val="clear"/>
            <w:vAlign w:val="center"/>
          </w:tcPr>
          <w:p>
            <w:pPr>
              <w:pStyle w:val="TableContents"/>
              <w:spacing w:before="0" w:after="283"/>
              <w:rPr/>
            </w:pPr>
            <w:r>
              <w:rPr/>
              <w:t>Registra seguimiento y eventos del ciclo de vida del caso.</w:t>
            </w:r>
          </w:p>
        </w:tc>
        <w:tc>
          <w:tcPr>
            <w:tcW w:w="3631" w:type="dxa"/>
            <w:tcBorders/>
            <w:shd w:fill="auto" w:val="clear"/>
            <w:vAlign w:val="center"/>
          </w:tcPr>
          <w:p>
            <w:pPr>
              <w:pStyle w:val="TableContents"/>
              <w:spacing w:before="0" w:after="283"/>
              <w:rPr/>
            </w:pPr>
            <w:r>
              <w:rPr/>
              <w:t xml:space="preserve">Depende de </w:t>
            </w:r>
            <w:r>
              <w:rPr>
                <w:b/>
              </w:rPr>
              <w:t>tbl_caso_academico_operativo</w:t>
            </w:r>
            <w:r>
              <w:rPr/>
              <w:t>.</w:t>
            </w:r>
          </w:p>
        </w:tc>
      </w:tr>
      <w:tr>
        <w:trPr/>
        <w:tc>
          <w:tcPr>
            <w:tcW w:w="1991" w:type="dxa"/>
            <w:tcBorders/>
            <w:shd w:fill="auto" w:val="clear"/>
            <w:vAlign w:val="center"/>
          </w:tcPr>
          <w:p>
            <w:pPr>
              <w:pStyle w:val="TableContents"/>
              <w:spacing w:before="0" w:after="283"/>
              <w:rPr/>
            </w:pPr>
            <w:r>
              <w:rPr/>
              <w:t>tbl_caso_evidencia</w:t>
            </w:r>
          </w:p>
        </w:tc>
        <w:tc>
          <w:tcPr>
            <w:tcW w:w="2003" w:type="dxa"/>
            <w:tcBorders/>
            <w:shd w:fill="auto" w:val="clear"/>
            <w:vAlign w:val="center"/>
          </w:tcPr>
          <w:p>
            <w:pPr>
              <w:pStyle w:val="TableContents"/>
              <w:spacing w:before="0" w:after="283"/>
              <w:rPr/>
            </w:pPr>
            <w:r>
              <w:rPr/>
              <w:t>Operación</w:t>
            </w:r>
          </w:p>
        </w:tc>
        <w:tc>
          <w:tcPr>
            <w:tcW w:w="2913" w:type="dxa"/>
            <w:tcBorders/>
            <w:shd w:fill="auto" w:val="clear"/>
            <w:vAlign w:val="center"/>
          </w:tcPr>
          <w:p>
            <w:pPr>
              <w:pStyle w:val="TableContents"/>
              <w:spacing w:before="0" w:after="283"/>
              <w:rPr/>
            </w:pPr>
            <w:r>
              <w:rPr/>
              <w:t>Guarda la referencia documental que soporta la atención del caso.</w:t>
            </w:r>
          </w:p>
        </w:tc>
        <w:tc>
          <w:tcPr>
            <w:tcW w:w="3631" w:type="dxa"/>
            <w:tcBorders/>
            <w:shd w:fill="auto" w:val="clear"/>
            <w:vAlign w:val="center"/>
          </w:tcPr>
          <w:p>
            <w:pPr>
              <w:pStyle w:val="TableContents"/>
              <w:spacing w:before="0" w:after="283"/>
              <w:rPr/>
            </w:pPr>
            <w:r>
              <w:rPr/>
              <w:t xml:space="preserve">Depende de </w:t>
            </w:r>
            <w:r>
              <w:rPr>
                <w:b/>
              </w:rPr>
              <w:t>tbl_caso_academico_operativo</w:t>
            </w:r>
            <w:r>
              <w:rPr/>
              <w:t>.</w:t>
            </w:r>
          </w:p>
        </w:tc>
      </w:tr>
      <w:tr>
        <w:trPr/>
        <w:tc>
          <w:tcPr>
            <w:tcW w:w="1991" w:type="dxa"/>
            <w:tcBorders/>
            <w:shd w:fill="auto" w:val="clear"/>
            <w:vAlign w:val="center"/>
          </w:tcPr>
          <w:p>
            <w:pPr>
              <w:pStyle w:val="TableContents"/>
              <w:spacing w:before="0" w:after="283"/>
              <w:rPr/>
            </w:pPr>
            <w:r>
              <w:rPr/>
              <w:t>tbl_caso_similar</w:t>
            </w:r>
          </w:p>
        </w:tc>
        <w:tc>
          <w:tcPr>
            <w:tcW w:w="2003" w:type="dxa"/>
            <w:tcBorders/>
            <w:shd w:fill="auto" w:val="clear"/>
            <w:vAlign w:val="center"/>
          </w:tcPr>
          <w:p>
            <w:pPr>
              <w:pStyle w:val="TableContents"/>
              <w:spacing w:before="0" w:after="283"/>
              <w:rPr/>
            </w:pPr>
            <w:r>
              <w:rPr/>
              <w:t>Operación / conocimiento vivo</w:t>
            </w:r>
          </w:p>
        </w:tc>
        <w:tc>
          <w:tcPr>
            <w:tcW w:w="2913" w:type="dxa"/>
            <w:tcBorders/>
            <w:shd w:fill="auto" w:val="clear"/>
            <w:vAlign w:val="center"/>
          </w:tcPr>
          <w:p>
            <w:pPr>
              <w:pStyle w:val="TableContents"/>
              <w:spacing w:before="0" w:after="283"/>
              <w:rPr/>
            </w:pPr>
            <w:r>
              <w:rPr/>
              <w:t>Relaciona casos parecidos para reutilizar criterio y resolución.</w:t>
            </w:r>
          </w:p>
        </w:tc>
        <w:tc>
          <w:tcPr>
            <w:tcW w:w="3631" w:type="dxa"/>
            <w:tcBorders/>
            <w:shd w:fill="auto" w:val="clear"/>
            <w:vAlign w:val="center"/>
          </w:tcPr>
          <w:p>
            <w:pPr>
              <w:pStyle w:val="TableContents"/>
              <w:spacing w:before="0" w:after="283"/>
              <w:rPr/>
            </w:pPr>
            <w:r>
              <w:rPr/>
              <w:t xml:space="preserve">Autorelación sobre </w:t>
            </w:r>
            <w:r>
              <w:rPr>
                <w:b/>
              </w:rPr>
              <w:t>tbl_caso_academico_operativo</w:t>
            </w:r>
            <w:r>
              <w:rPr/>
              <w:t>.</w:t>
            </w:r>
          </w:p>
        </w:tc>
      </w:tr>
    </w:tbl>
    <w:p>
      <w:pPr>
        <w:pStyle w:val="Heading2"/>
        <w:ind w:left="420" w:right="420" w:hanging="0"/>
        <w:rPr/>
      </w:pPr>
      <w:r>
        <w:rPr/>
        <w:t>9. Relación con el modelo SIGIE existente</w:t>
      </w:r>
    </w:p>
    <w:p>
      <w:pPr>
        <w:pStyle w:val="TextBody"/>
        <w:rPr/>
      </w:pPr>
      <w:r>
        <w:rPr/>
        <w:t>La integración con el modelo actual no reemplaza entidades troncales. Se ancla a ellas:</w:t>
      </w:r>
    </w:p>
    <w:tbl>
      <w:tblPr>
        <w:tblW w:w="10539" w:type="dxa"/>
        <w:jc w:val="left"/>
        <w:tblInd w:w="0" w:type="dxa"/>
        <w:tblBorders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315"/>
        <w:gridCol w:w="2907"/>
        <w:gridCol w:w="5317"/>
      </w:tblGrid>
      <w:tr>
        <w:trPr/>
        <w:tc>
          <w:tcPr>
            <w:tcW w:w="2315" w:type="dxa"/>
            <w:tcBorders/>
            <w:shd w:fill="auto" w:val="clear"/>
            <w:vAlign w:val="center"/>
          </w:tcPr>
          <w:p>
            <w:pPr>
              <w:pStyle w:val="TableHeading"/>
              <w:suppressLineNumbers/>
              <w:spacing w:before="0" w:after="283"/>
              <w:jc w:val="left"/>
              <w:rPr/>
            </w:pPr>
            <w:r>
              <w:rPr/>
              <w:t>Entidad existente</w:t>
            </w:r>
          </w:p>
        </w:tc>
        <w:tc>
          <w:tcPr>
            <w:tcW w:w="2907" w:type="dxa"/>
            <w:tcBorders/>
            <w:shd w:fill="auto" w:val="clear"/>
            <w:vAlign w:val="center"/>
          </w:tcPr>
          <w:p>
            <w:pPr>
              <w:pStyle w:val="TableHeading"/>
              <w:suppressLineNumbers/>
              <w:spacing w:before="0" w:after="283"/>
              <w:jc w:val="left"/>
              <w:rPr/>
            </w:pPr>
            <w:r>
              <w:rPr/>
              <w:t>Rol en V2</w:t>
            </w:r>
          </w:p>
        </w:tc>
        <w:tc>
          <w:tcPr>
            <w:tcW w:w="5317" w:type="dxa"/>
            <w:tcBorders/>
            <w:shd w:fill="auto" w:val="clear"/>
            <w:vAlign w:val="center"/>
          </w:tcPr>
          <w:p>
            <w:pPr>
              <w:pStyle w:val="TableHeading"/>
              <w:suppressLineNumbers/>
              <w:spacing w:before="0" w:after="283"/>
              <w:jc w:val="left"/>
              <w:rPr/>
            </w:pPr>
            <w:r>
              <w:rPr/>
              <w:t>Observación</w:t>
            </w:r>
          </w:p>
        </w:tc>
      </w:tr>
      <w:tr>
        <w:trPr/>
        <w:tc>
          <w:tcPr>
            <w:tcW w:w="2315" w:type="dxa"/>
            <w:tcBorders/>
            <w:shd w:fill="auto" w:val="clear"/>
            <w:vAlign w:val="center"/>
          </w:tcPr>
          <w:p>
            <w:pPr>
              <w:pStyle w:val="TableContents"/>
              <w:spacing w:before="0" w:after="283"/>
              <w:rPr/>
            </w:pPr>
            <w:r>
              <w:rPr/>
              <w:t>tbl_persona</w:t>
            </w:r>
          </w:p>
        </w:tc>
        <w:tc>
          <w:tcPr>
            <w:tcW w:w="2907" w:type="dxa"/>
            <w:tcBorders/>
            <w:shd w:fill="auto" w:val="clear"/>
            <w:vAlign w:val="center"/>
          </w:tcPr>
          <w:p>
            <w:pPr>
              <w:pStyle w:val="TableContents"/>
              <w:spacing w:before="0" w:after="283"/>
              <w:rPr/>
            </w:pPr>
            <w:r>
              <w:rPr/>
              <w:t>Identifica al estudiante o persona objetivo del caso</w:t>
            </w:r>
          </w:p>
        </w:tc>
        <w:tc>
          <w:tcPr>
            <w:tcW w:w="5317" w:type="dxa"/>
            <w:tcBorders/>
            <w:shd w:fill="auto" w:val="clear"/>
            <w:vAlign w:val="center"/>
          </w:tcPr>
          <w:p>
            <w:pPr>
              <w:pStyle w:val="TableContents"/>
              <w:spacing w:before="0" w:after="283"/>
              <w:rPr/>
            </w:pPr>
            <w:r>
              <w:rPr/>
              <w:t xml:space="preserve">Se usa mediante </w:t>
            </w:r>
            <w:r>
              <w:rPr>
                <w:b/>
              </w:rPr>
              <w:t>id_persona</w:t>
            </w:r>
            <w:r>
              <w:rPr/>
              <w:t xml:space="preserve"> en </w:t>
            </w:r>
            <w:r>
              <w:rPr>
                <w:b/>
              </w:rPr>
              <w:t>tbl_caso_academico_operativo</w:t>
            </w:r>
            <w:r>
              <w:rPr/>
              <w:t>.</w:t>
            </w:r>
          </w:p>
        </w:tc>
      </w:tr>
      <w:tr>
        <w:trPr/>
        <w:tc>
          <w:tcPr>
            <w:tcW w:w="2315" w:type="dxa"/>
            <w:tcBorders/>
            <w:shd w:fill="auto" w:val="clear"/>
            <w:vAlign w:val="center"/>
          </w:tcPr>
          <w:p>
            <w:pPr>
              <w:pStyle w:val="TableContents"/>
              <w:spacing w:before="0" w:after="283"/>
              <w:rPr/>
            </w:pPr>
            <w:r>
              <w:rPr/>
              <w:t>tbl_planes</w:t>
            </w:r>
          </w:p>
        </w:tc>
        <w:tc>
          <w:tcPr>
            <w:tcW w:w="2907" w:type="dxa"/>
            <w:tcBorders/>
            <w:shd w:fill="auto" w:val="clear"/>
            <w:vAlign w:val="center"/>
          </w:tcPr>
          <w:p>
            <w:pPr>
              <w:pStyle w:val="TableContents"/>
              <w:spacing w:before="0" w:after="283"/>
              <w:rPr/>
            </w:pPr>
            <w:r>
              <w:rPr/>
              <w:t>Identifica el plan de estudios del estudiante</w:t>
            </w:r>
          </w:p>
        </w:tc>
        <w:tc>
          <w:tcPr>
            <w:tcW w:w="5317" w:type="dxa"/>
            <w:tcBorders/>
            <w:shd w:fill="auto" w:val="clear"/>
            <w:vAlign w:val="center"/>
          </w:tcPr>
          <w:p>
            <w:pPr>
              <w:pStyle w:val="TableContents"/>
              <w:spacing w:before="0" w:after="283"/>
              <w:rPr/>
            </w:pPr>
            <w:r>
              <w:rPr/>
              <w:t xml:space="preserve">Se usa mediante </w:t>
            </w:r>
            <w:r>
              <w:rPr>
                <w:b/>
              </w:rPr>
              <w:t>id_plan</w:t>
            </w:r>
            <w:r>
              <w:rPr/>
              <w:t>.</w:t>
            </w:r>
          </w:p>
        </w:tc>
      </w:tr>
      <w:tr>
        <w:trPr/>
        <w:tc>
          <w:tcPr>
            <w:tcW w:w="2315" w:type="dxa"/>
            <w:tcBorders/>
            <w:shd w:fill="auto" w:val="clear"/>
            <w:vAlign w:val="center"/>
          </w:tcPr>
          <w:p>
            <w:pPr>
              <w:pStyle w:val="TableContents"/>
              <w:spacing w:before="0" w:after="283"/>
              <w:rPr/>
            </w:pPr>
            <w:r>
              <w:rPr/>
              <w:t>cat_periodos</w:t>
            </w:r>
          </w:p>
        </w:tc>
        <w:tc>
          <w:tcPr>
            <w:tcW w:w="2907" w:type="dxa"/>
            <w:tcBorders/>
            <w:shd w:fill="auto" w:val="clear"/>
            <w:vAlign w:val="center"/>
          </w:tcPr>
          <w:p>
            <w:pPr>
              <w:pStyle w:val="TableContents"/>
              <w:spacing w:before="0" w:after="283"/>
              <w:rPr/>
            </w:pPr>
            <w:r>
              <w:rPr/>
              <w:t>Contexto temporal y de operación</w:t>
            </w:r>
          </w:p>
        </w:tc>
        <w:tc>
          <w:tcPr>
            <w:tcW w:w="5317" w:type="dxa"/>
            <w:tcBorders/>
            <w:shd w:fill="auto" w:val="clear"/>
            <w:vAlign w:val="center"/>
          </w:tcPr>
          <w:p>
            <w:pPr>
              <w:pStyle w:val="TableContents"/>
              <w:spacing w:before="0" w:after="283"/>
              <w:rPr/>
            </w:pPr>
            <w:r>
              <w:rPr/>
              <w:t xml:space="preserve">Se usa mediante </w:t>
            </w:r>
            <w:r>
              <w:rPr>
                <w:b/>
              </w:rPr>
              <w:t>id_periodo</w:t>
            </w:r>
            <w:r>
              <w:rPr/>
              <w:t xml:space="preserve"> y además mediante el concepto funcional de “cursamiento” o “inscripción”.</w:t>
            </w:r>
          </w:p>
        </w:tc>
      </w:tr>
      <w:tr>
        <w:trPr/>
        <w:tc>
          <w:tcPr>
            <w:tcW w:w="2315" w:type="dxa"/>
            <w:tcBorders/>
            <w:shd w:fill="auto" w:val="clear"/>
            <w:vAlign w:val="center"/>
          </w:tcPr>
          <w:p>
            <w:pPr>
              <w:pStyle w:val="TableContents"/>
              <w:spacing w:before="0" w:after="283"/>
              <w:rPr/>
            </w:pPr>
            <w:r>
              <w:rPr/>
              <w:t>Servicios de trayectoria / asistente</w:t>
            </w:r>
          </w:p>
        </w:tc>
        <w:tc>
          <w:tcPr>
            <w:tcW w:w="2907" w:type="dxa"/>
            <w:tcBorders/>
            <w:shd w:fill="auto" w:val="clear"/>
            <w:vAlign w:val="center"/>
          </w:tcPr>
          <w:p>
            <w:pPr>
              <w:pStyle w:val="TableContents"/>
              <w:spacing w:before="0" w:after="283"/>
              <w:rPr/>
            </w:pPr>
            <w:r>
              <w:rPr/>
              <w:t>Fuente de reglas y diagnóstico</w:t>
            </w:r>
          </w:p>
        </w:tc>
        <w:tc>
          <w:tcPr>
            <w:tcW w:w="5317" w:type="dxa"/>
            <w:tcBorders/>
            <w:shd w:fill="auto" w:val="clear"/>
            <w:vAlign w:val="center"/>
          </w:tcPr>
          <w:p>
            <w:pPr>
              <w:pStyle w:val="TableContents"/>
              <w:spacing w:before="0" w:after="283"/>
              <w:rPr/>
            </w:pPr>
            <w:r>
              <w:rPr/>
              <w:t>El motor V2 no duplica toda la lógica; consume información de trayectoria ya existente y la estructura como caso.</w:t>
            </w:r>
          </w:p>
        </w:tc>
      </w:tr>
    </w:tbl>
    <w:p>
      <w:pPr>
        <w:pStyle w:val="Heading2"/>
        <w:ind w:left="420" w:right="420" w:hanging="0"/>
        <w:rPr/>
      </w:pPr>
      <w:r>
        <w:rPr/>
        <w:t>10. Qué sigue recomendado</w:t>
      </w:r>
    </w:p>
    <w:p>
      <w:pPr>
        <w:pStyle w:val="TextBody"/>
        <w:numPr>
          <w:ilvl w:val="0"/>
          <w:numId w:val="8"/>
        </w:numPr>
        <w:tabs>
          <w:tab w:val="left" w:pos="0" w:leader="none"/>
        </w:tabs>
        <w:spacing w:before="0" w:after="0"/>
        <w:ind w:left="1127" w:right="420" w:hanging="283"/>
        <w:rPr/>
      </w:pPr>
      <w:r>
        <w:rPr/>
        <w:t xml:space="preserve">hacer una nueva normalización del histórico de 184 casos; </w:t>
      </w:r>
    </w:p>
    <w:p>
      <w:pPr>
        <w:pStyle w:val="TextBody"/>
        <w:numPr>
          <w:ilvl w:val="0"/>
          <w:numId w:val="8"/>
        </w:numPr>
        <w:tabs>
          <w:tab w:val="left" w:pos="0" w:leader="none"/>
        </w:tabs>
        <w:spacing w:before="0" w:after="0"/>
        <w:ind w:left="1127" w:right="420" w:hanging="283"/>
        <w:rPr/>
      </w:pPr>
      <w:r>
        <w:rPr/>
        <w:t xml:space="preserve">preparar una tercera carga curada con foco en rezago múltiple, continuidad del mismo año, cierre de trayectoria y omisión vs no acreditación; </w:t>
      </w:r>
    </w:p>
    <w:p>
      <w:pPr>
        <w:pStyle w:val="TextBody"/>
        <w:numPr>
          <w:ilvl w:val="0"/>
          <w:numId w:val="8"/>
        </w:numPr>
        <w:tabs>
          <w:tab w:val="left" w:pos="0" w:leader="none"/>
        </w:tabs>
        <w:spacing w:before="0" w:after="0"/>
        <w:ind w:left="1127" w:right="420" w:hanging="283"/>
        <w:rPr/>
      </w:pPr>
      <w:r>
        <w:rPr/>
        <w:t xml:space="preserve">después construir una interfaz administrativa ligera para alimentar y gobernar la base de conocimiento; </w:t>
      </w:r>
    </w:p>
    <w:p>
      <w:pPr>
        <w:pStyle w:val="TextBody"/>
        <w:numPr>
          <w:ilvl w:val="0"/>
          <w:numId w:val="8"/>
        </w:numPr>
        <w:tabs>
          <w:tab w:val="left" w:pos="0" w:leader="none"/>
        </w:tabs>
        <w:ind w:left="1127" w:right="420" w:hanging="283"/>
        <w:rPr/>
      </w:pPr>
      <w:r>
        <w:rPr/>
        <w:t xml:space="preserve">cerrar el ciclo con una vista formal de seguimiento para el estudiante. </w:t>
      </w:r>
    </w:p>
    <w:p>
      <w:pPr>
        <w:pStyle w:val="Heading2"/>
        <w:ind w:left="420" w:right="420" w:hanging="0"/>
        <w:rPr/>
      </w:pPr>
      <w:r>
        <w:rPr/>
        <w:t>11. Cierre ejecutivo</w:t>
      </w:r>
    </w:p>
    <w:p>
      <w:pPr>
        <w:pStyle w:val="TextBody"/>
        <w:spacing w:before="0" w:after="283"/>
        <w:rPr/>
      </w:pPr>
      <w:r>
        <w:rPr/>
        <w:t xml:space="preserve">Este cambio representa una nueva capacidad estratégica para SIGIE: pasar de vistas informativas a un sistema con criterio operativo reusable, trazabilidad y soporte a resolución. El motor ya existe y ya opera. La oportunidad inmediata ya no está en más pantallas, sino en elevar la madurez de la base de conocimiento con nuevas cargas y una gobernanza funcional controlada. </w:t>
      </w:r>
    </w:p>
    <w:sectPr>
      <w:type w:val="nextPage"/>
      <w:pgSz w:w="12240" w:h="15840"/>
      <w:pgMar w:left="1134" w:right="567" w:header="0" w:top="567" w:footer="0" w:bottom="567" w:gutter="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altName w:val="sans-serif"/>
    <w:charset w:val="01"/>
    <w:family w:val="roman"/>
    <w:pitch w:val="variable"/>
  </w:font>
  <w:font w:name="Thorndale">
    <w:altName w:val="Times New Roman"/>
    <w:charset w:val="01"/>
    <w:family w:val="swiss"/>
    <w:pitch w:val="variable"/>
  </w:font>
  <w:font w:name="Liberation Serif">
    <w:altName w:val="Times New Roman"/>
    <w:charset w:val="01"/>
    <w:family w:val="swiss"/>
    <w:pitch w:val="variable"/>
  </w:font>
  <w:font w:name="OpenSymbol">
    <w:altName w:val="Arial Unicode MS"/>
    <w:charset w:val="01"/>
    <w:family w:val="roman"/>
    <w:pitch w:val="variable"/>
  </w:font>
  <w:font w:name="Albany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40"/>
  <w:defaultTabStop w:val="1134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" w:cs="Lohit Devanagari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qFormat/>
    <w:pPr>
      <w:widowControl w:val="false"/>
      <w:overflowPunct w:val="false"/>
      <w:bidi w:val="0"/>
      <w:spacing w:lineRule="auto" w:line="348" w:before="420" w:after="420"/>
      <w:ind w:left="420" w:right="420" w:hanging="0"/>
      <w:jc w:val="left"/>
    </w:pPr>
    <w:rPr>
      <w:rFonts w:ascii="Arial;sans-serif" w:hAnsi="Arial;sans-serif" w:eastAsia="Arial;sans-serif" w:cs="Arial;sans-serif"/>
      <w:color w:val="20323A"/>
      <w:kern w:val="0"/>
      <w:sz w:val="24"/>
      <w:szCs w:val="24"/>
      <w:lang w:val="en-US" w:eastAsia="zh-CN" w:bidi="hi-IN"/>
    </w:rPr>
  </w:style>
  <w:style w:type="paragraph" w:styleId="Heading1">
    <w:name w:val="Heading 1"/>
    <w:basedOn w:val="Heading"/>
    <w:qFormat/>
    <w:pPr>
      <w:spacing w:before="240" w:after="60"/>
    </w:pPr>
    <w:rPr>
      <w:rFonts w:ascii="Thorndale" w:hAnsi="Thorndale"/>
      <w:b/>
      <w:bCs/>
      <w:color w:val="124050"/>
      <w:sz w:val="48"/>
      <w:szCs w:val="48"/>
    </w:rPr>
  </w:style>
  <w:style w:type="paragraph" w:styleId="Heading2">
    <w:name w:val="Heading 2"/>
    <w:basedOn w:val="Heading"/>
    <w:qFormat/>
    <w:pPr>
      <w:pBdr>
        <w:bottom w:val="single" w:sz="12" w:space="4" w:color="D7E8EE"/>
      </w:pBdr>
      <w:spacing w:before="390" w:after="120"/>
      <w:ind w:left="420" w:right="420" w:hanging="0"/>
      <w:outlineLvl w:val="1"/>
    </w:pPr>
    <w:rPr>
      <w:rFonts w:ascii="Liberation Serif" w:hAnsi="Liberation Serif" w:eastAsia="Noto Sans CJK SC" w:cs="Lohit Devanagari"/>
      <w:b/>
      <w:bCs/>
      <w:color w:val="124050"/>
      <w:sz w:val="32"/>
      <w:szCs w:val="32"/>
    </w:rPr>
  </w:style>
  <w:style w:type="paragraph" w:styleId="Heading3">
    <w:name w:val="Heading 3"/>
    <w:basedOn w:val="Heading"/>
    <w:qFormat/>
    <w:pPr>
      <w:spacing w:before="270" w:after="120"/>
      <w:ind w:left="420" w:right="420" w:hanging="0"/>
      <w:outlineLvl w:val="2"/>
    </w:pPr>
    <w:rPr>
      <w:rFonts w:ascii="Liberation Serif" w:hAnsi="Liberation Serif" w:eastAsia="Noto Sans CJK SC" w:cs="Lohit Devanagari"/>
      <w:b/>
      <w:bCs/>
      <w:color w:val="124050"/>
      <w:sz w:val="25"/>
      <w:szCs w:val="25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InternetLink">
    <w:name w:val="Internet 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ListLabel1">
    <w:name w:val="ListLabel 1"/>
    <w:qFormat/>
    <w:rPr>
      <w:rFonts w:cs="OpenSymbol"/>
    </w:rPr>
  </w:style>
  <w:style w:type="character" w:styleId="ListLabel2">
    <w:name w:val="ListLabel 2"/>
    <w:qFormat/>
    <w:rPr>
      <w:rFonts w:cs="OpenSymbol"/>
    </w:rPr>
  </w:style>
  <w:style w:type="character" w:styleId="ListLabel3">
    <w:name w:val="ListLabel 3"/>
    <w:qFormat/>
    <w:rPr>
      <w:rFonts w:cs="OpenSymbol"/>
    </w:rPr>
  </w:style>
  <w:style w:type="character" w:styleId="ListLabel4">
    <w:name w:val="ListLabel 4"/>
    <w:qFormat/>
    <w:rPr>
      <w:rFonts w:cs="OpenSymbol"/>
    </w:rPr>
  </w:style>
  <w:style w:type="character" w:styleId="ListLabel5">
    <w:name w:val="ListLabel 5"/>
    <w:qFormat/>
    <w:rPr>
      <w:rFonts w:cs="OpenSymbol"/>
    </w:rPr>
  </w:style>
  <w:style w:type="character" w:styleId="ListLabel6">
    <w:name w:val="ListLabel 6"/>
    <w:qFormat/>
    <w:rPr>
      <w:rFonts w:cs="OpenSymbol"/>
    </w:rPr>
  </w:style>
  <w:style w:type="character" w:styleId="ListLabel7">
    <w:name w:val="ListLabel 7"/>
    <w:qFormat/>
    <w:rPr>
      <w:rFonts w:cs="OpenSymbol"/>
    </w:rPr>
  </w:style>
  <w:style w:type="character" w:styleId="ListLabel8">
    <w:name w:val="ListLabel 8"/>
    <w:qFormat/>
    <w:rPr>
      <w:rFonts w:cs="OpenSymbol"/>
    </w:rPr>
  </w:style>
  <w:style w:type="character" w:styleId="ListLabel9">
    <w:name w:val="ListLabel 9"/>
    <w:qFormat/>
    <w:rPr>
      <w:rFonts w:cs="OpenSymbol"/>
    </w:rPr>
  </w:style>
  <w:style w:type="character" w:styleId="ListLabel10">
    <w:name w:val="ListLabel 10"/>
    <w:qFormat/>
    <w:rPr>
      <w:rFonts w:cs="OpenSymbol"/>
    </w:rPr>
  </w:style>
  <w:style w:type="character" w:styleId="ListLabel11">
    <w:name w:val="ListLabel 11"/>
    <w:qFormat/>
    <w:rPr>
      <w:rFonts w:cs="OpenSymbol"/>
    </w:rPr>
  </w:style>
  <w:style w:type="character" w:styleId="ListLabel12">
    <w:name w:val="ListLabel 12"/>
    <w:qFormat/>
    <w:rPr>
      <w:rFonts w:cs="OpenSymbol"/>
    </w:rPr>
  </w:style>
  <w:style w:type="character" w:styleId="ListLabel13">
    <w:name w:val="ListLabel 13"/>
    <w:qFormat/>
    <w:rPr>
      <w:rFonts w:cs="OpenSymbol"/>
    </w:rPr>
  </w:style>
  <w:style w:type="character" w:styleId="ListLabel14">
    <w:name w:val="ListLabel 14"/>
    <w:qFormat/>
    <w:rPr>
      <w:rFonts w:cs="OpenSymbol"/>
    </w:rPr>
  </w:style>
  <w:style w:type="character" w:styleId="ListLabel15">
    <w:name w:val="ListLabel 15"/>
    <w:qFormat/>
    <w:rPr>
      <w:rFonts w:cs="OpenSymbol"/>
    </w:rPr>
  </w:style>
  <w:style w:type="character" w:styleId="ListLabel16">
    <w:name w:val="ListLabel 16"/>
    <w:qFormat/>
    <w:rPr>
      <w:rFonts w:cs="OpenSymbol"/>
    </w:rPr>
  </w:style>
  <w:style w:type="character" w:styleId="ListLabel17">
    <w:name w:val="ListLabel 17"/>
    <w:qFormat/>
    <w:rPr>
      <w:rFonts w:cs="OpenSymbol"/>
    </w:rPr>
  </w:style>
  <w:style w:type="character" w:styleId="ListLabel18">
    <w:name w:val="ListLabel 18"/>
    <w:qFormat/>
    <w:rPr>
      <w:rFonts w:cs="OpenSymbol"/>
    </w:rPr>
  </w:style>
  <w:style w:type="character" w:styleId="ListLabel19">
    <w:name w:val="ListLabel 19"/>
    <w:qFormat/>
    <w:rPr>
      <w:rFonts w:cs="OpenSymbol"/>
    </w:rPr>
  </w:style>
  <w:style w:type="character" w:styleId="ListLabel20">
    <w:name w:val="ListLabel 20"/>
    <w:qFormat/>
    <w:rPr>
      <w:rFonts w:cs="OpenSymbol"/>
    </w:rPr>
  </w:style>
  <w:style w:type="character" w:styleId="ListLabel21">
    <w:name w:val="ListLabel 21"/>
    <w:qFormat/>
    <w:rPr>
      <w:rFonts w:cs="OpenSymbol"/>
    </w:rPr>
  </w:style>
  <w:style w:type="character" w:styleId="ListLabel22">
    <w:name w:val="ListLabel 22"/>
    <w:qFormat/>
    <w:rPr>
      <w:rFonts w:cs="OpenSymbol"/>
    </w:rPr>
  </w:style>
  <w:style w:type="character" w:styleId="ListLabel23">
    <w:name w:val="ListLabel 23"/>
    <w:qFormat/>
    <w:rPr>
      <w:rFonts w:cs="OpenSymbol"/>
    </w:rPr>
  </w:style>
  <w:style w:type="character" w:styleId="ListLabel24">
    <w:name w:val="ListLabel 24"/>
    <w:qFormat/>
    <w:rPr>
      <w:rFonts w:cs="OpenSymbol"/>
    </w:rPr>
  </w:style>
  <w:style w:type="character" w:styleId="ListLabel25">
    <w:name w:val="ListLabel 25"/>
    <w:qFormat/>
    <w:rPr>
      <w:rFonts w:cs="OpenSymbol"/>
    </w:rPr>
  </w:style>
  <w:style w:type="character" w:styleId="ListLabel26">
    <w:name w:val="ListLabel 26"/>
    <w:qFormat/>
    <w:rPr>
      <w:rFonts w:cs="OpenSymbol"/>
    </w:rPr>
  </w:style>
  <w:style w:type="character" w:styleId="ListLabel27">
    <w:name w:val="ListLabel 27"/>
    <w:qFormat/>
    <w:rPr>
      <w:rFonts w:cs="OpenSymbol"/>
    </w:rPr>
  </w:style>
  <w:style w:type="character" w:styleId="ListLabel28">
    <w:name w:val="ListLabel 28"/>
    <w:qFormat/>
    <w:rPr>
      <w:rFonts w:cs="OpenSymbol"/>
    </w:rPr>
  </w:style>
  <w:style w:type="character" w:styleId="ListLabel29">
    <w:name w:val="ListLabel 29"/>
    <w:qFormat/>
    <w:rPr>
      <w:rFonts w:cs="OpenSymbol"/>
    </w:rPr>
  </w:style>
  <w:style w:type="character" w:styleId="ListLabel30">
    <w:name w:val="ListLabel 30"/>
    <w:qFormat/>
    <w:rPr>
      <w:rFonts w:cs="OpenSymbol"/>
    </w:rPr>
  </w:style>
  <w:style w:type="character" w:styleId="ListLabel31">
    <w:name w:val="ListLabel 31"/>
    <w:qFormat/>
    <w:rPr>
      <w:rFonts w:cs="OpenSymbol"/>
    </w:rPr>
  </w:style>
  <w:style w:type="character" w:styleId="ListLabel32">
    <w:name w:val="ListLabel 32"/>
    <w:qFormat/>
    <w:rPr>
      <w:rFonts w:cs="OpenSymbol"/>
    </w:rPr>
  </w:style>
  <w:style w:type="character" w:styleId="ListLabel33">
    <w:name w:val="ListLabel 33"/>
    <w:qFormat/>
    <w:rPr>
      <w:rFonts w:cs="OpenSymbol"/>
    </w:rPr>
  </w:style>
  <w:style w:type="character" w:styleId="ListLabel34">
    <w:name w:val="ListLabel 34"/>
    <w:qFormat/>
    <w:rPr>
      <w:rFonts w:cs="OpenSymbol"/>
    </w:rPr>
  </w:style>
  <w:style w:type="character" w:styleId="ListLabel35">
    <w:name w:val="ListLabel 35"/>
    <w:qFormat/>
    <w:rPr>
      <w:rFonts w:cs="OpenSymbol"/>
    </w:rPr>
  </w:style>
  <w:style w:type="character" w:styleId="ListLabel36">
    <w:name w:val="ListLabel 36"/>
    <w:qFormat/>
    <w:rPr>
      <w:rFonts w:cs="OpenSymbol"/>
    </w:rPr>
  </w:style>
  <w:style w:type="character" w:styleId="ListLabel37">
    <w:name w:val="ListLabel 37"/>
    <w:qFormat/>
    <w:rPr>
      <w:rFonts w:cs="OpenSymbol"/>
    </w:rPr>
  </w:style>
  <w:style w:type="character" w:styleId="ListLabel38">
    <w:name w:val="ListLabel 38"/>
    <w:qFormat/>
    <w:rPr>
      <w:rFonts w:cs="OpenSymbol"/>
    </w:rPr>
  </w:style>
  <w:style w:type="character" w:styleId="ListLabel39">
    <w:name w:val="ListLabel 39"/>
    <w:qFormat/>
    <w:rPr>
      <w:rFonts w:cs="OpenSymbol"/>
    </w:rPr>
  </w:style>
  <w:style w:type="character" w:styleId="ListLabel40">
    <w:name w:val="ListLabel 40"/>
    <w:qFormat/>
    <w:rPr>
      <w:rFonts w:cs="OpenSymbol"/>
    </w:rPr>
  </w:style>
  <w:style w:type="character" w:styleId="ListLabel41">
    <w:name w:val="ListLabel 41"/>
    <w:qFormat/>
    <w:rPr>
      <w:rFonts w:cs="OpenSymbol"/>
    </w:rPr>
  </w:style>
  <w:style w:type="character" w:styleId="ListLabel42">
    <w:name w:val="ListLabel 42"/>
    <w:qFormat/>
    <w:rPr>
      <w:rFonts w:cs="OpenSymbol"/>
    </w:rPr>
  </w:style>
  <w:style w:type="character" w:styleId="ListLabel43">
    <w:name w:val="ListLabel 43"/>
    <w:qFormat/>
    <w:rPr>
      <w:rFonts w:cs="OpenSymbol"/>
    </w:rPr>
  </w:style>
  <w:style w:type="character" w:styleId="ListLabel44">
    <w:name w:val="ListLabel 44"/>
    <w:qFormat/>
    <w:rPr>
      <w:rFonts w:cs="OpenSymbol"/>
    </w:rPr>
  </w:style>
  <w:style w:type="character" w:styleId="ListLabel45">
    <w:name w:val="ListLabel 45"/>
    <w:qFormat/>
    <w:rPr>
      <w:rFonts w:cs="OpenSymbol"/>
    </w:rPr>
  </w:style>
  <w:style w:type="character" w:styleId="ListLabel46">
    <w:name w:val="ListLabel 46"/>
    <w:qFormat/>
    <w:rPr>
      <w:rFonts w:cs="OpenSymbol"/>
    </w:rPr>
  </w:style>
  <w:style w:type="character" w:styleId="ListLabel47">
    <w:name w:val="ListLabel 47"/>
    <w:qFormat/>
    <w:rPr>
      <w:rFonts w:cs="OpenSymbol"/>
    </w:rPr>
  </w:style>
  <w:style w:type="character" w:styleId="ListLabel48">
    <w:name w:val="ListLabel 48"/>
    <w:qFormat/>
    <w:rPr>
      <w:rFonts w:cs="OpenSymbol"/>
    </w:rPr>
  </w:style>
  <w:style w:type="character" w:styleId="ListLabel49">
    <w:name w:val="ListLabel 49"/>
    <w:qFormat/>
    <w:rPr>
      <w:rFonts w:cs="OpenSymbol"/>
    </w:rPr>
  </w:style>
  <w:style w:type="character" w:styleId="ListLabel50">
    <w:name w:val="ListLabel 50"/>
    <w:qFormat/>
    <w:rPr>
      <w:rFonts w:cs="OpenSymbol"/>
    </w:rPr>
  </w:style>
  <w:style w:type="character" w:styleId="ListLabel51">
    <w:name w:val="ListLabel 51"/>
    <w:qFormat/>
    <w:rPr>
      <w:rFonts w:cs="OpenSymbol"/>
    </w:rPr>
  </w:style>
  <w:style w:type="character" w:styleId="ListLabel52">
    <w:name w:val="ListLabel 52"/>
    <w:qFormat/>
    <w:rPr>
      <w:rFonts w:cs="OpenSymbol"/>
    </w:rPr>
  </w:style>
  <w:style w:type="character" w:styleId="ListLabel53">
    <w:name w:val="ListLabel 53"/>
    <w:qFormat/>
    <w:rPr>
      <w:rFonts w:cs="OpenSymbol"/>
    </w:rPr>
  </w:style>
  <w:style w:type="character" w:styleId="ListLabel54">
    <w:name w:val="ListLabel 54"/>
    <w:qFormat/>
    <w:rPr>
      <w:rFonts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283"/>
    </w:pPr>
    <w:rPr>
      <w:rFonts w:ascii="Albany" w:hAnsi="Albany"/>
      <w:sz w:val="28"/>
      <w:szCs w:val="28"/>
    </w:rPr>
  </w:style>
  <w:style w:type="paragraph" w:styleId="TextBody">
    <w:name w:val="Body Text"/>
    <w:basedOn w:val="Normal"/>
    <w:pPr>
      <w:spacing w:before="0" w:after="283"/>
    </w:pPr>
    <w:rPr>
      <w:sz w:val="21"/>
      <w:szCs w:val="21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orizontalLine">
    <w:name w:val="Horizontal Line"/>
    <w:basedOn w:val="Normal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Sender">
    <w:name w:val="Envelope Return"/>
    <w:basedOn w:val="Normal"/>
    <w:pPr/>
    <w:rPr>
      <w:i/>
    </w:rPr>
  </w:style>
  <w:style w:type="paragraph" w:styleId="TableContents">
    <w:name w:val="Table Contents"/>
    <w:basedOn w:val="TextBody"/>
    <w:qFormat/>
    <w:pPr/>
    <w:rPr>
      <w:sz w:val="19"/>
      <w:szCs w:val="19"/>
    </w:rPr>
  </w:style>
  <w:style w:type="paragraph" w:styleId="Footer">
    <w:name w:val="Footer"/>
    <w:basedOn w:val="Normal"/>
    <w:pPr>
      <w:suppressLineNumbers/>
      <w:tabs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enter" w:pos="4818" w:leader="none"/>
        <w:tab w:val="right" w:pos="9637" w:leader="none"/>
      </w:tabs>
    </w:pPr>
    <w:rPr/>
  </w:style>
  <w:style w:type="paragraph" w:styleId="TableHeading">
    <w:name w:val="Table Heading"/>
    <w:basedOn w:val="TableContents"/>
    <w:qFormat/>
    <w:pPr>
      <w:suppressLineNumbers/>
      <w:jc w:val="left"/>
    </w:pPr>
    <w:rPr>
      <w:b/>
      <w:bCs/>
      <w:color w:val="FFFFFF"/>
      <w:sz w:val="19"/>
      <w:szCs w:val="19"/>
    </w:rPr>
  </w:style>
  <w:style w:type="paragraph" w:styleId="TextBodysmall">
    <w:name w:val="Text Body.small"/>
    <w:basedOn w:val="TextBody"/>
    <w:qFormat/>
    <w:pPr/>
    <w:rPr>
      <w:color w:val="51656D"/>
      <w:sz w:val="18"/>
      <w:szCs w:val="18"/>
    </w:rPr>
  </w:style>
  <w:style w:type="paragraph" w:styleId="TextBodycenter">
    <w:name w:val="Text Body.center"/>
    <w:basedOn w:val="TextBody"/>
    <w:qFormat/>
    <w:pPr>
      <w:jc w:val="center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</TotalTime>
  <Application>LibreOffice/6.0.7.3$Linux_X86_64 LibreOffice_project/00m0$Build-3</Application>
  <Pages>7</Pages>
  <Words>1301</Words>
  <Characters>8154</Characters>
  <CharactersWithSpaces>9274</CharactersWithSpaces>
  <Paragraphs>193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2026-07-21T21:13:14Z</dcterms:modified>
  <cp:revision>1</cp:revision>
  <dc:subject/>
  <dc:title>Informe Ejecutivo y Técnico - Motor y Base de Conocimiento SIGIE V2</dc:title>
</cp:coreProperties>
</file>