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60" w:after="180"/>
        <w:rPr/>
      </w:pPr>
      <w:r>
        <w:rPr/>
        <w:t>NetGuard Pro — README</w:t>
      </w:r>
    </w:p>
    <w:p>
      <w:pPr>
        <w:pStyle w:val="Normal"/>
        <w:rPr/>
      </w:pPr>
      <w:r>
        <w:rPr>
          <w:i/>
          <w:iCs/>
          <w:color w:val="666666"/>
          <w:sz w:val="20"/>
          <w:szCs w:val="20"/>
        </w:rPr>
        <w:t>Version 1.1.0  |  NetGuard Solutions  |  March 2026</w:t>
      </w:r>
    </w:p>
    <w:p>
      <w:pPr>
        <w:pStyle w:val="Normal"/>
        <w:rPr/>
      </w:pPr>
      <w:r>
        <w:rPr>
          <w:i/>
          <w:iCs/>
          <w:color w:val="444444"/>
          <w:sz w:val="22"/>
          <w:szCs w:val="22"/>
        </w:rPr>
        <w:t>Centrally managed network-traffic inspection and threat-detection engine.</w:t>
      </w:r>
    </w:p>
    <w:p>
      <w:pPr>
        <w:pStyle w:val="Normal"/>
        <w:pBdr>
          <w:bottom w:val="single" w:sz="6" w:space="1" w:color="2E75B6"/>
        </w:pBdr>
        <w:spacing w:before="0" w:after="200"/>
        <w:rPr/>
      </w:pPr>
      <w:r>
        <w:rPr/>
      </w:r>
    </w:p>
    <w:p>
      <w:pPr>
        <w:pStyle w:val="Heading2"/>
        <w:rPr/>
      </w:pPr>
      <w:r>
        <w:rPr/>
        <w:t>Table of Contents</w:t>
      </w:r>
    </w:p>
    <w:p>
      <w:pPr>
        <w:pStyle w:val="ListParagraph"/>
        <w:numPr>
          <w:ilvl w:val="0"/>
          <w:numId w:val="5"/>
        </w:numPr>
        <w:rPr/>
      </w:pPr>
      <w:r>
        <w:rPr/>
        <w:t>Title &amp; Tagline</w:t>
      </w:r>
    </w:p>
    <w:p>
      <w:pPr>
        <w:pStyle w:val="ListParagraph"/>
        <w:numPr>
          <w:ilvl w:val="0"/>
          <w:numId w:val="1"/>
        </w:numPr>
        <w:rPr/>
      </w:pPr>
      <w:r>
        <w:rPr/>
        <w:t>Overview / Executive Summary</w:t>
      </w:r>
    </w:p>
    <w:p>
      <w:pPr>
        <w:pStyle w:val="ListParagraph"/>
        <w:numPr>
          <w:ilvl w:val="0"/>
          <w:numId w:val="1"/>
        </w:numPr>
        <w:rPr/>
      </w:pPr>
      <w:r>
        <w:rPr/>
        <w:t>Security Posture &amp; Compliance</w:t>
      </w:r>
    </w:p>
    <w:p>
      <w:pPr>
        <w:pStyle w:val="ListParagraph"/>
        <w:numPr>
          <w:ilvl w:val="0"/>
          <w:numId w:val="1"/>
        </w:numPr>
        <w:rPr/>
      </w:pPr>
      <w:r>
        <w:rPr/>
        <w:t>Architecture &amp; Components</w:t>
      </w:r>
    </w:p>
    <w:p>
      <w:pPr>
        <w:pStyle w:val="ListParagraph"/>
        <w:numPr>
          <w:ilvl w:val="0"/>
          <w:numId w:val="1"/>
        </w:numPr>
        <w:rPr/>
      </w:pPr>
      <w:r>
        <w:rPr/>
        <w:t>System Requirements</w:t>
      </w:r>
    </w:p>
    <w:p>
      <w:pPr>
        <w:pStyle w:val="ListParagraph"/>
        <w:numPr>
          <w:ilvl w:val="0"/>
          <w:numId w:val="1"/>
        </w:numPr>
        <w:rPr/>
      </w:pPr>
      <w:r>
        <w:rPr/>
        <w:t>Deployment &amp; Installation</w:t>
      </w:r>
    </w:p>
    <w:p>
      <w:pPr>
        <w:pStyle w:val="ListParagraph"/>
        <w:numPr>
          <w:ilvl w:val="0"/>
          <w:numId w:val="1"/>
        </w:numPr>
        <w:rPr/>
      </w:pPr>
      <w:r>
        <w:rPr/>
        <w:t>Configuration &amp; Tuning</w:t>
      </w:r>
    </w:p>
    <w:p>
      <w:pPr>
        <w:pStyle w:val="ListParagraph"/>
        <w:numPr>
          <w:ilvl w:val="0"/>
          <w:numId w:val="1"/>
        </w:numPr>
        <w:rPr/>
      </w:pPr>
      <w:r>
        <w:rPr/>
        <w:t>Usage &amp; Workflows</w:t>
      </w:r>
    </w:p>
    <w:p>
      <w:pPr>
        <w:pStyle w:val="ListParagraph"/>
        <w:numPr>
          <w:ilvl w:val="0"/>
          <w:numId w:val="1"/>
        </w:numPr>
        <w:rPr/>
      </w:pPr>
      <w:r>
        <w:rPr/>
        <w:t>Monitoring, Logging &amp; Troubleshooting</w:t>
      </w:r>
    </w:p>
    <w:p>
      <w:pPr>
        <w:pStyle w:val="ListParagraph"/>
        <w:numPr>
          <w:ilvl w:val="0"/>
          <w:numId w:val="1"/>
        </w:numPr>
        <w:rPr/>
      </w:pPr>
      <w:r>
        <w:rPr/>
        <w:t>Security Hardening &amp; Best Practices</w:t>
      </w:r>
    </w:p>
    <w:p>
      <w:pPr>
        <w:pStyle w:val="ListParagraph"/>
        <w:numPr>
          <w:ilvl w:val="0"/>
          <w:numId w:val="1"/>
        </w:numPr>
        <w:rPr/>
      </w:pPr>
      <w:r>
        <w:rPr/>
        <w:t>Supported Environments &amp; Integrations</w:t>
      </w:r>
    </w:p>
    <w:p>
      <w:pPr>
        <w:pStyle w:val="ListParagraph"/>
        <w:numPr>
          <w:ilvl w:val="0"/>
          <w:numId w:val="1"/>
        </w:numPr>
        <w:rPr/>
      </w:pPr>
      <w:r>
        <w:rPr/>
        <w:t>Support &amp; Escalation Procedures</w:t>
      </w:r>
    </w:p>
    <w:p>
      <w:pPr>
        <w:pStyle w:val="ListParagraph"/>
        <w:numPr>
          <w:ilvl w:val="0"/>
          <w:numId w:val="1"/>
        </w:numPr>
        <w:rPr/>
      </w:pPr>
      <w:r>
        <w:rPr/>
        <w:t>Roadmap &amp; Known Limitations</w:t>
      </w:r>
    </w:p>
    <w:p>
      <w:pPr>
        <w:pStyle w:val="ListParagraph"/>
        <w:numPr>
          <w:ilvl w:val="0"/>
          <w:numId w:val="1"/>
        </w:numPr>
        <w:rPr/>
      </w:pPr>
      <w:r>
        <w:rPr/>
        <w:t>License &amp; Legal Notices</w:t>
      </w:r>
    </w:p>
    <w:p>
      <w:pPr>
        <w:pStyle w:val="ListParagraph"/>
        <w:numPr>
          <w:ilvl w:val="0"/>
          <w:numId w:val="1"/>
        </w:numPr>
        <w:rPr/>
      </w:pPr>
      <w:r>
        <w:rPr/>
        <w:t>Contributing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r>
        <w:rPr/>
        <w:t>1. Overview / Executive Summary</w:t>
      </w:r>
    </w:p>
    <w:p>
      <w:pPr>
        <w:pStyle w:val="Normal"/>
        <w:spacing w:before="0" w:after="120"/>
        <w:rPr/>
      </w:pPr>
      <w:r>
        <w:rPr/>
        <w:t>NetGuard Pro is an enterprise-grade network security and monitoring platform developed by NetGuard Solutions. It inspects East-West and North-South traffic, detects lateral-movement attempts, and provides centralised security management for on-premises, cloud, and hybrid environments.</w:t>
      </w:r>
    </w:p>
    <w:p>
      <w:pPr>
        <w:pStyle w:val="Normal"/>
        <w:spacing w:before="0" w:after="120"/>
        <w:rPr/>
      </w:pPr>
      <w:r>
        <w:rPr/>
        <w:t>Key capabilities include real-time threat detection, automated firewall policy enforcement, VPN management, SIEM integration, role-based access control, and customisable compliance reporting.</w:t>
      </w:r>
    </w:p>
    <w:p>
      <w:pPr>
        <w:pStyle w:val="Normal"/>
        <w:spacing w:before="60" w:after="140"/>
        <w:ind w:start="360"/>
        <w:rPr>
          <w:b/>
          <w:bCs/>
          <w:color w:val="2E75B6"/>
          <w:sz w:val="20"/>
          <w:szCs w:val="20"/>
        </w:rPr>
      </w:pPr>
      <w:r>
        <w:rPr>
          <w:b/>
          <w:bCs/>
          <w:color w:val="2E75B6"/>
          <w:sz w:val="20"/>
          <w:szCs w:val="20"/>
        </w:rPr>
        <w:t xml:space="preserve"> </w:t>
      </w:r>
      <w:r>
        <w:rPr>
          <w:b/>
          <w:bCs/>
          <w:color w:val="2E75B6"/>
          <w:sz w:val="20"/>
          <w:szCs w:val="20"/>
        </w:rPr>
        <w:t>Audience: IT managers, architects, security officers, and executive stakeholders.</w:t>
      </w:r>
    </w:p>
    <w:p>
      <w:pPr>
        <w:pStyle w:val="Normal"/>
        <w:spacing w:before="60" w:after="140"/>
        <w:ind w:start="360"/>
        <w:rPr>
          <w:b/>
          <w:bCs/>
          <w:color w:val="2E75B6"/>
          <w:sz w:val="20"/>
          <w:szCs w:val="20"/>
        </w:rPr>
      </w:pPr>
      <w:r>
        <w:rPr>
          <w:b/>
          <w:bCs/>
          <w:color w:val="2E75B6"/>
          <w:sz w:val="20"/>
          <w:szCs w:val="20"/>
        </w:rPr>
      </w:r>
    </w:p>
    <w:p>
      <w:pPr>
        <w:pStyle w:val="Normal"/>
        <w:spacing w:before="60" w:after="140"/>
        <w:ind w:start="360"/>
        <w:rPr>
          <w:b/>
          <w:bCs/>
          <w:color w:val="2E75B6"/>
          <w:sz w:val="20"/>
          <w:szCs w:val="20"/>
        </w:rPr>
      </w:pPr>
      <w:r>
        <w:rPr>
          <w:b/>
          <w:bCs/>
          <w:color w:val="2E75B6"/>
          <w:sz w:val="20"/>
          <w:szCs w:val="20"/>
        </w:rPr>
      </w:r>
    </w:p>
    <w:p>
      <w:pPr>
        <w:pStyle w:val="Normal"/>
        <w:spacing w:before="60" w:after="140"/>
        <w:ind w:start="360"/>
        <w:rPr>
          <w:b/>
          <w:bCs/>
          <w:color w:val="2E75B6"/>
          <w:sz w:val="20"/>
          <w:szCs w:val="20"/>
        </w:rPr>
      </w:pPr>
      <w:r>
        <w:rPr>
          <w:b/>
          <w:bCs/>
          <w:color w:val="2E75B6"/>
          <w:sz w:val="20"/>
          <w:szCs w:val="20"/>
        </w:rPr>
      </w:r>
    </w:p>
    <w:p>
      <w:pPr>
        <w:pStyle w:val="Normal"/>
        <w:spacing w:before="60" w:after="140"/>
        <w:ind w:start="360"/>
        <w:rPr>
          <w:b/>
          <w:bCs/>
          <w:color w:val="2E75B6"/>
          <w:sz w:val="20"/>
          <w:szCs w:val="20"/>
        </w:rPr>
      </w:pPr>
      <w:r>
        <w:rPr>
          <w:b/>
          <w:bCs/>
          <w:color w:val="2E75B6"/>
          <w:sz w:val="20"/>
          <w:szCs w:val="20"/>
        </w:rPr>
      </w:r>
    </w:p>
    <w:p>
      <w:pPr>
        <w:pStyle w:val="Normal"/>
        <w:spacing w:before="60" w:after="140"/>
        <w:ind w:start="360"/>
        <w:rPr>
          <w:b/>
          <w:bCs/>
          <w:color w:val="2E75B6"/>
          <w:sz w:val="20"/>
          <w:szCs w:val="20"/>
        </w:rPr>
      </w:pPr>
      <w:r>
        <w:rPr>
          <w:b/>
          <w:bCs/>
          <w:color w:val="2E75B6"/>
          <w:sz w:val="20"/>
          <w:szCs w:val="20"/>
        </w:rPr>
      </w:r>
    </w:p>
    <w:p>
      <w:pPr>
        <w:pStyle w:val="Normal"/>
        <w:spacing w:before="60" w:after="140"/>
        <w:ind w:start="360"/>
        <w:rPr>
          <w:b/>
          <w:bCs/>
          <w:color w:val="2E75B6"/>
          <w:sz w:val="20"/>
          <w:szCs w:val="20"/>
        </w:rPr>
      </w:pPr>
      <w:r>
        <w:rPr>
          <w:b/>
          <w:bCs/>
          <w:color w:val="2E75B6"/>
          <w:sz w:val="20"/>
          <w:szCs w:val="20"/>
        </w:rPr>
      </w:r>
    </w:p>
    <w:p>
      <w:pPr>
        <w:pStyle w:val="Heading2"/>
        <w:rPr/>
      </w:pPr>
      <w:r>
        <w:rPr/>
        <w:t>2. Security Posture &amp; Compliance</w:t>
      </w:r>
    </w:p>
    <w:p>
      <w:pPr>
        <w:pStyle w:val="Normal"/>
        <w:spacing w:before="0" w:after="120"/>
        <w:rPr/>
      </w:pPr>
      <w:r>
        <w:rPr/>
        <w:t>NetGuard Pro is designed to align with major security frameworks and regulatory standards:</w:t>
      </w:r>
    </w:p>
    <w:p>
      <w:pPr>
        <w:pStyle w:val="ListParagraph"/>
        <w:numPr>
          <w:ilvl w:val="0"/>
          <w:numId w:val="6"/>
        </w:numPr>
        <w:rPr/>
      </w:pPr>
      <w:r>
        <w:rPr/>
        <w:t>Authentication &amp; Authorisation: Role-Based Access Control (RBAC), MFA, SSO via SAML 2.0 / OIDC.</w:t>
      </w:r>
    </w:p>
    <w:p>
      <w:pPr>
        <w:pStyle w:val="ListParagraph"/>
        <w:numPr>
          <w:ilvl w:val="0"/>
          <w:numId w:val="2"/>
        </w:numPr>
        <w:rPr/>
      </w:pPr>
      <w:r>
        <w:rPr/>
        <w:t>Data Protection: AES-256 encryption at rest; TLS 1.3 in transit. Logs are anonymised by default.</w:t>
      </w:r>
    </w:p>
    <w:p>
      <w:pPr>
        <w:pStyle w:val="ListParagraph"/>
        <w:numPr>
          <w:ilvl w:val="0"/>
          <w:numId w:val="2"/>
        </w:numPr>
        <w:rPr/>
      </w:pPr>
      <w:r>
        <w:rPr/>
        <w:t>Compliance Frameworks: ISO 27001, NIST CSF, SOC 2 Type II, GDPR, PCI-DSS.</w:t>
      </w:r>
    </w:p>
    <w:p>
      <w:pPr>
        <w:pStyle w:val="ListParagraph"/>
        <w:numPr>
          <w:ilvl w:val="0"/>
          <w:numId w:val="2"/>
        </w:numPr>
        <w:rPr/>
      </w:pPr>
      <w:r>
        <w:rPr/>
        <w:t>Supply Chain Security: Software Bill of Materials (SBOM) available upon request; all dependencies scanned via SCA.</w:t>
      </w:r>
    </w:p>
    <w:p>
      <w:pPr>
        <w:pStyle w:val="Normal"/>
        <w:spacing w:before="60" w:after="140"/>
        <w:ind w:start="360"/>
        <w:rPr/>
      </w:pPr>
      <w:r>
        <w:rPr>
          <w:b/>
          <w:bCs/>
          <w:color w:val="2E75B6"/>
          <w:sz w:val="20"/>
          <w:szCs w:val="20"/>
        </w:rPr>
        <w:t xml:space="preserve"> </w:t>
      </w:r>
      <w:r>
        <w:rPr>
          <w:b/>
          <w:bCs/>
          <w:color w:val="2E75B6"/>
          <w:sz w:val="20"/>
          <w:szCs w:val="20"/>
        </w:rPr>
        <w:t>Audience: Security officers, compliance teams, and auditors.</w:t>
      </w:r>
    </w:p>
    <w:p>
      <w:pPr>
        <w:pStyle w:val="Heading2"/>
        <w:rPr/>
      </w:pPr>
      <w:r>
        <w:rPr/>
        <w:t>3. Architecture &amp; Components</w:t>
      </w:r>
    </w:p>
    <w:p>
      <w:pPr>
        <w:pStyle w:val="Normal"/>
        <w:spacing w:before="0" w:after="120"/>
        <w:rPr/>
      </w:pPr>
      <w:r>
        <w:rPr/>
        <w:t>NetGuard Pro follows a split control-plane / data-plane architecture:</w:t>
      </w:r>
    </w:p>
    <w:p>
      <w:pPr>
        <w:pStyle w:val="ListParagraph"/>
        <w:numPr>
          <w:ilvl w:val="0"/>
          <w:numId w:val="2"/>
        </w:numPr>
        <w:rPr/>
      </w:pPr>
      <w:r>
        <w:rPr/>
        <w:t>Management Server (Control Plane): Central console for policy management, dashboards, reporting, and user administration.</w:t>
      </w:r>
    </w:p>
    <w:p>
      <w:pPr>
        <w:pStyle w:val="ListParagraph"/>
        <w:numPr>
          <w:ilvl w:val="0"/>
          <w:numId w:val="2"/>
        </w:numPr>
        <w:rPr/>
      </w:pPr>
      <w:r>
        <w:rPr/>
        <w:t>Sensors / Agents (Data Plane): Lightweight probes deployed on network segments, endpoints, or as virtual appliances.</w:t>
      </w:r>
    </w:p>
    <w:p>
      <w:pPr>
        <w:pStyle w:val="ListParagraph"/>
        <w:numPr>
          <w:ilvl w:val="0"/>
          <w:numId w:val="2"/>
        </w:numPr>
        <w:rPr/>
      </w:pPr>
      <w:r>
        <w:rPr/>
        <w:t>Communication Channels: REST API (HTTPS), encrypted RPC for sensor-to-server communication, Kafka-based event bus for SIEM integration.</w:t>
      </w:r>
    </w:p>
    <w:p>
      <w:pPr>
        <w:pStyle w:val="Normal"/>
        <w:spacing w:before="80" w:after="160"/>
        <w:ind w:start="360"/>
        <w:rPr/>
      </w:pPr>
      <w:r>
        <w:rPr>
          <w:i/>
          <w:iCs/>
          <w:color w:val="555555"/>
          <w:sz w:val="20"/>
          <w:szCs w:val="20"/>
        </w:rPr>
        <w:t xml:space="preserve"> </w:t>
      </w:r>
      <w:r>
        <w:rPr>
          <w:i/>
          <w:iCs/>
          <w:color w:val="555555"/>
          <w:sz w:val="20"/>
          <w:szCs w:val="20"/>
        </w:rPr>
        <w:t>A full architecture diagram is available at docs.netguardsolutions.com/architecture.</w:t>
      </w:r>
    </w:p>
    <w:p>
      <w:pPr>
        <w:pStyle w:val="Normal"/>
        <w:spacing w:before="60" w:after="140"/>
        <w:ind w:start="360"/>
        <w:rPr/>
      </w:pPr>
      <w:r>
        <w:rPr>
          <w:b/>
          <w:bCs/>
          <w:color w:val="2E75B6"/>
          <w:sz w:val="20"/>
          <w:szCs w:val="20"/>
        </w:rPr>
        <w:t xml:space="preserve"> </w:t>
      </w:r>
      <w:r>
        <w:rPr>
          <w:b/>
          <w:bCs/>
          <w:color w:val="2E75B6"/>
          <w:sz w:val="20"/>
          <w:szCs w:val="20"/>
        </w:rPr>
        <w:t>Audience: Architects, DevOps engineers, and support teams.</w:t>
      </w:r>
    </w:p>
    <w:p>
      <w:pPr>
        <w:pStyle w:val="Heading2"/>
        <w:rPr/>
      </w:pPr>
      <w:r>
        <w:rPr/>
        <w:t>4. System Requirements</w:t>
      </w:r>
    </w:p>
    <w:p>
      <w:pPr>
        <w:pStyle w:val="Heading3"/>
        <w:rPr/>
      </w:pPr>
      <w:r>
        <w:rPr/>
        <w:t>Minimum</w:t>
      </w:r>
    </w:p>
    <w:p>
      <w:pPr>
        <w:pStyle w:val="ListParagraph"/>
        <w:numPr>
          <w:ilvl w:val="0"/>
          <w:numId w:val="2"/>
        </w:numPr>
        <w:rPr/>
      </w:pPr>
      <w:r>
        <w:rPr/>
        <w:t>OS: Windows Server 2019 / Ubuntu 20.04 LTS or later</w:t>
      </w:r>
    </w:p>
    <w:p>
      <w:pPr>
        <w:pStyle w:val="ListParagraph"/>
        <w:numPr>
          <w:ilvl w:val="0"/>
          <w:numId w:val="2"/>
        </w:numPr>
        <w:rPr/>
      </w:pPr>
      <w:r>
        <w:rPr/>
        <w:t>CPU: 4-core, 2.0 GHz  |  RAM: 8 GB  |  Storage: 50 GB  |  Network: 1 Gbps NIC</w:t>
      </w:r>
    </w:p>
    <w:p>
      <w:pPr>
        <w:pStyle w:val="Normal"/>
        <w:spacing w:before="0" w:after="80"/>
        <w:rPr/>
      </w:pPr>
      <w:r>
        <w:rPr/>
      </w:r>
    </w:p>
    <w:p>
      <w:pPr>
        <w:pStyle w:val="Heading3"/>
        <w:rPr/>
      </w:pPr>
      <w:r>
        <w:rPr/>
        <w:t>Recommended</w:t>
      </w:r>
    </w:p>
    <w:p>
      <w:pPr>
        <w:pStyle w:val="ListParagraph"/>
        <w:numPr>
          <w:ilvl w:val="0"/>
          <w:numId w:val="2"/>
        </w:numPr>
        <w:rPr/>
      </w:pPr>
      <w:r>
        <w:rPr/>
        <w:t>CPU: 8-core, 3.0 GHz  |  RAM: 16 GB  |  Storage: 200 GB SSD  |  Network: 10 Gbps NIC</w:t>
      </w:r>
    </w:p>
    <w:p>
      <w:pPr>
        <w:pStyle w:val="Normal"/>
        <w:spacing w:before="60" w:after="140"/>
        <w:ind w:start="360"/>
        <w:rPr>
          <w:b/>
          <w:bCs/>
          <w:color w:val="2E75B6"/>
          <w:sz w:val="20"/>
          <w:szCs w:val="20"/>
        </w:rPr>
      </w:pPr>
      <w:r>
        <w:rPr>
          <w:b/>
          <w:bCs/>
          <w:color w:val="2E75B6"/>
          <w:sz w:val="20"/>
          <w:szCs w:val="20"/>
        </w:rPr>
        <w:t xml:space="preserve"> </w:t>
      </w:r>
      <w:r>
        <w:rPr>
          <w:b/>
          <w:bCs/>
          <w:color w:val="2E75B6"/>
          <w:sz w:val="20"/>
          <w:szCs w:val="20"/>
        </w:rPr>
        <w:t>Audience: DevOps engineers and sysadmins.</w:t>
      </w:r>
    </w:p>
    <w:p>
      <w:pPr>
        <w:pStyle w:val="Normal"/>
        <w:spacing w:before="60" w:after="140"/>
        <w:ind w:start="360"/>
        <w:rPr>
          <w:b/>
          <w:bCs/>
          <w:color w:val="2E75B6"/>
          <w:sz w:val="20"/>
          <w:szCs w:val="20"/>
        </w:rPr>
      </w:pPr>
      <w:r>
        <w:rPr>
          <w:b/>
          <w:bCs/>
          <w:color w:val="2E75B6"/>
          <w:sz w:val="20"/>
          <w:szCs w:val="20"/>
        </w:rPr>
      </w:r>
    </w:p>
    <w:p>
      <w:pPr>
        <w:pStyle w:val="Normal"/>
        <w:spacing w:before="60" w:after="140"/>
        <w:ind w:start="360"/>
        <w:rPr>
          <w:b/>
          <w:bCs/>
          <w:color w:val="2E75B6"/>
          <w:sz w:val="20"/>
          <w:szCs w:val="20"/>
        </w:rPr>
      </w:pPr>
      <w:r>
        <w:rPr>
          <w:b/>
          <w:bCs/>
          <w:color w:val="2E75B6"/>
          <w:sz w:val="20"/>
          <w:szCs w:val="20"/>
        </w:rPr>
      </w:r>
    </w:p>
    <w:p>
      <w:pPr>
        <w:pStyle w:val="Normal"/>
        <w:spacing w:before="60" w:after="140"/>
        <w:ind w:start="360"/>
        <w:rPr>
          <w:b/>
          <w:bCs/>
          <w:color w:val="2E75B6"/>
          <w:sz w:val="20"/>
          <w:szCs w:val="20"/>
        </w:rPr>
      </w:pPr>
      <w:r>
        <w:rPr>
          <w:b/>
          <w:bCs/>
          <w:color w:val="2E75B6"/>
          <w:sz w:val="20"/>
          <w:szCs w:val="20"/>
        </w:rPr>
      </w:r>
    </w:p>
    <w:p>
      <w:pPr>
        <w:pStyle w:val="Normal"/>
        <w:spacing w:before="60" w:after="140"/>
        <w:ind w:start="360"/>
        <w:rPr>
          <w:b/>
          <w:bCs/>
          <w:color w:val="2E75B6"/>
          <w:sz w:val="20"/>
          <w:szCs w:val="20"/>
        </w:rPr>
      </w:pPr>
      <w:r>
        <w:rPr>
          <w:b/>
          <w:bCs/>
          <w:color w:val="2E75B6"/>
          <w:sz w:val="20"/>
          <w:szCs w:val="20"/>
        </w:rPr>
      </w:r>
    </w:p>
    <w:p>
      <w:pPr>
        <w:pStyle w:val="Heading2"/>
        <w:rPr/>
      </w:pPr>
      <w:r>
        <w:rPr/>
        <w:t>5. Deployment &amp; Installation</w:t>
      </w:r>
    </w:p>
    <w:p>
      <w:pPr>
        <w:pStyle w:val="Normal"/>
        <w:spacing w:before="0" w:after="120"/>
        <w:rPr/>
      </w:pPr>
      <w:r>
        <w:rPr/>
        <w:t>Prerequisites: Ensure the following ports are open: 443 (HTTPS), 8443 (sensor communication), 514 (syslog).</w:t>
      </w:r>
    </w:p>
    <w:p>
      <w:pPr>
        <w:pStyle w:val="ListParagraph"/>
        <w:numPr>
          <w:ilvl w:val="0"/>
          <w:numId w:val="7"/>
        </w:numPr>
        <w:rPr/>
      </w:pPr>
      <w:r>
        <w:rPr/>
        <w:t>Download the installer from the NetGuard Solutions portal.</w:t>
      </w:r>
    </w:p>
    <w:p>
      <w:pPr>
        <w:pStyle w:val="ListParagraph"/>
        <w:numPr>
          <w:ilvl w:val="0"/>
          <w:numId w:val="3"/>
        </w:numPr>
        <w:rPr/>
      </w:pPr>
      <w:r>
        <w:rPr/>
        <w:t>Verify the SHA-256 checksum against the published hash.</w:t>
      </w:r>
    </w:p>
    <w:p>
      <w:pPr>
        <w:pStyle w:val="ListParagraph"/>
        <w:numPr>
          <w:ilvl w:val="0"/>
          <w:numId w:val="3"/>
        </w:numPr>
        <w:rPr/>
      </w:pPr>
      <w:r>
        <w:rPr/>
        <w:t>Run as Administrator (Windows) or with sudo (Linux).</w:t>
      </w:r>
    </w:p>
    <w:p>
      <w:pPr>
        <w:pStyle w:val="ListParagraph"/>
        <w:numPr>
          <w:ilvl w:val="0"/>
          <w:numId w:val="3"/>
        </w:numPr>
        <w:rPr/>
      </w:pPr>
      <w:r>
        <w:rPr/>
        <w:t>Follow the setup wizard to configure network interfaces and initial policies.</w:t>
      </w:r>
    </w:p>
    <w:p>
      <w:pPr>
        <w:pStyle w:val="ListParagraph"/>
        <w:numPr>
          <w:ilvl w:val="0"/>
          <w:numId w:val="3"/>
        </w:numPr>
        <w:rPr/>
      </w:pPr>
      <w:r>
        <w:rPr/>
        <w:t>Register sensors: navigate to Sensors &gt; Add New and follow the onboarding wizard.</w:t>
      </w:r>
    </w:p>
    <w:p>
      <w:pPr>
        <w:pStyle w:val="ListParagraph"/>
        <w:numPr>
          <w:ilvl w:val="0"/>
          <w:numId w:val="3"/>
        </w:numPr>
        <w:rPr/>
      </w:pPr>
      <w:r>
        <w:rPr/>
        <w:t>Enter your license key when prompted and restart the system.</w:t>
      </w:r>
    </w:p>
    <w:p>
      <w:pPr>
        <w:pStyle w:val="Normal"/>
        <w:spacing w:before="80" w:after="160"/>
        <w:ind w:start="360"/>
        <w:rPr/>
      </w:pPr>
      <w:r>
        <w:rPr>
          <w:i/>
          <w:iCs/>
          <w:color w:val="555555"/>
          <w:sz w:val="20"/>
          <w:szCs w:val="20"/>
        </w:rPr>
        <w:t xml:space="preserve"> </w:t>
      </w:r>
      <w:r>
        <w:rPr>
          <w:i/>
          <w:iCs/>
          <w:color w:val="555555"/>
          <w:sz w:val="20"/>
          <w:szCs w:val="20"/>
        </w:rPr>
        <w:t>For silent/unattended installations and Kubernetes deployments, see docs.netguardsolutions.com/deployment.</w:t>
      </w:r>
    </w:p>
    <w:p>
      <w:pPr>
        <w:pStyle w:val="Normal"/>
        <w:spacing w:before="60" w:after="140"/>
        <w:ind w:start="360"/>
        <w:rPr/>
      </w:pPr>
      <w:r>
        <w:rPr>
          <w:b/>
          <w:bCs/>
          <w:color w:val="2E75B6"/>
          <w:sz w:val="20"/>
          <w:szCs w:val="20"/>
        </w:rPr>
        <w:t xml:space="preserve"> </w:t>
      </w:r>
      <w:r>
        <w:rPr>
          <w:b/>
          <w:bCs/>
          <w:color w:val="2E75B6"/>
          <w:sz w:val="20"/>
          <w:szCs w:val="20"/>
        </w:rPr>
        <w:t>Audience: DevOps engineers, sysadmins, and deployment engineers.</w:t>
      </w:r>
    </w:p>
    <w:p>
      <w:pPr>
        <w:pStyle w:val="Heading2"/>
        <w:rPr/>
      </w:pPr>
      <w:r>
        <w:rPr/>
        <w:t>6. Configuration &amp; Tuning</w:t>
      </w:r>
    </w:p>
    <w:p>
      <w:pPr>
        <w:pStyle w:val="Normal"/>
        <w:spacing w:before="0" w:after="120"/>
        <w:rPr/>
      </w:pPr>
      <w:r>
        <w:rPr/>
        <w:t>Primary configuration file: /etc/netguardpro/config.yaml (Linux) or C:\NetGuardPro\config.yaml (Windows).</w:t>
      </w:r>
    </w:p>
    <w:p>
      <w:pPr>
        <w:pStyle w:val="Normal"/>
        <w:spacing w:before="0" w:after="120"/>
        <w:rPr/>
      </w:pPr>
      <w:r>
        <w:rPr/>
        <w:t>Key tunable parameters:</w:t>
      </w:r>
    </w:p>
    <w:p>
      <w:pPr>
        <w:pStyle w:val="ListParagraph"/>
        <w:numPr>
          <w:ilvl w:val="0"/>
          <w:numId w:val="2"/>
        </w:numPr>
        <w:rPr/>
      </w:pPr>
      <w:r>
        <w:rPr/>
        <w:t>detection_sensitivity: LOW | MEDIUM | HIGH — adjust to reduce false positives in trusted environments.</w:t>
      </w:r>
    </w:p>
    <w:p>
      <w:pPr>
        <w:pStyle w:val="ListParagraph"/>
        <w:numPr>
          <w:ilvl w:val="0"/>
          <w:numId w:val="2"/>
        </w:numPr>
        <w:rPr/>
      </w:pPr>
      <w:r>
        <w:rPr/>
        <w:t>policy_rules: Define whitelists, blacklists, and custom detection signatures.</w:t>
      </w:r>
    </w:p>
    <w:p>
      <w:pPr>
        <w:pStyle w:val="ListParagraph"/>
        <w:numPr>
          <w:ilvl w:val="0"/>
          <w:numId w:val="2"/>
        </w:numPr>
        <w:rPr/>
      </w:pPr>
      <w:r>
        <w:rPr/>
        <w:t>network_segments: Specify monitored interfaces and traffic selectors (DMZ, LAN, cloud-VPC).</w:t>
      </w:r>
    </w:p>
    <w:p>
      <w:pPr>
        <w:pStyle w:val="ListParagraph"/>
        <w:numPr>
          <w:ilvl w:val="0"/>
          <w:numId w:val="2"/>
        </w:numPr>
        <w:rPr/>
      </w:pPr>
      <w:r>
        <w:rPr/>
        <w:t>log_retention_days: Default 90 days; adjust per compliance requirements.</w:t>
      </w:r>
    </w:p>
    <w:p>
      <w:pPr>
        <w:pStyle w:val="Normal"/>
        <w:spacing w:before="80" w:after="160"/>
        <w:ind w:start="360"/>
        <w:rPr/>
      </w:pPr>
      <w:r>
        <w:rPr>
          <w:i/>
          <w:iCs/>
          <w:color w:val="555555"/>
          <w:sz w:val="20"/>
          <w:szCs w:val="20"/>
        </w:rPr>
        <w:t>Example configuration profiles for DMZ, internal LAN, and cloud-VPC are available in /examples/configs/.</w:t>
      </w:r>
    </w:p>
    <w:p>
      <w:pPr>
        <w:pStyle w:val="Normal"/>
        <w:spacing w:before="60" w:after="140"/>
        <w:ind w:start="360"/>
        <w:rPr/>
      </w:pPr>
      <w:r>
        <w:rPr>
          <w:b/>
          <w:bCs/>
          <w:color w:val="2E75B6"/>
          <w:sz w:val="20"/>
          <w:szCs w:val="20"/>
        </w:rPr>
        <w:t xml:space="preserve"> </w:t>
      </w:r>
      <w:r>
        <w:rPr>
          <w:b/>
          <w:bCs/>
          <w:color w:val="2E75B6"/>
          <w:sz w:val="20"/>
          <w:szCs w:val="20"/>
        </w:rPr>
        <w:t>Audience: Security engineers, network admins, and support teams.</w:t>
      </w:r>
    </w:p>
    <w:p>
      <w:pPr>
        <w:pStyle w:val="Heading2"/>
        <w:rPr/>
      </w:pPr>
      <w:r>
        <w:rPr/>
        <w:t>7. Usage &amp; Workflows</w:t>
      </w:r>
    </w:p>
    <w:p>
      <w:pPr>
        <w:pStyle w:val="Heading3"/>
        <w:rPr/>
      </w:pPr>
      <w:r>
        <w:rPr/>
        <w:t>Common Operations</w:t>
      </w:r>
    </w:p>
    <w:p>
      <w:pPr>
        <w:pStyle w:val="ListParagraph"/>
        <w:numPr>
          <w:ilvl w:val="0"/>
          <w:numId w:val="2"/>
        </w:numPr>
        <w:rPr/>
      </w:pPr>
      <w:r>
        <w:rPr/>
        <w:t>Launch console: netguardpro --start  |  Web UI: https://&lt;server-ip&gt;:443</w:t>
      </w:r>
    </w:p>
    <w:p>
      <w:pPr>
        <w:pStyle w:val="ListParagraph"/>
        <w:numPr>
          <w:ilvl w:val="0"/>
          <w:numId w:val="2"/>
        </w:numPr>
        <w:rPr/>
      </w:pPr>
      <w:r>
        <w:rPr/>
        <w:t>Create a firewall policy: Security &gt; Firewall Rules &gt; New Rule</w:t>
      </w:r>
    </w:p>
    <w:p>
      <w:pPr>
        <w:pStyle w:val="ListParagraph"/>
        <w:numPr>
          <w:ilvl w:val="0"/>
          <w:numId w:val="2"/>
        </w:numPr>
        <w:rPr/>
      </w:pPr>
      <w:r>
        <w:rPr/>
        <w:t>Run a traffic baseline scan: Monitoring &gt; Baseline &gt; Run Now</w:t>
      </w:r>
    </w:p>
    <w:p>
      <w:pPr>
        <w:pStyle w:val="ListParagraph"/>
        <w:numPr>
          <w:ilvl w:val="0"/>
          <w:numId w:val="2"/>
        </w:numPr>
        <w:rPr/>
      </w:pPr>
      <w:r>
        <w:rPr/>
        <w:t>Review alerts: Dashboard &gt; Active Alerts</w:t>
      </w:r>
    </w:p>
    <w:p>
      <w:pPr>
        <w:pStyle w:val="Heading3"/>
        <w:rPr/>
      </w:pPr>
      <w:r>
        <w:rPr/>
        <w:t>API Quick Reference</w:t>
      </w:r>
    </w:p>
    <w:p>
      <w:pPr>
        <w:pStyle w:val="Normal"/>
        <w:spacing w:before="0" w:after="120"/>
        <w:rPr/>
      </w:pPr>
      <w:r>
        <w:rPr/>
        <w:t>GET  /api/v1/alerts          — retrieve active alerts</w:t>
      </w:r>
    </w:p>
    <w:p>
      <w:pPr>
        <w:pStyle w:val="Normal"/>
        <w:spacing w:before="0" w:after="120"/>
        <w:rPr/>
      </w:pPr>
      <w:r>
        <w:rPr/>
        <w:t>POST /api/v1/policies        — create a new policy rule</w:t>
      </w:r>
    </w:p>
    <w:p>
      <w:pPr>
        <w:pStyle w:val="Normal"/>
        <w:spacing w:before="0" w:after="120"/>
        <w:rPr/>
      </w:pPr>
      <w:r>
        <w:rPr/>
        <w:t>GET  /api/v1/sensors/status  — check sensor health</w:t>
      </w:r>
    </w:p>
    <w:p>
      <w:pPr>
        <w:pStyle w:val="Normal"/>
        <w:spacing w:before="80" w:after="160"/>
        <w:ind w:start="360"/>
        <w:rPr/>
      </w:pPr>
      <w:r>
        <w:rPr>
          <w:i/>
          <w:iCs/>
          <w:color w:val="555555"/>
          <w:sz w:val="20"/>
          <w:szCs w:val="20"/>
        </w:rPr>
        <w:t>Full API documentation with example payloads at docs.netguardsolutions.com/api.</w:t>
      </w:r>
    </w:p>
    <w:p>
      <w:pPr>
        <w:pStyle w:val="Normal"/>
        <w:spacing w:before="60" w:after="140"/>
        <w:ind w:start="360"/>
        <w:rPr/>
      </w:pPr>
      <w:r>
        <w:rPr>
          <w:b/>
          <w:bCs/>
          <w:color w:val="2E75B6"/>
          <w:sz w:val="20"/>
          <w:szCs w:val="20"/>
        </w:rPr>
        <w:t xml:space="preserve"> </w:t>
      </w:r>
      <w:r>
        <w:rPr>
          <w:b/>
          <w:bCs/>
          <w:color w:val="2E75B6"/>
          <w:sz w:val="20"/>
          <w:szCs w:val="20"/>
        </w:rPr>
        <w:t>Audience: Day-to-day security and network operators.</w:t>
      </w:r>
    </w:p>
    <w:p>
      <w:pPr>
        <w:pStyle w:val="Heading2"/>
        <w:rPr/>
      </w:pPr>
      <w:r>
        <w:rPr/>
        <w:t>8. Monitoring, Logging &amp; Troubleshooting</w:t>
      </w:r>
    </w:p>
    <w:p>
      <w:pPr>
        <w:pStyle w:val="Heading3"/>
        <w:rPr/>
      </w:pPr>
      <w:r>
        <w:rPr/>
        <w:t>Log Locations</w:t>
      </w:r>
    </w:p>
    <w:p>
      <w:pPr>
        <w:pStyle w:val="ListParagraph"/>
        <w:numPr>
          <w:ilvl w:val="0"/>
          <w:numId w:val="2"/>
        </w:numPr>
        <w:rPr/>
      </w:pPr>
      <w:r>
        <w:rPr/>
        <w:t>System logs: /var/log/netguardpro/system.log</w:t>
      </w:r>
    </w:p>
    <w:p>
      <w:pPr>
        <w:pStyle w:val="ListParagraph"/>
        <w:numPr>
          <w:ilvl w:val="0"/>
          <w:numId w:val="2"/>
        </w:numPr>
        <w:rPr/>
      </w:pPr>
      <w:r>
        <w:rPr/>
        <w:t>Audit logs: /var/log/netguardpro/audit.log</w:t>
      </w:r>
    </w:p>
    <w:p>
      <w:pPr>
        <w:pStyle w:val="ListParagraph"/>
        <w:numPr>
          <w:ilvl w:val="0"/>
          <w:numId w:val="2"/>
        </w:numPr>
        <w:rPr/>
      </w:pPr>
      <w:r>
        <w:rPr/>
        <w:t>Detection events: /var/log/netguardpro/detections.log</w:t>
      </w:r>
    </w:p>
    <w:p>
      <w:pPr>
        <w:pStyle w:val="Heading3"/>
        <w:rPr/>
      </w:pPr>
      <w:r>
        <w:rPr/>
        <w:t>SIEM Integration</w:t>
      </w:r>
    </w:p>
    <w:p>
      <w:pPr>
        <w:pStyle w:val="ListParagraph"/>
        <w:numPr>
          <w:ilvl w:val="0"/>
          <w:numId w:val="2"/>
        </w:numPr>
        <w:rPr/>
      </w:pPr>
      <w:r>
        <w:rPr/>
        <w:t>Supports syslog (RFC 5424), Splunk HEC, and ELK Stack via Logstash.</w:t>
      </w:r>
    </w:p>
    <w:p>
      <w:pPr>
        <w:pStyle w:val="ListParagraph"/>
        <w:numPr>
          <w:ilvl w:val="0"/>
          <w:numId w:val="2"/>
        </w:numPr>
        <w:rPr/>
      </w:pPr>
      <w:r>
        <w:rPr/>
        <w:t>Pre-built dashboards for Splunk and Kibana available at docs.netguardsolutions.com/siem.</w:t>
      </w:r>
    </w:p>
    <w:p>
      <w:pPr>
        <w:pStyle w:val="Heading3"/>
        <w:rPr/>
      </w:pPr>
      <w:r>
        <w:rPr/>
        <w:t>Health Checks</w:t>
      </w:r>
    </w:p>
    <w:p>
      <w:pPr>
        <w:pStyle w:val="ListParagraph"/>
        <w:numPr>
          <w:ilvl w:val="0"/>
          <w:numId w:val="2"/>
        </w:numPr>
        <w:rPr/>
      </w:pPr>
      <w:r>
        <w:rPr/>
        <w:t>Status API: GET /api/v1/health</w:t>
      </w:r>
    </w:p>
    <w:p>
      <w:pPr>
        <w:pStyle w:val="ListParagraph"/>
        <w:numPr>
          <w:ilvl w:val="0"/>
          <w:numId w:val="2"/>
        </w:numPr>
        <w:rPr/>
      </w:pPr>
      <w:r>
        <w:rPr/>
        <w:t>Heartbeat interval: configurable (default 60 seconds).</w:t>
      </w:r>
    </w:p>
    <w:p>
      <w:pPr>
        <w:pStyle w:val="Heading3"/>
        <w:rPr/>
      </w:pPr>
      <w:r>
        <w:rPr/>
        <w:t>Common Errors</w:t>
      </w:r>
    </w:p>
    <w:p>
      <w:pPr>
        <w:pStyle w:val="ListParagraph"/>
        <w:numPr>
          <w:ilvl w:val="0"/>
          <w:numId w:val="2"/>
        </w:numPr>
        <w:rPr/>
      </w:pPr>
      <w:r>
        <w:rPr/>
        <w:t>SENSOR_UNREACHABLE: Verify port 8443 is open and sensor service is running.</w:t>
      </w:r>
    </w:p>
    <w:p>
      <w:pPr>
        <w:pStyle w:val="ListParagraph"/>
        <w:numPr>
          <w:ilvl w:val="0"/>
          <w:numId w:val="2"/>
        </w:numPr>
        <w:rPr/>
      </w:pPr>
      <w:r>
        <w:rPr/>
        <w:t>LICENSE_EXPIRED: Contact licensing@netguardsolutions.com.</w:t>
      </w:r>
    </w:p>
    <w:p>
      <w:pPr>
        <w:pStyle w:val="ListParagraph"/>
        <w:numPr>
          <w:ilvl w:val="0"/>
          <w:numId w:val="2"/>
        </w:numPr>
        <w:rPr/>
      </w:pPr>
      <w:r>
        <w:rPr/>
        <w:t>HIGH_MEMORY_USAGE: Reduce detection_sensitivity or increase RAM allocation.</w:t>
      </w:r>
    </w:p>
    <w:p>
      <w:pPr>
        <w:pStyle w:val="Normal"/>
        <w:spacing w:before="60" w:after="140"/>
        <w:ind w:start="360"/>
        <w:rPr/>
      </w:pPr>
      <w:r>
        <w:rPr>
          <w:b/>
          <w:bCs/>
          <w:color w:val="2E75B6"/>
          <w:sz w:val="20"/>
          <w:szCs w:val="20"/>
        </w:rPr>
        <w:t xml:space="preserve"> </w:t>
      </w:r>
      <w:r>
        <w:rPr>
          <w:b/>
          <w:bCs/>
          <w:color w:val="2E75B6"/>
          <w:sz w:val="20"/>
          <w:szCs w:val="20"/>
        </w:rPr>
        <w:t>Audience: Support teams, NOC, and SRE engineers.</w:t>
      </w:r>
    </w:p>
    <w:p>
      <w:pPr>
        <w:pStyle w:val="Heading2"/>
        <w:rPr/>
      </w:pPr>
      <w:r>
        <w:rPr/>
        <w:t>9. Security Hardening &amp; Best Practices</w:t>
      </w:r>
    </w:p>
    <w:p>
      <w:pPr>
        <w:pStyle w:val="Heading3"/>
        <w:rPr/>
      </w:pPr>
      <w:r>
        <w:rPr/>
        <w:t>Management Server</w:t>
      </w:r>
    </w:p>
    <w:p>
      <w:pPr>
        <w:pStyle w:val="ListParagraph"/>
        <w:numPr>
          <w:ilvl w:val="0"/>
          <w:numId w:val="2"/>
        </w:numPr>
        <w:rPr/>
      </w:pPr>
      <w:r>
        <w:rPr/>
        <w:t>Restrict SSH access to management IPs only; disable root login.</w:t>
      </w:r>
    </w:p>
    <w:p>
      <w:pPr>
        <w:pStyle w:val="ListParagraph"/>
        <w:numPr>
          <w:ilvl w:val="0"/>
          <w:numId w:val="2"/>
        </w:numPr>
        <w:rPr/>
      </w:pPr>
      <w:r>
        <w:rPr/>
        <w:t>Enable OS-level firewall; allow only ports 443, 8443, and 514.</w:t>
      </w:r>
    </w:p>
    <w:p>
      <w:pPr>
        <w:pStyle w:val="ListParagraph"/>
        <w:numPr>
          <w:ilvl w:val="0"/>
          <w:numId w:val="2"/>
        </w:numPr>
        <w:rPr/>
      </w:pPr>
      <w:r>
        <w:rPr/>
        <w:t>Rotate TLS certificates every 12 months; use certificates from a trusted CA.</w:t>
      </w:r>
    </w:p>
    <w:p>
      <w:pPr>
        <w:pStyle w:val="Heading3"/>
        <w:rPr/>
      </w:pPr>
      <w:r>
        <w:rPr/>
        <w:t>Sensors / Agents</w:t>
      </w:r>
    </w:p>
    <w:p>
      <w:pPr>
        <w:pStyle w:val="ListParagraph"/>
        <w:numPr>
          <w:ilvl w:val="0"/>
          <w:numId w:val="2"/>
        </w:numPr>
        <w:rPr/>
      </w:pPr>
      <w:r>
        <w:rPr/>
        <w:t>Deploy sensors with least-privilege service accounts.</w:t>
      </w:r>
    </w:p>
    <w:p>
      <w:pPr>
        <w:pStyle w:val="ListParagraph"/>
        <w:numPr>
          <w:ilvl w:val="0"/>
          <w:numId w:val="2"/>
        </w:numPr>
        <w:rPr/>
      </w:pPr>
      <w:r>
        <w:rPr/>
        <w:t>Isolate sensor network interfaces from user traffic where possible.</w:t>
      </w:r>
    </w:p>
    <w:p>
      <w:pPr>
        <w:pStyle w:val="Heading3"/>
        <w:rPr/>
      </w:pPr>
      <w:r>
        <w:rPr/>
        <w:t>Credentials &amp; Keys</w:t>
      </w:r>
    </w:p>
    <w:p>
      <w:pPr>
        <w:pStyle w:val="ListParagraph"/>
        <w:numPr>
          <w:ilvl w:val="0"/>
          <w:numId w:val="2"/>
        </w:numPr>
        <w:rPr/>
      </w:pPr>
      <w:r>
        <w:rPr/>
        <w:t>Rotate API keys every 90 days.</w:t>
      </w:r>
    </w:p>
    <w:p>
      <w:pPr>
        <w:pStyle w:val="ListParagraph"/>
        <w:numPr>
          <w:ilvl w:val="0"/>
          <w:numId w:val="2"/>
        </w:numPr>
        <w:rPr/>
      </w:pPr>
      <w:r>
        <w:rPr/>
        <w:t>Store secrets in a vault solution (HashiCorp Vault, AWS Secrets Manager).</w:t>
      </w:r>
    </w:p>
    <w:p>
      <w:pPr>
        <w:pStyle w:val="ListParagraph"/>
        <w:numPr>
          <w:ilvl w:val="0"/>
          <w:numId w:val="2"/>
        </w:numPr>
        <w:rPr/>
      </w:pPr>
      <w:r>
        <w:rPr/>
        <w:t>Enable MFA for all administrator accounts.</w:t>
      </w:r>
    </w:p>
    <w:p>
      <w:pPr>
        <w:pStyle w:val="Normal"/>
        <w:spacing w:before="60" w:after="140"/>
        <w:ind w:start="360"/>
        <w:rPr>
          <w:b/>
          <w:bCs/>
          <w:color w:val="2E75B6"/>
          <w:sz w:val="20"/>
          <w:szCs w:val="20"/>
        </w:rPr>
      </w:pPr>
      <w:r>
        <w:rPr>
          <w:b/>
          <w:bCs/>
          <w:color w:val="2E75B6"/>
          <w:sz w:val="20"/>
          <w:szCs w:val="20"/>
        </w:rPr>
        <w:t xml:space="preserve"> </w:t>
      </w:r>
      <w:r>
        <w:rPr>
          <w:b/>
          <w:bCs/>
          <w:color w:val="2E75B6"/>
          <w:sz w:val="20"/>
          <w:szCs w:val="20"/>
        </w:rPr>
        <w:t>Audience: Security engineers and auditors.</w:t>
      </w:r>
    </w:p>
    <w:p>
      <w:pPr>
        <w:pStyle w:val="Normal"/>
        <w:spacing w:before="60" w:after="140"/>
        <w:ind w:start="360"/>
        <w:rPr>
          <w:b/>
          <w:bCs/>
          <w:color w:val="2E75B6"/>
          <w:sz w:val="20"/>
          <w:szCs w:val="20"/>
        </w:rPr>
      </w:pPr>
      <w:r>
        <w:rPr>
          <w:b/>
          <w:bCs/>
          <w:color w:val="2E75B6"/>
          <w:sz w:val="20"/>
          <w:szCs w:val="20"/>
        </w:rPr>
      </w:r>
    </w:p>
    <w:p>
      <w:pPr>
        <w:pStyle w:val="Normal"/>
        <w:spacing w:before="60" w:after="140"/>
        <w:ind w:start="360"/>
        <w:rPr>
          <w:b/>
          <w:bCs/>
          <w:color w:val="2E75B6"/>
          <w:sz w:val="20"/>
          <w:szCs w:val="20"/>
        </w:rPr>
      </w:pPr>
      <w:r>
        <w:rPr>
          <w:b/>
          <w:bCs/>
          <w:color w:val="2E75B6"/>
          <w:sz w:val="20"/>
          <w:szCs w:val="20"/>
        </w:rPr>
      </w:r>
    </w:p>
    <w:p>
      <w:pPr>
        <w:pStyle w:val="Normal"/>
        <w:spacing w:before="60" w:after="140"/>
        <w:ind w:start="360"/>
        <w:rPr>
          <w:b/>
          <w:bCs/>
          <w:color w:val="2E75B6"/>
          <w:sz w:val="20"/>
          <w:szCs w:val="20"/>
        </w:rPr>
      </w:pPr>
      <w:r>
        <w:rPr>
          <w:b/>
          <w:bCs/>
          <w:color w:val="2E75B6"/>
          <w:sz w:val="20"/>
          <w:szCs w:val="20"/>
        </w:rPr>
      </w:r>
    </w:p>
    <w:p>
      <w:pPr>
        <w:pStyle w:val="Heading2"/>
        <w:rPr/>
      </w:pPr>
      <w:r>
        <w:rPr/>
        <w:t>10. Supported Environments &amp; Integrations</w:t>
      </w:r>
    </w:p>
    <w:p>
      <w:pPr>
        <w:pStyle w:val="Heading3"/>
        <w:rPr/>
      </w:pPr>
      <w:r>
        <w:rPr/>
        <w:t>Platforms</w:t>
      </w:r>
    </w:p>
    <w:p>
      <w:pPr>
        <w:pStyle w:val="ListParagraph"/>
        <w:numPr>
          <w:ilvl w:val="0"/>
          <w:numId w:val="2"/>
        </w:numPr>
        <w:rPr/>
      </w:pPr>
      <w:r>
        <w:rPr/>
        <w:t>OS: Windows Server 2019/2022, Ubuntu 20.04/22.04, RHEL 8/9, Debian 11/12</w:t>
      </w:r>
    </w:p>
    <w:p>
      <w:pPr>
        <w:pStyle w:val="ListParagraph"/>
        <w:numPr>
          <w:ilvl w:val="0"/>
          <w:numId w:val="2"/>
        </w:numPr>
        <w:rPr/>
      </w:pPr>
      <w:r>
        <w:rPr/>
        <w:t>Cloud: AWS, Microsoft Azure, Google Cloud Platform</w:t>
      </w:r>
    </w:p>
    <w:p>
      <w:pPr>
        <w:pStyle w:val="ListParagraph"/>
        <w:numPr>
          <w:ilvl w:val="0"/>
          <w:numId w:val="2"/>
        </w:numPr>
        <w:rPr/>
      </w:pPr>
      <w:r>
        <w:rPr/>
        <w:t>Containers: Kubernetes (Helm chart available), Docker</w:t>
      </w:r>
    </w:p>
    <w:p>
      <w:pPr>
        <w:pStyle w:val="ListParagraph"/>
        <w:numPr>
          <w:ilvl w:val="0"/>
          <w:numId w:val="2"/>
        </w:numPr>
        <w:rPr/>
      </w:pPr>
      <w:r>
        <w:rPr/>
        <w:t>Hypervisors: VMware ESXi, Microsoft Hyper-V, KVM</w:t>
      </w:r>
    </w:p>
    <w:p>
      <w:pPr>
        <w:pStyle w:val="Heading3"/>
        <w:rPr/>
      </w:pPr>
      <w:r>
        <w:rPr/>
        <w:t>Integration Points</w:t>
      </w:r>
    </w:p>
    <w:p>
      <w:pPr>
        <w:pStyle w:val="ListParagraph"/>
        <w:numPr>
          <w:ilvl w:val="0"/>
          <w:numId w:val="2"/>
        </w:numPr>
        <w:rPr/>
      </w:pPr>
      <w:r>
        <w:rPr/>
        <w:t>Identity Providers: SAML 2.0 (Okta, Azure AD), OIDC</w:t>
      </w:r>
    </w:p>
    <w:p>
      <w:pPr>
        <w:pStyle w:val="ListParagraph"/>
        <w:numPr>
          <w:ilvl w:val="0"/>
          <w:numId w:val="2"/>
        </w:numPr>
        <w:rPr/>
      </w:pPr>
      <w:r>
        <w:rPr/>
        <w:t>SIEM / SOAR: Splunk, IBM QRadar, Microsoft Sentinel, Palo Alto XSOAR</w:t>
      </w:r>
    </w:p>
    <w:p>
      <w:pPr>
        <w:pStyle w:val="ListParagraph"/>
        <w:numPr>
          <w:ilvl w:val="0"/>
          <w:numId w:val="2"/>
        </w:numPr>
        <w:rPr/>
      </w:pPr>
      <w:r>
        <w:rPr/>
        <w:t>Ticketing: Jira, ServiceNow</w:t>
      </w:r>
    </w:p>
    <w:p>
      <w:pPr>
        <w:pStyle w:val="ListParagraph"/>
        <w:numPr>
          <w:ilvl w:val="0"/>
          <w:numId w:val="2"/>
        </w:numPr>
        <w:rPr/>
      </w:pPr>
      <w:r>
        <w:rPr/>
        <w:t>Asset Inventory: ServiceNow CMDB, Qualys</w:t>
      </w:r>
    </w:p>
    <w:p>
      <w:pPr>
        <w:pStyle w:val="Normal"/>
        <w:spacing w:before="60" w:after="140"/>
        <w:ind w:start="360"/>
        <w:rPr/>
      </w:pPr>
      <w:r>
        <w:rPr>
          <w:b/>
          <w:bCs/>
          <w:color w:val="2E75B6"/>
          <w:sz w:val="20"/>
          <w:szCs w:val="20"/>
        </w:rPr>
        <w:t xml:space="preserve"> </w:t>
      </w:r>
      <w:r>
        <w:rPr>
          <w:b/>
          <w:bCs/>
          <w:color w:val="2E75B6"/>
          <w:sz w:val="20"/>
          <w:szCs w:val="20"/>
        </w:rPr>
        <w:t>Audience: IT managers and integration teams.</w:t>
      </w:r>
    </w:p>
    <w:p>
      <w:pPr>
        <w:pStyle w:val="Heading2"/>
        <w:rPr/>
      </w:pPr>
      <w:r>
        <w:rPr/>
        <w:t>11. Support &amp; Escalation Procedures</w:t>
      </w:r>
    </w:p>
    <w:p>
      <w:pPr>
        <w:pStyle w:val="Normal"/>
        <w:spacing w:before="0" w:after="120"/>
        <w:rPr/>
      </w:pPr>
      <w:r>
        <w:rPr/>
        <w:t>When contacting support, please include: software version, OS version, relevant log excerpts, and steps to reproduce.</w:t>
      </w:r>
    </w:p>
    <w:p>
      <w:pPr>
        <w:pStyle w:val="ListParagraph"/>
        <w:numPr>
          <w:ilvl w:val="0"/>
          <w:numId w:val="2"/>
        </w:numPr>
        <w:rPr/>
      </w:pPr>
      <w:r>
        <w:rPr/>
        <w:t>L1 Support (general): support@netguardsolutions.com  |  Response: 8 business hours</w:t>
      </w:r>
    </w:p>
    <w:p>
      <w:pPr>
        <w:pStyle w:val="ListParagraph"/>
        <w:numPr>
          <w:ilvl w:val="0"/>
          <w:numId w:val="2"/>
        </w:numPr>
        <w:rPr/>
      </w:pPr>
      <w:r>
        <w:rPr/>
        <w:t>L2/L3 Support (technical): techsupport@netguardsolutions.com  |  Response: 4 business hours</w:t>
      </w:r>
    </w:p>
    <w:p>
      <w:pPr>
        <w:pStyle w:val="ListParagraph"/>
        <w:numPr>
          <w:ilvl w:val="0"/>
          <w:numId w:val="2"/>
        </w:numPr>
        <w:rPr/>
      </w:pPr>
      <w:r>
        <w:rPr/>
        <w:t>Security-Critical Incidents: security@netguardsolutions.com  |  Response: 1 hour</w:t>
      </w:r>
    </w:p>
    <w:p>
      <w:pPr>
        <w:pStyle w:val="ListParagraph"/>
        <w:numPr>
          <w:ilvl w:val="0"/>
          <w:numId w:val="2"/>
        </w:numPr>
        <w:rPr/>
      </w:pPr>
      <w:r>
        <w:rPr/>
        <w:t>Support Portal: https://support.netguardsolutions.com</w:t>
      </w:r>
    </w:p>
    <w:p>
      <w:pPr>
        <w:pStyle w:val="ListParagraph"/>
        <w:numPr>
          <w:ilvl w:val="0"/>
          <w:numId w:val="2"/>
        </w:numPr>
        <w:rPr/>
      </w:pPr>
      <w:r>
        <w:rPr/>
        <w:t>Documentation: https://docs.netguardsolutions.com</w:t>
      </w:r>
    </w:p>
    <w:p>
      <w:pPr>
        <w:pStyle w:val="Normal"/>
        <w:spacing w:before="60" w:after="140"/>
        <w:ind w:start="360"/>
        <w:rPr/>
      </w:pPr>
      <w:r>
        <w:rPr>
          <w:b/>
          <w:bCs/>
          <w:color w:val="2E75B6"/>
          <w:sz w:val="20"/>
          <w:szCs w:val="20"/>
        </w:rPr>
        <w:t xml:space="preserve"> </w:t>
      </w:r>
      <w:r>
        <w:rPr>
          <w:b/>
          <w:bCs/>
          <w:color w:val="2E75B6"/>
          <w:sz w:val="20"/>
          <w:szCs w:val="20"/>
        </w:rPr>
        <w:t>Audience: Support teams and incident responders.</w:t>
      </w:r>
    </w:p>
    <w:p>
      <w:pPr>
        <w:pStyle w:val="Heading2"/>
        <w:rPr/>
      </w:pPr>
      <w:r>
        <w:rPr/>
        <w:t>12. Roadmap &amp; Known Limitations</w:t>
      </w:r>
    </w:p>
    <w:p>
      <w:pPr>
        <w:pStyle w:val="Heading3"/>
        <w:rPr/>
      </w:pPr>
      <w:r>
        <w:rPr/>
        <w:t>Upcoming Features (v1.2 — Q3 2026)</w:t>
      </w:r>
    </w:p>
    <w:p>
      <w:pPr>
        <w:pStyle w:val="ListParagraph"/>
        <w:numPr>
          <w:ilvl w:val="0"/>
          <w:numId w:val="2"/>
        </w:numPr>
        <w:rPr/>
      </w:pPr>
      <w:r>
        <w:rPr/>
        <w:t>SAML SSO configuration wizard.</w:t>
      </w:r>
    </w:p>
    <w:p>
      <w:pPr>
        <w:pStyle w:val="ListParagraph"/>
        <w:numPr>
          <w:ilvl w:val="0"/>
          <w:numId w:val="2"/>
        </w:numPr>
        <w:rPr/>
      </w:pPr>
      <w:r>
        <w:rPr/>
        <w:t>IPv6 full deep packet inspection support.</w:t>
      </w:r>
    </w:p>
    <w:p>
      <w:pPr>
        <w:pStyle w:val="ListParagraph"/>
        <w:numPr>
          <w:ilvl w:val="0"/>
          <w:numId w:val="2"/>
        </w:numPr>
        <w:rPr/>
      </w:pPr>
      <w:r>
        <w:rPr/>
        <w:t>XLSX export for scheduled reports.</w:t>
      </w:r>
    </w:p>
    <w:p>
      <w:pPr>
        <w:pStyle w:val="ListParagraph"/>
        <w:numPr>
          <w:ilvl w:val="0"/>
          <w:numId w:val="2"/>
        </w:numPr>
        <w:rPr/>
      </w:pPr>
      <w:r>
        <w:rPr/>
        <w:t>Dashboard performance improvements for 500+ monitored devices.</w:t>
      </w:r>
    </w:p>
    <w:p>
      <w:pPr>
        <w:pStyle w:val="Heading3"/>
        <w:rPr/>
      </w:pPr>
      <w:r>
        <w:rPr/>
        <w:t>Known Limitations (v1.1.0)</w:t>
      </w:r>
    </w:p>
    <w:p>
      <w:pPr>
        <w:pStyle w:val="ListParagraph"/>
        <w:numPr>
          <w:ilvl w:val="0"/>
          <w:numId w:val="2"/>
        </w:numPr>
        <w:rPr/>
      </w:pPr>
      <w:r>
        <w:rPr/>
        <w:t>IPv6 deep packet inspection not fully supported in all environments.</w:t>
      </w:r>
    </w:p>
    <w:p>
      <w:pPr>
        <w:pStyle w:val="ListParagraph"/>
        <w:numPr>
          <w:ilvl w:val="0"/>
          <w:numId w:val="2"/>
        </w:numPr>
        <w:rPr/>
      </w:pPr>
      <w:r>
        <w:rPr/>
        <w:t>Dashboard latency with more than 500 simultaneous monitored devices.</w:t>
      </w:r>
    </w:p>
    <w:p>
      <w:pPr>
        <w:pStyle w:val="ListParagraph"/>
        <w:numPr>
          <w:ilvl w:val="0"/>
          <w:numId w:val="2"/>
        </w:numPr>
        <w:rPr/>
      </w:pPr>
      <w:r>
        <w:rPr/>
        <w:t>SAML SSO requires manual configuration (wizard in v1.2).</w:t>
      </w:r>
    </w:p>
    <w:p>
      <w:pPr>
        <w:pStyle w:val="Normal"/>
        <w:spacing w:before="60" w:after="140"/>
        <w:ind w:start="360"/>
        <w:rPr>
          <w:b/>
          <w:bCs/>
          <w:color w:val="2E75B6"/>
          <w:sz w:val="20"/>
          <w:szCs w:val="20"/>
        </w:rPr>
      </w:pPr>
      <w:r>
        <w:rPr>
          <w:b/>
          <w:bCs/>
          <w:color w:val="2E75B6"/>
          <w:sz w:val="20"/>
          <w:szCs w:val="20"/>
        </w:rPr>
        <w:t xml:space="preserve"> </w:t>
      </w:r>
      <w:r>
        <w:rPr>
          <w:b/>
          <w:bCs/>
          <w:color w:val="2E75B6"/>
          <w:sz w:val="20"/>
          <w:szCs w:val="20"/>
        </w:rPr>
        <w:t>Audience: IT managers and architects planning capacity.</w:t>
      </w:r>
    </w:p>
    <w:p>
      <w:pPr>
        <w:pStyle w:val="Normal"/>
        <w:spacing w:before="60" w:after="140"/>
        <w:ind w:start="360"/>
        <w:rPr>
          <w:b/>
          <w:bCs/>
          <w:color w:val="2E75B6"/>
          <w:sz w:val="20"/>
          <w:szCs w:val="20"/>
        </w:rPr>
      </w:pPr>
      <w:r>
        <w:rPr>
          <w:b/>
          <w:bCs/>
          <w:color w:val="2E75B6"/>
          <w:sz w:val="20"/>
          <w:szCs w:val="20"/>
        </w:rPr>
      </w:r>
    </w:p>
    <w:p>
      <w:pPr>
        <w:pStyle w:val="Heading2"/>
        <w:rPr/>
      </w:pPr>
      <w:r>
        <w:rPr/>
        <w:t>13. Changelog</w:t>
      </w:r>
    </w:p>
    <w:p>
      <w:pPr>
        <w:pStyle w:val="Heading3"/>
        <w:rPr/>
      </w:pPr>
      <w:r>
        <w:rPr/>
        <w:t>v1.1.0 — March 2026</w:t>
      </w:r>
    </w:p>
    <w:p>
      <w:pPr>
        <w:pStyle w:val="ListParagraph"/>
        <w:numPr>
          <w:ilvl w:val="0"/>
          <w:numId w:val="2"/>
        </w:numPr>
        <w:rPr/>
      </w:pPr>
      <w:r>
        <w:rPr/>
        <w:t>Added Role-Based Access Control (RBAC) module.</w:t>
      </w:r>
    </w:p>
    <w:p>
      <w:pPr>
        <w:pStyle w:val="ListParagraph"/>
        <w:numPr>
          <w:ilvl w:val="0"/>
          <w:numId w:val="2"/>
        </w:numPr>
        <w:rPr/>
      </w:pPr>
      <w:r>
        <w:rPr/>
        <w:t>Improved dashboard performance for large topologies.</w:t>
      </w:r>
    </w:p>
    <w:p>
      <w:pPr>
        <w:pStyle w:val="ListParagraph"/>
        <w:numPr>
          <w:ilvl w:val="0"/>
          <w:numId w:val="2"/>
        </w:numPr>
        <w:rPr/>
      </w:pPr>
      <w:r>
        <w:rPr/>
        <w:t>Fixed VPN tunnel reconnection issue after system sleep.</w:t>
      </w:r>
    </w:p>
    <w:p>
      <w:pPr>
        <w:pStyle w:val="Heading3"/>
        <w:rPr/>
      </w:pPr>
      <w:r>
        <w:rPr/>
        <w:t>v1.0.0 — January 2026</w:t>
      </w:r>
    </w:p>
    <w:p>
      <w:pPr>
        <w:pStyle w:val="ListParagraph"/>
        <w:numPr>
          <w:ilvl w:val="0"/>
          <w:numId w:val="2"/>
        </w:numPr>
        <w:rPr/>
      </w:pPr>
      <w:r>
        <w:rPr/>
        <w:t>Initial release.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r>
        <w:rPr/>
        <w:t>14. License &amp; Legal Notices</w:t>
      </w:r>
    </w:p>
    <w:p>
      <w:pPr>
        <w:pStyle w:val="ListParagraph"/>
        <w:numPr>
          <w:ilvl w:val="0"/>
          <w:numId w:val="2"/>
        </w:numPr>
        <w:rPr/>
      </w:pPr>
      <w:r>
        <w:rPr/>
        <w:t>License: Commercial — NetGuard Solutions Proprietary License v2.0.</w:t>
      </w:r>
    </w:p>
    <w:p>
      <w:pPr>
        <w:pStyle w:val="ListParagraph"/>
        <w:numPr>
          <w:ilvl w:val="0"/>
          <w:numId w:val="2"/>
        </w:numPr>
        <w:rPr/>
      </w:pPr>
      <w:r>
        <w:rPr/>
        <w:t>Copyright: © 2026 NetGuard Solutions. All rights reserved.</w:t>
      </w:r>
    </w:p>
    <w:p>
      <w:pPr>
        <w:pStyle w:val="ListParagraph"/>
        <w:numPr>
          <w:ilvl w:val="0"/>
          <w:numId w:val="2"/>
        </w:numPr>
        <w:rPr/>
      </w:pPr>
      <w:r>
        <w:rPr/>
        <w:t>Export Control: This software is subject to export control regulations. Distribution outside the EU/EEA requires prior written consent.</w:t>
      </w:r>
    </w:p>
    <w:p>
      <w:pPr>
        <w:pStyle w:val="ListParagraph"/>
        <w:numPr>
          <w:ilvl w:val="0"/>
          <w:numId w:val="2"/>
        </w:numPr>
        <w:rPr/>
      </w:pPr>
      <w:r>
        <w:rPr/>
        <w:t>Third-party components and their licenses are listed in THIRD_PARTY_NOTICES.txt.</w:t>
      </w:r>
    </w:p>
    <w:p>
      <w:pPr>
        <w:pStyle w:val="Normal"/>
        <w:spacing w:before="60" w:after="140"/>
        <w:ind w:start="360"/>
        <w:rPr/>
      </w:pPr>
      <w:r>
        <w:rPr>
          <w:b/>
          <w:bCs/>
          <w:color w:val="2E75B6"/>
          <w:sz w:val="20"/>
          <w:szCs w:val="20"/>
        </w:rPr>
        <w:t xml:space="preserve"> </w:t>
      </w:r>
      <w:r>
        <w:rPr>
          <w:b/>
          <w:bCs/>
          <w:color w:val="2E75B6"/>
          <w:sz w:val="20"/>
          <w:szCs w:val="20"/>
        </w:rPr>
        <w:t>Audience: Legal, procurement, and auditors.</w:t>
      </w:r>
    </w:p>
    <w:p>
      <w:pPr>
        <w:pStyle w:val="Heading2"/>
        <w:rPr/>
      </w:pPr>
      <w:r>
        <w:rPr/>
        <w:t>15. Contributing</w:t>
      </w:r>
    </w:p>
    <w:p>
      <w:pPr>
        <w:pStyle w:val="Normal"/>
        <w:spacing w:before="0" w:after="120"/>
        <w:rPr/>
      </w:pPr>
      <w:r>
        <w:rPr/>
        <w:t>NetGuard Pro welcomes contributions for documentation improvements, bug reports, and feature suggestions.</w:t>
      </w:r>
    </w:p>
    <w:p>
      <w:pPr>
        <w:pStyle w:val="ListParagraph"/>
        <w:numPr>
          <w:ilvl w:val="0"/>
          <w:numId w:val="2"/>
        </w:numPr>
        <w:rPr/>
      </w:pPr>
      <w:r>
        <w:rPr/>
        <w:t>Bug reports: github.com/netguard/netguardpro/issues</w:t>
      </w:r>
    </w:p>
    <w:p>
      <w:pPr>
        <w:pStyle w:val="ListParagraph"/>
        <w:numPr>
          <w:ilvl w:val="0"/>
          <w:numId w:val="2"/>
        </w:numPr>
        <w:rPr/>
      </w:pPr>
      <w:r>
        <w:rPr/>
        <w:t>Documentation improvements: fork the repo and open a pull request.</w:t>
      </w:r>
    </w:p>
    <w:p>
      <w:pPr>
        <w:pStyle w:val="ListParagraph"/>
        <w:numPr>
          <w:ilvl w:val="0"/>
          <w:numId w:val="2"/>
        </w:numPr>
        <w:rPr/>
      </w:pPr>
      <w:r>
        <w:rPr/>
        <w:t>Feature requests: feedback.netguardsolutions.com</w:t>
      </w:r>
    </w:p>
    <w:p>
      <w:pPr>
        <w:pStyle w:val="ListParagraph"/>
        <w:numPr>
          <w:ilvl w:val="0"/>
          <w:numId w:val="2"/>
        </w:numPr>
        <w:rPr/>
      </w:pPr>
      <w:r>
        <w:rPr/>
        <w:t>Security vulnerabilities: report privately to security@netguardsolutions.com — do NOT open a public issue.</w:t>
      </w:r>
    </w:p>
    <w:p>
      <w:pPr>
        <w:pStyle w:val="ListParagraph"/>
        <w:numPr>
          <w:ilvl w:val="0"/>
          <w:numId w:val="2"/>
        </w:numPr>
        <w:rPr/>
      </w:pPr>
      <w:r>
        <w:rPr/>
        <w:t>Coding standards and branch strategy: see CONTRIBUTING.md in the repository.</w:t>
      </w:r>
    </w:p>
    <w:p>
      <w:pPr>
        <w:pStyle w:val="Normal"/>
        <w:spacing w:before="60" w:after="140"/>
        <w:ind w:start="360"/>
        <w:rPr/>
      </w:pPr>
      <w:r>
        <w:rPr>
          <w:b/>
          <w:bCs/>
          <w:color w:val="2E75B6"/>
          <w:sz w:val="20"/>
          <w:szCs w:val="20"/>
        </w:rPr>
        <w:t>Audience: Partner developers and internal R&amp;D teams.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pBdr>
          <w:bottom w:val="single" w:sz="6" w:space="1" w:color="2E75B6"/>
        </w:pBdr>
        <w:spacing w:before="0" w:after="200"/>
        <w:rPr/>
      </w:pPr>
      <w:r>
        <w:rPr/>
      </w:r>
    </w:p>
    <w:p>
      <w:pPr>
        <w:pStyle w:val="Normal"/>
        <w:jc w:val="center"/>
        <w:rPr/>
      </w:pPr>
      <w:r>
        <w:rPr>
          <w:i/>
          <w:iCs/>
          <w:color w:val="888888"/>
          <w:sz w:val="18"/>
          <w:szCs w:val="18"/>
        </w:rPr>
        <w:t>© 2026 NetGuard Solutions. All rights reserved.  |  docs.netguardsolutions.com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1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it-IT" w:eastAsia="zh-CN" w:bidi="hi-IN"/>
    </w:rPr>
  </w:style>
  <w:style w:type="paragraph" w:styleId="Heading1">
    <w:name w:val="heading 1"/>
    <w:basedOn w:val="Titolo"/>
    <w:qFormat/>
    <w:pPr>
      <w:spacing w:before="360" w:after="180"/>
      <w:outlineLvl w:val="0"/>
    </w:pPr>
    <w:rPr>
      <w:rFonts w:ascii="Arial" w:hAnsi="Arial" w:eastAsia="Arial" w:cs="Arial"/>
      <w:b/>
      <w:bCs/>
      <w:color w:val="1F4E79"/>
      <w:sz w:val="36"/>
      <w:szCs w:val="36"/>
    </w:rPr>
  </w:style>
  <w:style w:type="paragraph" w:styleId="Heading2">
    <w:name w:val="heading 2"/>
    <w:basedOn w:val="Titolo"/>
    <w:qFormat/>
    <w:pPr>
      <w:spacing w:before="240" w:after="12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Heading3">
    <w:name w:val="heading 3"/>
    <w:basedOn w:val="Titolo"/>
    <w:qFormat/>
    <w:pPr>
      <w:spacing w:before="180" w:after="90"/>
      <w:outlineLvl w:val="2"/>
    </w:pPr>
    <w:rPr>
      <w:rFonts w:ascii="Arial" w:hAnsi="Arial" w:eastAsia="Arial" w:cs="Arial"/>
      <w:b/>
      <w:bCs/>
      <w:color w:val="404040"/>
      <w:sz w:val="24"/>
      <w:szCs w:val="24"/>
    </w:rPr>
  </w:style>
  <w:style w:type="paragraph" w:styleId="Heading4">
    <w:name w:val="heading 4"/>
    <w:basedOn w:val="Titolo"/>
    <w:qFormat/>
    <w:pPr/>
    <w:rPr>
      <w:i/>
      <w:iCs/>
      <w:color w:val="2E74B5"/>
    </w:rPr>
  </w:style>
  <w:style w:type="paragraph" w:styleId="Heading5">
    <w:name w:val="heading 5"/>
    <w:basedOn w:val="Titolo"/>
    <w:qFormat/>
    <w:pPr/>
    <w:rPr>
      <w:color w:val="2E74B5"/>
    </w:rPr>
  </w:style>
  <w:style w:type="paragraph" w:styleId="Heading6">
    <w:name w:val="heading 6"/>
    <w:basedOn w:val="Tito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tterinotaapidipagina">
    <w:name w:val="Caratteri nota a piè di pagina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Tito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4"/>
      <w:szCs w:val="24"/>
      <w:lang w:val="it-IT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it-IT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LibreOffice/26.2.0.3$Windows_X86_64 LibreOffice_project/620$Build-3</Application>
  <AppVersion>15.0000</AppVersion>
  <Pages>6</Pages>
  <Words>1201</Words>
  <Characters>7769</Characters>
  <CharactersWithSpaces>8792</CharactersWithSpaces>
  <Paragraphs>157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2026-03-20T11:15:36Z</dcterms:created>
  <dc:creator>Un-named</dc:creator>
  <dc:description/>
  <dc:language>it-IT</dc:language>
  <cp:lastModifiedBy/>
  <dcterms:modified xsi:type="dcterms:W3CDTF">2026-03-20T12:31:46Z</dcterms:modified>
  <cp:revision>2</cp:revision>
  <dc:subject/>
  <dc:title/>
</cp:coreProperties>
</file>