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EF185" w14:textId="77777777" w:rsidR="00D978DF" w:rsidRPr="00761336" w:rsidRDefault="00000000">
      <w:pPr>
        <w:pStyle w:val="BodyText"/>
        <w:spacing w:before="4" w:line="276" w:lineRule="auto"/>
        <w:rPr>
          <w:rFonts w:ascii="Times New Roman" w:hAnsi="Times New Roman" w:cs="Times New Roman"/>
          <w:sz w:val="26"/>
          <w:szCs w:val="26"/>
        </w:rPr>
      </w:pPr>
      <w:r w:rsidRPr="00761336">
        <w:rPr>
          <w:rFonts w:ascii="Times New Roman" w:hAnsi="Times New Roman" w:cs="Times New Roman"/>
          <w:noProof/>
          <w:position w:val="-1"/>
          <w:sz w:val="26"/>
          <w:szCs w:val="26"/>
        </w:rPr>
        <mc:AlternateContent>
          <mc:Choice Requires="wpg">
            <w:drawing>
              <wp:anchor distT="0" distB="0" distL="114300" distR="114300" simplePos="0" relativeHeight="251668480" behindDoc="0" locked="0" layoutInCell="1" allowOverlap="1" wp14:anchorId="1206027C" wp14:editId="0B9A0A52">
                <wp:simplePos x="0" y="0"/>
                <wp:positionH relativeFrom="margin">
                  <wp:posOffset>1426210</wp:posOffset>
                </wp:positionH>
                <wp:positionV relativeFrom="margin">
                  <wp:posOffset>-349250</wp:posOffset>
                </wp:positionV>
                <wp:extent cx="2941320" cy="51435"/>
                <wp:effectExtent l="0" t="0" r="5080" b="0"/>
                <wp:wrapSquare wrapText="bothSides"/>
                <wp:docPr id="1" name="Group 5"/>
                <wp:cNvGraphicFramePr/>
                <a:graphic xmlns:a="http://schemas.openxmlformats.org/drawingml/2006/main">
                  <a:graphicData uri="http://schemas.microsoft.com/office/word/2010/wordprocessingGroup">
                    <wpg:wgp>
                      <wpg:cNvGrpSpPr/>
                      <wpg:grpSpPr>
                        <a:xfrm>
                          <a:off x="0" y="0"/>
                          <a:ext cx="2941320" cy="51435"/>
                          <a:chOff x="0" y="0"/>
                          <a:chExt cx="2941320" cy="52069"/>
                        </a:xfrm>
                      </wpg:grpSpPr>
                      <wps:wsp>
                        <wps:cNvPr id="1654467840" name="Freeform 1654467840"/>
                        <wps:cNvSpPr/>
                        <wps:spPr bwMode="auto">
                          <a:xfrm>
                            <a:off x="0" y="0"/>
                            <a:ext cx="2941320" cy="52069"/>
                          </a:xfrm>
                          <a:custGeom>
                            <a:avLst/>
                            <a:gdLst/>
                            <a:ahLst/>
                            <a:cxnLst/>
                            <a:rect l="l" t="t" r="r" b="b"/>
                            <a:pathLst>
                              <a:path w="2941320" h="52069" extrusionOk="0">
                                <a:moveTo>
                                  <a:pt x="2941320" y="0"/>
                                </a:moveTo>
                                <a:lnTo>
                                  <a:pt x="0" y="0"/>
                                </a:lnTo>
                                <a:lnTo>
                                  <a:pt x="0" y="52070"/>
                                </a:lnTo>
                                <a:lnTo>
                                  <a:pt x="1470660" y="52070"/>
                                </a:lnTo>
                                <a:lnTo>
                                  <a:pt x="2941320" y="52070"/>
                                </a:lnTo>
                                <a:lnTo>
                                  <a:pt x="2941320" y="0"/>
                                </a:lnTo>
                                <a:close/>
                              </a:path>
                            </a:pathLst>
                          </a:custGeom>
                          <a:solidFill>
                            <a:srgbClr val="005E68"/>
                          </a:solidFill>
                        </wps:spPr>
                        <wps:bodyPr rot="0">
                          <a:noAutofit/>
                        </wps:bodyPr>
                      </wps:wsp>
                    </wpg:wgp>
                  </a:graphicData>
                </a:graphic>
              </wp:anchor>
            </w:drawing>
          </mc:Choice>
          <mc:Fallback xmlns:wpsCustomData="http://www.wps.cn/officeDocument/2013/wpsCustomData">
            <w:pict>
              <v:group id="Group 5" o:spid="_x0000_s1026" o:spt="203" style="position:absolute;left:0pt;margin-left:112.3pt;margin-top:-27.5pt;height:4.05pt;width:231.6pt;mso-position-horizontal-relative:margin;mso-position-vertical-relative:margin;mso-wrap-distance-bottom:0pt;mso-wrap-distance-left:9pt;mso-wrap-distance-right:9pt;mso-wrap-distance-top:0pt;z-index:251668480;mso-width-relative:page;mso-height-relative:page;" coordsize="2941320,52069" o:gfxdata="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j7crU2wAAAAsBAAAPAAAA&#10;AAAAAAEAIAAAACIAAABkcnMvZG93bnJldi54bWxQSwECFAAUAAAACACHTuJA6fy60oQCAAA2BgAA&#10;DgAAAAAAAAABACAAAAAqAQAAZHJzL2Uyb0RvYy54bWxQSwUGAAAAAAYABgBZAQAAIAYAAAAA&#10;">
                <o:lock v:ext="edit" aspectratio="f"/>
                <v:shape id="_x0000_s1026" o:spid="_x0000_s1026" o:spt="100" style="position:absolute;left:0;top:0;height:52069;width:2941320;" fillcolor="#005E68" filled="t" stroked="f" coordsize="2941320,52069" o:gfxdata="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wazjDFAAAA4wAAAA8AAAAAAAAAAQAgAAAAIgAAAGRycy9kb3ducmV2LnhtbFBLAQIUABQAAAAI&#10;AIdO4kAzLwWeOwAAADkAAAAQAAAAAAAAAAEAIAAAABQBAABkcnMvc2hhcGV4bWwueG1sUEsFBgAA&#10;AAAGAAYAWwEAAL4DAAAAAA==&#10;" path="m2941320,0l0,0,0,52070,1470660,52070,2941320,52070,2941320,0xe">
                  <v:fill on="t" focussize="0,0"/>
                  <v:stroke on="f"/>
                  <v:imagedata o:title=""/>
                  <o:lock v:ext="edit" aspectratio="f"/>
                </v:shape>
                <w10:wrap type="square"/>
              </v:group>
            </w:pict>
          </mc:Fallback>
        </mc:AlternateContent>
      </w:r>
      <w:r w:rsidRPr="00761336">
        <w:rPr>
          <w:rFonts w:ascii="Times New Roman" w:hAnsi="Times New Roman" w:cs="Times New Roman"/>
          <w:noProof/>
          <w:sz w:val="26"/>
          <w:szCs w:val="26"/>
          <w14:ligatures w14:val="standardContextual"/>
        </w:rPr>
        <w:drawing>
          <wp:anchor distT="0" distB="0" distL="114300" distR="114300" simplePos="0" relativeHeight="251660288" behindDoc="0" locked="0" layoutInCell="1" allowOverlap="1" wp14:anchorId="2F8A92E7" wp14:editId="72327AB6">
            <wp:simplePos x="0" y="0"/>
            <wp:positionH relativeFrom="column">
              <wp:posOffset>-584835</wp:posOffset>
            </wp:positionH>
            <wp:positionV relativeFrom="paragraph">
              <wp:posOffset>-436880</wp:posOffset>
            </wp:positionV>
            <wp:extent cx="1565910" cy="1711960"/>
            <wp:effectExtent l="0" t="0" r="0" b="2540"/>
            <wp:wrapNone/>
            <wp:docPr id="2" name="Image 9"/>
            <wp:cNvGraphicFramePr/>
            <a:graphic xmlns:a="http://schemas.openxmlformats.org/drawingml/2006/main">
              <a:graphicData uri="http://schemas.openxmlformats.org/drawingml/2006/picture">
                <pic:pic xmlns:pic="http://schemas.openxmlformats.org/drawingml/2006/picture">
                  <pic:nvPicPr>
                    <pic:cNvPr id="2" name="Image 9"/>
                    <pic:cNvPicPr/>
                  </pic:nvPicPr>
                  <pic:blipFill>
                    <a:blip r:embed="rId9"/>
                    <a:stretch>
                      <a:fillRect/>
                    </a:stretch>
                  </pic:blipFill>
                  <pic:spPr>
                    <a:xfrm>
                      <a:off x="0" y="0"/>
                      <a:ext cx="1565910" cy="1711960"/>
                    </a:xfrm>
                    <a:prstGeom prst="rect">
                      <a:avLst/>
                    </a:prstGeom>
                  </pic:spPr>
                </pic:pic>
              </a:graphicData>
            </a:graphic>
          </wp:anchor>
        </w:drawing>
      </w:r>
      <w:r w:rsidRPr="00761336">
        <w:rPr>
          <w:rFonts w:ascii="Times New Roman" w:hAnsi="Times New Roman" w:cs="Times New Roman"/>
          <w:noProof/>
          <w:sz w:val="26"/>
          <w:szCs w:val="26"/>
        </w:rPr>
        <w:drawing>
          <wp:anchor distT="0" distB="0" distL="0" distR="0" simplePos="0" relativeHeight="251662336" behindDoc="1" locked="0" layoutInCell="1" allowOverlap="1" wp14:anchorId="159A8D4F" wp14:editId="652BC678">
            <wp:simplePos x="0" y="0"/>
            <wp:positionH relativeFrom="page">
              <wp:posOffset>5722620</wp:posOffset>
            </wp:positionH>
            <wp:positionV relativeFrom="paragraph">
              <wp:posOffset>-433070</wp:posOffset>
            </wp:positionV>
            <wp:extent cx="1569720" cy="1711960"/>
            <wp:effectExtent l="0" t="0" r="0" b="0"/>
            <wp:wrapNone/>
            <wp:docPr id="3" name="Image 7"/>
            <wp:cNvGraphicFramePr/>
            <a:graphic xmlns:a="http://schemas.openxmlformats.org/drawingml/2006/main">
              <a:graphicData uri="http://schemas.openxmlformats.org/drawingml/2006/picture">
                <pic:pic xmlns:pic="http://schemas.openxmlformats.org/drawingml/2006/picture">
                  <pic:nvPicPr>
                    <pic:cNvPr id="3" name="Image 7"/>
                    <pic:cNvPicPr/>
                  </pic:nvPicPr>
                  <pic:blipFill>
                    <a:blip r:embed="rId10"/>
                    <a:stretch>
                      <a:fillRect/>
                    </a:stretch>
                  </pic:blipFill>
                  <pic:spPr>
                    <a:xfrm>
                      <a:off x="0" y="0"/>
                      <a:ext cx="1569720" cy="1711960"/>
                    </a:xfrm>
                    <a:prstGeom prst="rect">
                      <a:avLst/>
                    </a:prstGeom>
                  </pic:spPr>
                </pic:pic>
              </a:graphicData>
            </a:graphic>
          </wp:anchor>
        </w:drawing>
      </w:r>
    </w:p>
    <w:p w14:paraId="14043012" w14:textId="77777777" w:rsidR="00D978DF" w:rsidRPr="00761336" w:rsidRDefault="00D978DF">
      <w:pPr>
        <w:pStyle w:val="BodyText"/>
        <w:spacing w:line="276" w:lineRule="auto"/>
        <w:ind w:left="2798"/>
        <w:rPr>
          <w:rFonts w:ascii="Times New Roman" w:hAnsi="Times New Roman" w:cs="Times New Roman"/>
          <w:sz w:val="26"/>
          <w:szCs w:val="26"/>
        </w:rPr>
      </w:pPr>
    </w:p>
    <w:p w14:paraId="7FB4D137" w14:textId="77777777" w:rsidR="00D978DF" w:rsidRPr="00761336" w:rsidRDefault="00D978DF">
      <w:pPr>
        <w:pStyle w:val="BodyText"/>
        <w:spacing w:before="189" w:line="276" w:lineRule="auto"/>
        <w:rPr>
          <w:rFonts w:ascii="Times New Roman" w:hAnsi="Times New Roman" w:cs="Times New Roman"/>
          <w:sz w:val="26"/>
          <w:szCs w:val="26"/>
        </w:rPr>
      </w:pPr>
    </w:p>
    <w:p w14:paraId="56CB3167" w14:textId="77777777" w:rsidR="00D978DF" w:rsidRPr="00761336" w:rsidRDefault="00000000">
      <w:pPr>
        <w:pStyle w:val="BodyText"/>
        <w:spacing w:before="62" w:line="276" w:lineRule="auto"/>
        <w:rPr>
          <w:rFonts w:ascii="Times New Roman" w:hAnsi="Times New Roman" w:cs="Times New Roman"/>
          <w:b/>
          <w:sz w:val="26"/>
          <w:szCs w:val="26"/>
        </w:rPr>
      </w:pPr>
      <w:r w:rsidRPr="00761336">
        <w:rPr>
          <w:rFonts w:ascii="Times New Roman" w:hAnsi="Times New Roman" w:cs="Times New Roman"/>
          <w:noProof/>
          <w:sz w:val="26"/>
          <w:szCs w:val="26"/>
        </w:rPr>
        <mc:AlternateContent>
          <mc:Choice Requires="wps">
            <w:drawing>
              <wp:anchor distT="0" distB="0" distL="0" distR="0" simplePos="0" relativeHeight="251661312" behindDoc="0" locked="0" layoutInCell="1" allowOverlap="1" wp14:anchorId="5B69E154" wp14:editId="07F63766">
                <wp:simplePos x="0" y="0"/>
                <wp:positionH relativeFrom="page">
                  <wp:posOffset>506095</wp:posOffset>
                </wp:positionH>
                <wp:positionV relativeFrom="paragraph">
                  <wp:posOffset>532765</wp:posOffset>
                </wp:positionV>
                <wp:extent cx="55880" cy="5134610"/>
                <wp:effectExtent l="0" t="0" r="0" b="0"/>
                <wp:wrapNone/>
                <wp:docPr id="4" name="Graphic 11"/>
                <wp:cNvGraphicFramePr/>
                <a:graphic xmlns:a="http://schemas.openxmlformats.org/drawingml/2006/main">
                  <a:graphicData uri="http://schemas.microsoft.com/office/word/2010/wordprocessingShape">
                    <wps:wsp>
                      <wps:cNvSpPr/>
                      <wps:spPr bwMode="auto">
                        <a:xfrm>
                          <a:off x="0" y="0"/>
                          <a:ext cx="55880" cy="5134610"/>
                        </a:xfrm>
                        <a:custGeom>
                          <a:avLst/>
                          <a:gdLst/>
                          <a:ahLst/>
                          <a:cxnLst/>
                          <a:rect l="l" t="t" r="r" b="b"/>
                          <a:pathLst>
                            <a:path w="55880" h="5134610" extrusionOk="0">
                              <a:moveTo>
                                <a:pt x="55880" y="0"/>
                              </a:moveTo>
                              <a:lnTo>
                                <a:pt x="0" y="0"/>
                              </a:lnTo>
                              <a:lnTo>
                                <a:pt x="0" y="5134610"/>
                              </a:lnTo>
                              <a:lnTo>
                                <a:pt x="27940" y="5134610"/>
                              </a:lnTo>
                              <a:lnTo>
                                <a:pt x="55880" y="5134610"/>
                              </a:lnTo>
                              <a:lnTo>
                                <a:pt x="55880" y="0"/>
                              </a:lnTo>
                              <a:close/>
                            </a:path>
                          </a:pathLst>
                        </a:custGeom>
                        <a:solidFill>
                          <a:srgbClr val="005E68"/>
                        </a:solidFill>
                      </wps:spPr>
                      <wps:bodyPr rot="0">
                        <a:noAutofit/>
                      </wps:bodyPr>
                    </wps:wsp>
                  </a:graphicData>
                </a:graphic>
              </wp:anchor>
            </w:drawing>
          </mc:Choice>
          <mc:Fallback xmlns:wpsCustomData="http://www.wps.cn/officeDocument/2013/wpsCustomData">
            <w:pict>
              <v:shape id="Graphic 11" o:spid="_x0000_s1026" o:spt="100" style="position:absolute;left:0pt;margin-left:39.85pt;margin-top:41.95pt;height:404.3pt;width:4.4pt;mso-position-horizontal-relative:page;z-index:251661312;mso-width-relative:page;mso-height-relative:page;" fillcolor="#005E68" filled="t" stroked="f" coordsize="55880,5134610" o:gfxdata="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pirAq&#10;1gAAAAgBAAAPAAAAAAAAAAEAIAAAACIAAABkcnMvZG93bnJldi54bWxQSwECFAAUAAAACACHTuJA&#10;0X3OfSMCAAD2BAAADgAAAAAAAAABACAAAAAlAQAAZHJzL2Uyb0RvYy54bWxQSwUGAAAAAAYABgBZ&#10;AQAAugUAAAAA&#10;" path="m55880,0l0,0,0,5134610,27940,5134610,55880,5134610,55880,0xe">
                <v:fill on="t" focussize="0,0"/>
                <v:stroke on="f"/>
                <v:imagedata o:title=""/>
                <o:lock v:ext="edit" aspectratio="f"/>
              </v:shape>
            </w:pict>
          </mc:Fallback>
        </mc:AlternateContent>
      </w:r>
      <w:r w:rsidRPr="00761336">
        <w:rPr>
          <w:rFonts w:ascii="Times New Roman" w:hAnsi="Times New Roman" w:cs="Times New Roman"/>
          <w:noProof/>
          <w:sz w:val="26"/>
          <w:szCs w:val="26"/>
        </w:rPr>
        <w:drawing>
          <wp:anchor distT="0" distB="0" distL="0" distR="0" simplePos="0" relativeHeight="251663360" behindDoc="1" locked="0" layoutInCell="1" allowOverlap="1" wp14:anchorId="0BB7FC67" wp14:editId="2C5AC5AC">
            <wp:simplePos x="0" y="0"/>
            <wp:positionH relativeFrom="page">
              <wp:posOffset>2395220</wp:posOffset>
            </wp:positionH>
            <wp:positionV relativeFrom="paragraph">
              <wp:posOffset>1107440</wp:posOffset>
            </wp:positionV>
            <wp:extent cx="2789555" cy="1806575"/>
            <wp:effectExtent l="0" t="0" r="0" b="0"/>
            <wp:wrapTopAndBottom/>
            <wp:docPr id="6" name="Image 12"/>
            <wp:cNvGraphicFramePr/>
            <a:graphic xmlns:a="http://schemas.openxmlformats.org/drawingml/2006/main">
              <a:graphicData uri="http://schemas.openxmlformats.org/drawingml/2006/picture">
                <pic:pic xmlns:pic="http://schemas.openxmlformats.org/drawingml/2006/picture">
                  <pic:nvPicPr>
                    <pic:cNvPr id="6" name="Image 12"/>
                    <pic:cNvPicPr/>
                  </pic:nvPicPr>
                  <pic:blipFill>
                    <a:blip r:embed="rId11"/>
                    <a:stretch>
                      <a:fillRect/>
                    </a:stretch>
                  </pic:blipFill>
                  <pic:spPr>
                    <a:xfrm>
                      <a:off x="0" y="0"/>
                      <a:ext cx="2789605" cy="1806321"/>
                    </a:xfrm>
                    <a:prstGeom prst="rect">
                      <a:avLst/>
                    </a:prstGeom>
                  </pic:spPr>
                </pic:pic>
              </a:graphicData>
            </a:graphic>
          </wp:anchor>
        </w:drawing>
      </w:r>
      <w:r w:rsidRPr="00761336">
        <w:rPr>
          <w:rFonts w:ascii="Times New Roman" w:hAnsi="Times New Roman" w:cs="Times New Roman"/>
          <w:noProof/>
          <w:sz w:val="26"/>
          <w:szCs w:val="26"/>
        </w:rPr>
        <mc:AlternateContent>
          <mc:Choice Requires="wps">
            <w:drawing>
              <wp:anchor distT="0" distB="0" distL="0" distR="0" simplePos="0" relativeHeight="251666432" behindDoc="1" locked="0" layoutInCell="1" allowOverlap="1" wp14:anchorId="315E318D" wp14:editId="059FAE71">
                <wp:simplePos x="0" y="0"/>
                <wp:positionH relativeFrom="margin">
                  <wp:align>center</wp:align>
                </wp:positionH>
                <wp:positionV relativeFrom="margin">
                  <wp:align>bottom</wp:align>
                </wp:positionV>
                <wp:extent cx="2941320" cy="51435"/>
                <wp:effectExtent l="0" t="0" r="5080" b="0"/>
                <wp:wrapSquare wrapText="bothSides"/>
                <wp:docPr id="7" name="Graphic 15"/>
                <wp:cNvGraphicFramePr/>
                <a:graphic xmlns:a="http://schemas.openxmlformats.org/drawingml/2006/main">
                  <a:graphicData uri="http://schemas.microsoft.com/office/word/2010/wordprocessingShape">
                    <wps:wsp>
                      <wps:cNvSpPr/>
                      <wps:spPr bwMode="auto">
                        <a:xfrm>
                          <a:off x="0" y="0"/>
                          <a:ext cx="2941320" cy="51435"/>
                        </a:xfrm>
                        <a:custGeom>
                          <a:avLst/>
                          <a:gdLst/>
                          <a:ahLst/>
                          <a:cxnLst/>
                          <a:rect l="l" t="t" r="r" b="b"/>
                          <a:pathLst>
                            <a:path w="2941320" h="52069" extrusionOk="0">
                              <a:moveTo>
                                <a:pt x="2941320" y="0"/>
                              </a:moveTo>
                              <a:lnTo>
                                <a:pt x="0" y="0"/>
                              </a:lnTo>
                              <a:lnTo>
                                <a:pt x="0" y="52070"/>
                              </a:lnTo>
                              <a:lnTo>
                                <a:pt x="1470660" y="52070"/>
                              </a:lnTo>
                              <a:lnTo>
                                <a:pt x="2941320" y="52070"/>
                              </a:lnTo>
                              <a:lnTo>
                                <a:pt x="2941320" y="0"/>
                              </a:lnTo>
                              <a:close/>
                            </a:path>
                          </a:pathLst>
                        </a:custGeom>
                        <a:solidFill>
                          <a:srgbClr val="005E68"/>
                        </a:solidFill>
                      </wps:spPr>
                      <wps:bodyPr rot="0">
                        <a:noAutofit/>
                      </wps:bodyPr>
                    </wps:wsp>
                  </a:graphicData>
                </a:graphic>
              </wp:anchor>
            </w:drawing>
          </mc:Choice>
          <mc:Fallback xmlns:wpsCustomData="http://www.wps.cn/officeDocument/2013/wpsCustomData">
            <w:pict>
              <v:shape id="Graphic 15" o:spid="_x0000_s1026" o:spt="100" style="position:absolute;left:0pt;height:4.05pt;width:231.6pt;mso-position-horizontal:center;mso-position-horizontal-relative:margin;mso-position-vertical:bottom;mso-position-vertical-relative:margin;mso-wrap-distance-bottom:0pt;mso-wrap-distance-left:0pt;mso-wrap-distance-right:0pt;mso-wrap-distance-top:0pt;z-index:-251650048;mso-width-relative:page;mso-height-relative:page;" fillcolor="#005E68" filled="t" stroked="f" coordsize="2941320,52069" o:gfxdata="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OnzvTVAAAAAwEAAA8AAAAAAAAAAQAgAAAAIgAAAGRycy9kb3ducmV2LnhtbFBLAQIUABQA&#10;AAAIAIdO4kBeejfgLAIAAPgEAAAOAAAAAAAAAAEAIAAAACQBAABkcnMvZTJvRG9jLnhtbFBLBQYA&#10;AAAABgAGAFkBAADCBQAAAAA=&#10;" path="m2941320,0l0,0,0,52070,1470660,52070,2941320,52070,2941320,0xe">
                <v:fill on="t" focussize="0,0"/>
                <v:stroke on="f"/>
                <v:imagedata o:title=""/>
                <o:lock v:ext="edit" aspectratio="f"/>
                <w10:wrap type="square"/>
              </v:shape>
            </w:pict>
          </mc:Fallback>
        </mc:AlternateContent>
      </w:r>
    </w:p>
    <w:p w14:paraId="4C331103" w14:textId="77777777" w:rsidR="00D978DF" w:rsidRPr="00761336" w:rsidRDefault="00000000">
      <w:pPr>
        <w:spacing w:line="276" w:lineRule="auto"/>
        <w:rPr>
          <w:rFonts w:ascii="Times New Roman" w:hAnsi="Times New Roman" w:cs="Times New Roman"/>
          <w:sz w:val="26"/>
          <w:szCs w:val="26"/>
        </w:rPr>
      </w:pPr>
      <w:r w:rsidRPr="00761336">
        <w:rPr>
          <w:rFonts w:ascii="Times New Roman" w:hAnsi="Times New Roman" w:cs="Times New Roman"/>
          <w:noProof/>
          <w:sz w:val="26"/>
          <w:szCs w:val="26"/>
        </w:rPr>
        <w:drawing>
          <wp:anchor distT="0" distB="0" distL="0" distR="0" simplePos="0" relativeHeight="251665408" behindDoc="1" locked="0" layoutInCell="1" allowOverlap="1" wp14:anchorId="59F3CBB6" wp14:editId="78DAFAD4">
            <wp:simplePos x="0" y="0"/>
            <wp:positionH relativeFrom="page">
              <wp:posOffset>424180</wp:posOffset>
            </wp:positionH>
            <wp:positionV relativeFrom="paragraph">
              <wp:posOffset>5624195</wp:posOffset>
            </wp:positionV>
            <wp:extent cx="1539240" cy="1680210"/>
            <wp:effectExtent l="0" t="0" r="0" b="0"/>
            <wp:wrapTopAndBottom/>
            <wp:docPr id="9" name="Image 14"/>
            <wp:cNvGraphicFramePr/>
            <a:graphic xmlns:a="http://schemas.openxmlformats.org/drawingml/2006/main">
              <a:graphicData uri="http://schemas.openxmlformats.org/drawingml/2006/picture">
                <pic:pic xmlns:pic="http://schemas.openxmlformats.org/drawingml/2006/picture">
                  <pic:nvPicPr>
                    <pic:cNvPr id="9" name="Image 14"/>
                    <pic:cNvPicPr/>
                  </pic:nvPicPr>
                  <pic:blipFill>
                    <a:blip r:embed="rId12"/>
                    <a:stretch>
                      <a:fillRect/>
                    </a:stretch>
                  </pic:blipFill>
                  <pic:spPr>
                    <a:xfrm>
                      <a:off x="0" y="0"/>
                      <a:ext cx="1539465" cy="1680210"/>
                    </a:xfrm>
                    <a:prstGeom prst="rect">
                      <a:avLst/>
                    </a:prstGeom>
                  </pic:spPr>
                </pic:pic>
              </a:graphicData>
            </a:graphic>
          </wp:anchor>
        </w:drawing>
      </w:r>
      <w:r w:rsidRPr="00761336">
        <w:rPr>
          <w:rFonts w:ascii="Times New Roman" w:hAnsi="Times New Roman" w:cs="Times New Roman"/>
          <w:noProof/>
          <w:sz w:val="26"/>
          <w:szCs w:val="26"/>
        </w:rPr>
        <mc:AlternateContent>
          <mc:Choice Requires="wps">
            <w:drawing>
              <wp:anchor distT="0" distB="0" distL="0" distR="0" simplePos="0" relativeHeight="251664384" behindDoc="1" locked="0" layoutInCell="1" allowOverlap="1" wp14:anchorId="03D57E92" wp14:editId="30655B91">
                <wp:simplePos x="0" y="0"/>
                <wp:positionH relativeFrom="page">
                  <wp:posOffset>7125970</wp:posOffset>
                </wp:positionH>
                <wp:positionV relativeFrom="paragraph">
                  <wp:posOffset>415925</wp:posOffset>
                </wp:positionV>
                <wp:extent cx="59690" cy="5134610"/>
                <wp:effectExtent l="0" t="0" r="0" b="0"/>
                <wp:wrapTopAndBottom/>
                <wp:docPr id="10" name="Graphic 13"/>
                <wp:cNvGraphicFramePr/>
                <a:graphic xmlns:a="http://schemas.openxmlformats.org/drawingml/2006/main">
                  <a:graphicData uri="http://schemas.microsoft.com/office/word/2010/wordprocessingShape">
                    <wps:wsp>
                      <wps:cNvSpPr/>
                      <wps:spPr bwMode="auto">
                        <a:xfrm>
                          <a:off x="0" y="0"/>
                          <a:ext cx="59690" cy="5134610"/>
                        </a:xfrm>
                        <a:custGeom>
                          <a:avLst/>
                          <a:gdLst/>
                          <a:ahLst/>
                          <a:cxnLst/>
                          <a:rect l="l" t="t" r="r" b="b"/>
                          <a:pathLst>
                            <a:path w="59690" h="5134610" extrusionOk="0">
                              <a:moveTo>
                                <a:pt x="59690" y="0"/>
                              </a:moveTo>
                              <a:lnTo>
                                <a:pt x="0" y="0"/>
                              </a:lnTo>
                              <a:lnTo>
                                <a:pt x="0" y="5134610"/>
                              </a:lnTo>
                              <a:lnTo>
                                <a:pt x="30480" y="5134610"/>
                              </a:lnTo>
                              <a:lnTo>
                                <a:pt x="59690" y="5134610"/>
                              </a:lnTo>
                              <a:lnTo>
                                <a:pt x="59690" y="0"/>
                              </a:lnTo>
                              <a:close/>
                            </a:path>
                          </a:pathLst>
                        </a:custGeom>
                        <a:solidFill>
                          <a:srgbClr val="005E68"/>
                        </a:solidFill>
                      </wps:spPr>
                      <wps:bodyPr rot="0">
                        <a:noAutofit/>
                      </wps:bodyPr>
                    </wps:wsp>
                  </a:graphicData>
                </a:graphic>
              </wp:anchor>
            </w:drawing>
          </mc:Choice>
          <mc:Fallback xmlns:wpsCustomData="http://www.wps.cn/officeDocument/2013/wpsCustomData">
            <w:pict>
              <v:shape id="Graphic 13" o:spid="_x0000_s1026" o:spt="100" style="position:absolute;left:0pt;margin-left:561.1pt;margin-top:32.75pt;height:404.3pt;width:4.7pt;mso-position-horizontal-relative:page;mso-wrap-distance-bottom:0pt;mso-wrap-distance-top:0pt;z-index:-251652096;mso-width-relative:page;mso-height-relative:page;" fillcolor="#005E68" filled="t" stroked="f" coordsize="59690,5134610" o:gfxdata="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gq&#10;4JXZAAAADAEAAA8AAAAAAAAAAQAgAAAAIgAAAGRycy9kb3ducmV2LnhtbFBLAQIUABQAAAAIAIdO&#10;4kAg2PnIIgIAAPcEAAAOAAAAAAAAAAEAIAAAACgBAABkcnMvZTJvRG9jLnhtbFBLBQYAAAAABgAG&#10;AFkBAAC8BQAAAAA=&#10;" path="m59690,0l0,0,0,5134610,30480,5134610,59690,5134610,59690,0xe">
                <v:fill on="t" focussize="0,0"/>
                <v:stroke on="f"/>
                <v:imagedata o:title=""/>
                <o:lock v:ext="edit" aspectratio="f"/>
                <w10:wrap type="topAndBottom"/>
              </v:shape>
            </w:pict>
          </mc:Fallback>
        </mc:AlternateContent>
      </w:r>
    </w:p>
    <w:p w14:paraId="5E207CB3" w14:textId="77777777" w:rsidR="00D978DF" w:rsidRPr="00761336" w:rsidRDefault="00D978DF">
      <w:pPr>
        <w:spacing w:line="276" w:lineRule="auto"/>
        <w:rPr>
          <w:rFonts w:ascii="Times New Roman" w:hAnsi="Times New Roman" w:cs="Times New Roman"/>
          <w:sz w:val="26"/>
          <w:szCs w:val="26"/>
        </w:rPr>
      </w:pPr>
    </w:p>
    <w:p w14:paraId="1F5CCC5A" w14:textId="77777777" w:rsidR="00D978DF" w:rsidRPr="00761336" w:rsidRDefault="00D978DF">
      <w:pPr>
        <w:widowControl/>
        <w:spacing w:line="276" w:lineRule="auto"/>
        <w:rPr>
          <w:rFonts w:ascii="Times New Roman" w:hAnsi="Times New Roman" w:cs="Times New Roman"/>
          <w:sz w:val="26"/>
          <w:szCs w:val="26"/>
        </w:rPr>
      </w:pPr>
    </w:p>
    <w:p w14:paraId="46184CB2" w14:textId="77777777" w:rsidR="00D978DF" w:rsidRPr="00761336" w:rsidRDefault="00000000">
      <w:pPr>
        <w:widowControl/>
        <w:spacing w:line="276" w:lineRule="auto"/>
        <w:rPr>
          <w:rFonts w:ascii="Times New Roman" w:hAnsi="Times New Roman" w:cs="Times New Roman"/>
          <w:sz w:val="26"/>
          <w:szCs w:val="26"/>
        </w:rPr>
      </w:pPr>
      <w:r w:rsidRPr="00761336">
        <w:rPr>
          <w:rFonts w:ascii="Times New Roman" w:hAnsi="Times New Roman" w:cs="Times New Roman"/>
          <w:noProof/>
          <w:sz w:val="26"/>
          <w:szCs w:val="26"/>
          <w14:ligatures w14:val="standardContextual"/>
        </w:rPr>
        <mc:AlternateContent>
          <mc:Choice Requires="wps">
            <w:drawing>
              <wp:anchor distT="0" distB="0" distL="114300" distR="114300" simplePos="0" relativeHeight="251669504" behindDoc="0" locked="0" layoutInCell="1" allowOverlap="1" wp14:anchorId="3B7689D1" wp14:editId="4D91DCFC">
                <wp:simplePos x="0" y="0"/>
                <wp:positionH relativeFrom="column">
                  <wp:posOffset>233045</wp:posOffset>
                </wp:positionH>
                <wp:positionV relativeFrom="paragraph">
                  <wp:posOffset>2185035</wp:posOffset>
                </wp:positionV>
                <wp:extent cx="5266690" cy="1361440"/>
                <wp:effectExtent l="0" t="0" r="6350" b="10160"/>
                <wp:wrapNone/>
                <wp:docPr id="8" name="Text Box 2"/>
                <wp:cNvGraphicFramePr/>
                <a:graphic xmlns:a="http://schemas.openxmlformats.org/drawingml/2006/main">
                  <a:graphicData uri="http://schemas.microsoft.com/office/word/2010/wordprocessingShape">
                    <wps:wsp>
                      <wps:cNvSpPr txBox="1"/>
                      <wps:spPr bwMode="auto">
                        <a:xfrm>
                          <a:off x="0" y="0"/>
                          <a:ext cx="5266690" cy="1361440"/>
                        </a:xfrm>
                        <a:prstGeom prst="rect">
                          <a:avLst/>
                        </a:prstGeom>
                        <a:solidFill>
                          <a:schemeClr val="lt1"/>
                        </a:solidFill>
                        <a:ln w="6350">
                          <a:noFill/>
                        </a:ln>
                      </wps:spPr>
                      <wps:txbx>
                        <w:txbxContent>
                          <w:p w14:paraId="4D35CF8E" w14:textId="77777777" w:rsidR="00D978DF" w:rsidRDefault="00000000">
                            <w:pPr>
                              <w:spacing w:before="3" w:line="276" w:lineRule="auto"/>
                              <w:jc w:val="center"/>
                              <w:rPr>
                                <w:rFonts w:ascii="Times New Roman" w:hAnsi="Times New Roman" w:cs="Times New Roman"/>
                                <w:b/>
                                <w:bCs/>
                                <w:sz w:val="40"/>
                                <w:szCs w:val="40"/>
                                <w:lang w:val="en-US"/>
                              </w:rPr>
                            </w:pPr>
                            <w:r>
                              <w:rPr>
                                <w:rFonts w:ascii="Times New Roman" w:hAnsi="Times New Roman" w:cs="Times New Roman"/>
                                <w:b/>
                                <w:bCs/>
                                <w:sz w:val="48"/>
                                <w:szCs w:val="48"/>
                                <w:lang w:val="en-US"/>
                              </w:rPr>
                              <w:t>TIỂU LUẬN</w:t>
                            </w:r>
                          </w:p>
                          <w:p w14:paraId="246849F0" w14:textId="77777777" w:rsidR="00D978DF" w:rsidRDefault="00000000">
                            <w:pPr>
                              <w:spacing w:before="3" w:line="276"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PHÂN TÍCH TÀI CHÍNH</w:t>
                            </w:r>
                          </w:p>
                          <w:p w14:paraId="4FE93D60" w14:textId="77777777" w:rsidR="00D978DF" w:rsidRDefault="00000000">
                            <w:pPr>
                              <w:spacing w:before="3" w:line="276" w:lineRule="auto"/>
                              <w:rPr>
                                <w:rFonts w:ascii="Times New Roman" w:hAnsi="Times New Roman" w:cs="Times New Roman"/>
                                <w:b/>
                                <w:bCs/>
                                <w:sz w:val="40"/>
                                <w:szCs w:val="40"/>
                                <w:lang w:val="en-US"/>
                              </w:rPr>
                            </w:pPr>
                            <w:r>
                              <w:rPr>
                                <w:rFonts w:ascii="Times New Roman" w:hAnsi="Times New Roman" w:cs="Times New Roman"/>
                                <w:b/>
                                <w:bCs/>
                                <w:sz w:val="40"/>
                                <w:szCs w:val="40"/>
                                <w:lang w:val="en-US" w:bidi="en-US"/>
                              </w:rPr>
                              <w:t xml:space="preserve">Đề tài: Phân tích tài chính </w:t>
                            </w:r>
                            <w:r>
                              <w:rPr>
                                <w:rFonts w:ascii="Times New Roman" w:hAnsi="Times New Roman" w:cs="Times New Roman"/>
                                <w:b/>
                                <w:bCs/>
                                <w:sz w:val="40"/>
                                <w:szCs w:val="40"/>
                                <w:lang w:val="vi-VN" w:bidi="en-US"/>
                              </w:rPr>
                              <w:t>T</w:t>
                            </w:r>
                            <w:r>
                              <w:rPr>
                                <w:rFonts w:ascii="Times New Roman" w:hAnsi="Times New Roman" w:cs="Times New Roman"/>
                                <w:b/>
                                <w:bCs/>
                                <w:sz w:val="40"/>
                                <w:szCs w:val="40"/>
                                <w:lang w:val="en-US" w:bidi="en-US"/>
                              </w:rPr>
                              <w:t>ập đoàn Hoà Phát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B7689D1" id="_x0000_t202" coordsize="21600,21600" o:spt="202" path="m,l,21600r21600,l21600,xe">
                <v:stroke joinstyle="miter"/>
                <v:path gradientshapeok="t" o:connecttype="rect"/>
              </v:shapetype>
              <v:shape id="Text Box 2" o:spid="_x0000_s1026" type="#_x0000_t202" style="position:absolute;margin-left:18.35pt;margin-top:172.05pt;width:414.7pt;height:107.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" fillcolor="white [3201]" stroked="f" strokeweight=".5pt">
                <v:textbox>
                  <w:txbxContent>
                    <w:p w14:paraId="4D35CF8E" w14:textId="77777777" w:rsidR="00D978DF" w:rsidRDefault="00000000">
                      <w:pPr>
                        <w:spacing w:before="3" w:line="276" w:lineRule="auto"/>
                        <w:jc w:val="center"/>
                        <w:rPr>
                          <w:rFonts w:ascii="Times New Roman" w:hAnsi="Times New Roman" w:cs="Times New Roman"/>
                          <w:b/>
                          <w:bCs/>
                          <w:sz w:val="40"/>
                          <w:szCs w:val="40"/>
                          <w:lang w:val="en-US"/>
                        </w:rPr>
                      </w:pPr>
                      <w:r>
                        <w:rPr>
                          <w:rFonts w:ascii="Times New Roman" w:hAnsi="Times New Roman" w:cs="Times New Roman"/>
                          <w:b/>
                          <w:bCs/>
                          <w:sz w:val="48"/>
                          <w:szCs w:val="48"/>
                          <w:lang w:val="en-US"/>
                        </w:rPr>
                        <w:t>TIỂU LUẬN</w:t>
                      </w:r>
                    </w:p>
                    <w:p w14:paraId="246849F0" w14:textId="77777777" w:rsidR="00D978DF" w:rsidRDefault="00000000">
                      <w:pPr>
                        <w:spacing w:before="3" w:line="276"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PHÂN TÍCH TÀI CHÍNH</w:t>
                      </w:r>
                    </w:p>
                    <w:p w14:paraId="4FE93D60" w14:textId="77777777" w:rsidR="00D978DF" w:rsidRDefault="00000000">
                      <w:pPr>
                        <w:spacing w:before="3" w:line="276" w:lineRule="auto"/>
                        <w:rPr>
                          <w:rFonts w:ascii="Times New Roman" w:hAnsi="Times New Roman" w:cs="Times New Roman"/>
                          <w:b/>
                          <w:bCs/>
                          <w:sz w:val="40"/>
                          <w:szCs w:val="40"/>
                          <w:lang w:val="en-US"/>
                        </w:rPr>
                      </w:pPr>
                      <w:proofErr w:type="spellStart"/>
                      <w:r>
                        <w:rPr>
                          <w:rFonts w:ascii="Times New Roman" w:hAnsi="Times New Roman" w:cs="Times New Roman"/>
                          <w:b/>
                          <w:bCs/>
                          <w:sz w:val="40"/>
                          <w:szCs w:val="40"/>
                          <w:lang w:val="en-US" w:bidi="en-US"/>
                        </w:rPr>
                        <w:t>Đề</w:t>
                      </w:r>
                      <w:proofErr w:type="spellEnd"/>
                      <w:r>
                        <w:rPr>
                          <w:rFonts w:ascii="Times New Roman" w:hAnsi="Times New Roman" w:cs="Times New Roman"/>
                          <w:b/>
                          <w:bCs/>
                          <w:sz w:val="40"/>
                          <w:szCs w:val="40"/>
                          <w:lang w:val="en-US" w:bidi="en-US"/>
                        </w:rPr>
                        <w:t xml:space="preserve"> </w:t>
                      </w:r>
                      <w:proofErr w:type="spellStart"/>
                      <w:r>
                        <w:rPr>
                          <w:rFonts w:ascii="Times New Roman" w:hAnsi="Times New Roman" w:cs="Times New Roman"/>
                          <w:b/>
                          <w:bCs/>
                          <w:sz w:val="40"/>
                          <w:szCs w:val="40"/>
                          <w:lang w:val="en-US" w:bidi="en-US"/>
                        </w:rPr>
                        <w:t>tài</w:t>
                      </w:r>
                      <w:proofErr w:type="spellEnd"/>
                      <w:r>
                        <w:rPr>
                          <w:rFonts w:ascii="Times New Roman" w:hAnsi="Times New Roman" w:cs="Times New Roman"/>
                          <w:b/>
                          <w:bCs/>
                          <w:sz w:val="40"/>
                          <w:szCs w:val="40"/>
                          <w:lang w:val="en-US" w:bidi="en-US"/>
                        </w:rPr>
                        <w:t xml:space="preserve">: </w:t>
                      </w:r>
                      <w:proofErr w:type="spellStart"/>
                      <w:r>
                        <w:rPr>
                          <w:rFonts w:ascii="Times New Roman" w:hAnsi="Times New Roman" w:cs="Times New Roman"/>
                          <w:b/>
                          <w:bCs/>
                          <w:sz w:val="40"/>
                          <w:szCs w:val="40"/>
                          <w:lang w:val="en-US" w:bidi="en-US"/>
                        </w:rPr>
                        <w:t>Phân</w:t>
                      </w:r>
                      <w:proofErr w:type="spellEnd"/>
                      <w:r>
                        <w:rPr>
                          <w:rFonts w:ascii="Times New Roman" w:hAnsi="Times New Roman" w:cs="Times New Roman"/>
                          <w:b/>
                          <w:bCs/>
                          <w:sz w:val="40"/>
                          <w:szCs w:val="40"/>
                          <w:lang w:val="en-US" w:bidi="en-US"/>
                        </w:rPr>
                        <w:t xml:space="preserve"> </w:t>
                      </w:r>
                      <w:proofErr w:type="spellStart"/>
                      <w:r>
                        <w:rPr>
                          <w:rFonts w:ascii="Times New Roman" w:hAnsi="Times New Roman" w:cs="Times New Roman"/>
                          <w:b/>
                          <w:bCs/>
                          <w:sz w:val="40"/>
                          <w:szCs w:val="40"/>
                          <w:lang w:val="en-US" w:bidi="en-US"/>
                        </w:rPr>
                        <w:t>tích</w:t>
                      </w:r>
                      <w:proofErr w:type="spellEnd"/>
                      <w:r>
                        <w:rPr>
                          <w:rFonts w:ascii="Times New Roman" w:hAnsi="Times New Roman" w:cs="Times New Roman"/>
                          <w:b/>
                          <w:bCs/>
                          <w:sz w:val="40"/>
                          <w:szCs w:val="40"/>
                          <w:lang w:val="en-US" w:bidi="en-US"/>
                        </w:rPr>
                        <w:t xml:space="preserve"> </w:t>
                      </w:r>
                      <w:proofErr w:type="spellStart"/>
                      <w:r>
                        <w:rPr>
                          <w:rFonts w:ascii="Times New Roman" w:hAnsi="Times New Roman" w:cs="Times New Roman"/>
                          <w:b/>
                          <w:bCs/>
                          <w:sz w:val="40"/>
                          <w:szCs w:val="40"/>
                          <w:lang w:val="en-US" w:bidi="en-US"/>
                        </w:rPr>
                        <w:t>tài</w:t>
                      </w:r>
                      <w:proofErr w:type="spellEnd"/>
                      <w:r>
                        <w:rPr>
                          <w:rFonts w:ascii="Times New Roman" w:hAnsi="Times New Roman" w:cs="Times New Roman"/>
                          <w:b/>
                          <w:bCs/>
                          <w:sz w:val="40"/>
                          <w:szCs w:val="40"/>
                          <w:lang w:val="en-US" w:bidi="en-US"/>
                        </w:rPr>
                        <w:t xml:space="preserve"> </w:t>
                      </w:r>
                      <w:proofErr w:type="spellStart"/>
                      <w:r>
                        <w:rPr>
                          <w:rFonts w:ascii="Times New Roman" w:hAnsi="Times New Roman" w:cs="Times New Roman"/>
                          <w:b/>
                          <w:bCs/>
                          <w:sz w:val="40"/>
                          <w:szCs w:val="40"/>
                          <w:lang w:val="en-US" w:bidi="en-US"/>
                        </w:rPr>
                        <w:t>chính</w:t>
                      </w:r>
                      <w:proofErr w:type="spellEnd"/>
                      <w:r>
                        <w:rPr>
                          <w:rFonts w:ascii="Times New Roman" w:hAnsi="Times New Roman" w:cs="Times New Roman"/>
                          <w:b/>
                          <w:bCs/>
                          <w:sz w:val="40"/>
                          <w:szCs w:val="40"/>
                          <w:lang w:val="en-US" w:bidi="en-US"/>
                        </w:rPr>
                        <w:t xml:space="preserve"> </w:t>
                      </w:r>
                      <w:r>
                        <w:rPr>
                          <w:rFonts w:ascii="Times New Roman" w:hAnsi="Times New Roman" w:cs="Times New Roman"/>
                          <w:b/>
                          <w:bCs/>
                          <w:sz w:val="40"/>
                          <w:szCs w:val="40"/>
                          <w:lang w:val="vi-VN" w:bidi="en-US"/>
                        </w:rPr>
                        <w:t>T</w:t>
                      </w:r>
                      <w:proofErr w:type="spellStart"/>
                      <w:r>
                        <w:rPr>
                          <w:rFonts w:ascii="Times New Roman" w:hAnsi="Times New Roman" w:cs="Times New Roman"/>
                          <w:b/>
                          <w:bCs/>
                          <w:sz w:val="40"/>
                          <w:szCs w:val="40"/>
                          <w:lang w:val="en-US" w:bidi="en-US"/>
                        </w:rPr>
                        <w:t>ập</w:t>
                      </w:r>
                      <w:proofErr w:type="spellEnd"/>
                      <w:r>
                        <w:rPr>
                          <w:rFonts w:ascii="Times New Roman" w:hAnsi="Times New Roman" w:cs="Times New Roman"/>
                          <w:b/>
                          <w:bCs/>
                          <w:sz w:val="40"/>
                          <w:szCs w:val="40"/>
                          <w:lang w:val="en-US" w:bidi="en-US"/>
                        </w:rPr>
                        <w:t xml:space="preserve"> </w:t>
                      </w:r>
                      <w:proofErr w:type="spellStart"/>
                      <w:r>
                        <w:rPr>
                          <w:rFonts w:ascii="Times New Roman" w:hAnsi="Times New Roman" w:cs="Times New Roman"/>
                          <w:b/>
                          <w:bCs/>
                          <w:sz w:val="40"/>
                          <w:szCs w:val="40"/>
                          <w:lang w:val="en-US" w:bidi="en-US"/>
                        </w:rPr>
                        <w:t>đoàn</w:t>
                      </w:r>
                      <w:proofErr w:type="spellEnd"/>
                      <w:r>
                        <w:rPr>
                          <w:rFonts w:ascii="Times New Roman" w:hAnsi="Times New Roman" w:cs="Times New Roman"/>
                          <w:b/>
                          <w:bCs/>
                          <w:sz w:val="40"/>
                          <w:szCs w:val="40"/>
                          <w:lang w:val="en-US" w:bidi="en-US"/>
                        </w:rPr>
                        <w:t xml:space="preserve"> Hoà </w:t>
                      </w:r>
                      <w:proofErr w:type="spellStart"/>
                      <w:r>
                        <w:rPr>
                          <w:rFonts w:ascii="Times New Roman" w:hAnsi="Times New Roman" w:cs="Times New Roman"/>
                          <w:b/>
                          <w:bCs/>
                          <w:sz w:val="40"/>
                          <w:szCs w:val="40"/>
                          <w:lang w:val="en-US" w:bidi="en-US"/>
                        </w:rPr>
                        <w:t>Phát</w:t>
                      </w:r>
                      <w:proofErr w:type="spellEnd"/>
                    </w:p>
                  </w:txbxContent>
                </v:textbox>
              </v:shape>
            </w:pict>
          </mc:Fallback>
        </mc:AlternateContent>
      </w:r>
    </w:p>
    <w:p w14:paraId="2D4324C1" w14:textId="77777777" w:rsidR="00D978DF" w:rsidRPr="00761336" w:rsidRDefault="00D978DF">
      <w:pPr>
        <w:widowControl/>
        <w:spacing w:line="276" w:lineRule="auto"/>
        <w:rPr>
          <w:rFonts w:ascii="Times New Roman" w:hAnsi="Times New Roman" w:cs="Times New Roman"/>
          <w:sz w:val="26"/>
          <w:szCs w:val="26"/>
        </w:rPr>
      </w:pPr>
    </w:p>
    <w:p w14:paraId="03E5BCA9" w14:textId="77777777" w:rsidR="00D978DF" w:rsidRPr="00761336" w:rsidRDefault="00D978DF">
      <w:pPr>
        <w:widowControl/>
        <w:spacing w:line="276" w:lineRule="auto"/>
        <w:rPr>
          <w:rFonts w:ascii="Times New Roman" w:hAnsi="Times New Roman" w:cs="Times New Roman"/>
          <w:sz w:val="26"/>
          <w:szCs w:val="26"/>
        </w:rPr>
      </w:pPr>
    </w:p>
    <w:p w14:paraId="1F8349E2" w14:textId="77777777" w:rsidR="00D978DF" w:rsidRPr="00761336" w:rsidRDefault="00D978DF">
      <w:pPr>
        <w:widowControl/>
        <w:spacing w:line="276" w:lineRule="auto"/>
        <w:rPr>
          <w:rFonts w:ascii="Times New Roman" w:hAnsi="Times New Roman" w:cs="Times New Roman"/>
          <w:sz w:val="26"/>
          <w:szCs w:val="26"/>
        </w:rPr>
      </w:pPr>
    </w:p>
    <w:p w14:paraId="0AB61635" w14:textId="77777777" w:rsidR="00D978DF" w:rsidRPr="00761336" w:rsidRDefault="00D978DF">
      <w:pPr>
        <w:widowControl/>
        <w:spacing w:line="276" w:lineRule="auto"/>
        <w:rPr>
          <w:rFonts w:ascii="Times New Roman" w:hAnsi="Times New Roman" w:cs="Times New Roman"/>
          <w:sz w:val="26"/>
          <w:szCs w:val="26"/>
        </w:rPr>
      </w:pPr>
    </w:p>
    <w:p w14:paraId="067E9E17" w14:textId="77777777" w:rsidR="00D978DF" w:rsidRPr="00761336" w:rsidRDefault="00D978DF">
      <w:pPr>
        <w:widowControl/>
        <w:spacing w:line="276" w:lineRule="auto"/>
        <w:rPr>
          <w:rFonts w:ascii="Times New Roman" w:hAnsi="Times New Roman" w:cs="Times New Roman"/>
          <w:sz w:val="26"/>
          <w:szCs w:val="26"/>
        </w:rPr>
      </w:pPr>
    </w:p>
    <w:p w14:paraId="428379A0" w14:textId="77777777" w:rsidR="00D978DF" w:rsidRPr="00761336" w:rsidRDefault="00D978DF">
      <w:pPr>
        <w:widowControl/>
        <w:spacing w:line="276" w:lineRule="auto"/>
        <w:rPr>
          <w:rFonts w:ascii="Times New Roman" w:hAnsi="Times New Roman" w:cs="Times New Roman"/>
          <w:sz w:val="26"/>
          <w:szCs w:val="26"/>
        </w:rPr>
      </w:pPr>
    </w:p>
    <w:p w14:paraId="48DDBB7A" w14:textId="77777777" w:rsidR="00D978DF" w:rsidRPr="00761336" w:rsidRDefault="00D978DF">
      <w:pPr>
        <w:widowControl/>
        <w:spacing w:line="276" w:lineRule="auto"/>
        <w:rPr>
          <w:rFonts w:ascii="Times New Roman" w:hAnsi="Times New Roman" w:cs="Times New Roman"/>
          <w:sz w:val="26"/>
          <w:szCs w:val="26"/>
        </w:rPr>
      </w:pPr>
    </w:p>
    <w:tbl>
      <w:tblPr>
        <w:tblStyle w:val="TableGrid"/>
        <w:tblW w:w="0" w:type="auto"/>
        <w:tblInd w:w="2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2420"/>
      </w:tblGrid>
      <w:tr w:rsidR="00D978DF" w:rsidRPr="00761336" w14:paraId="6D6FBC00" w14:textId="77777777">
        <w:tc>
          <w:tcPr>
            <w:tcW w:w="2253" w:type="dxa"/>
            <w:tcBorders>
              <w:top w:val="nil"/>
              <w:left w:val="nil"/>
              <w:bottom w:val="nil"/>
              <w:right w:val="nil"/>
            </w:tcBorders>
          </w:tcPr>
          <w:p w14:paraId="7D6E14AD" w14:textId="77777777" w:rsidR="00D978DF" w:rsidRPr="00761336" w:rsidRDefault="00000000">
            <w:pPr>
              <w:tabs>
                <w:tab w:val="left" w:pos="2200"/>
              </w:tabs>
              <w:spacing w:line="360" w:lineRule="auto"/>
              <w:rPr>
                <w:rFonts w:ascii="Times New Roman" w:hAnsi="Times New Roman" w:cs="Times New Roman"/>
                <w:color w:val="000000" w:themeColor="text1"/>
                <w:sz w:val="28"/>
                <w:szCs w:val="28"/>
              </w:rPr>
            </w:pPr>
            <w:r w:rsidRPr="00761336">
              <w:rPr>
                <w:rFonts w:ascii="Times New Roman" w:hAnsi="Times New Roman" w:cs="Times New Roman"/>
                <w:b/>
                <w:bCs/>
                <w:color w:val="000000" w:themeColor="text1"/>
                <w:sz w:val="28"/>
                <w:szCs w:val="28"/>
                <w:lang w:val="en-US"/>
              </w:rPr>
              <w:t>Giảng viên:</w:t>
            </w:r>
          </w:p>
        </w:tc>
        <w:tc>
          <w:tcPr>
            <w:tcW w:w="2420" w:type="dxa"/>
            <w:tcBorders>
              <w:top w:val="nil"/>
              <w:left w:val="nil"/>
              <w:bottom w:val="nil"/>
              <w:right w:val="nil"/>
            </w:tcBorders>
          </w:tcPr>
          <w:p w14:paraId="031C3D7E" w14:textId="77777777" w:rsidR="00D978DF" w:rsidRPr="00761336" w:rsidRDefault="00000000">
            <w:pPr>
              <w:widowControl/>
              <w:tabs>
                <w:tab w:val="left" w:pos="2200"/>
              </w:tabs>
              <w:spacing w:line="360" w:lineRule="auto"/>
              <w:jc w:val="both"/>
              <w:rPr>
                <w:rFonts w:ascii="Times New Roman" w:hAnsi="Times New Roman" w:cs="Times New Roman"/>
                <w:color w:val="000000" w:themeColor="text1"/>
                <w:sz w:val="28"/>
                <w:szCs w:val="28"/>
              </w:rPr>
            </w:pPr>
            <w:r w:rsidRPr="00761336">
              <w:rPr>
                <w:rFonts w:ascii="Times New Roman" w:hAnsi="Times New Roman" w:cs="Times New Roman"/>
                <w:color w:val="000000" w:themeColor="text1"/>
                <w:sz w:val="28"/>
                <w:szCs w:val="28"/>
                <w:lang w:val="en-US"/>
              </w:rPr>
              <w:t>Dương Kha</w:t>
            </w:r>
          </w:p>
        </w:tc>
      </w:tr>
      <w:tr w:rsidR="00D978DF" w:rsidRPr="00761336" w14:paraId="353C2545" w14:textId="77777777">
        <w:trPr>
          <w:trHeight w:val="476"/>
        </w:trPr>
        <w:tc>
          <w:tcPr>
            <w:tcW w:w="2253" w:type="dxa"/>
            <w:tcBorders>
              <w:top w:val="nil"/>
              <w:left w:val="nil"/>
              <w:bottom w:val="nil"/>
              <w:right w:val="nil"/>
            </w:tcBorders>
          </w:tcPr>
          <w:p w14:paraId="728C32CD" w14:textId="77777777" w:rsidR="00D978DF" w:rsidRPr="00761336" w:rsidRDefault="00000000">
            <w:pPr>
              <w:widowControl/>
              <w:tabs>
                <w:tab w:val="left" w:pos="2200"/>
              </w:tabs>
              <w:spacing w:line="360" w:lineRule="auto"/>
              <w:rPr>
                <w:rFonts w:ascii="Times New Roman" w:hAnsi="Times New Roman" w:cs="Times New Roman"/>
                <w:b/>
                <w:bCs/>
                <w:color w:val="000000" w:themeColor="text1"/>
                <w:sz w:val="28"/>
                <w:szCs w:val="28"/>
                <w:lang w:val="vi-VN"/>
              </w:rPr>
            </w:pPr>
            <w:r w:rsidRPr="00761336">
              <w:rPr>
                <w:rFonts w:ascii="Times New Roman" w:hAnsi="Times New Roman" w:cs="Times New Roman"/>
                <w:b/>
                <w:bCs/>
                <w:color w:val="000000" w:themeColor="text1"/>
                <w:sz w:val="28"/>
                <w:szCs w:val="28"/>
                <w:lang w:val="vi-VN"/>
              </w:rPr>
              <w:t>Lớp học phần:</w:t>
            </w:r>
          </w:p>
        </w:tc>
        <w:tc>
          <w:tcPr>
            <w:tcW w:w="2420" w:type="dxa"/>
            <w:tcBorders>
              <w:top w:val="nil"/>
              <w:left w:val="nil"/>
              <w:bottom w:val="nil"/>
              <w:right w:val="nil"/>
            </w:tcBorders>
          </w:tcPr>
          <w:p w14:paraId="0785DB56" w14:textId="77777777" w:rsidR="00D978DF" w:rsidRPr="00761336" w:rsidRDefault="00000000">
            <w:pPr>
              <w:widowControl/>
              <w:tabs>
                <w:tab w:val="left" w:pos="2200"/>
              </w:tabs>
              <w:spacing w:line="360" w:lineRule="auto"/>
              <w:jc w:val="both"/>
              <w:rPr>
                <w:rFonts w:ascii="Times New Roman" w:hAnsi="Times New Roman" w:cs="Times New Roman"/>
                <w:color w:val="000000" w:themeColor="text1"/>
                <w:sz w:val="28"/>
                <w:szCs w:val="28"/>
              </w:rPr>
            </w:pPr>
            <w:r w:rsidRPr="00761336">
              <w:rPr>
                <w:rFonts w:ascii="Times New Roman" w:hAnsi="Times New Roman" w:cs="Times New Roman"/>
                <w:color w:val="000000" w:themeColor="text1"/>
                <w:sz w:val="28"/>
                <w:szCs w:val="28"/>
                <w:lang w:val="en-US"/>
              </w:rPr>
              <w:t>25C1FIN50509605</w:t>
            </w:r>
          </w:p>
        </w:tc>
      </w:tr>
      <w:tr w:rsidR="00D978DF" w:rsidRPr="00761336" w14:paraId="00AFD6FB" w14:textId="77777777">
        <w:trPr>
          <w:trHeight w:val="486"/>
        </w:trPr>
        <w:tc>
          <w:tcPr>
            <w:tcW w:w="2253" w:type="dxa"/>
            <w:tcBorders>
              <w:top w:val="nil"/>
              <w:left w:val="nil"/>
              <w:bottom w:val="nil"/>
              <w:right w:val="nil"/>
            </w:tcBorders>
          </w:tcPr>
          <w:p w14:paraId="5F6E964A" w14:textId="77777777" w:rsidR="00D978DF" w:rsidRPr="00761336" w:rsidRDefault="00000000">
            <w:pPr>
              <w:widowControl/>
              <w:tabs>
                <w:tab w:val="left" w:pos="2200"/>
              </w:tabs>
              <w:spacing w:line="360" w:lineRule="auto"/>
              <w:rPr>
                <w:rFonts w:ascii="Times New Roman" w:hAnsi="Times New Roman" w:cs="Times New Roman"/>
                <w:color w:val="000000" w:themeColor="text1"/>
                <w:sz w:val="28"/>
                <w:szCs w:val="28"/>
              </w:rPr>
            </w:pPr>
            <w:r w:rsidRPr="00761336">
              <w:rPr>
                <w:rFonts w:ascii="Times New Roman" w:hAnsi="Times New Roman" w:cs="Times New Roman"/>
                <w:b/>
                <w:bCs/>
                <w:color w:val="000000" w:themeColor="text1"/>
                <w:sz w:val="28"/>
                <w:szCs w:val="28"/>
                <w:lang w:val="en-US"/>
              </w:rPr>
              <w:t>Nhóm thực hiện:</w:t>
            </w:r>
          </w:p>
        </w:tc>
        <w:tc>
          <w:tcPr>
            <w:tcW w:w="2420" w:type="dxa"/>
            <w:tcBorders>
              <w:top w:val="nil"/>
              <w:left w:val="nil"/>
              <w:bottom w:val="nil"/>
              <w:right w:val="nil"/>
            </w:tcBorders>
          </w:tcPr>
          <w:p w14:paraId="30888700" w14:textId="77777777" w:rsidR="00D978DF" w:rsidRPr="00761336" w:rsidRDefault="00000000">
            <w:pPr>
              <w:widowControl/>
              <w:tabs>
                <w:tab w:val="left" w:pos="2200"/>
              </w:tabs>
              <w:spacing w:line="360" w:lineRule="auto"/>
              <w:jc w:val="both"/>
              <w:rPr>
                <w:rFonts w:ascii="Times New Roman" w:hAnsi="Times New Roman" w:cs="Times New Roman"/>
                <w:color w:val="000000" w:themeColor="text1"/>
                <w:sz w:val="28"/>
                <w:szCs w:val="28"/>
              </w:rPr>
            </w:pPr>
            <w:r w:rsidRPr="00761336">
              <w:rPr>
                <w:rFonts w:ascii="Times New Roman" w:hAnsi="Times New Roman" w:cs="Times New Roman"/>
                <w:color w:val="000000" w:themeColor="text1"/>
                <w:sz w:val="28"/>
                <w:szCs w:val="28"/>
                <w:lang w:val="en-US"/>
              </w:rPr>
              <w:t>Nhóm 1</w:t>
            </w:r>
          </w:p>
        </w:tc>
      </w:tr>
    </w:tbl>
    <w:p w14:paraId="74D715B3" w14:textId="77777777" w:rsidR="00D978DF" w:rsidRPr="00761336" w:rsidRDefault="00000000">
      <w:pPr>
        <w:widowControl/>
        <w:spacing w:line="276" w:lineRule="auto"/>
        <w:rPr>
          <w:rFonts w:ascii="Times New Roman" w:hAnsi="Times New Roman" w:cs="Times New Roman"/>
          <w:sz w:val="26"/>
          <w:szCs w:val="26"/>
          <w:lang w:val="vi-VN"/>
        </w:rPr>
      </w:pPr>
      <w:r w:rsidRPr="00761336">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6FD78304" wp14:editId="39CA17A1">
                <wp:simplePos x="0" y="0"/>
                <wp:positionH relativeFrom="column">
                  <wp:posOffset>894080</wp:posOffset>
                </wp:positionH>
                <wp:positionV relativeFrom="paragraph">
                  <wp:posOffset>986155</wp:posOffset>
                </wp:positionV>
                <wp:extent cx="4499610" cy="561975"/>
                <wp:effectExtent l="0" t="0" r="11430" b="1905"/>
                <wp:wrapNone/>
                <wp:docPr id="12" name="Text Box 3"/>
                <wp:cNvGraphicFramePr/>
                <a:graphic xmlns:a="http://schemas.openxmlformats.org/drawingml/2006/main">
                  <a:graphicData uri="http://schemas.microsoft.com/office/word/2010/wordprocessingShape">
                    <wps:wsp>
                      <wps:cNvSpPr txBox="1"/>
                      <wps:spPr bwMode="auto">
                        <a:xfrm>
                          <a:off x="0" y="0"/>
                          <a:ext cx="4499610" cy="562082"/>
                        </a:xfrm>
                        <a:prstGeom prst="rect">
                          <a:avLst/>
                        </a:prstGeom>
                        <a:solidFill>
                          <a:schemeClr val="lt1"/>
                        </a:solidFill>
                        <a:ln w="6350">
                          <a:noFill/>
                        </a:ln>
                      </wps:spPr>
                      <wps:txbx>
                        <w:txbxContent>
                          <w:p w14:paraId="72472D57" w14:textId="77777777" w:rsidR="00D978DF" w:rsidRDefault="00000000">
                            <w:pPr>
                              <w:spacing w:line="360" w:lineRule="auto"/>
                              <w:rPr>
                                <w:rFonts w:ascii="Times New Roman" w:hAnsi="Times New Roman" w:cs="Times New Roman"/>
                                <w:bCs/>
                                <w:i/>
                                <w:sz w:val="28"/>
                                <w:szCs w:val="28"/>
                              </w:rPr>
                            </w:pPr>
                            <w:r>
                              <w:rPr>
                                <w:rFonts w:ascii="Times New Roman" w:hAnsi="Times New Roman" w:cs="Times New Roman"/>
                                <w:i/>
                                <w:iCs/>
                                <w:sz w:val="28"/>
                                <w:szCs w:val="28"/>
                              </w:rPr>
                              <w:t xml:space="preserve">Thành phố Hồ Chí Minh, ngày </w:t>
                            </w:r>
                            <w:r>
                              <w:rPr>
                                <w:rFonts w:ascii="Times New Roman" w:hAnsi="Times New Roman" w:cs="Times New Roman"/>
                                <w:i/>
                                <w:iCs/>
                                <w:sz w:val="28"/>
                                <w:szCs w:val="28"/>
                                <w:lang w:val="vi-VN"/>
                              </w:rPr>
                              <w:t xml:space="preserve">24 </w:t>
                            </w:r>
                            <w:r>
                              <w:rPr>
                                <w:rFonts w:ascii="Times New Roman" w:hAnsi="Times New Roman" w:cs="Times New Roman"/>
                                <w:i/>
                                <w:iCs/>
                                <w:sz w:val="28"/>
                                <w:szCs w:val="28"/>
                              </w:rPr>
                              <w:t>tháng 10 năm 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D78304" id="Text Box 3" o:spid="_x0000_s1027" type="#_x0000_t202" style="position:absolute;margin-left:70.4pt;margin-top:77.65pt;width:354.3pt;height:44.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" fillcolor="white [3201]" stroked="f" strokeweight=".5pt">
                <v:textbox>
                  <w:txbxContent>
                    <w:p w14:paraId="72472D57" w14:textId="77777777" w:rsidR="00D978DF" w:rsidRDefault="00000000">
                      <w:pPr>
                        <w:spacing w:line="360" w:lineRule="auto"/>
                        <w:rPr>
                          <w:rFonts w:ascii="Times New Roman" w:hAnsi="Times New Roman" w:cs="Times New Roman"/>
                          <w:bCs/>
                          <w:i/>
                          <w:sz w:val="28"/>
                          <w:szCs w:val="28"/>
                        </w:rPr>
                      </w:pPr>
                      <w:r>
                        <w:rPr>
                          <w:rFonts w:ascii="Times New Roman" w:hAnsi="Times New Roman" w:cs="Times New Roman"/>
                          <w:i/>
                          <w:iCs/>
                          <w:sz w:val="28"/>
                          <w:szCs w:val="28"/>
                        </w:rPr>
                        <w:t xml:space="preserve">Thành phố Hồ Chí Minh, ngày </w:t>
                      </w:r>
                      <w:r>
                        <w:rPr>
                          <w:rFonts w:ascii="Times New Roman" w:hAnsi="Times New Roman" w:cs="Times New Roman"/>
                          <w:i/>
                          <w:iCs/>
                          <w:sz w:val="28"/>
                          <w:szCs w:val="28"/>
                          <w:lang w:val="vi-VN"/>
                        </w:rPr>
                        <w:t xml:space="preserve">24 </w:t>
                      </w:r>
                      <w:r>
                        <w:rPr>
                          <w:rFonts w:ascii="Times New Roman" w:hAnsi="Times New Roman" w:cs="Times New Roman"/>
                          <w:i/>
                          <w:iCs/>
                          <w:sz w:val="28"/>
                          <w:szCs w:val="28"/>
                        </w:rPr>
                        <w:t>tháng 10 năm 2025</w:t>
                      </w:r>
                    </w:p>
                  </w:txbxContent>
                </v:textbox>
              </v:shape>
            </w:pict>
          </mc:Fallback>
        </mc:AlternateContent>
      </w:r>
      <w:r w:rsidRPr="00761336">
        <w:rPr>
          <w:rFonts w:ascii="Times New Roman" w:hAnsi="Times New Roman" w:cs="Times New Roman"/>
          <w:noProof/>
          <w:sz w:val="26"/>
          <w:szCs w:val="26"/>
        </w:rPr>
        <w:drawing>
          <wp:anchor distT="0" distB="0" distL="0" distR="0" simplePos="0" relativeHeight="251667456" behindDoc="1" locked="0" layoutInCell="1" allowOverlap="1" wp14:anchorId="18F959FA" wp14:editId="30FD812C">
            <wp:simplePos x="0" y="0"/>
            <wp:positionH relativeFrom="page">
              <wp:posOffset>5721985</wp:posOffset>
            </wp:positionH>
            <wp:positionV relativeFrom="paragraph">
              <wp:posOffset>453390</wp:posOffset>
            </wp:positionV>
            <wp:extent cx="1539240" cy="1680210"/>
            <wp:effectExtent l="0" t="0" r="0" b="0"/>
            <wp:wrapTopAndBottom/>
            <wp:docPr id="5" name="Image 16"/>
            <wp:cNvGraphicFramePr/>
            <a:graphic xmlns:a="http://schemas.openxmlformats.org/drawingml/2006/main">
              <a:graphicData uri="http://schemas.openxmlformats.org/drawingml/2006/picture">
                <pic:pic xmlns:pic="http://schemas.openxmlformats.org/drawingml/2006/picture">
                  <pic:nvPicPr>
                    <pic:cNvPr id="5" name="Image 16"/>
                    <pic:cNvPicPr/>
                  </pic:nvPicPr>
                  <pic:blipFill>
                    <a:blip r:embed="rId13"/>
                    <a:stretch>
                      <a:fillRect/>
                    </a:stretch>
                  </pic:blipFill>
                  <pic:spPr>
                    <a:xfrm>
                      <a:off x="0" y="0"/>
                      <a:ext cx="1539240" cy="1680210"/>
                    </a:xfrm>
                    <a:prstGeom prst="rect">
                      <a:avLst/>
                    </a:prstGeom>
                  </pic:spPr>
                </pic:pic>
              </a:graphicData>
            </a:graphic>
          </wp:anchor>
        </w:drawing>
      </w:r>
    </w:p>
    <w:p w14:paraId="7A686EE8" w14:textId="77777777" w:rsidR="00D978DF" w:rsidRPr="00761336" w:rsidRDefault="00000000">
      <w:pPr>
        <w:widowControl/>
        <w:spacing w:line="276" w:lineRule="auto"/>
        <w:jc w:val="center"/>
        <w:rPr>
          <w:rFonts w:ascii="Times New Roman" w:eastAsia="Times New Roman" w:hAnsi="Times New Roman" w:cs="Times New Roman"/>
          <w:b/>
          <w:bCs/>
          <w:sz w:val="26"/>
          <w:szCs w:val="26"/>
          <w:lang w:val="vi-VN"/>
        </w:rPr>
      </w:pPr>
      <w:r w:rsidRPr="00761336">
        <w:rPr>
          <w:rFonts w:ascii="Times New Roman" w:eastAsia="Times New Roman" w:hAnsi="Times New Roman" w:cs="Times New Roman"/>
          <w:b/>
          <w:bCs/>
          <w:sz w:val="26"/>
          <w:szCs w:val="26"/>
        </w:rPr>
        <w:lastRenderedPageBreak/>
        <w:t>DANH SÁCH THÀNH VIÊN NHÓM 1</w:t>
      </w:r>
    </w:p>
    <w:p w14:paraId="1373C1D4" w14:textId="77777777" w:rsidR="00D978DF" w:rsidRPr="00761336" w:rsidRDefault="00D978DF">
      <w:pPr>
        <w:widowControl/>
        <w:spacing w:line="276" w:lineRule="auto"/>
        <w:jc w:val="center"/>
        <w:rPr>
          <w:rFonts w:ascii="Times New Roman" w:eastAsia="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2489"/>
        <w:gridCol w:w="1901"/>
        <w:gridCol w:w="1984"/>
        <w:gridCol w:w="2976"/>
      </w:tblGrid>
      <w:tr w:rsidR="00D978DF" w:rsidRPr="00761336" w14:paraId="56811E00" w14:textId="77777777">
        <w:trPr>
          <w:trHeight w:val="543"/>
        </w:trPr>
        <w:tc>
          <w:tcPr>
            <w:tcW w:w="2489" w:type="dxa"/>
          </w:tcPr>
          <w:p w14:paraId="5ADFAC1E"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Họ và tên</w:t>
            </w:r>
          </w:p>
        </w:tc>
        <w:tc>
          <w:tcPr>
            <w:tcW w:w="1901" w:type="dxa"/>
          </w:tcPr>
          <w:p w14:paraId="51DAED63"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MSSV</w:t>
            </w:r>
          </w:p>
        </w:tc>
        <w:tc>
          <w:tcPr>
            <w:tcW w:w="1984" w:type="dxa"/>
          </w:tcPr>
          <w:p w14:paraId="56D1DDC8"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Tỷ lệ đóng góp</w:t>
            </w:r>
          </w:p>
        </w:tc>
        <w:tc>
          <w:tcPr>
            <w:tcW w:w="2976" w:type="dxa"/>
          </w:tcPr>
          <w:p w14:paraId="4C36344C" w14:textId="77777777" w:rsidR="00D978DF" w:rsidRPr="00761336" w:rsidRDefault="00000000">
            <w:pPr>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Nội dung</w:t>
            </w:r>
          </w:p>
        </w:tc>
      </w:tr>
      <w:tr w:rsidR="00D978DF" w:rsidRPr="00761336" w14:paraId="73895660" w14:textId="77777777">
        <w:trPr>
          <w:trHeight w:val="2002"/>
        </w:trPr>
        <w:tc>
          <w:tcPr>
            <w:tcW w:w="2489" w:type="dxa"/>
          </w:tcPr>
          <w:p w14:paraId="3268D066"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Vũ Hoàng Ánh Dương (NT) SĐT: 0327546179</w:t>
            </w:r>
          </w:p>
        </w:tc>
        <w:tc>
          <w:tcPr>
            <w:tcW w:w="1901" w:type="dxa"/>
          </w:tcPr>
          <w:p w14:paraId="7A0FB031"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31231025336</w:t>
            </w:r>
          </w:p>
        </w:tc>
        <w:tc>
          <w:tcPr>
            <w:tcW w:w="1984" w:type="dxa"/>
          </w:tcPr>
          <w:p w14:paraId="46E75185" w14:textId="77777777" w:rsidR="00D978DF" w:rsidRPr="00761336" w:rsidRDefault="00000000">
            <w:pPr>
              <w:widowControl/>
              <w:spacing w:line="276" w:lineRule="auto"/>
              <w:jc w:val="center"/>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lang w:val="vi-VN"/>
              </w:rPr>
              <w:t>100%</w:t>
            </w:r>
          </w:p>
        </w:tc>
        <w:tc>
          <w:tcPr>
            <w:tcW w:w="2976" w:type="dxa"/>
          </w:tcPr>
          <w:p w14:paraId="332F2F9D" w14:textId="77777777" w:rsidR="00D978DF" w:rsidRPr="00761336" w:rsidRDefault="00000000">
            <w:pPr>
              <w:spacing w:line="276" w:lineRule="auto"/>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 Phân tích nền kinh tế và phân tích ngành</w:t>
            </w:r>
          </w:p>
          <w:p w14:paraId="34425AC6" w14:textId="77777777" w:rsidR="00D978DF" w:rsidRPr="00761336" w:rsidRDefault="00000000">
            <w:pPr>
              <w:spacing w:line="276" w:lineRule="auto"/>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rPr>
              <w:t>- Phân tích bảng cân đối kế toán</w:t>
            </w:r>
          </w:p>
          <w:p w14:paraId="70A1355E" w14:textId="77777777" w:rsidR="00D978DF" w:rsidRPr="00761336" w:rsidRDefault="00000000">
            <w:pPr>
              <w:spacing w:line="276" w:lineRule="auto"/>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lang w:val="vi-VN"/>
              </w:rPr>
              <w:t>- Phân tích triển vọng bảng cân đối kế toán</w:t>
            </w:r>
          </w:p>
        </w:tc>
      </w:tr>
      <w:tr w:rsidR="00D978DF" w:rsidRPr="00761336" w14:paraId="442BFBCA" w14:textId="77777777">
        <w:trPr>
          <w:trHeight w:val="2002"/>
        </w:trPr>
        <w:tc>
          <w:tcPr>
            <w:tcW w:w="2489" w:type="dxa"/>
          </w:tcPr>
          <w:p w14:paraId="76C38B0C"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Phạm Hương Giang</w:t>
            </w:r>
          </w:p>
        </w:tc>
        <w:tc>
          <w:tcPr>
            <w:tcW w:w="1901" w:type="dxa"/>
          </w:tcPr>
          <w:p w14:paraId="46BA3409"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31231026816</w:t>
            </w:r>
          </w:p>
        </w:tc>
        <w:tc>
          <w:tcPr>
            <w:tcW w:w="1984" w:type="dxa"/>
          </w:tcPr>
          <w:p w14:paraId="706B0DAA" w14:textId="77777777" w:rsidR="00D978DF" w:rsidRPr="00761336" w:rsidRDefault="00000000">
            <w:pPr>
              <w:widowControl/>
              <w:spacing w:line="276" w:lineRule="auto"/>
              <w:jc w:val="center"/>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lang w:val="vi-VN"/>
              </w:rPr>
              <w:t>100%</w:t>
            </w:r>
          </w:p>
        </w:tc>
        <w:tc>
          <w:tcPr>
            <w:tcW w:w="2976" w:type="dxa"/>
          </w:tcPr>
          <w:p w14:paraId="55F82F23" w14:textId="77777777" w:rsidR="00D978DF" w:rsidRPr="00761336" w:rsidRDefault="00000000">
            <w:pPr>
              <w:spacing w:line="276" w:lineRule="auto"/>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rPr>
              <w:t>- Phân tích báo cáo thu nhập</w:t>
            </w:r>
          </w:p>
          <w:p w14:paraId="2D353FA3" w14:textId="77777777" w:rsidR="00D978DF" w:rsidRPr="00761336" w:rsidRDefault="00000000">
            <w:pPr>
              <w:spacing w:line="276" w:lineRule="auto"/>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lang w:val="vi-VN"/>
              </w:rPr>
              <w:t>- Phân tích triển vọng báo cáo thu nhập</w:t>
            </w:r>
          </w:p>
          <w:p w14:paraId="4C647010" w14:textId="5CBB6DB5" w:rsidR="00D978DF" w:rsidRPr="00761336" w:rsidRDefault="00000000">
            <w:pPr>
              <w:spacing w:line="276" w:lineRule="auto"/>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rPr>
              <w:t>- Ước lượng chi phí sử dụng vốn, định giá</w:t>
            </w:r>
          </w:p>
        </w:tc>
      </w:tr>
      <w:tr w:rsidR="00D978DF" w:rsidRPr="00761336" w14:paraId="0131368B" w14:textId="77777777">
        <w:trPr>
          <w:trHeight w:val="1203"/>
        </w:trPr>
        <w:tc>
          <w:tcPr>
            <w:tcW w:w="2489" w:type="dxa"/>
          </w:tcPr>
          <w:p w14:paraId="66675663"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Nguyễn Thị Cẩm Ly</w:t>
            </w:r>
          </w:p>
        </w:tc>
        <w:tc>
          <w:tcPr>
            <w:tcW w:w="1901" w:type="dxa"/>
          </w:tcPr>
          <w:p w14:paraId="256A0449"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31231027176</w:t>
            </w:r>
          </w:p>
        </w:tc>
        <w:tc>
          <w:tcPr>
            <w:tcW w:w="1984" w:type="dxa"/>
          </w:tcPr>
          <w:p w14:paraId="6F3322B5" w14:textId="77777777" w:rsidR="00D978DF" w:rsidRPr="00761336" w:rsidRDefault="00000000">
            <w:pPr>
              <w:widowControl/>
              <w:spacing w:line="276" w:lineRule="auto"/>
              <w:jc w:val="center"/>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lang w:val="vi-VN"/>
              </w:rPr>
              <w:t>100%</w:t>
            </w:r>
          </w:p>
        </w:tc>
        <w:tc>
          <w:tcPr>
            <w:tcW w:w="2976" w:type="dxa"/>
          </w:tcPr>
          <w:p w14:paraId="17C770D1" w14:textId="77777777" w:rsidR="00D978DF" w:rsidRPr="00761336" w:rsidRDefault="00000000">
            <w:pPr>
              <w:spacing w:line="276" w:lineRule="auto"/>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 Phân tích báo cáo dòng tiền</w:t>
            </w:r>
          </w:p>
          <w:p w14:paraId="593FCD87" w14:textId="77777777" w:rsidR="00D978DF" w:rsidRPr="00761336" w:rsidRDefault="00000000">
            <w:pPr>
              <w:spacing w:line="276" w:lineRule="auto"/>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rPr>
              <w:t>- Phân tích Dupont</w:t>
            </w:r>
          </w:p>
          <w:p w14:paraId="7FBC9871" w14:textId="77777777" w:rsidR="00D978DF" w:rsidRPr="00761336" w:rsidRDefault="00000000">
            <w:pPr>
              <w:spacing w:line="276" w:lineRule="auto"/>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lang w:val="vi-VN"/>
              </w:rPr>
              <w:t>- Phân tích triển vọng báo cáo lưu chuyển tiền tệ</w:t>
            </w:r>
          </w:p>
        </w:tc>
      </w:tr>
      <w:tr w:rsidR="00D978DF" w:rsidRPr="00761336" w14:paraId="601279BC" w14:textId="77777777">
        <w:trPr>
          <w:trHeight w:val="543"/>
        </w:trPr>
        <w:tc>
          <w:tcPr>
            <w:tcW w:w="2489" w:type="dxa"/>
          </w:tcPr>
          <w:p w14:paraId="58061FFA"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Từ Thị Uyển Như</w:t>
            </w:r>
          </w:p>
        </w:tc>
        <w:tc>
          <w:tcPr>
            <w:tcW w:w="1901" w:type="dxa"/>
          </w:tcPr>
          <w:p w14:paraId="7E059D79"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31221025401</w:t>
            </w:r>
          </w:p>
        </w:tc>
        <w:tc>
          <w:tcPr>
            <w:tcW w:w="1984" w:type="dxa"/>
          </w:tcPr>
          <w:p w14:paraId="38772697" w14:textId="77777777" w:rsidR="00D978DF" w:rsidRPr="00761336" w:rsidRDefault="00000000">
            <w:pPr>
              <w:widowControl/>
              <w:spacing w:line="276" w:lineRule="auto"/>
              <w:jc w:val="center"/>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lang w:val="vi-VN"/>
              </w:rPr>
              <w:t>100%</w:t>
            </w:r>
          </w:p>
        </w:tc>
        <w:tc>
          <w:tcPr>
            <w:tcW w:w="2976" w:type="dxa"/>
          </w:tcPr>
          <w:p w14:paraId="4E103D74" w14:textId="77777777" w:rsidR="00D978DF" w:rsidRPr="00761336" w:rsidRDefault="00000000">
            <w:pPr>
              <w:spacing w:line="276" w:lineRule="auto"/>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rPr>
              <w:t>- Phân tích các tỷ số tài chính</w:t>
            </w:r>
            <w:r w:rsidRPr="00761336">
              <w:rPr>
                <w:rFonts w:ascii="Times New Roman" w:eastAsia="Times New Roman" w:hAnsi="Times New Roman" w:cs="Times New Roman"/>
                <w:sz w:val="26"/>
                <w:szCs w:val="26"/>
                <w:lang w:val="vi-VN"/>
              </w:rPr>
              <w:t xml:space="preserve"> (1.1 </w:t>
            </w:r>
            <w:r w:rsidRPr="00761336">
              <w:rPr>
                <w:rFonts w:ascii="Times New Roman" w:eastAsia="Times New Roman" w:hAnsi="Times New Roman" w:cs="Times New Roman"/>
                <w:sz w:val="26"/>
                <w:szCs w:val="26"/>
                <w:lang w:val="vi-VN"/>
              </w:rPr>
              <w:sym w:font="Symbol" w:char="F0AE"/>
            </w:r>
            <w:r w:rsidRPr="00761336">
              <w:rPr>
                <w:rFonts w:ascii="Times New Roman" w:eastAsia="Times New Roman" w:hAnsi="Times New Roman" w:cs="Times New Roman"/>
                <w:sz w:val="26"/>
                <w:szCs w:val="26"/>
                <w:lang w:val="vi-VN"/>
              </w:rPr>
              <w:t xml:space="preserve"> 1.4)</w:t>
            </w:r>
          </w:p>
        </w:tc>
      </w:tr>
      <w:tr w:rsidR="00D978DF" w:rsidRPr="00761336" w14:paraId="2785BF8B" w14:textId="77777777">
        <w:trPr>
          <w:trHeight w:val="601"/>
        </w:trPr>
        <w:tc>
          <w:tcPr>
            <w:tcW w:w="2489" w:type="dxa"/>
          </w:tcPr>
          <w:p w14:paraId="3FD4FF08"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Lê Nhật Linh</w:t>
            </w:r>
          </w:p>
        </w:tc>
        <w:tc>
          <w:tcPr>
            <w:tcW w:w="1901" w:type="dxa"/>
          </w:tcPr>
          <w:p w14:paraId="6948B8A9" w14:textId="77777777" w:rsidR="00D978DF" w:rsidRPr="00761336" w:rsidRDefault="00000000">
            <w:pPr>
              <w:widowControl/>
              <w:spacing w:line="276" w:lineRule="auto"/>
              <w:jc w:val="center"/>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31221024860</w:t>
            </w:r>
          </w:p>
        </w:tc>
        <w:tc>
          <w:tcPr>
            <w:tcW w:w="1984" w:type="dxa"/>
          </w:tcPr>
          <w:p w14:paraId="25E114AC" w14:textId="77777777" w:rsidR="00D978DF" w:rsidRPr="00761336" w:rsidRDefault="00000000">
            <w:pPr>
              <w:widowControl/>
              <w:spacing w:line="276" w:lineRule="auto"/>
              <w:jc w:val="center"/>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lang w:val="vi-VN"/>
              </w:rPr>
              <w:t>90%</w:t>
            </w:r>
          </w:p>
        </w:tc>
        <w:tc>
          <w:tcPr>
            <w:tcW w:w="2976" w:type="dxa"/>
          </w:tcPr>
          <w:p w14:paraId="46E2C5D4" w14:textId="77777777" w:rsidR="00D978DF" w:rsidRPr="00761336" w:rsidRDefault="00000000">
            <w:pPr>
              <w:spacing w:line="276" w:lineRule="auto"/>
              <w:rPr>
                <w:rFonts w:ascii="Times New Roman" w:hAnsi="Times New Roman" w:cs="Times New Roman"/>
                <w:sz w:val="26"/>
                <w:szCs w:val="26"/>
                <w:lang w:val="vi-VN"/>
              </w:rPr>
            </w:pPr>
            <w:r w:rsidRPr="00761336">
              <w:rPr>
                <w:rFonts w:ascii="Times New Roman" w:hAnsi="Times New Roman" w:cs="Times New Roman"/>
                <w:sz w:val="26"/>
                <w:szCs w:val="26"/>
                <w:lang w:val="vi-VN"/>
              </w:rPr>
              <w:t>- Phân tích các tỷ số tài chính (1.5)</w:t>
            </w:r>
          </w:p>
          <w:p w14:paraId="04CC2A77" w14:textId="77777777" w:rsidR="00D978DF" w:rsidRPr="00761336" w:rsidRDefault="00000000">
            <w:pPr>
              <w:spacing w:line="276" w:lineRule="auto"/>
              <w:rPr>
                <w:rFonts w:ascii="Times New Roman" w:hAnsi="Times New Roman" w:cs="Times New Roman"/>
                <w:sz w:val="26"/>
                <w:szCs w:val="26"/>
                <w:lang w:val="vi-VN"/>
              </w:rPr>
            </w:pPr>
            <w:r w:rsidRPr="00761336">
              <w:rPr>
                <w:rFonts w:ascii="Times New Roman" w:hAnsi="Times New Roman" w:cs="Times New Roman"/>
                <w:sz w:val="26"/>
                <w:szCs w:val="26"/>
              </w:rPr>
              <w:t>- Phân tích triển vọng</w:t>
            </w:r>
          </w:p>
        </w:tc>
      </w:tr>
    </w:tbl>
    <w:p w14:paraId="511206B2" w14:textId="77777777" w:rsidR="00D978DF" w:rsidRPr="00761336" w:rsidRDefault="00D978DF">
      <w:pPr>
        <w:widowControl/>
        <w:spacing w:line="276" w:lineRule="auto"/>
        <w:rPr>
          <w:rFonts w:ascii="Times New Roman" w:hAnsi="Times New Roman" w:cs="Times New Roman"/>
          <w:sz w:val="26"/>
          <w:szCs w:val="26"/>
          <w:lang w:val="vi-VN"/>
        </w:rPr>
        <w:sectPr w:rsidR="00D978DF" w:rsidRPr="00761336">
          <w:footerReference w:type="default" r:id="rId14"/>
          <w:pgSz w:w="12240" w:h="15840"/>
          <w:pgMar w:top="1440" w:right="1440" w:bottom="1440" w:left="1440" w:header="708" w:footer="708" w:gutter="0"/>
          <w:cols w:space="708"/>
        </w:sectPr>
      </w:pPr>
    </w:p>
    <w:p w14:paraId="3B97B447" w14:textId="77777777" w:rsidR="00D978DF" w:rsidRPr="00761336" w:rsidRDefault="00D978DF">
      <w:pPr>
        <w:widowControl/>
        <w:spacing w:line="276" w:lineRule="auto"/>
        <w:rPr>
          <w:rFonts w:ascii="Times New Roman" w:hAnsi="Times New Roman" w:cs="Times New Roman"/>
          <w:sz w:val="26"/>
          <w:szCs w:val="26"/>
          <w:lang w:val="vi-VN"/>
        </w:rPr>
      </w:pPr>
    </w:p>
    <w:sdt>
      <w:sdtPr>
        <w:rPr>
          <w:rFonts w:ascii="Times New Roman" w:eastAsia="Arial" w:hAnsi="Times New Roman" w:cs="Times New Roman"/>
          <w:sz w:val="28"/>
          <w:szCs w:val="28"/>
          <w:lang w:val="vi"/>
          <w14:ligatures w14:val="none"/>
        </w:rPr>
        <w:id w:val="510727249"/>
        <w:docPartObj>
          <w:docPartGallery w:val="Table of Contents"/>
          <w:docPartUnique/>
        </w:docPartObj>
      </w:sdtPr>
      <w:sdtEndPr>
        <w:rPr>
          <w:b/>
          <w:bCs/>
          <w:sz w:val="24"/>
          <w:szCs w:val="24"/>
        </w:rPr>
      </w:sdtEndPr>
      <w:sdtContent>
        <w:p w14:paraId="45EBEAEC" w14:textId="77777777" w:rsidR="00D978DF" w:rsidRPr="00761336" w:rsidRDefault="00000000">
          <w:pPr>
            <w:pStyle w:val="TOCHeading1"/>
            <w:spacing w:line="276" w:lineRule="auto"/>
            <w:jc w:val="center"/>
            <w:rPr>
              <w:rFonts w:ascii="Times New Roman" w:hAnsi="Times New Roman" w:cs="Times New Roman"/>
              <w:b/>
              <w:bCs/>
              <w:sz w:val="28"/>
              <w:szCs w:val="28"/>
              <w:lang w:val="vi-VN"/>
            </w:rPr>
          </w:pPr>
          <w:r w:rsidRPr="00761336">
            <w:rPr>
              <w:rFonts w:ascii="Times New Roman" w:hAnsi="Times New Roman" w:cs="Times New Roman"/>
              <w:b/>
              <w:bCs/>
              <w:sz w:val="28"/>
              <w:szCs w:val="28"/>
            </w:rPr>
            <w:t>MỤC</w:t>
          </w:r>
          <w:r w:rsidRPr="00761336">
            <w:rPr>
              <w:rFonts w:ascii="Times New Roman" w:hAnsi="Times New Roman" w:cs="Times New Roman"/>
              <w:b/>
              <w:bCs/>
              <w:sz w:val="28"/>
              <w:szCs w:val="28"/>
              <w:lang w:val="vi-VN"/>
            </w:rPr>
            <w:t xml:space="preserve"> LỤC</w:t>
          </w:r>
        </w:p>
        <w:p w14:paraId="3E983BE8" w14:textId="28E05490" w:rsidR="00744414" w:rsidRPr="00744414" w:rsidRDefault="00000000">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r w:rsidRPr="00744414">
            <w:rPr>
              <w:rFonts w:ascii="Times New Roman" w:hAnsi="Times New Roman" w:cs="Times New Roman"/>
              <w:b w:val="0"/>
              <w:bCs w:val="0"/>
              <w:i w:val="0"/>
              <w:iCs w:val="0"/>
            </w:rPr>
            <w:fldChar w:fldCharType="begin"/>
          </w:r>
          <w:r w:rsidRPr="00744414">
            <w:rPr>
              <w:rFonts w:ascii="Times New Roman" w:hAnsi="Times New Roman" w:cs="Times New Roman"/>
              <w:i w:val="0"/>
              <w:iCs w:val="0"/>
            </w:rPr>
            <w:instrText xml:space="preserve"> TOC \o "1-3" \h \z \u </w:instrText>
          </w:r>
          <w:r w:rsidRPr="00744414">
            <w:rPr>
              <w:rFonts w:ascii="Times New Roman" w:hAnsi="Times New Roman" w:cs="Times New Roman"/>
              <w:b w:val="0"/>
              <w:bCs w:val="0"/>
              <w:i w:val="0"/>
              <w:iCs w:val="0"/>
            </w:rPr>
            <w:fldChar w:fldCharType="separate"/>
          </w:r>
          <w:hyperlink w:anchor="_Toc211973125" w:history="1">
            <w:r w:rsidR="00744414" w:rsidRPr="00744414">
              <w:rPr>
                <w:rStyle w:val="Hyperlink"/>
                <w:rFonts w:ascii="Times New Roman" w:eastAsia="Times New Roman" w:hAnsi="Times New Roman" w:cs="Times New Roman"/>
                <w:i w:val="0"/>
                <w:iCs w:val="0"/>
                <w:noProof/>
              </w:rPr>
              <w:t>LỜI MỞ ĐẦU</w:t>
            </w:r>
            <w:r w:rsidR="00744414" w:rsidRPr="00744414">
              <w:rPr>
                <w:rFonts w:ascii="Times New Roman" w:hAnsi="Times New Roman" w:cs="Times New Roman"/>
                <w:i w:val="0"/>
                <w:iCs w:val="0"/>
                <w:noProof/>
                <w:webHidden/>
              </w:rPr>
              <w:tab/>
            </w:r>
            <w:r w:rsidR="00744414" w:rsidRPr="00744414">
              <w:rPr>
                <w:rFonts w:ascii="Times New Roman" w:hAnsi="Times New Roman" w:cs="Times New Roman"/>
                <w:i w:val="0"/>
                <w:iCs w:val="0"/>
                <w:noProof/>
                <w:webHidden/>
              </w:rPr>
              <w:fldChar w:fldCharType="begin"/>
            </w:r>
            <w:r w:rsidR="00744414" w:rsidRPr="00744414">
              <w:rPr>
                <w:rFonts w:ascii="Times New Roman" w:hAnsi="Times New Roman" w:cs="Times New Roman"/>
                <w:i w:val="0"/>
                <w:iCs w:val="0"/>
                <w:noProof/>
                <w:webHidden/>
              </w:rPr>
              <w:instrText xml:space="preserve"> PAGEREF _Toc211973125 \h </w:instrText>
            </w:r>
            <w:r w:rsidR="00744414" w:rsidRPr="00744414">
              <w:rPr>
                <w:rFonts w:ascii="Times New Roman" w:hAnsi="Times New Roman" w:cs="Times New Roman"/>
                <w:i w:val="0"/>
                <w:iCs w:val="0"/>
                <w:noProof/>
                <w:webHidden/>
              </w:rPr>
            </w:r>
            <w:r w:rsidR="00744414" w:rsidRPr="00744414">
              <w:rPr>
                <w:rFonts w:ascii="Times New Roman" w:hAnsi="Times New Roman" w:cs="Times New Roman"/>
                <w:i w:val="0"/>
                <w:iCs w:val="0"/>
                <w:noProof/>
                <w:webHidden/>
              </w:rPr>
              <w:fldChar w:fldCharType="separate"/>
            </w:r>
            <w:r w:rsidR="00744414" w:rsidRPr="00744414">
              <w:rPr>
                <w:rFonts w:ascii="Times New Roman" w:hAnsi="Times New Roman" w:cs="Times New Roman"/>
                <w:i w:val="0"/>
                <w:iCs w:val="0"/>
                <w:noProof/>
                <w:webHidden/>
              </w:rPr>
              <w:t>5</w:t>
            </w:r>
            <w:r w:rsidR="00744414" w:rsidRPr="00744414">
              <w:rPr>
                <w:rFonts w:ascii="Times New Roman" w:hAnsi="Times New Roman" w:cs="Times New Roman"/>
                <w:i w:val="0"/>
                <w:iCs w:val="0"/>
                <w:noProof/>
                <w:webHidden/>
              </w:rPr>
              <w:fldChar w:fldCharType="end"/>
            </w:r>
          </w:hyperlink>
        </w:p>
        <w:p w14:paraId="713F0613" w14:textId="70E423D1"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26" w:history="1">
            <w:r w:rsidRPr="00744414">
              <w:rPr>
                <w:rStyle w:val="Hyperlink"/>
                <w:rFonts w:ascii="Times New Roman" w:eastAsia="Times New Roman" w:hAnsi="Times New Roman" w:cs="Times New Roman"/>
                <w:i w:val="0"/>
                <w:iCs w:val="0"/>
                <w:noProof/>
                <w:lang w:val="vi-VN"/>
              </w:rPr>
              <w:t xml:space="preserve">PHẦN 1: </w:t>
            </w:r>
            <w:r w:rsidRPr="00744414">
              <w:rPr>
                <w:rStyle w:val="Hyperlink"/>
                <w:rFonts w:ascii="Times New Roman" w:eastAsia="Times New Roman" w:hAnsi="Times New Roman" w:cs="Times New Roman"/>
                <w:i w:val="0"/>
                <w:iCs w:val="0"/>
                <w:noProof/>
              </w:rPr>
              <w:t>PHÂN TÍCH NỀN KINH TẾ VÀ PHÂN TÍCH NGÀNH</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_Toc211973126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5</w:t>
            </w:r>
            <w:r w:rsidRPr="00744414">
              <w:rPr>
                <w:rFonts w:ascii="Times New Roman" w:hAnsi="Times New Roman" w:cs="Times New Roman"/>
                <w:i w:val="0"/>
                <w:iCs w:val="0"/>
                <w:noProof/>
                <w:webHidden/>
              </w:rPr>
              <w:fldChar w:fldCharType="end"/>
            </w:r>
          </w:hyperlink>
        </w:p>
        <w:p w14:paraId="19D8FC18" w14:textId="3B653323"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27" w:history="1">
            <w:r w:rsidRPr="00744414">
              <w:rPr>
                <w:rStyle w:val="Hyperlink"/>
                <w:rFonts w:ascii="Times New Roman" w:eastAsia="Times New Roman" w:hAnsi="Times New Roman" w:cs="Times New Roman"/>
                <w:i w:val="0"/>
                <w:iCs w:val="0"/>
                <w:noProof/>
              </w:rPr>
              <w:t>1. Phân tích nền kinh tế Việt Nam trong giai đoạn 2022 - 2024</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_Toc211973127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5</w:t>
            </w:r>
            <w:r w:rsidRPr="00744414">
              <w:rPr>
                <w:rFonts w:ascii="Times New Roman" w:hAnsi="Times New Roman" w:cs="Times New Roman"/>
                <w:i w:val="0"/>
                <w:iCs w:val="0"/>
                <w:noProof/>
                <w:webHidden/>
              </w:rPr>
              <w:fldChar w:fldCharType="end"/>
            </w:r>
          </w:hyperlink>
        </w:p>
        <w:p w14:paraId="344BDB7E" w14:textId="049AB0B2"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28" w:history="1">
            <w:r w:rsidRPr="00744414">
              <w:rPr>
                <w:rStyle w:val="Hyperlink"/>
                <w:rFonts w:ascii="Times New Roman" w:eastAsia="Times New Roman" w:hAnsi="Times New Roman" w:cs="Times New Roman"/>
                <w:i w:val="0"/>
                <w:iCs w:val="0"/>
                <w:noProof/>
              </w:rPr>
              <w:t>2</w:t>
            </w:r>
            <w:r w:rsidRPr="00744414">
              <w:rPr>
                <w:rStyle w:val="Hyperlink"/>
                <w:rFonts w:ascii="Times New Roman" w:eastAsia="Times New Roman" w:hAnsi="Times New Roman" w:cs="Times New Roman"/>
                <w:i w:val="0"/>
                <w:iCs w:val="0"/>
                <w:noProof/>
                <w:lang w:val="vi-VN"/>
              </w:rPr>
              <w:t>.</w:t>
            </w:r>
            <w:r w:rsidRPr="00744414">
              <w:rPr>
                <w:rStyle w:val="Hyperlink"/>
                <w:rFonts w:ascii="Times New Roman" w:eastAsia="Times New Roman" w:hAnsi="Times New Roman" w:cs="Times New Roman"/>
                <w:i w:val="0"/>
                <w:iCs w:val="0"/>
                <w:noProof/>
              </w:rPr>
              <w:t xml:space="preserve"> Phân tích ngành</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_Toc211973128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7</w:t>
            </w:r>
            <w:r w:rsidRPr="00744414">
              <w:rPr>
                <w:rFonts w:ascii="Times New Roman" w:hAnsi="Times New Roman" w:cs="Times New Roman"/>
                <w:i w:val="0"/>
                <w:iCs w:val="0"/>
                <w:noProof/>
                <w:webHidden/>
              </w:rPr>
              <w:fldChar w:fldCharType="end"/>
            </w:r>
          </w:hyperlink>
        </w:p>
        <w:p w14:paraId="5D304225" w14:textId="71CAC955"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29" w:history="1">
            <w:r w:rsidRPr="00744414">
              <w:rPr>
                <w:rStyle w:val="Hyperlink"/>
                <w:rFonts w:ascii="Times New Roman" w:eastAsia="Times New Roman" w:hAnsi="Times New Roman" w:cs="Times New Roman"/>
                <w:noProof/>
                <w:sz w:val="24"/>
                <w:szCs w:val="24"/>
              </w:rPr>
              <w:t>2.1 Thị trường công nghiệp sản xuất Thép</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_Toc211973129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7</w:t>
            </w:r>
            <w:r w:rsidRPr="00744414">
              <w:rPr>
                <w:rFonts w:ascii="Times New Roman" w:hAnsi="Times New Roman" w:cs="Times New Roman"/>
                <w:noProof/>
                <w:webHidden/>
                <w:sz w:val="24"/>
                <w:szCs w:val="24"/>
              </w:rPr>
              <w:fldChar w:fldCharType="end"/>
            </w:r>
          </w:hyperlink>
        </w:p>
        <w:p w14:paraId="1F666953" w14:textId="4BDDA853"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30" w:history="1">
            <w:r w:rsidRPr="00744414">
              <w:rPr>
                <w:rStyle w:val="Hyperlink"/>
                <w:rFonts w:ascii="Times New Roman" w:eastAsia="Times New Roman" w:hAnsi="Times New Roman" w:cs="Times New Roman"/>
                <w:noProof/>
                <w:sz w:val="24"/>
                <w:szCs w:val="24"/>
              </w:rPr>
              <w:t>2.2 Tổng quan về tập đoàn Hòa Phát</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_Toc211973130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8</w:t>
            </w:r>
            <w:r w:rsidRPr="00744414">
              <w:rPr>
                <w:rFonts w:ascii="Times New Roman" w:hAnsi="Times New Roman" w:cs="Times New Roman"/>
                <w:noProof/>
                <w:webHidden/>
                <w:sz w:val="24"/>
                <w:szCs w:val="24"/>
              </w:rPr>
              <w:fldChar w:fldCharType="end"/>
            </w:r>
          </w:hyperlink>
        </w:p>
        <w:p w14:paraId="36E34D80" w14:textId="4046C618"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31" w:history="1">
            <w:r w:rsidRPr="00744414">
              <w:rPr>
                <w:rStyle w:val="Hyperlink"/>
                <w:rFonts w:ascii="Times New Roman" w:hAnsi="Times New Roman" w:cs="Times New Roman"/>
                <w:i w:val="0"/>
                <w:iCs w:val="0"/>
                <w:noProof/>
                <w:lang w:val="vi-VN"/>
              </w:rPr>
              <w:t>PHẦN 2: PHÂN TÍCH KẾ TOÁN</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_Toc211973131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9</w:t>
            </w:r>
            <w:r w:rsidRPr="00744414">
              <w:rPr>
                <w:rFonts w:ascii="Times New Roman" w:hAnsi="Times New Roman" w:cs="Times New Roman"/>
                <w:i w:val="0"/>
                <w:iCs w:val="0"/>
                <w:noProof/>
                <w:webHidden/>
              </w:rPr>
              <w:fldChar w:fldCharType="end"/>
            </w:r>
          </w:hyperlink>
        </w:p>
        <w:p w14:paraId="4920F1C1" w14:textId="54063144"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32" w:history="1">
            <w:r w:rsidRPr="00744414">
              <w:rPr>
                <w:rStyle w:val="Hyperlink"/>
                <w:rFonts w:ascii="Times New Roman" w:eastAsia="Times New Roman" w:hAnsi="Times New Roman" w:cs="Times New Roman"/>
                <w:i w:val="0"/>
                <w:iCs w:val="0"/>
                <w:noProof/>
                <w:lang w:val="vi-VN"/>
              </w:rPr>
              <w:t xml:space="preserve">1. </w:t>
            </w:r>
            <w:r w:rsidRPr="00744414">
              <w:rPr>
                <w:rStyle w:val="Hyperlink"/>
                <w:rFonts w:ascii="Times New Roman" w:eastAsia="Times New Roman" w:hAnsi="Times New Roman" w:cs="Times New Roman"/>
                <w:i w:val="0"/>
                <w:iCs w:val="0"/>
                <w:noProof/>
              </w:rPr>
              <w:t>Phân tích bảng cân đối kế toán</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_Toc211973132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9</w:t>
            </w:r>
            <w:r w:rsidRPr="00744414">
              <w:rPr>
                <w:rFonts w:ascii="Times New Roman" w:hAnsi="Times New Roman" w:cs="Times New Roman"/>
                <w:i w:val="0"/>
                <w:iCs w:val="0"/>
                <w:noProof/>
                <w:webHidden/>
              </w:rPr>
              <w:fldChar w:fldCharType="end"/>
            </w:r>
          </w:hyperlink>
        </w:p>
        <w:p w14:paraId="0FE7532E" w14:textId="78677CC5"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33" w:history="1">
            <w:r w:rsidRPr="00744414">
              <w:rPr>
                <w:rStyle w:val="Hyperlink"/>
                <w:rFonts w:ascii="Times New Roman" w:eastAsia="Times New Roman" w:hAnsi="Times New Roman" w:cs="Times New Roman"/>
                <w:noProof/>
                <w:sz w:val="24"/>
                <w:szCs w:val="24"/>
                <w:lang w:val="vi-VN"/>
              </w:rPr>
              <w:t>1</w:t>
            </w:r>
            <w:r w:rsidRPr="00744414">
              <w:rPr>
                <w:rStyle w:val="Hyperlink"/>
                <w:rFonts w:ascii="Times New Roman" w:eastAsia="Times New Roman" w:hAnsi="Times New Roman" w:cs="Times New Roman"/>
                <w:noProof/>
                <w:sz w:val="24"/>
                <w:szCs w:val="24"/>
              </w:rPr>
              <w:t>.</w:t>
            </w:r>
            <w:r w:rsidRPr="00744414">
              <w:rPr>
                <w:rStyle w:val="Hyperlink"/>
                <w:rFonts w:ascii="Times New Roman" w:eastAsia="Times New Roman" w:hAnsi="Times New Roman" w:cs="Times New Roman"/>
                <w:noProof/>
                <w:sz w:val="24"/>
                <w:szCs w:val="24"/>
                <w:lang w:val="vi-VN"/>
              </w:rPr>
              <w:t>1</w:t>
            </w:r>
            <w:r w:rsidRPr="00744414">
              <w:rPr>
                <w:rStyle w:val="Hyperlink"/>
                <w:rFonts w:ascii="Times New Roman" w:eastAsia="Times New Roman" w:hAnsi="Times New Roman" w:cs="Times New Roman"/>
                <w:noProof/>
                <w:sz w:val="24"/>
                <w:szCs w:val="24"/>
              </w:rPr>
              <w:t xml:space="preserve"> Cơ cấu tài sản</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_Toc211973133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10</w:t>
            </w:r>
            <w:r w:rsidRPr="00744414">
              <w:rPr>
                <w:rFonts w:ascii="Times New Roman" w:hAnsi="Times New Roman" w:cs="Times New Roman"/>
                <w:noProof/>
                <w:webHidden/>
                <w:sz w:val="24"/>
                <w:szCs w:val="24"/>
              </w:rPr>
              <w:fldChar w:fldCharType="end"/>
            </w:r>
          </w:hyperlink>
        </w:p>
        <w:p w14:paraId="386ECBED" w14:textId="3955B049"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34" w:history="1">
            <w:r w:rsidRPr="00744414">
              <w:rPr>
                <w:rStyle w:val="Hyperlink"/>
                <w:rFonts w:ascii="Times New Roman" w:eastAsia="Times New Roman" w:hAnsi="Times New Roman" w:cs="Times New Roman"/>
                <w:noProof/>
                <w:sz w:val="24"/>
                <w:szCs w:val="24"/>
                <w:lang w:val="vi-VN"/>
              </w:rPr>
              <w:t>1.2</w:t>
            </w:r>
            <w:r w:rsidRPr="00744414">
              <w:rPr>
                <w:rStyle w:val="Hyperlink"/>
                <w:rFonts w:ascii="Times New Roman" w:eastAsia="Times New Roman" w:hAnsi="Times New Roman" w:cs="Times New Roman"/>
                <w:noProof/>
                <w:sz w:val="24"/>
                <w:szCs w:val="24"/>
              </w:rPr>
              <w:t xml:space="preserve"> Cơ cấu nguồn vốn</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_Toc211973134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12</w:t>
            </w:r>
            <w:r w:rsidRPr="00744414">
              <w:rPr>
                <w:rFonts w:ascii="Times New Roman" w:hAnsi="Times New Roman" w:cs="Times New Roman"/>
                <w:noProof/>
                <w:webHidden/>
                <w:sz w:val="24"/>
                <w:szCs w:val="24"/>
              </w:rPr>
              <w:fldChar w:fldCharType="end"/>
            </w:r>
          </w:hyperlink>
        </w:p>
        <w:p w14:paraId="0D921021" w14:textId="102EE167"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35" w:history="1">
            <w:r w:rsidRPr="00744414">
              <w:rPr>
                <w:rStyle w:val="Hyperlink"/>
                <w:rFonts w:ascii="Times New Roman" w:eastAsia="Times New Roman" w:hAnsi="Times New Roman" w:cs="Times New Roman"/>
                <w:noProof/>
                <w:sz w:val="24"/>
                <w:szCs w:val="24"/>
                <w:lang w:val="vi-VN"/>
              </w:rPr>
              <w:t>1.</w:t>
            </w:r>
            <w:r w:rsidRPr="00744414">
              <w:rPr>
                <w:rStyle w:val="Hyperlink"/>
                <w:rFonts w:ascii="Times New Roman" w:eastAsia="Times New Roman" w:hAnsi="Times New Roman" w:cs="Times New Roman"/>
                <w:noProof/>
                <w:sz w:val="24"/>
                <w:szCs w:val="24"/>
              </w:rPr>
              <w:t>3 Cách chính sách hạch toán chủ yếu</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_Toc211973135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14</w:t>
            </w:r>
            <w:r w:rsidRPr="00744414">
              <w:rPr>
                <w:rFonts w:ascii="Times New Roman" w:hAnsi="Times New Roman" w:cs="Times New Roman"/>
                <w:noProof/>
                <w:webHidden/>
                <w:sz w:val="24"/>
                <w:szCs w:val="24"/>
              </w:rPr>
              <w:fldChar w:fldCharType="end"/>
            </w:r>
          </w:hyperlink>
        </w:p>
        <w:p w14:paraId="37816AFA" w14:textId="50878F90"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36" w:history="1">
            <w:r w:rsidRPr="00744414">
              <w:rPr>
                <w:rStyle w:val="Hyperlink"/>
                <w:rFonts w:ascii="Times New Roman" w:eastAsia="Times New Roman" w:hAnsi="Times New Roman" w:cs="Times New Roman"/>
                <w:noProof/>
                <w:sz w:val="24"/>
                <w:szCs w:val="24"/>
                <w:lang w:val="vi-VN"/>
              </w:rPr>
              <w:t>1</w:t>
            </w:r>
            <w:r w:rsidRPr="00744414">
              <w:rPr>
                <w:rStyle w:val="Hyperlink"/>
                <w:rFonts w:ascii="Times New Roman" w:eastAsia="Times New Roman" w:hAnsi="Times New Roman" w:cs="Times New Roman"/>
                <w:noProof/>
                <w:sz w:val="24"/>
                <w:szCs w:val="24"/>
              </w:rPr>
              <w:t>.4 Các đề nghị điều chỉnh kế toán</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_Toc211973136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16</w:t>
            </w:r>
            <w:r w:rsidRPr="00744414">
              <w:rPr>
                <w:rFonts w:ascii="Times New Roman" w:hAnsi="Times New Roman" w:cs="Times New Roman"/>
                <w:noProof/>
                <w:webHidden/>
                <w:sz w:val="24"/>
                <w:szCs w:val="24"/>
              </w:rPr>
              <w:fldChar w:fldCharType="end"/>
            </w:r>
          </w:hyperlink>
        </w:p>
        <w:p w14:paraId="7AF1BA01" w14:textId="132FE3BD"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37" w:history="1">
            <w:r w:rsidRPr="00744414">
              <w:rPr>
                <w:rStyle w:val="Hyperlink"/>
                <w:rFonts w:ascii="Times New Roman" w:eastAsia="Times New Roman" w:hAnsi="Times New Roman" w:cs="Times New Roman"/>
                <w:i w:val="0"/>
                <w:iCs w:val="0"/>
                <w:noProof/>
                <w:lang w:val="vi-VN"/>
              </w:rPr>
              <w:t xml:space="preserve">2. </w:t>
            </w:r>
            <w:r w:rsidRPr="00744414">
              <w:rPr>
                <w:rStyle w:val="Hyperlink"/>
                <w:rFonts w:ascii="Times New Roman" w:eastAsia="Times New Roman" w:hAnsi="Times New Roman" w:cs="Times New Roman"/>
                <w:i w:val="0"/>
                <w:iCs w:val="0"/>
                <w:noProof/>
                <w:lang w:val="zh-CN"/>
              </w:rPr>
              <w:t>Phân tích báo cáo thu nhập</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_Toc211973137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18</w:t>
            </w:r>
            <w:r w:rsidRPr="00744414">
              <w:rPr>
                <w:rFonts w:ascii="Times New Roman" w:hAnsi="Times New Roman" w:cs="Times New Roman"/>
                <w:i w:val="0"/>
                <w:iCs w:val="0"/>
                <w:noProof/>
                <w:webHidden/>
              </w:rPr>
              <w:fldChar w:fldCharType="end"/>
            </w:r>
          </w:hyperlink>
        </w:p>
        <w:p w14:paraId="2679B99E" w14:textId="5A691E3A"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38" w:history="1">
            <w:r w:rsidRPr="00744414">
              <w:rPr>
                <w:rStyle w:val="Hyperlink"/>
                <w:rFonts w:ascii="Times New Roman" w:eastAsia="Times New Roman" w:hAnsi="Times New Roman" w:cs="Times New Roman"/>
                <w:noProof/>
                <w:sz w:val="24"/>
                <w:szCs w:val="24"/>
                <w:lang w:val="vi-VN"/>
              </w:rPr>
              <w:t xml:space="preserve">2.1 </w:t>
            </w:r>
            <w:r w:rsidRPr="00744414">
              <w:rPr>
                <w:rStyle w:val="Hyperlink"/>
                <w:rFonts w:ascii="Times New Roman" w:eastAsia="Times New Roman" w:hAnsi="Times New Roman" w:cs="Times New Roman"/>
                <w:noProof/>
                <w:sz w:val="24"/>
                <w:szCs w:val="24"/>
                <w:lang w:val="zh-CN"/>
              </w:rPr>
              <w:t>Phân tích tỷ trọng</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_Toc211973138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18</w:t>
            </w:r>
            <w:r w:rsidRPr="00744414">
              <w:rPr>
                <w:rFonts w:ascii="Times New Roman" w:hAnsi="Times New Roman" w:cs="Times New Roman"/>
                <w:noProof/>
                <w:webHidden/>
                <w:sz w:val="24"/>
                <w:szCs w:val="24"/>
              </w:rPr>
              <w:fldChar w:fldCharType="end"/>
            </w:r>
          </w:hyperlink>
        </w:p>
        <w:p w14:paraId="26D2A29D" w14:textId="20A5CFDE"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39" w:history="1">
            <w:r w:rsidRPr="00744414">
              <w:rPr>
                <w:rStyle w:val="Hyperlink"/>
                <w:rFonts w:ascii="Times New Roman" w:eastAsia="Times New Roman" w:hAnsi="Times New Roman" w:cs="Times New Roman"/>
                <w:noProof/>
                <w:sz w:val="24"/>
                <w:szCs w:val="24"/>
                <w:lang w:val="vi-VN"/>
              </w:rPr>
              <w:t>2.2 Các vấn đề về kế toán</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_Toc211973139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19</w:t>
            </w:r>
            <w:r w:rsidRPr="00744414">
              <w:rPr>
                <w:rFonts w:ascii="Times New Roman" w:hAnsi="Times New Roman" w:cs="Times New Roman"/>
                <w:noProof/>
                <w:webHidden/>
                <w:sz w:val="24"/>
                <w:szCs w:val="24"/>
              </w:rPr>
              <w:fldChar w:fldCharType="end"/>
            </w:r>
          </w:hyperlink>
        </w:p>
        <w:p w14:paraId="79B52E0F" w14:textId="4CA264C2"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40" w:history="1">
            <w:r w:rsidRPr="00744414">
              <w:rPr>
                <w:rStyle w:val="Hyperlink"/>
                <w:rFonts w:ascii="Times New Roman" w:eastAsia="Times New Roman" w:hAnsi="Times New Roman" w:cs="Times New Roman"/>
                <w:i w:val="0"/>
                <w:iCs w:val="0"/>
                <w:noProof/>
                <w:lang w:val="vi-VN"/>
              </w:rPr>
              <w:t xml:space="preserve">3. </w:t>
            </w:r>
            <w:r w:rsidRPr="00744414">
              <w:rPr>
                <w:rStyle w:val="Hyperlink"/>
                <w:rFonts w:ascii="Times New Roman" w:eastAsia="Times New Roman" w:hAnsi="Times New Roman" w:cs="Times New Roman"/>
                <w:i w:val="0"/>
                <w:iCs w:val="0"/>
                <w:noProof/>
                <w:lang w:val="zh-CN"/>
              </w:rPr>
              <w:t>Báo cáo dòng tiền</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_Toc211973140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21</w:t>
            </w:r>
            <w:r w:rsidRPr="00744414">
              <w:rPr>
                <w:rFonts w:ascii="Times New Roman" w:hAnsi="Times New Roman" w:cs="Times New Roman"/>
                <w:i w:val="0"/>
                <w:iCs w:val="0"/>
                <w:noProof/>
                <w:webHidden/>
              </w:rPr>
              <w:fldChar w:fldCharType="end"/>
            </w:r>
          </w:hyperlink>
        </w:p>
        <w:p w14:paraId="36B4EB2A" w14:textId="60341821"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41" w:history="1">
            <w:r w:rsidRPr="00744414">
              <w:rPr>
                <w:rStyle w:val="Hyperlink"/>
                <w:rFonts w:ascii="Times New Roman" w:eastAsia="Times New Roman" w:hAnsi="Times New Roman" w:cs="Times New Roman"/>
                <w:noProof/>
                <w:sz w:val="24"/>
                <w:szCs w:val="24"/>
                <w:lang w:val="zh-CN"/>
              </w:rPr>
              <w:t>3.1. Dòng tiền vào và dòng tiền ra</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_Toc211973141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21</w:t>
            </w:r>
            <w:r w:rsidRPr="00744414">
              <w:rPr>
                <w:rFonts w:ascii="Times New Roman" w:hAnsi="Times New Roman" w:cs="Times New Roman"/>
                <w:noProof/>
                <w:webHidden/>
                <w:sz w:val="24"/>
                <w:szCs w:val="24"/>
              </w:rPr>
              <w:fldChar w:fldCharType="end"/>
            </w:r>
          </w:hyperlink>
        </w:p>
        <w:p w14:paraId="55AE6B85" w14:textId="7AF6F299"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42" w:history="1">
            <w:r w:rsidRPr="00744414">
              <w:rPr>
                <w:rStyle w:val="Hyperlink"/>
                <w:rFonts w:ascii="Times New Roman" w:eastAsia="Times New Roman" w:hAnsi="Times New Roman" w:cs="Times New Roman"/>
                <w:noProof/>
                <w:sz w:val="24"/>
                <w:szCs w:val="24"/>
                <w:lang w:val="zh-CN"/>
              </w:rPr>
              <w:t>3.2. Cách thức lập báo cáo lưu chuyển tiền tệ</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_Toc211973142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22</w:t>
            </w:r>
            <w:r w:rsidRPr="00744414">
              <w:rPr>
                <w:rFonts w:ascii="Times New Roman" w:hAnsi="Times New Roman" w:cs="Times New Roman"/>
                <w:noProof/>
                <w:webHidden/>
                <w:sz w:val="24"/>
                <w:szCs w:val="24"/>
              </w:rPr>
              <w:fldChar w:fldCharType="end"/>
            </w:r>
          </w:hyperlink>
        </w:p>
        <w:p w14:paraId="1F5FAF2D" w14:textId="375B871D"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43" w:history="1">
            <w:r w:rsidRPr="00744414">
              <w:rPr>
                <w:rStyle w:val="Hyperlink"/>
                <w:rFonts w:ascii="Times New Roman" w:eastAsia="Times New Roman" w:hAnsi="Times New Roman" w:cs="Times New Roman"/>
                <w:noProof/>
                <w:sz w:val="24"/>
                <w:szCs w:val="24"/>
                <w:lang w:val="zh-CN"/>
              </w:rPr>
              <w:t>3.3. Các tỷ số dòng tiền chủ yếu</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_Toc211973143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23</w:t>
            </w:r>
            <w:r w:rsidRPr="00744414">
              <w:rPr>
                <w:rFonts w:ascii="Times New Roman" w:hAnsi="Times New Roman" w:cs="Times New Roman"/>
                <w:noProof/>
                <w:webHidden/>
                <w:sz w:val="24"/>
                <w:szCs w:val="24"/>
              </w:rPr>
              <w:fldChar w:fldCharType="end"/>
            </w:r>
          </w:hyperlink>
        </w:p>
        <w:p w14:paraId="34D00D5E" w14:textId="3C4F0B96"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44" w:history="1">
            <w:r w:rsidRPr="00744414">
              <w:rPr>
                <w:rStyle w:val="Hyperlink"/>
                <w:rFonts w:ascii="Times New Roman" w:eastAsia="Times New Roman" w:hAnsi="Times New Roman" w:cs="Times New Roman"/>
                <w:noProof/>
                <w:sz w:val="24"/>
                <w:szCs w:val="24"/>
                <w:lang w:val="zh-CN"/>
              </w:rPr>
              <w:t>3.4. Biến động của dòng tiền có phù hợp với vòng đời của doanh nghiệp và sự biến động của thu nhập hay không?</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_Toc211973144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24</w:t>
            </w:r>
            <w:r w:rsidRPr="00744414">
              <w:rPr>
                <w:rFonts w:ascii="Times New Roman" w:hAnsi="Times New Roman" w:cs="Times New Roman"/>
                <w:noProof/>
                <w:webHidden/>
                <w:sz w:val="24"/>
                <w:szCs w:val="24"/>
              </w:rPr>
              <w:fldChar w:fldCharType="end"/>
            </w:r>
          </w:hyperlink>
        </w:p>
        <w:p w14:paraId="2C9D9595" w14:textId="20E8E64B"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45" w:history="1">
            <w:r w:rsidRPr="00744414">
              <w:rPr>
                <w:rStyle w:val="Hyperlink"/>
                <w:rFonts w:ascii="Times New Roman" w:eastAsia="Times New Roman" w:hAnsi="Times New Roman" w:cs="Times New Roman"/>
                <w:noProof/>
                <w:sz w:val="24"/>
                <w:szCs w:val="24"/>
                <w:lang w:val="zh-CN"/>
              </w:rPr>
              <w:t>3.5. Các lưu ý về phân loại trong dòng tiền, về công bố thông tin liên quan đến dòng tiền</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_Toc211973145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26</w:t>
            </w:r>
            <w:r w:rsidRPr="00744414">
              <w:rPr>
                <w:rFonts w:ascii="Times New Roman" w:hAnsi="Times New Roman" w:cs="Times New Roman"/>
                <w:noProof/>
                <w:webHidden/>
                <w:sz w:val="24"/>
                <w:szCs w:val="24"/>
              </w:rPr>
              <w:fldChar w:fldCharType="end"/>
            </w:r>
          </w:hyperlink>
        </w:p>
        <w:p w14:paraId="34804514" w14:textId="64F13C2F"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46" w:history="1">
            <w:r w:rsidRPr="00744414">
              <w:rPr>
                <w:rStyle w:val="Hyperlink"/>
                <w:rFonts w:ascii="Times New Roman" w:eastAsia="Times New Roman" w:hAnsi="Times New Roman" w:cs="Times New Roman"/>
                <w:i w:val="0"/>
                <w:iCs w:val="0"/>
                <w:noProof/>
                <w:lang w:val="vi-VN"/>
              </w:rPr>
              <w:t>PHẦN 3: PHÂN TÍCH TÀI CHÍNH</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_Toc211973146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27</w:t>
            </w:r>
            <w:r w:rsidRPr="00744414">
              <w:rPr>
                <w:rFonts w:ascii="Times New Roman" w:hAnsi="Times New Roman" w:cs="Times New Roman"/>
                <w:i w:val="0"/>
                <w:iCs w:val="0"/>
                <w:noProof/>
                <w:webHidden/>
              </w:rPr>
              <w:fldChar w:fldCharType="end"/>
            </w:r>
          </w:hyperlink>
        </w:p>
        <w:p w14:paraId="37E6E2D6" w14:textId="08905DA9"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47" w:history="1">
            <w:r w:rsidRPr="00744414">
              <w:rPr>
                <w:rStyle w:val="Hyperlink"/>
                <w:rFonts w:ascii="Times New Roman" w:eastAsia="Times New Roman" w:hAnsi="Times New Roman" w:cs="Times New Roman"/>
                <w:i w:val="0"/>
                <w:iCs w:val="0"/>
                <w:noProof/>
                <w:lang w:val="vi-VN"/>
              </w:rPr>
              <w:t>1</w:t>
            </w:r>
            <w:r w:rsidRPr="00744414">
              <w:rPr>
                <w:rStyle w:val="Hyperlink"/>
                <w:rFonts w:ascii="Times New Roman" w:eastAsia="Times New Roman" w:hAnsi="Times New Roman" w:cs="Times New Roman"/>
                <w:i w:val="0"/>
                <w:iCs w:val="0"/>
                <w:noProof/>
                <w:lang w:val="zh-CN"/>
              </w:rPr>
              <w:t>. Phân tích tỷ số tài chính</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_Toc211973147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27</w:t>
            </w:r>
            <w:r w:rsidRPr="00744414">
              <w:rPr>
                <w:rFonts w:ascii="Times New Roman" w:hAnsi="Times New Roman" w:cs="Times New Roman"/>
                <w:i w:val="0"/>
                <w:iCs w:val="0"/>
                <w:noProof/>
                <w:webHidden/>
              </w:rPr>
              <w:fldChar w:fldCharType="end"/>
            </w:r>
          </w:hyperlink>
        </w:p>
        <w:p w14:paraId="2F990C07" w14:textId="4D93F34E"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48" w:history="1">
            <w:r w:rsidRPr="00744414">
              <w:rPr>
                <w:rStyle w:val="Hyperlink"/>
                <w:rFonts w:ascii="Times New Roman" w:eastAsia="Times New Roman" w:hAnsi="Times New Roman" w:cs="Times New Roman"/>
                <w:noProof/>
                <w:sz w:val="24"/>
                <w:szCs w:val="24"/>
                <w:lang w:val="vi-VN"/>
              </w:rPr>
              <w:t xml:space="preserve">1.1 </w:t>
            </w:r>
            <w:r w:rsidRPr="00744414">
              <w:rPr>
                <w:rStyle w:val="Hyperlink"/>
                <w:rFonts w:ascii="Times New Roman" w:eastAsia="Times New Roman" w:hAnsi="Times New Roman" w:cs="Times New Roman"/>
                <w:noProof/>
                <w:sz w:val="24"/>
                <w:szCs w:val="24"/>
                <w:lang w:val="zh-CN"/>
              </w:rPr>
              <w:t>Tỷ số thanh toán ngắn hạn (Short Term Solvency Ratios)</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_Toc211973148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27</w:t>
            </w:r>
            <w:r w:rsidRPr="00744414">
              <w:rPr>
                <w:rFonts w:ascii="Times New Roman" w:hAnsi="Times New Roman" w:cs="Times New Roman"/>
                <w:noProof/>
                <w:webHidden/>
                <w:sz w:val="24"/>
                <w:szCs w:val="24"/>
              </w:rPr>
              <w:fldChar w:fldCharType="end"/>
            </w:r>
          </w:hyperlink>
        </w:p>
        <w:p w14:paraId="1D6F2BAE" w14:textId="0804BD48"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49"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.1.1 Tỷ số thanh toán hiện hành (Current Ratio)</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_Toc211973149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27</w:t>
            </w:r>
            <w:r w:rsidRPr="00744414">
              <w:rPr>
                <w:rFonts w:ascii="Times New Roman" w:hAnsi="Times New Roman" w:cs="Times New Roman"/>
                <w:noProof/>
                <w:webHidden/>
                <w:sz w:val="24"/>
                <w:szCs w:val="24"/>
              </w:rPr>
              <w:fldChar w:fldCharType="end"/>
            </w:r>
          </w:hyperlink>
        </w:p>
        <w:p w14:paraId="4CEB8275" w14:textId="3EA7D913"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50"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w:t>
            </w:r>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.2 Tỷ số thanh toán nhanh (Acid-test Ratio)</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_Toc211973150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28</w:t>
            </w:r>
            <w:r w:rsidRPr="00744414">
              <w:rPr>
                <w:rFonts w:ascii="Times New Roman" w:hAnsi="Times New Roman" w:cs="Times New Roman"/>
                <w:noProof/>
                <w:webHidden/>
                <w:sz w:val="24"/>
                <w:szCs w:val="24"/>
              </w:rPr>
              <w:fldChar w:fldCharType="end"/>
            </w:r>
          </w:hyperlink>
        </w:p>
        <w:p w14:paraId="01F8B0F4" w14:textId="473921DA"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51"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w:t>
            </w:r>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3 Tỷ số tiền mặt (Cash Ratio)</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_Toc211973151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29</w:t>
            </w:r>
            <w:r w:rsidRPr="00744414">
              <w:rPr>
                <w:rFonts w:ascii="Times New Roman" w:hAnsi="Times New Roman" w:cs="Times New Roman"/>
                <w:noProof/>
                <w:webHidden/>
                <w:sz w:val="24"/>
                <w:szCs w:val="24"/>
              </w:rPr>
              <w:fldChar w:fldCharType="end"/>
            </w:r>
          </w:hyperlink>
        </w:p>
        <w:p w14:paraId="3CA92A14" w14:textId="750BDF40"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52" w:history="1">
            <w:r w:rsidRPr="00744414">
              <w:rPr>
                <w:rStyle w:val="Hyperlink"/>
                <w:rFonts w:ascii="Times New Roman" w:eastAsia="Times New Roman" w:hAnsi="Times New Roman" w:cs="Times New Roman"/>
                <w:noProof/>
                <w:sz w:val="24"/>
                <w:szCs w:val="24"/>
                <w:lang w:val="vi-VN"/>
              </w:rPr>
              <w:t>1.2</w:t>
            </w:r>
            <w:r w:rsidRPr="00744414">
              <w:rPr>
                <w:rStyle w:val="Hyperlink"/>
                <w:rFonts w:ascii="Times New Roman" w:eastAsia="Times New Roman" w:hAnsi="Times New Roman" w:cs="Times New Roman"/>
                <w:noProof/>
                <w:sz w:val="24"/>
                <w:szCs w:val="24"/>
                <w:lang w:val="zh-CN"/>
              </w:rPr>
              <w:t xml:space="preserve"> Tỷ số thanh toán dài hạn (Long Term Solvency Ratios)</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_Toc211973152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30</w:t>
            </w:r>
            <w:r w:rsidRPr="00744414">
              <w:rPr>
                <w:rFonts w:ascii="Times New Roman" w:hAnsi="Times New Roman" w:cs="Times New Roman"/>
                <w:noProof/>
                <w:webHidden/>
                <w:sz w:val="24"/>
                <w:szCs w:val="24"/>
              </w:rPr>
              <w:fldChar w:fldCharType="end"/>
            </w:r>
          </w:hyperlink>
        </w:p>
        <w:p w14:paraId="40C005E7" w14:textId="537396C6"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53" w:history="1">
            <w:r w:rsidRPr="00744414">
              <w:rPr>
                <w:rStyle w:val="Hyperlink"/>
                <w:rFonts w:ascii="Times New Roman" w:eastAsia="Times New Roman" w:hAnsi="Times New Roman" w:cs="Times New Roman"/>
                <w:b/>
                <w:bCs/>
                <w:noProof/>
                <w:sz w:val="24"/>
                <w:szCs w:val="24"/>
                <w:lang w:val="vi-VN"/>
              </w:rPr>
              <w:t>1.2.1</w:t>
            </w:r>
            <w:r w:rsidRPr="00744414">
              <w:rPr>
                <w:rStyle w:val="Hyperlink"/>
                <w:rFonts w:ascii="Times New Roman" w:eastAsia="Times New Roman" w:hAnsi="Times New Roman" w:cs="Times New Roman"/>
                <w:b/>
                <w:bCs/>
                <w:noProof/>
                <w:sz w:val="24"/>
                <w:szCs w:val="24"/>
                <w:lang w:val="zh-CN"/>
              </w:rPr>
              <w:t xml:space="preserve"> Tỷ số tổng nợ (Total Debt Ratios)</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_Toc211973153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30</w:t>
            </w:r>
            <w:r w:rsidRPr="00744414">
              <w:rPr>
                <w:rFonts w:ascii="Times New Roman" w:hAnsi="Times New Roman" w:cs="Times New Roman"/>
                <w:noProof/>
                <w:webHidden/>
                <w:sz w:val="24"/>
                <w:szCs w:val="24"/>
              </w:rPr>
              <w:fldChar w:fldCharType="end"/>
            </w:r>
          </w:hyperlink>
        </w:p>
        <w:p w14:paraId="21AF4816" w14:textId="0D8EDD1D"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54"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.2</w:t>
            </w:r>
            <w:r w:rsidRPr="00744414">
              <w:rPr>
                <w:rStyle w:val="Hyperlink"/>
                <w:rFonts w:ascii="Times New Roman" w:eastAsia="Times New Roman" w:hAnsi="Times New Roman" w:cs="Times New Roman"/>
                <w:b/>
                <w:bCs/>
                <w:noProof/>
                <w:sz w:val="24"/>
                <w:szCs w:val="24"/>
                <w:lang w:val="vi-VN"/>
              </w:rPr>
              <w:t>.2</w:t>
            </w:r>
            <w:r w:rsidRPr="00744414">
              <w:rPr>
                <w:rStyle w:val="Hyperlink"/>
                <w:rFonts w:ascii="Times New Roman" w:eastAsia="Times New Roman" w:hAnsi="Times New Roman" w:cs="Times New Roman"/>
                <w:b/>
                <w:bCs/>
                <w:noProof/>
                <w:sz w:val="24"/>
                <w:szCs w:val="24"/>
                <w:lang w:val="zh-CN"/>
              </w:rPr>
              <w:t xml:space="preserve"> Tỷ số nợ trên vốn chủ sở hữu (Debt – To – Equity Ratio)</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_Toc211973154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31</w:t>
            </w:r>
            <w:r w:rsidRPr="00744414">
              <w:rPr>
                <w:rFonts w:ascii="Times New Roman" w:hAnsi="Times New Roman" w:cs="Times New Roman"/>
                <w:noProof/>
                <w:webHidden/>
                <w:sz w:val="24"/>
                <w:szCs w:val="24"/>
              </w:rPr>
              <w:fldChar w:fldCharType="end"/>
            </w:r>
          </w:hyperlink>
        </w:p>
        <w:p w14:paraId="5C6D2D50" w14:textId="7B522F20"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55"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.2.3 Bội số vốn cổ phần (Equity Multiplier)</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_Toc211973155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32</w:t>
            </w:r>
            <w:r w:rsidRPr="00744414">
              <w:rPr>
                <w:rFonts w:ascii="Times New Roman" w:hAnsi="Times New Roman" w:cs="Times New Roman"/>
                <w:noProof/>
                <w:webHidden/>
                <w:sz w:val="24"/>
                <w:szCs w:val="24"/>
              </w:rPr>
              <w:fldChar w:fldCharType="end"/>
            </w:r>
          </w:hyperlink>
        </w:p>
        <w:p w14:paraId="63702E2D" w14:textId="27161025"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56"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.2.4 Khả năng thanh toán lãi vay (Times Interest Earned)</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_Toc211973156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34</w:t>
            </w:r>
            <w:r w:rsidRPr="00744414">
              <w:rPr>
                <w:rFonts w:ascii="Times New Roman" w:hAnsi="Times New Roman" w:cs="Times New Roman"/>
                <w:noProof/>
                <w:webHidden/>
                <w:sz w:val="24"/>
                <w:szCs w:val="24"/>
              </w:rPr>
              <w:fldChar w:fldCharType="end"/>
            </w:r>
          </w:hyperlink>
        </w:p>
        <w:p w14:paraId="61A86590" w14:textId="136B996A"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57"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.2.5 Tỷ số đảm bảo tiền mặt (Cash Coverage Ratio)</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_Toc211973157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35</w:t>
            </w:r>
            <w:r w:rsidRPr="00744414">
              <w:rPr>
                <w:rFonts w:ascii="Times New Roman" w:hAnsi="Times New Roman" w:cs="Times New Roman"/>
                <w:noProof/>
                <w:webHidden/>
                <w:sz w:val="24"/>
                <w:szCs w:val="24"/>
              </w:rPr>
              <w:fldChar w:fldCharType="end"/>
            </w:r>
          </w:hyperlink>
        </w:p>
        <w:p w14:paraId="144D30C3" w14:textId="07934933"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58"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.2.6. Thước đo khác về khả năng trả nợ dài hạn</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_Toc211973158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37</w:t>
            </w:r>
            <w:r w:rsidRPr="00744414">
              <w:rPr>
                <w:rFonts w:ascii="Times New Roman" w:hAnsi="Times New Roman" w:cs="Times New Roman"/>
                <w:noProof/>
                <w:webHidden/>
                <w:sz w:val="24"/>
                <w:szCs w:val="24"/>
              </w:rPr>
              <w:fldChar w:fldCharType="end"/>
            </w:r>
          </w:hyperlink>
        </w:p>
        <w:p w14:paraId="70546E72" w14:textId="1C946657"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59" w:history="1">
            <w:r w:rsidRPr="00744414">
              <w:rPr>
                <w:rStyle w:val="Hyperlink"/>
                <w:rFonts w:ascii="Times New Roman" w:eastAsia="Times New Roman" w:hAnsi="Times New Roman" w:cs="Times New Roman"/>
                <w:noProof/>
                <w:sz w:val="24"/>
                <w:szCs w:val="24"/>
                <w:lang w:val="vi-VN"/>
              </w:rPr>
              <w:t>1</w:t>
            </w:r>
            <w:r w:rsidRPr="00744414">
              <w:rPr>
                <w:rStyle w:val="Hyperlink"/>
                <w:rFonts w:ascii="Times New Roman" w:eastAsia="Times New Roman" w:hAnsi="Times New Roman" w:cs="Times New Roman"/>
                <w:noProof/>
                <w:sz w:val="24"/>
                <w:szCs w:val="24"/>
                <w:lang w:val="zh-CN"/>
              </w:rPr>
              <w:t>.3</w:t>
            </w:r>
            <w:r w:rsidRPr="00744414">
              <w:rPr>
                <w:rStyle w:val="Hyperlink"/>
                <w:rFonts w:ascii="Times New Roman" w:eastAsia="Times New Roman" w:hAnsi="Times New Roman" w:cs="Times New Roman"/>
                <w:noProof/>
                <w:sz w:val="24"/>
                <w:szCs w:val="24"/>
                <w:lang w:val="vi-VN"/>
              </w:rPr>
              <w:t xml:space="preserve"> </w:t>
            </w:r>
            <w:r w:rsidRPr="00744414">
              <w:rPr>
                <w:rStyle w:val="Hyperlink"/>
                <w:rFonts w:ascii="Times New Roman" w:eastAsia="Times New Roman" w:hAnsi="Times New Roman" w:cs="Times New Roman"/>
                <w:noProof/>
                <w:sz w:val="24"/>
                <w:szCs w:val="24"/>
                <w:lang w:val="zh-CN"/>
              </w:rPr>
              <w:t>Tỷ số quản trị tài sản (Asset Management Ratios)</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_Toc211973159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38</w:t>
            </w:r>
            <w:r w:rsidRPr="00744414">
              <w:rPr>
                <w:rFonts w:ascii="Times New Roman" w:hAnsi="Times New Roman" w:cs="Times New Roman"/>
                <w:noProof/>
                <w:webHidden/>
                <w:sz w:val="24"/>
                <w:szCs w:val="24"/>
              </w:rPr>
              <w:fldChar w:fldCharType="end"/>
            </w:r>
          </w:hyperlink>
        </w:p>
        <w:p w14:paraId="721E01CC" w14:textId="618B7C4E"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60"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.3.1 Vòng quay hàng tồn kho (Inventory Turnover)</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_Toc211973160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38</w:t>
            </w:r>
            <w:r w:rsidRPr="00744414">
              <w:rPr>
                <w:rFonts w:ascii="Times New Roman" w:hAnsi="Times New Roman" w:cs="Times New Roman"/>
                <w:noProof/>
                <w:webHidden/>
                <w:sz w:val="24"/>
                <w:szCs w:val="24"/>
              </w:rPr>
              <w:fldChar w:fldCharType="end"/>
            </w:r>
          </w:hyperlink>
        </w:p>
        <w:p w14:paraId="0437EF04" w14:textId="2ED193C5"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61"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.3.2. Vòng quay khoản phải thu (Receivables Turnover)</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_Toc211973161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40</w:t>
            </w:r>
            <w:r w:rsidRPr="00744414">
              <w:rPr>
                <w:rFonts w:ascii="Times New Roman" w:hAnsi="Times New Roman" w:cs="Times New Roman"/>
                <w:noProof/>
                <w:webHidden/>
                <w:sz w:val="24"/>
                <w:szCs w:val="24"/>
              </w:rPr>
              <w:fldChar w:fldCharType="end"/>
            </w:r>
          </w:hyperlink>
        </w:p>
        <w:p w14:paraId="70D92253" w14:textId="67F9EBA3"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62"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.3.3. Vòng quay khoản phải trả (Payable Turnover)</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_Toc211973162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41</w:t>
            </w:r>
            <w:r w:rsidRPr="00744414">
              <w:rPr>
                <w:rFonts w:ascii="Times New Roman" w:hAnsi="Times New Roman" w:cs="Times New Roman"/>
                <w:noProof/>
                <w:webHidden/>
                <w:sz w:val="24"/>
                <w:szCs w:val="24"/>
              </w:rPr>
              <w:fldChar w:fldCharType="end"/>
            </w:r>
          </w:hyperlink>
        </w:p>
        <w:p w14:paraId="5506BAFE" w14:textId="009916AD"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63"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.3.4 Vòng quay tổng tài sản (Total Asset Turnover)</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_Toc211973163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43</w:t>
            </w:r>
            <w:r w:rsidRPr="00744414">
              <w:rPr>
                <w:rFonts w:ascii="Times New Roman" w:hAnsi="Times New Roman" w:cs="Times New Roman"/>
                <w:noProof/>
                <w:webHidden/>
                <w:sz w:val="24"/>
                <w:szCs w:val="24"/>
              </w:rPr>
              <w:fldChar w:fldCharType="end"/>
            </w:r>
          </w:hyperlink>
        </w:p>
        <w:p w14:paraId="7E40913D" w14:textId="1BE1615D"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64" w:history="1">
            <w:r w:rsidRPr="00744414">
              <w:rPr>
                <w:rStyle w:val="Hyperlink"/>
                <w:rFonts w:ascii="Times New Roman" w:eastAsia="Times New Roman" w:hAnsi="Times New Roman" w:cs="Times New Roman"/>
                <w:noProof/>
                <w:sz w:val="24"/>
                <w:szCs w:val="24"/>
                <w:lang w:val="vi-VN"/>
              </w:rPr>
              <w:t>1</w:t>
            </w:r>
            <w:r w:rsidRPr="00744414">
              <w:rPr>
                <w:rStyle w:val="Hyperlink"/>
                <w:rFonts w:ascii="Times New Roman" w:eastAsia="Times New Roman" w:hAnsi="Times New Roman" w:cs="Times New Roman"/>
                <w:noProof/>
                <w:sz w:val="24"/>
                <w:szCs w:val="24"/>
                <w:lang w:val="zh-CN"/>
              </w:rPr>
              <w:t>.4 Tỷ số khả năng sinh lợi (Profitability Ratios)</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_Toc211973164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44</w:t>
            </w:r>
            <w:r w:rsidRPr="00744414">
              <w:rPr>
                <w:rFonts w:ascii="Times New Roman" w:hAnsi="Times New Roman" w:cs="Times New Roman"/>
                <w:noProof/>
                <w:webHidden/>
                <w:sz w:val="24"/>
                <w:szCs w:val="24"/>
              </w:rPr>
              <w:fldChar w:fldCharType="end"/>
            </w:r>
          </w:hyperlink>
        </w:p>
        <w:p w14:paraId="0E10D1BE" w14:textId="0F0E1183"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65"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.4.1 Biên lợi nhuận ròng (Profit Margin)</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_Toc211973165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44</w:t>
            </w:r>
            <w:r w:rsidRPr="00744414">
              <w:rPr>
                <w:rFonts w:ascii="Times New Roman" w:hAnsi="Times New Roman" w:cs="Times New Roman"/>
                <w:noProof/>
                <w:webHidden/>
                <w:sz w:val="24"/>
                <w:szCs w:val="24"/>
              </w:rPr>
              <w:fldChar w:fldCharType="end"/>
            </w:r>
          </w:hyperlink>
        </w:p>
        <w:p w14:paraId="364B0DD0" w14:textId="2653A44B"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66"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.4.2 Biên EBITDA (EBITDA Margin)</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_Toc211973166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45</w:t>
            </w:r>
            <w:r w:rsidRPr="00744414">
              <w:rPr>
                <w:rFonts w:ascii="Times New Roman" w:hAnsi="Times New Roman" w:cs="Times New Roman"/>
                <w:noProof/>
                <w:webHidden/>
                <w:sz w:val="24"/>
                <w:szCs w:val="24"/>
              </w:rPr>
              <w:fldChar w:fldCharType="end"/>
            </w:r>
          </w:hyperlink>
        </w:p>
        <w:p w14:paraId="785DA958" w14:textId="374CAB82"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67"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.4.3 Tỷ suất sinh lợi trên tài sản (Return On Assets)</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_Toc211973167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47</w:t>
            </w:r>
            <w:r w:rsidRPr="00744414">
              <w:rPr>
                <w:rFonts w:ascii="Times New Roman" w:hAnsi="Times New Roman" w:cs="Times New Roman"/>
                <w:noProof/>
                <w:webHidden/>
                <w:sz w:val="24"/>
                <w:szCs w:val="24"/>
              </w:rPr>
              <w:fldChar w:fldCharType="end"/>
            </w:r>
          </w:hyperlink>
        </w:p>
        <w:p w14:paraId="3C368B6E" w14:textId="5D7E7A9B"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68"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.4.4 Tỷ suất sinh lợi trên vốn chủ sở hữu (Return on Equity)</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_Toc211973168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48</w:t>
            </w:r>
            <w:r w:rsidRPr="00744414">
              <w:rPr>
                <w:rFonts w:ascii="Times New Roman" w:hAnsi="Times New Roman" w:cs="Times New Roman"/>
                <w:noProof/>
                <w:webHidden/>
                <w:sz w:val="24"/>
                <w:szCs w:val="24"/>
              </w:rPr>
              <w:fldChar w:fldCharType="end"/>
            </w:r>
          </w:hyperlink>
        </w:p>
        <w:p w14:paraId="138FDB8C" w14:textId="205D534A"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69"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.4.5 Tỷ suất sinh lợi cơ bản (Basic Earning Power)</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_Toc211973169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49</w:t>
            </w:r>
            <w:r w:rsidRPr="00744414">
              <w:rPr>
                <w:rFonts w:ascii="Times New Roman" w:hAnsi="Times New Roman" w:cs="Times New Roman"/>
                <w:noProof/>
                <w:webHidden/>
                <w:sz w:val="24"/>
                <w:szCs w:val="24"/>
              </w:rPr>
              <w:fldChar w:fldCharType="end"/>
            </w:r>
          </w:hyperlink>
        </w:p>
        <w:p w14:paraId="10E64282" w14:textId="3A1C8781"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70" w:history="1">
            <w:r w:rsidRPr="00744414">
              <w:rPr>
                <w:rStyle w:val="Hyperlink"/>
                <w:rFonts w:ascii="Times New Roman" w:eastAsia="Times New Roman" w:hAnsi="Times New Roman" w:cs="Times New Roman"/>
                <w:noProof/>
                <w:sz w:val="24"/>
                <w:szCs w:val="24"/>
                <w:lang w:val="vi-VN"/>
              </w:rPr>
              <w:t>1</w:t>
            </w:r>
            <w:r w:rsidRPr="00744414">
              <w:rPr>
                <w:rStyle w:val="Hyperlink"/>
                <w:rFonts w:ascii="Times New Roman" w:eastAsia="Times New Roman" w:hAnsi="Times New Roman" w:cs="Times New Roman"/>
                <w:noProof/>
                <w:sz w:val="24"/>
                <w:szCs w:val="24"/>
                <w:lang w:val="zh-CN"/>
              </w:rPr>
              <w:t>.5 Tỷ số giá trị thị trường (Market Value Ratios)</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_Toc211973170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51</w:t>
            </w:r>
            <w:r w:rsidRPr="00744414">
              <w:rPr>
                <w:rFonts w:ascii="Times New Roman" w:hAnsi="Times New Roman" w:cs="Times New Roman"/>
                <w:noProof/>
                <w:webHidden/>
                <w:sz w:val="24"/>
                <w:szCs w:val="24"/>
              </w:rPr>
              <w:fldChar w:fldCharType="end"/>
            </w:r>
          </w:hyperlink>
        </w:p>
        <w:p w14:paraId="6C9234FD" w14:textId="2544C57F"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71"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.5.1 Tỷ số giá trên thu nhập (Price – Earning Ratio)</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_Toc211973171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51</w:t>
            </w:r>
            <w:r w:rsidRPr="00744414">
              <w:rPr>
                <w:rFonts w:ascii="Times New Roman" w:hAnsi="Times New Roman" w:cs="Times New Roman"/>
                <w:noProof/>
                <w:webHidden/>
                <w:sz w:val="24"/>
                <w:szCs w:val="24"/>
              </w:rPr>
              <w:fldChar w:fldCharType="end"/>
            </w:r>
          </w:hyperlink>
        </w:p>
        <w:p w14:paraId="4007BDDA" w14:textId="31BCD39A"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72"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.5.2 Tỷ số giá trị thị trường trên giá trị sổ sách (Market – To – Book Value Ratio)</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_Toc211973172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53</w:t>
            </w:r>
            <w:r w:rsidRPr="00744414">
              <w:rPr>
                <w:rFonts w:ascii="Times New Roman" w:hAnsi="Times New Roman" w:cs="Times New Roman"/>
                <w:noProof/>
                <w:webHidden/>
                <w:sz w:val="24"/>
                <w:szCs w:val="24"/>
              </w:rPr>
              <w:fldChar w:fldCharType="end"/>
            </w:r>
          </w:hyperlink>
        </w:p>
        <w:p w14:paraId="040B3C46" w14:textId="2B7D9694"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73"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.5.3 Vốn hóa thị trường (Market Capitalization)</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_Toc211973173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55</w:t>
            </w:r>
            <w:r w:rsidRPr="00744414">
              <w:rPr>
                <w:rFonts w:ascii="Times New Roman" w:hAnsi="Times New Roman" w:cs="Times New Roman"/>
                <w:noProof/>
                <w:webHidden/>
                <w:sz w:val="24"/>
                <w:szCs w:val="24"/>
              </w:rPr>
              <w:fldChar w:fldCharType="end"/>
            </w:r>
          </w:hyperlink>
        </w:p>
        <w:p w14:paraId="3E14085F" w14:textId="6C441666"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74" w:history="1">
            <w:r w:rsidRPr="00744414">
              <w:rPr>
                <w:rStyle w:val="Hyperlink"/>
                <w:rFonts w:ascii="Times New Roman" w:eastAsia="Times New Roman" w:hAnsi="Times New Roman" w:cs="Times New Roman"/>
                <w:b/>
                <w:bCs/>
                <w:noProof/>
                <w:sz w:val="24"/>
                <w:szCs w:val="24"/>
                <w:lang w:val="vi-VN"/>
              </w:rPr>
              <w:t xml:space="preserve">1.5.4 </w:t>
            </w:r>
            <w:r w:rsidRPr="00744414">
              <w:rPr>
                <w:rStyle w:val="Hyperlink"/>
                <w:rFonts w:ascii="Times New Roman" w:eastAsia="Times New Roman" w:hAnsi="Times New Roman" w:cs="Times New Roman"/>
                <w:b/>
                <w:bCs/>
                <w:noProof/>
                <w:sz w:val="24"/>
                <w:szCs w:val="24"/>
                <w:lang w:val="zh-CN"/>
              </w:rPr>
              <w:t>Giá trị doanh nghiệp (Enterprise Value)</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_Toc211973174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57</w:t>
            </w:r>
            <w:r w:rsidRPr="00744414">
              <w:rPr>
                <w:rFonts w:ascii="Times New Roman" w:hAnsi="Times New Roman" w:cs="Times New Roman"/>
                <w:noProof/>
                <w:webHidden/>
                <w:sz w:val="24"/>
                <w:szCs w:val="24"/>
              </w:rPr>
              <w:fldChar w:fldCharType="end"/>
            </w:r>
          </w:hyperlink>
        </w:p>
        <w:p w14:paraId="2191EE2B" w14:textId="5514D5AC" w:rsidR="00744414" w:rsidRPr="00744414" w:rsidRDefault="00744414">
          <w:pPr>
            <w:pStyle w:val="TOC3"/>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11973175" w:history="1">
            <w:r w:rsidRPr="00744414">
              <w:rPr>
                <w:rStyle w:val="Hyperlink"/>
                <w:rFonts w:ascii="Times New Roman" w:eastAsia="Times New Roman" w:hAnsi="Times New Roman" w:cs="Times New Roman"/>
                <w:b/>
                <w:bCs/>
                <w:noProof/>
                <w:sz w:val="24"/>
                <w:szCs w:val="24"/>
                <w:lang w:val="vi-VN"/>
              </w:rPr>
              <w:t>1</w:t>
            </w:r>
            <w:r w:rsidRPr="00744414">
              <w:rPr>
                <w:rStyle w:val="Hyperlink"/>
                <w:rFonts w:ascii="Times New Roman" w:eastAsia="Times New Roman" w:hAnsi="Times New Roman" w:cs="Times New Roman"/>
                <w:b/>
                <w:bCs/>
                <w:noProof/>
                <w:sz w:val="24"/>
                <w:szCs w:val="24"/>
                <w:lang w:val="zh-CN"/>
              </w:rPr>
              <w:t>.5.5 Bội số giá trị doanh nghiệp (Enterprise Value Multiples)</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_Toc211973175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60</w:t>
            </w:r>
            <w:r w:rsidRPr="00744414">
              <w:rPr>
                <w:rFonts w:ascii="Times New Roman" w:hAnsi="Times New Roman" w:cs="Times New Roman"/>
                <w:noProof/>
                <w:webHidden/>
                <w:sz w:val="24"/>
                <w:szCs w:val="24"/>
              </w:rPr>
              <w:fldChar w:fldCharType="end"/>
            </w:r>
          </w:hyperlink>
        </w:p>
        <w:p w14:paraId="766AB04C" w14:textId="50C7D8EE"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76" w:history="1">
            <w:r w:rsidRPr="00744414">
              <w:rPr>
                <w:rStyle w:val="Hyperlink"/>
                <w:rFonts w:ascii="Times New Roman" w:eastAsia="Times New Roman" w:hAnsi="Times New Roman" w:cs="Times New Roman"/>
                <w:i w:val="0"/>
                <w:iCs w:val="0"/>
                <w:noProof/>
                <w:lang w:val="vi-VN"/>
              </w:rPr>
              <w:t>2.</w:t>
            </w:r>
            <w:r w:rsidRPr="00744414">
              <w:rPr>
                <w:rStyle w:val="Hyperlink"/>
                <w:rFonts w:ascii="Times New Roman" w:eastAsia="Times New Roman" w:hAnsi="Times New Roman" w:cs="Times New Roman"/>
                <w:i w:val="0"/>
                <w:iCs w:val="0"/>
                <w:noProof/>
                <w:lang w:val="zh-CN"/>
              </w:rPr>
              <w:t xml:space="preserve"> Phân tích Dupont</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_Toc211973176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62</w:t>
            </w:r>
            <w:r w:rsidRPr="00744414">
              <w:rPr>
                <w:rFonts w:ascii="Times New Roman" w:hAnsi="Times New Roman" w:cs="Times New Roman"/>
                <w:i w:val="0"/>
                <w:iCs w:val="0"/>
                <w:noProof/>
                <w:webHidden/>
              </w:rPr>
              <w:fldChar w:fldCharType="end"/>
            </w:r>
          </w:hyperlink>
        </w:p>
        <w:p w14:paraId="75FA5B27" w14:textId="51A4E5A2"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77" w:history="1">
            <w:r w:rsidRPr="00744414">
              <w:rPr>
                <w:rStyle w:val="Hyperlink"/>
                <w:rFonts w:ascii="Times New Roman" w:eastAsia="Times New Roman" w:hAnsi="Times New Roman" w:cs="Times New Roman"/>
                <w:noProof/>
                <w:sz w:val="24"/>
                <w:szCs w:val="24"/>
                <w:lang w:val="vi-VN"/>
              </w:rPr>
              <w:t>2.1</w:t>
            </w:r>
            <w:r w:rsidRPr="00744414">
              <w:rPr>
                <w:rStyle w:val="Hyperlink"/>
                <w:rFonts w:ascii="Times New Roman" w:eastAsia="Times New Roman" w:hAnsi="Times New Roman" w:cs="Times New Roman"/>
                <w:noProof/>
                <w:sz w:val="24"/>
                <w:szCs w:val="24"/>
                <w:lang w:val="zh-CN"/>
              </w:rPr>
              <w:t xml:space="preserve"> Chia tách hoạt động RNOA</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_Toc211973177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62</w:t>
            </w:r>
            <w:r w:rsidRPr="00744414">
              <w:rPr>
                <w:rFonts w:ascii="Times New Roman" w:hAnsi="Times New Roman" w:cs="Times New Roman"/>
                <w:noProof/>
                <w:webHidden/>
                <w:sz w:val="24"/>
                <w:szCs w:val="24"/>
              </w:rPr>
              <w:fldChar w:fldCharType="end"/>
            </w:r>
          </w:hyperlink>
        </w:p>
        <w:p w14:paraId="2087D7A3" w14:textId="2B68B66F"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78" w:history="1">
            <w:r w:rsidRPr="00744414">
              <w:rPr>
                <w:rStyle w:val="Hyperlink"/>
                <w:rFonts w:ascii="Times New Roman" w:eastAsia="Times New Roman" w:hAnsi="Times New Roman" w:cs="Times New Roman"/>
                <w:noProof/>
                <w:sz w:val="24"/>
                <w:szCs w:val="24"/>
                <w:lang w:val="vi-VN"/>
              </w:rPr>
              <w:t>2.</w:t>
            </w:r>
            <w:r w:rsidRPr="00744414">
              <w:rPr>
                <w:rStyle w:val="Hyperlink"/>
                <w:rFonts w:ascii="Times New Roman" w:eastAsia="Times New Roman" w:hAnsi="Times New Roman" w:cs="Times New Roman"/>
                <w:noProof/>
                <w:sz w:val="24"/>
                <w:szCs w:val="24"/>
                <w:lang w:val="zh-CN"/>
              </w:rPr>
              <w:t>2 Chia tách Dupont ba nhân tố (bao gồm chia tách ROE)</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_Toc211973178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63</w:t>
            </w:r>
            <w:r w:rsidRPr="00744414">
              <w:rPr>
                <w:rFonts w:ascii="Times New Roman" w:hAnsi="Times New Roman" w:cs="Times New Roman"/>
                <w:noProof/>
                <w:webHidden/>
                <w:sz w:val="24"/>
                <w:szCs w:val="24"/>
              </w:rPr>
              <w:fldChar w:fldCharType="end"/>
            </w:r>
          </w:hyperlink>
        </w:p>
        <w:p w14:paraId="1668546B" w14:textId="7FD7D0AE"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79" w:history="1">
            <w:r w:rsidRPr="00744414">
              <w:rPr>
                <w:rStyle w:val="Hyperlink"/>
                <w:rFonts w:ascii="Times New Roman" w:eastAsia="Times New Roman" w:hAnsi="Times New Roman" w:cs="Times New Roman"/>
                <w:i w:val="0"/>
                <w:iCs w:val="0"/>
                <w:noProof/>
                <w:lang w:val="vi-VN"/>
              </w:rPr>
              <w:t>PHẦN 4: PHÂN TÍCH TRIỂN VỌNG</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_Toc211973179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65</w:t>
            </w:r>
            <w:r w:rsidRPr="00744414">
              <w:rPr>
                <w:rFonts w:ascii="Times New Roman" w:hAnsi="Times New Roman" w:cs="Times New Roman"/>
                <w:i w:val="0"/>
                <w:iCs w:val="0"/>
                <w:noProof/>
                <w:webHidden/>
              </w:rPr>
              <w:fldChar w:fldCharType="end"/>
            </w:r>
          </w:hyperlink>
        </w:p>
        <w:p w14:paraId="3B7B5C4C" w14:textId="2A4B2972"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80" w:history="1">
            <w:r w:rsidRPr="00744414">
              <w:rPr>
                <w:rStyle w:val="Hyperlink"/>
                <w:rFonts w:ascii="Times New Roman" w:hAnsi="Times New Roman" w:cs="Times New Roman"/>
                <w:i w:val="0"/>
                <w:iCs w:val="0"/>
                <w:noProof/>
                <w:lang w:val="vi-VN"/>
              </w:rPr>
              <w:t>1. Phân tích triển vọng</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_Toc211973180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65</w:t>
            </w:r>
            <w:r w:rsidRPr="00744414">
              <w:rPr>
                <w:rFonts w:ascii="Times New Roman" w:hAnsi="Times New Roman" w:cs="Times New Roman"/>
                <w:i w:val="0"/>
                <w:iCs w:val="0"/>
                <w:noProof/>
                <w:webHidden/>
              </w:rPr>
              <w:fldChar w:fldCharType="end"/>
            </w:r>
          </w:hyperlink>
        </w:p>
        <w:p w14:paraId="069097C5" w14:textId="2DCD0967"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81" w:history="1">
            <w:r w:rsidRPr="00744414">
              <w:rPr>
                <w:rStyle w:val="Hyperlink"/>
                <w:rFonts w:ascii="Times New Roman" w:hAnsi="Times New Roman" w:cs="Times New Roman"/>
                <w:noProof/>
                <w:sz w:val="24"/>
                <w:szCs w:val="24"/>
                <w:lang w:val="vi-VN"/>
              </w:rPr>
              <w:t>1.1. Bối cảnh kinh tế vĩ mô</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_Toc211973181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65</w:t>
            </w:r>
            <w:r w:rsidRPr="00744414">
              <w:rPr>
                <w:rFonts w:ascii="Times New Roman" w:hAnsi="Times New Roman" w:cs="Times New Roman"/>
                <w:noProof/>
                <w:webHidden/>
                <w:sz w:val="24"/>
                <w:szCs w:val="24"/>
              </w:rPr>
              <w:fldChar w:fldCharType="end"/>
            </w:r>
          </w:hyperlink>
        </w:p>
        <w:p w14:paraId="741B10F8" w14:textId="30229633"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82" w:history="1">
            <w:r w:rsidRPr="00744414">
              <w:rPr>
                <w:rStyle w:val="Hyperlink"/>
                <w:rFonts w:ascii="Times New Roman" w:hAnsi="Times New Roman" w:cs="Times New Roman"/>
                <w:noProof/>
                <w:sz w:val="24"/>
                <w:szCs w:val="24"/>
                <w:lang w:val="vi-VN"/>
              </w:rPr>
              <w:t>1.2 Bối cảnh cạnh tranh</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_Toc211973182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65</w:t>
            </w:r>
            <w:r w:rsidRPr="00744414">
              <w:rPr>
                <w:rFonts w:ascii="Times New Roman" w:hAnsi="Times New Roman" w:cs="Times New Roman"/>
                <w:noProof/>
                <w:webHidden/>
                <w:sz w:val="24"/>
                <w:szCs w:val="24"/>
              </w:rPr>
              <w:fldChar w:fldCharType="end"/>
            </w:r>
          </w:hyperlink>
        </w:p>
        <w:p w14:paraId="4D66E0F8" w14:textId="364C802E"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83" w:history="1">
            <w:r w:rsidRPr="00744414">
              <w:rPr>
                <w:rStyle w:val="Hyperlink"/>
                <w:rFonts w:ascii="Times New Roman" w:hAnsi="Times New Roman" w:cs="Times New Roman"/>
                <w:noProof/>
                <w:sz w:val="24"/>
                <w:szCs w:val="24"/>
                <w:lang w:val="vi-VN"/>
              </w:rPr>
              <w:t>1.3 Hoạt động trong quá khứ:</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_Toc211973183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66</w:t>
            </w:r>
            <w:r w:rsidRPr="00744414">
              <w:rPr>
                <w:rFonts w:ascii="Times New Roman" w:hAnsi="Times New Roman" w:cs="Times New Roman"/>
                <w:noProof/>
                <w:webHidden/>
                <w:sz w:val="24"/>
                <w:szCs w:val="24"/>
              </w:rPr>
              <w:fldChar w:fldCharType="end"/>
            </w:r>
          </w:hyperlink>
        </w:p>
        <w:p w14:paraId="7ED17311" w14:textId="7B1E23E2" w:rsidR="00744414" w:rsidRPr="00744414" w:rsidRDefault="00744414">
          <w:pPr>
            <w:pStyle w:val="TOC2"/>
            <w:tabs>
              <w:tab w:val="right" w:leader="dot" w:pos="9350"/>
            </w:tabs>
            <w:rPr>
              <w:rFonts w:ascii="Times New Roman" w:eastAsiaTheme="minorEastAsia" w:hAnsi="Times New Roman" w:cs="Times New Roman"/>
              <w:b w:val="0"/>
              <w:bCs w:val="0"/>
              <w:noProof/>
              <w:kern w:val="2"/>
              <w:sz w:val="24"/>
              <w:szCs w:val="24"/>
              <w:lang w:val="en-VN"/>
              <w14:ligatures w14:val="standardContextual"/>
            </w:rPr>
          </w:pPr>
          <w:hyperlink w:anchor="_Toc211973184" w:history="1">
            <w:r w:rsidRPr="00744414">
              <w:rPr>
                <w:rStyle w:val="Hyperlink"/>
                <w:rFonts w:ascii="Times New Roman" w:hAnsi="Times New Roman" w:cs="Times New Roman"/>
                <w:noProof/>
                <w:sz w:val="24"/>
                <w:szCs w:val="24"/>
                <w:lang w:val="en-US"/>
              </w:rPr>
              <w:t>1</w:t>
            </w:r>
            <w:r w:rsidRPr="00744414">
              <w:rPr>
                <w:rStyle w:val="Hyperlink"/>
                <w:rFonts w:ascii="Times New Roman" w:hAnsi="Times New Roman" w:cs="Times New Roman"/>
                <w:noProof/>
                <w:sz w:val="24"/>
                <w:szCs w:val="24"/>
                <w:lang w:val="vi-VN"/>
              </w:rPr>
              <w:t>.4 Xu hướng và chiến lược hoạt động của ban quản lý hiện tại</w:t>
            </w:r>
            <w:r w:rsidRPr="00744414">
              <w:rPr>
                <w:rFonts w:ascii="Times New Roman" w:hAnsi="Times New Roman" w:cs="Times New Roman"/>
                <w:noProof/>
                <w:webHidden/>
                <w:sz w:val="24"/>
                <w:szCs w:val="24"/>
              </w:rPr>
              <w:tab/>
            </w:r>
            <w:r w:rsidRPr="00744414">
              <w:rPr>
                <w:rFonts w:ascii="Times New Roman" w:hAnsi="Times New Roman" w:cs="Times New Roman"/>
                <w:noProof/>
                <w:webHidden/>
                <w:sz w:val="24"/>
                <w:szCs w:val="24"/>
              </w:rPr>
              <w:fldChar w:fldCharType="begin"/>
            </w:r>
            <w:r w:rsidRPr="00744414">
              <w:rPr>
                <w:rFonts w:ascii="Times New Roman" w:hAnsi="Times New Roman" w:cs="Times New Roman"/>
                <w:noProof/>
                <w:webHidden/>
                <w:sz w:val="24"/>
                <w:szCs w:val="24"/>
              </w:rPr>
              <w:instrText xml:space="preserve"> PAGEREF _Toc211973184 \h </w:instrText>
            </w:r>
            <w:r w:rsidRPr="00744414">
              <w:rPr>
                <w:rFonts w:ascii="Times New Roman" w:hAnsi="Times New Roman" w:cs="Times New Roman"/>
                <w:noProof/>
                <w:webHidden/>
                <w:sz w:val="24"/>
                <w:szCs w:val="24"/>
              </w:rPr>
            </w:r>
            <w:r w:rsidRPr="00744414">
              <w:rPr>
                <w:rFonts w:ascii="Times New Roman" w:hAnsi="Times New Roman" w:cs="Times New Roman"/>
                <w:noProof/>
                <w:webHidden/>
                <w:sz w:val="24"/>
                <w:szCs w:val="24"/>
              </w:rPr>
              <w:fldChar w:fldCharType="separate"/>
            </w:r>
            <w:r w:rsidRPr="00744414">
              <w:rPr>
                <w:rFonts w:ascii="Times New Roman" w:hAnsi="Times New Roman" w:cs="Times New Roman"/>
                <w:noProof/>
                <w:webHidden/>
                <w:sz w:val="24"/>
                <w:szCs w:val="24"/>
              </w:rPr>
              <w:t>66</w:t>
            </w:r>
            <w:r w:rsidRPr="00744414">
              <w:rPr>
                <w:rFonts w:ascii="Times New Roman" w:hAnsi="Times New Roman" w:cs="Times New Roman"/>
                <w:noProof/>
                <w:webHidden/>
                <w:sz w:val="24"/>
                <w:szCs w:val="24"/>
              </w:rPr>
              <w:fldChar w:fldCharType="end"/>
            </w:r>
          </w:hyperlink>
        </w:p>
        <w:p w14:paraId="44383F5F" w14:textId="7842FB1E"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85" w:history="1">
            <w:r w:rsidRPr="00744414">
              <w:rPr>
                <w:rStyle w:val="Hyperlink"/>
                <w:rFonts w:ascii="Times New Roman" w:hAnsi="Times New Roman" w:cs="Times New Roman"/>
                <w:i w:val="0"/>
                <w:iCs w:val="0"/>
                <w:noProof/>
                <w:lang w:val="vi-VN"/>
              </w:rPr>
              <w:t>2. Dự phóng Báo cáo thu nhập</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_Toc211973185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67</w:t>
            </w:r>
            <w:r w:rsidRPr="00744414">
              <w:rPr>
                <w:rFonts w:ascii="Times New Roman" w:hAnsi="Times New Roman" w:cs="Times New Roman"/>
                <w:i w:val="0"/>
                <w:iCs w:val="0"/>
                <w:noProof/>
                <w:webHidden/>
              </w:rPr>
              <w:fldChar w:fldCharType="end"/>
            </w:r>
          </w:hyperlink>
        </w:p>
        <w:p w14:paraId="3CE40471" w14:textId="2AED327E"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86" w:history="1">
            <w:r w:rsidRPr="00744414">
              <w:rPr>
                <w:rStyle w:val="Hyperlink"/>
                <w:rFonts w:ascii="Times New Roman" w:hAnsi="Times New Roman" w:cs="Times New Roman"/>
                <w:i w:val="0"/>
                <w:iCs w:val="0"/>
                <w:noProof/>
                <w:lang w:val="vi-VN"/>
              </w:rPr>
              <w:t>3. Dự phóng Bảng cân đối kế toán</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_Toc211973186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69</w:t>
            </w:r>
            <w:r w:rsidRPr="00744414">
              <w:rPr>
                <w:rFonts w:ascii="Times New Roman" w:hAnsi="Times New Roman" w:cs="Times New Roman"/>
                <w:i w:val="0"/>
                <w:iCs w:val="0"/>
                <w:noProof/>
                <w:webHidden/>
              </w:rPr>
              <w:fldChar w:fldCharType="end"/>
            </w:r>
          </w:hyperlink>
        </w:p>
        <w:p w14:paraId="128B303B" w14:textId="4BC46782"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87" w:history="1">
            <w:r w:rsidRPr="00744414">
              <w:rPr>
                <w:rStyle w:val="Hyperlink"/>
                <w:rFonts w:ascii="Times New Roman" w:hAnsi="Times New Roman" w:cs="Times New Roman"/>
                <w:i w:val="0"/>
                <w:iCs w:val="0"/>
                <w:noProof/>
                <w:lang w:val="vi-VN"/>
              </w:rPr>
              <w:t>4. Dự phóng Báo cáo lưu chuyển tiền tệ</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_Toc211973187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72</w:t>
            </w:r>
            <w:r w:rsidRPr="00744414">
              <w:rPr>
                <w:rFonts w:ascii="Times New Roman" w:hAnsi="Times New Roman" w:cs="Times New Roman"/>
                <w:i w:val="0"/>
                <w:iCs w:val="0"/>
                <w:noProof/>
                <w:webHidden/>
              </w:rPr>
              <w:fldChar w:fldCharType="end"/>
            </w:r>
          </w:hyperlink>
        </w:p>
        <w:p w14:paraId="00C5FE5C" w14:textId="199AB31E"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88" w:history="1">
            <w:r w:rsidRPr="00744414">
              <w:rPr>
                <w:rStyle w:val="Hyperlink"/>
                <w:rFonts w:ascii="Times New Roman" w:hAnsi="Times New Roman" w:cs="Times New Roman"/>
                <w:i w:val="0"/>
                <w:iCs w:val="0"/>
                <w:noProof/>
                <w:lang w:val="vi-VN"/>
              </w:rPr>
              <w:t>5. Hạng mục cân đối và tính linh hoạt của báo cáo dự phóng</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_Toc211973188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74</w:t>
            </w:r>
            <w:r w:rsidRPr="00744414">
              <w:rPr>
                <w:rFonts w:ascii="Times New Roman" w:hAnsi="Times New Roman" w:cs="Times New Roman"/>
                <w:i w:val="0"/>
                <w:iCs w:val="0"/>
                <w:noProof/>
                <w:webHidden/>
              </w:rPr>
              <w:fldChar w:fldCharType="end"/>
            </w:r>
          </w:hyperlink>
        </w:p>
        <w:p w14:paraId="46BBC85E" w14:textId="5BCE44C3"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89" w:history="1">
            <w:r w:rsidRPr="00744414">
              <w:rPr>
                <w:rStyle w:val="Hyperlink"/>
                <w:rFonts w:ascii="Times New Roman" w:hAnsi="Times New Roman" w:cs="Times New Roman"/>
                <w:i w:val="0"/>
                <w:iCs w:val="0"/>
                <w:noProof/>
                <w:lang w:val="vi-VN"/>
              </w:rPr>
              <w:t>PHẦN 5: ƯỚC LƯỢNG CHI PHÍ SỬ DỤNG VỐN, ĐỊNH GIÁ</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_Toc211973189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74</w:t>
            </w:r>
            <w:r w:rsidRPr="00744414">
              <w:rPr>
                <w:rFonts w:ascii="Times New Roman" w:hAnsi="Times New Roman" w:cs="Times New Roman"/>
                <w:i w:val="0"/>
                <w:iCs w:val="0"/>
                <w:noProof/>
                <w:webHidden/>
              </w:rPr>
              <w:fldChar w:fldCharType="end"/>
            </w:r>
          </w:hyperlink>
        </w:p>
        <w:p w14:paraId="2D0299CA" w14:textId="5156F1FA"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90" w:history="1">
            <w:r w:rsidRPr="00744414">
              <w:rPr>
                <w:rStyle w:val="Hyperlink"/>
                <w:rFonts w:ascii="Times New Roman" w:eastAsia="Times New Roman" w:hAnsi="Times New Roman" w:cs="Times New Roman"/>
                <w:i w:val="0"/>
                <w:iCs w:val="0"/>
                <w:noProof/>
                <w:lang w:val="vi-VN"/>
              </w:rPr>
              <w:t xml:space="preserve">1. </w:t>
            </w:r>
            <w:r w:rsidRPr="00744414">
              <w:rPr>
                <w:rStyle w:val="Hyperlink"/>
                <w:rFonts w:ascii="Times New Roman" w:eastAsia="Times New Roman" w:hAnsi="Times New Roman" w:cs="Times New Roman"/>
                <w:i w:val="0"/>
                <w:iCs w:val="0"/>
                <w:noProof/>
                <w:lang w:val="zh-CN"/>
              </w:rPr>
              <w:t>Chi phí sử dụng vốn</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_Toc211973190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74</w:t>
            </w:r>
            <w:r w:rsidRPr="00744414">
              <w:rPr>
                <w:rFonts w:ascii="Times New Roman" w:hAnsi="Times New Roman" w:cs="Times New Roman"/>
                <w:i w:val="0"/>
                <w:iCs w:val="0"/>
                <w:noProof/>
                <w:webHidden/>
              </w:rPr>
              <w:fldChar w:fldCharType="end"/>
            </w:r>
          </w:hyperlink>
        </w:p>
        <w:p w14:paraId="57D29EF1" w14:textId="51D93E6B" w:rsidR="00744414" w:rsidRPr="00744414" w:rsidRDefault="00744414">
          <w:pPr>
            <w:pStyle w:val="TOC1"/>
            <w:tabs>
              <w:tab w:val="right" w:leader="dot" w:pos="9350"/>
            </w:tabs>
            <w:rPr>
              <w:rFonts w:ascii="Times New Roman" w:eastAsiaTheme="minorEastAsia" w:hAnsi="Times New Roman" w:cs="Times New Roman"/>
              <w:b w:val="0"/>
              <w:bCs w:val="0"/>
              <w:i w:val="0"/>
              <w:iCs w:val="0"/>
              <w:noProof/>
              <w:kern w:val="2"/>
              <w:lang w:val="en-VN"/>
              <w14:ligatures w14:val="standardContextual"/>
            </w:rPr>
          </w:pPr>
          <w:hyperlink w:anchor="_Toc211973191" w:history="1">
            <w:r w:rsidRPr="00744414">
              <w:rPr>
                <w:rStyle w:val="Hyperlink"/>
                <w:rFonts w:ascii="Times New Roman" w:eastAsia="Times New Roman" w:hAnsi="Times New Roman" w:cs="Times New Roman"/>
                <w:i w:val="0"/>
                <w:iCs w:val="0"/>
                <w:noProof/>
                <w:lang w:val="vi-VN"/>
              </w:rPr>
              <w:t xml:space="preserve">2. </w:t>
            </w:r>
            <w:r w:rsidRPr="00744414">
              <w:rPr>
                <w:rStyle w:val="Hyperlink"/>
                <w:rFonts w:ascii="Times New Roman" w:eastAsia="Times New Roman" w:hAnsi="Times New Roman" w:cs="Times New Roman"/>
                <w:i w:val="0"/>
                <w:iCs w:val="0"/>
                <w:noProof/>
                <w:lang w:val="zh-CN"/>
              </w:rPr>
              <w:t>Định giá</w:t>
            </w:r>
            <w:r w:rsidRPr="00744414">
              <w:rPr>
                <w:rFonts w:ascii="Times New Roman" w:hAnsi="Times New Roman" w:cs="Times New Roman"/>
                <w:i w:val="0"/>
                <w:iCs w:val="0"/>
                <w:noProof/>
                <w:webHidden/>
              </w:rPr>
              <w:tab/>
            </w:r>
            <w:r w:rsidRPr="00744414">
              <w:rPr>
                <w:rFonts w:ascii="Times New Roman" w:hAnsi="Times New Roman" w:cs="Times New Roman"/>
                <w:i w:val="0"/>
                <w:iCs w:val="0"/>
                <w:noProof/>
                <w:webHidden/>
              </w:rPr>
              <w:fldChar w:fldCharType="begin"/>
            </w:r>
            <w:r w:rsidRPr="00744414">
              <w:rPr>
                <w:rFonts w:ascii="Times New Roman" w:hAnsi="Times New Roman" w:cs="Times New Roman"/>
                <w:i w:val="0"/>
                <w:iCs w:val="0"/>
                <w:noProof/>
                <w:webHidden/>
              </w:rPr>
              <w:instrText xml:space="preserve"> PAGEREF _Toc211973191 \h </w:instrText>
            </w:r>
            <w:r w:rsidRPr="00744414">
              <w:rPr>
                <w:rFonts w:ascii="Times New Roman" w:hAnsi="Times New Roman" w:cs="Times New Roman"/>
                <w:i w:val="0"/>
                <w:iCs w:val="0"/>
                <w:noProof/>
                <w:webHidden/>
              </w:rPr>
            </w:r>
            <w:r w:rsidRPr="00744414">
              <w:rPr>
                <w:rFonts w:ascii="Times New Roman" w:hAnsi="Times New Roman" w:cs="Times New Roman"/>
                <w:i w:val="0"/>
                <w:iCs w:val="0"/>
                <w:noProof/>
                <w:webHidden/>
              </w:rPr>
              <w:fldChar w:fldCharType="separate"/>
            </w:r>
            <w:r w:rsidRPr="00744414">
              <w:rPr>
                <w:rFonts w:ascii="Times New Roman" w:hAnsi="Times New Roman" w:cs="Times New Roman"/>
                <w:i w:val="0"/>
                <w:iCs w:val="0"/>
                <w:noProof/>
                <w:webHidden/>
              </w:rPr>
              <w:t>75</w:t>
            </w:r>
            <w:r w:rsidRPr="00744414">
              <w:rPr>
                <w:rFonts w:ascii="Times New Roman" w:hAnsi="Times New Roman" w:cs="Times New Roman"/>
                <w:i w:val="0"/>
                <w:iCs w:val="0"/>
                <w:noProof/>
                <w:webHidden/>
              </w:rPr>
              <w:fldChar w:fldCharType="end"/>
            </w:r>
          </w:hyperlink>
        </w:p>
        <w:p w14:paraId="1FB9219B" w14:textId="4628651B" w:rsidR="00D978DF" w:rsidRPr="00744414" w:rsidRDefault="00000000">
          <w:pPr>
            <w:spacing w:line="276" w:lineRule="auto"/>
            <w:rPr>
              <w:rFonts w:ascii="Times New Roman" w:hAnsi="Times New Roman" w:cs="Times New Roman"/>
              <w:sz w:val="24"/>
              <w:szCs w:val="24"/>
            </w:rPr>
          </w:pPr>
          <w:r w:rsidRPr="00744414">
            <w:rPr>
              <w:rFonts w:ascii="Times New Roman" w:hAnsi="Times New Roman" w:cs="Times New Roman"/>
              <w:b/>
              <w:bCs/>
              <w:sz w:val="24"/>
              <w:szCs w:val="24"/>
            </w:rPr>
            <w:fldChar w:fldCharType="end"/>
          </w:r>
        </w:p>
      </w:sdtContent>
    </w:sdt>
    <w:p w14:paraId="1C4B0802" w14:textId="77777777" w:rsidR="00D978DF" w:rsidRPr="00761336" w:rsidRDefault="00D978DF">
      <w:pPr>
        <w:pStyle w:val="Heading1"/>
        <w:spacing w:line="276" w:lineRule="auto"/>
        <w:jc w:val="center"/>
        <w:rPr>
          <w:rFonts w:ascii="Times New Roman" w:eastAsia="Times New Roman" w:hAnsi="Times New Roman" w:cs="Times New Roman"/>
          <w:b/>
          <w:bCs/>
          <w:sz w:val="26"/>
          <w:szCs w:val="26"/>
        </w:rPr>
        <w:sectPr w:rsidR="00D978DF" w:rsidRPr="00761336">
          <w:pgSz w:w="12240" w:h="15840"/>
          <w:pgMar w:top="1440" w:right="1440" w:bottom="1440" w:left="1440" w:header="708" w:footer="708" w:gutter="0"/>
          <w:cols w:space="708"/>
        </w:sectPr>
      </w:pPr>
    </w:p>
    <w:p w14:paraId="057F0042" w14:textId="77777777" w:rsidR="00D978DF" w:rsidRPr="00761336" w:rsidRDefault="00000000">
      <w:pPr>
        <w:pStyle w:val="Heading1"/>
        <w:spacing w:line="276" w:lineRule="auto"/>
        <w:jc w:val="center"/>
        <w:rPr>
          <w:rFonts w:ascii="Times New Roman" w:hAnsi="Times New Roman" w:cs="Times New Roman"/>
          <w:b/>
          <w:bCs/>
          <w:color w:val="000000" w:themeColor="text1"/>
          <w:sz w:val="26"/>
          <w:szCs w:val="26"/>
          <w:lang w:val="vi-VN"/>
        </w:rPr>
      </w:pPr>
      <w:bookmarkStart w:id="0" w:name="_Toc211973125"/>
      <w:r w:rsidRPr="00761336">
        <w:rPr>
          <w:rFonts w:ascii="Times New Roman" w:eastAsia="Times New Roman" w:hAnsi="Times New Roman" w:cs="Times New Roman"/>
          <w:b/>
          <w:bCs/>
          <w:color w:val="000000" w:themeColor="text1"/>
          <w:sz w:val="26"/>
          <w:szCs w:val="26"/>
        </w:rPr>
        <w:lastRenderedPageBreak/>
        <w:t>LỜI MỞ ĐẦU</w:t>
      </w:r>
      <w:bookmarkEnd w:id="0"/>
    </w:p>
    <w:p w14:paraId="74399B0C" w14:textId="77777777" w:rsidR="00D978DF" w:rsidRPr="00761336" w:rsidRDefault="00000000">
      <w:pPr>
        <w:widowControl/>
        <w:spacing w:line="276" w:lineRule="auto"/>
        <w:jc w:val="both"/>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Trong bối cảnh nền kinh tế Việt Nam hội nhập ngày càng sâu rộng vào kinh tế toàn cầu, việc phân tích tình hình tài chính của các tập đoàn lớn có ý nghĩa quan trọng nhằm phản ánh sức khỏe doanh nghiệp, khả năng cạnh tranh cũng như tiềm năng phát triển trong tương lai. Phân tích tài chính không chỉ cung cấp cơ sở cho các nhà quản trị trong việc hoạch định chiến lược, mà còn là công cụ hữu ích để nhà đầu tư, tổ chức tín dụng và các bên liên quan đưa ra quyết định đúng đắn.</w:t>
      </w:r>
    </w:p>
    <w:p w14:paraId="60FE089A" w14:textId="77777777" w:rsidR="00D978DF" w:rsidRPr="00761336" w:rsidRDefault="00D978DF">
      <w:pPr>
        <w:widowControl/>
        <w:spacing w:line="276" w:lineRule="auto"/>
        <w:jc w:val="both"/>
        <w:rPr>
          <w:rFonts w:ascii="Times New Roman" w:eastAsia="Times New Roman" w:hAnsi="Times New Roman" w:cs="Times New Roman"/>
          <w:sz w:val="26"/>
          <w:szCs w:val="26"/>
        </w:rPr>
      </w:pPr>
    </w:p>
    <w:p w14:paraId="0C9CF5B5" w14:textId="77777777" w:rsidR="00D978DF" w:rsidRPr="00761336" w:rsidRDefault="00000000">
      <w:pPr>
        <w:widowControl/>
        <w:spacing w:line="276" w:lineRule="auto"/>
        <w:jc w:val="both"/>
        <w:rPr>
          <w:rFonts w:ascii="Times New Roman" w:eastAsia="Times New Roman" w:hAnsi="Times New Roman" w:cs="Times New Roman"/>
          <w:sz w:val="26"/>
          <w:szCs w:val="26"/>
        </w:rPr>
      </w:pPr>
      <w:r w:rsidRPr="00761336">
        <w:rPr>
          <w:rFonts w:ascii="Times New Roman" w:eastAsia="Times New Roman" w:hAnsi="Times New Roman" w:cs="Times New Roman"/>
          <w:sz w:val="26"/>
          <w:szCs w:val="26"/>
        </w:rPr>
        <w:t>Tập đoàn Hòa Phát, với vị thế là một trong những doanh nghiệp hàng đầu trong lĩnh vực công nghiệp và đặc biệt là ngành thép – ngành được coi là xương sống của nền kinh tế – đã có quá trình phát triển mạnh mẽ trong hơn ba thập kỷ qua, đồng thời cũng đối diện với nhiều thách thức trong giai đoạn 2022–2024, khi thị trường toàn cầu biến động mạnh bởi lạm phát, lãi suất và nhu cầu thép suy giảm. Việc lựa chọn đề tài “Phân tích tài chính Tập đoàn Hòa Phát” xuất phát từ mong muốn nghiên cứu một doanh nghiệp có tầm ảnh hưởng lớn đối với ngành thép nói riêng và nền kinh tế Việt Nam nói chung, qua đó thấy rõ hơn những cơ hội, khó khăn cũng như triển vọng phát triển của tập đoàn trong bối cảnh hiện nay.</w:t>
      </w:r>
    </w:p>
    <w:p w14:paraId="7C8ADA98" w14:textId="77777777" w:rsidR="00D978DF" w:rsidRPr="00761336" w:rsidRDefault="00D978DF">
      <w:pPr>
        <w:widowControl/>
        <w:spacing w:line="276" w:lineRule="auto"/>
        <w:jc w:val="both"/>
        <w:rPr>
          <w:rFonts w:ascii="Times New Roman" w:eastAsia="Times New Roman" w:hAnsi="Times New Roman" w:cs="Times New Roman"/>
          <w:sz w:val="26"/>
          <w:szCs w:val="26"/>
        </w:rPr>
      </w:pPr>
    </w:p>
    <w:p w14:paraId="75F1021C" w14:textId="77777777" w:rsidR="00D978DF" w:rsidRPr="00761336" w:rsidRDefault="00000000">
      <w:pPr>
        <w:widowControl/>
        <w:spacing w:line="276" w:lineRule="auto"/>
        <w:jc w:val="both"/>
        <w:rPr>
          <w:rFonts w:ascii="Times New Roman" w:eastAsia="Times New Roman" w:hAnsi="Times New Roman" w:cs="Times New Roman"/>
          <w:sz w:val="26"/>
          <w:szCs w:val="26"/>
          <w:lang w:val="vi-VN"/>
        </w:rPr>
      </w:pPr>
      <w:r w:rsidRPr="00761336">
        <w:rPr>
          <w:rFonts w:ascii="Times New Roman" w:eastAsia="Times New Roman" w:hAnsi="Times New Roman" w:cs="Times New Roman"/>
          <w:sz w:val="26"/>
          <w:szCs w:val="26"/>
        </w:rPr>
        <w:t>Bài nghiên cứu hướng đến mục tiêu phân tích toàn diện tình hình tài chính của Hòa Phát thông qua các chỉ tiêu cơ bản như khả năng thanh toán, khả năng sinh lời, hiệu quả sử dụng vốn và cơ cấu tài chính, đồng thời kết hợp dữ liệu thực tiễn từ báo cáo tài chính hợp nhất trong giai đoạn 2022–2024 với phương pháp phân tích tài chính hiện đại để đưa ra những nhận định khách quan. Trên cơ sở kết quả phân tích, bài nghiên cứu không chỉ đánh giá điểm mạnh và hạn chế trong quản trị tài chính của doanh nghiệp, mà còn đề xuất một số giải pháp nhằm nâng cao hiệu quả hoạt động, củng cố vị thế cạnh tranh và hướng đến sự phát triển bền vững trong tương lai.</w:t>
      </w:r>
    </w:p>
    <w:p w14:paraId="39EAE6FB" w14:textId="77777777" w:rsidR="00D978DF" w:rsidRPr="00761336" w:rsidRDefault="00D978DF">
      <w:pPr>
        <w:widowControl/>
        <w:spacing w:line="276" w:lineRule="auto"/>
        <w:jc w:val="both"/>
        <w:rPr>
          <w:rFonts w:ascii="Times New Roman" w:hAnsi="Times New Roman" w:cs="Times New Roman"/>
          <w:sz w:val="26"/>
          <w:szCs w:val="26"/>
          <w:lang w:val="vi-VN"/>
        </w:rPr>
      </w:pPr>
    </w:p>
    <w:p w14:paraId="03ABF9F0" w14:textId="77777777" w:rsidR="00D978DF" w:rsidRPr="00761336" w:rsidRDefault="00000000">
      <w:pPr>
        <w:pBdr>
          <w:top w:val="none" w:sz="0" w:space="0" w:color="000000"/>
          <w:left w:val="none" w:sz="0" w:space="0" w:color="000000"/>
          <w:bottom w:val="none" w:sz="0" w:space="0" w:color="000000"/>
          <w:right w:val="none" w:sz="0" w:space="0" w:color="000000"/>
        </w:pBdr>
        <w:spacing w:line="276" w:lineRule="auto"/>
        <w:jc w:val="both"/>
        <w:outlineLvl w:val="0"/>
        <w:rPr>
          <w:rFonts w:ascii="Times New Roman" w:hAnsi="Times New Roman" w:cs="Times New Roman"/>
          <w:sz w:val="26"/>
          <w:szCs w:val="26"/>
        </w:rPr>
      </w:pPr>
      <w:bookmarkStart w:id="1" w:name="_Toc211973126"/>
      <w:r w:rsidRPr="00761336">
        <w:rPr>
          <w:rFonts w:ascii="Times New Roman" w:eastAsia="Times New Roman" w:hAnsi="Times New Roman" w:cs="Times New Roman"/>
          <w:b/>
          <w:color w:val="000000"/>
          <w:sz w:val="26"/>
          <w:szCs w:val="26"/>
          <w:lang w:val="vi-VN"/>
        </w:rPr>
        <w:t xml:space="preserve">PHẦN 1: </w:t>
      </w:r>
      <w:r w:rsidRPr="00761336">
        <w:rPr>
          <w:rFonts w:ascii="Times New Roman" w:eastAsia="Times New Roman" w:hAnsi="Times New Roman" w:cs="Times New Roman"/>
          <w:b/>
          <w:color w:val="000000"/>
          <w:sz w:val="26"/>
          <w:szCs w:val="26"/>
        </w:rPr>
        <w:t>PHÂN TÍCH NỀN KINH TẾ VÀ PHÂN TÍCH NGÀNH</w:t>
      </w:r>
      <w:bookmarkEnd w:id="1"/>
    </w:p>
    <w:p w14:paraId="77A01BFD" w14:textId="77777777" w:rsidR="00D978DF" w:rsidRPr="00761336" w:rsidRDefault="00000000">
      <w:pPr>
        <w:pStyle w:val="Heading1"/>
        <w:spacing w:before="0" w:line="276" w:lineRule="auto"/>
        <w:jc w:val="both"/>
        <w:rPr>
          <w:rFonts w:ascii="Times New Roman" w:hAnsi="Times New Roman" w:cs="Times New Roman"/>
          <w:sz w:val="26"/>
          <w:szCs w:val="26"/>
        </w:rPr>
      </w:pPr>
      <w:bookmarkStart w:id="2" w:name="_Toc211973127"/>
      <w:r w:rsidRPr="00761336">
        <w:rPr>
          <w:rFonts w:ascii="Times New Roman" w:eastAsia="Times New Roman" w:hAnsi="Times New Roman" w:cs="Times New Roman"/>
          <w:b/>
          <w:color w:val="000000"/>
          <w:sz w:val="26"/>
          <w:szCs w:val="26"/>
        </w:rPr>
        <w:t>1. Phân tích nền kinh tế Việt Nam trong giai đoạn 2022 - 2024</w:t>
      </w:r>
      <w:bookmarkEnd w:id="2"/>
    </w:p>
    <w:p w14:paraId="545EB4C4" w14:textId="50EBFDD6" w:rsidR="00D978DF" w:rsidRPr="00761336" w:rsidRDefault="00000000">
      <w:pPr>
        <w:pBdr>
          <w:top w:val="none" w:sz="0" w:space="0" w:color="000000"/>
          <w:left w:val="none" w:sz="0" w:space="0" w:color="000000"/>
          <w:bottom w:val="none" w:sz="0" w:space="0" w:color="000000"/>
          <w:right w:val="none" w:sz="0" w:space="0" w:color="000000"/>
        </w:pBdr>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Trong giai đoạn 2022–2024, kinh tế Việt Nam trải qua những biến động đáng chú ý với cả cơ hội và thách thức đan xen. Năm 2022, GDP tăng 8,</w:t>
      </w:r>
      <w:r w:rsidR="00906AE7">
        <w:rPr>
          <w:rFonts w:ascii="Times New Roman" w:eastAsia="Times New Roman" w:hAnsi="Times New Roman" w:cs="Times New Roman"/>
          <w:color w:val="000000"/>
          <w:sz w:val="26"/>
          <w:szCs w:val="26"/>
          <w:lang w:val="vi-VN"/>
        </w:rPr>
        <w:t>12</w:t>
      </w:r>
      <w:r w:rsidRPr="00761336">
        <w:rPr>
          <w:rFonts w:ascii="Times New Roman" w:eastAsia="Times New Roman" w:hAnsi="Times New Roman" w:cs="Times New Roman"/>
          <w:color w:val="000000"/>
          <w:sz w:val="26"/>
          <w:szCs w:val="26"/>
        </w:rPr>
        <w:t xml:space="preserve">%, mức cao nhất kể từ năm 2011, phản ánh quá trình phục hồi mạnh mẽ sau đại dịch. Sang 2023, tốc độ tăng trưởng giảm xuống 5,05% do nhu cầu thế giới suy yếu, xuất khẩu và sản xuất công nghiệp gặp khó khăn. Tuy nhiên, đến 2024, tăng trưởng bật trở lại với mức 7,09%, nhờ xuất khẩu đạt kỷ lục 405,5 tỷ USD, thặng dư thương mại 24,8 tỷ USD, cùng với dòng vốn FDI ổn định và tiêu dùng trong nước phục hồi. Lạm phát được kiểm soát ở mức 3,6%, góp phần duy trì ổn định vĩ </w:t>
      </w:r>
      <w:r w:rsidRPr="00761336">
        <w:rPr>
          <w:rFonts w:ascii="Times New Roman" w:eastAsia="Times New Roman" w:hAnsi="Times New Roman" w:cs="Times New Roman"/>
          <w:color w:val="000000"/>
          <w:sz w:val="26"/>
          <w:szCs w:val="26"/>
        </w:rPr>
        <w:lastRenderedPageBreak/>
        <w:t>mô và củng cố niềm tin thị trường.</w:t>
      </w:r>
    </w:p>
    <w:p w14:paraId="5049A6C8" w14:textId="77777777" w:rsidR="00D978DF" w:rsidRPr="00761336" w:rsidRDefault="00000000">
      <w:pPr>
        <w:pBdr>
          <w:top w:val="none" w:sz="0" w:space="0" w:color="000000"/>
          <w:left w:val="none" w:sz="0" w:space="0" w:color="000000"/>
          <w:bottom w:val="none" w:sz="0" w:space="0" w:color="000000"/>
          <w:right w:val="none" w:sz="0" w:space="0" w:color="000000"/>
        </w:pBdr>
        <w:spacing w:before="240" w:after="240" w:line="276" w:lineRule="auto"/>
        <w:jc w:val="both"/>
        <w:rPr>
          <w:rFonts w:ascii="Times New Roman" w:hAnsi="Times New Roman" w:cs="Times New Roman"/>
          <w:sz w:val="26"/>
          <w:szCs w:val="26"/>
        </w:rPr>
      </w:pPr>
      <w:r w:rsidRPr="00761336">
        <w:rPr>
          <w:rFonts w:ascii="Times New Roman" w:hAnsi="Times New Roman" w:cs="Times New Roman"/>
          <w:noProof/>
          <w:sz w:val="26"/>
          <w:szCs w:val="26"/>
        </w:rPr>
        <w:drawing>
          <wp:inline distT="0" distB="0" distL="0" distR="0" wp14:anchorId="0851350D" wp14:editId="2E6CF2D0">
            <wp:extent cx="5734050" cy="30251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rcRect b="6588"/>
                    <a:stretch>
                      <a:fillRect/>
                    </a:stretch>
                  </pic:blipFill>
                  <pic:spPr>
                    <a:xfrm>
                      <a:off x="0" y="0"/>
                      <a:ext cx="5734049" cy="3025140"/>
                    </a:xfrm>
                    <a:prstGeom prst="rect">
                      <a:avLst/>
                    </a:prstGeom>
                  </pic:spPr>
                </pic:pic>
              </a:graphicData>
            </a:graphic>
          </wp:inline>
        </w:drawing>
      </w:r>
    </w:p>
    <w:p w14:paraId="34902FDB" w14:textId="77777777" w:rsidR="00D978DF" w:rsidRPr="00761336" w:rsidRDefault="00000000">
      <w:pPr>
        <w:pBdr>
          <w:top w:val="none" w:sz="0" w:space="0" w:color="000000"/>
          <w:left w:val="none" w:sz="0" w:space="0" w:color="000000"/>
          <w:bottom w:val="none" w:sz="0" w:space="0" w:color="000000"/>
          <w:right w:val="none" w:sz="0" w:space="0" w:color="000000"/>
        </w:pBdr>
        <w:spacing w:before="240" w:after="240" w:line="276" w:lineRule="auto"/>
        <w:jc w:val="center"/>
        <w:rPr>
          <w:rFonts w:ascii="Times New Roman" w:hAnsi="Times New Roman" w:cs="Times New Roman"/>
          <w:sz w:val="26"/>
          <w:szCs w:val="26"/>
        </w:rPr>
      </w:pPr>
      <w:r w:rsidRPr="00761336">
        <w:rPr>
          <w:rFonts w:ascii="Times New Roman" w:eastAsia="Times New Roman" w:hAnsi="Times New Roman" w:cs="Times New Roman"/>
          <w:i/>
          <w:color w:val="000000"/>
          <w:sz w:val="26"/>
          <w:szCs w:val="26"/>
          <w:highlight w:val="white"/>
        </w:rPr>
        <w:t>Tăng trưởng GDP cả nước giai đoạn 2011- 2024</w:t>
      </w:r>
    </w:p>
    <w:p w14:paraId="1A88BF4D" w14:textId="77777777" w:rsidR="00D978DF" w:rsidRPr="00761336" w:rsidRDefault="00000000">
      <w:pPr>
        <w:pBdr>
          <w:top w:val="none" w:sz="0" w:space="0" w:color="000000"/>
          <w:left w:val="none" w:sz="0" w:space="0" w:color="000000"/>
          <w:bottom w:val="none" w:sz="0" w:space="0" w:color="000000"/>
          <w:right w:val="none" w:sz="0" w:space="0" w:color="000000"/>
        </w:pBdr>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Cơ hội trong giai đoạn này đến từ việc Việt Nam tiếp tục là điểm đến hấp dẫn trong quá trình dịch chuyển chuỗi cung ứng toàn cầu, đặc biệt trong các ngành điện tử, dệt may, giày dép và công nghệ cao. Việt Nam tiếp tục tận dụng được lợi thế từ các hiệp định thương mại tự do, thu hút dòng vốn FDI vào sản xuất chế tạo, đồng thời thị trường nội địa và du lịch hồi phục tạo thêm động lực tăng trưởng. Lạm phát ổn định giúp chính sách tiền tệ duy trì linh hoạt, hỗ trợ cho tăng trưởng mà vẫn kiểm soát được rủi ro giá cả.</w:t>
      </w:r>
    </w:p>
    <w:p w14:paraId="0B1F9F2E" w14:textId="77777777" w:rsidR="00D978DF" w:rsidRPr="00761336" w:rsidRDefault="00000000">
      <w:pPr>
        <w:pBdr>
          <w:top w:val="none" w:sz="0" w:space="0" w:color="000000"/>
          <w:left w:val="none" w:sz="0" w:space="0" w:color="000000"/>
          <w:bottom w:val="none" w:sz="0" w:space="0" w:color="000000"/>
          <w:right w:val="none" w:sz="0" w:space="0" w:color="000000"/>
        </w:pBdr>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Tuy vậy, nền kinh tế vẫn đối diện nhiều thách thức. Việt Nam phụ thuộc mạnh vào nhập khẩu nguyên liệu, khiến giá trị gia tăng trong nước chưa cao và dễ tổn thương khi thương mại quốc tế biến động. Các rủi ro từ chủ nghĩa bảo hộ, chính sách thương mại mới từ Mỹ và EU, cùng với căng thẳng địa chính trị, có thể tác động tiêu cực đến xuất khẩu. Trong nước, thị trường bất động sản và tín dụng tiềm ẩn rủi ro hệ thống; hạ tầng logistics và năng lượng còn hạn chế so với nhu cầu phát triển; năng suất lao động và năng lực đổi mới sáng tạo vẫn là điểm yếu dài hạn.</w:t>
      </w:r>
    </w:p>
    <w:p w14:paraId="572A4FA6" w14:textId="77777777" w:rsidR="00D978DF" w:rsidRPr="00761336" w:rsidRDefault="00000000">
      <w:pPr>
        <w:pBdr>
          <w:top w:val="none" w:sz="0" w:space="0" w:color="000000"/>
          <w:left w:val="none" w:sz="0" w:space="0" w:color="000000"/>
          <w:bottom w:val="none" w:sz="0" w:space="0" w:color="000000"/>
          <w:right w:val="none" w:sz="0" w:space="0" w:color="000000"/>
        </w:pBdr>
        <w:spacing w:before="240" w:after="240" w:line="276" w:lineRule="auto"/>
        <w:jc w:val="both"/>
        <w:rPr>
          <w:rFonts w:ascii="Times New Roman" w:eastAsia="Times New Roman" w:hAnsi="Times New Roman" w:cs="Times New Roman"/>
          <w:color w:val="000000"/>
          <w:sz w:val="26"/>
          <w:szCs w:val="26"/>
          <w:lang w:val="vi-VN"/>
        </w:rPr>
      </w:pPr>
      <w:r w:rsidRPr="00761336">
        <w:rPr>
          <w:rFonts w:ascii="Times New Roman" w:eastAsia="Times New Roman" w:hAnsi="Times New Roman" w:cs="Times New Roman"/>
          <w:color w:val="000000"/>
          <w:sz w:val="26"/>
          <w:szCs w:val="26"/>
        </w:rPr>
        <w:t>Tổng thể, giai đoạn 2022–2024 cho thấy kinh tế Việt Nam duy trì được sự ổn định và phục hồi nhanh sau cú sốc toàn cầu, nhưng cũng bộc lộ những điểm yếu cơ cấu cần giải quyết. Việc củng cố ổn định vĩ mô, đẩy mạnh tỷ lệ nội địa hóa trong sản xuất, đầu tư vào hạ tầng và nâng cao năng suất lao động sẽ là chìa khóa để đảm bảo tăng trưởng bền vững trong giai đoạn tới.</w:t>
      </w:r>
    </w:p>
    <w:p w14:paraId="0D3E6607" w14:textId="77777777" w:rsidR="00D978DF" w:rsidRPr="00761336" w:rsidRDefault="00000000">
      <w:pPr>
        <w:pStyle w:val="Heading1"/>
        <w:spacing w:before="0" w:line="276" w:lineRule="auto"/>
        <w:jc w:val="both"/>
        <w:rPr>
          <w:rFonts w:ascii="Times New Roman" w:hAnsi="Times New Roman" w:cs="Times New Roman"/>
          <w:sz w:val="26"/>
          <w:szCs w:val="26"/>
        </w:rPr>
      </w:pPr>
      <w:bookmarkStart w:id="3" w:name="_Toc211973128"/>
      <w:r w:rsidRPr="00761336">
        <w:rPr>
          <w:rFonts w:ascii="Times New Roman" w:eastAsia="Times New Roman" w:hAnsi="Times New Roman" w:cs="Times New Roman"/>
          <w:b/>
          <w:color w:val="000000"/>
          <w:sz w:val="26"/>
          <w:szCs w:val="26"/>
        </w:rPr>
        <w:lastRenderedPageBreak/>
        <w:t>2</w:t>
      </w:r>
      <w:r w:rsidRPr="00761336">
        <w:rPr>
          <w:rFonts w:ascii="Times New Roman" w:eastAsia="Times New Roman" w:hAnsi="Times New Roman" w:cs="Times New Roman"/>
          <w:b/>
          <w:color w:val="000000"/>
          <w:sz w:val="26"/>
          <w:szCs w:val="26"/>
          <w:lang w:val="vi-VN"/>
        </w:rPr>
        <w:t>.</w:t>
      </w:r>
      <w:r w:rsidRPr="00761336">
        <w:rPr>
          <w:rFonts w:ascii="Times New Roman" w:eastAsia="Times New Roman" w:hAnsi="Times New Roman" w:cs="Times New Roman"/>
          <w:b/>
          <w:color w:val="000000"/>
          <w:sz w:val="26"/>
          <w:szCs w:val="26"/>
        </w:rPr>
        <w:t xml:space="preserve"> Phân tích ngành</w:t>
      </w:r>
      <w:bookmarkEnd w:id="3"/>
    </w:p>
    <w:p w14:paraId="2DDCE267" w14:textId="77777777" w:rsidR="00D978DF" w:rsidRPr="00761336" w:rsidRDefault="00000000">
      <w:pPr>
        <w:pStyle w:val="Heading2"/>
        <w:spacing w:line="276" w:lineRule="auto"/>
        <w:jc w:val="both"/>
        <w:rPr>
          <w:rFonts w:ascii="Times New Roman" w:eastAsia="Times New Roman" w:hAnsi="Times New Roman" w:cs="Times New Roman"/>
          <w:b/>
          <w:bCs/>
          <w:color w:val="000000"/>
          <w:sz w:val="26"/>
          <w:szCs w:val="26"/>
        </w:rPr>
      </w:pPr>
      <w:bookmarkStart w:id="4" w:name="_Toc211973129"/>
      <w:r w:rsidRPr="00761336">
        <w:rPr>
          <w:rFonts w:ascii="Times New Roman" w:eastAsia="Times New Roman" w:hAnsi="Times New Roman" w:cs="Times New Roman"/>
          <w:b/>
          <w:color w:val="000000"/>
          <w:sz w:val="26"/>
          <w:szCs w:val="26"/>
        </w:rPr>
        <w:t>2.1 Thị trường công nghiệp sản xuất Thép</w:t>
      </w:r>
      <w:bookmarkEnd w:id="4"/>
    </w:p>
    <w:p w14:paraId="0DE64451" w14:textId="2DF55E74" w:rsidR="00D978DF" w:rsidRPr="00761336" w:rsidRDefault="00000000">
      <w:pPr>
        <w:pBdr>
          <w:top w:val="none" w:sz="0" w:space="0" w:color="000000"/>
          <w:left w:val="none" w:sz="0" w:space="0" w:color="000000"/>
          <w:bottom w:val="none" w:sz="0" w:space="0" w:color="000000"/>
          <w:right w:val="none" w:sz="0" w:space="0" w:color="000000"/>
        </w:pBdr>
        <w:spacing w:before="240" w:line="276" w:lineRule="auto"/>
        <w:jc w:val="both"/>
        <w:rPr>
          <w:rFonts w:ascii="Times New Roman" w:eastAsia="Times New Roman" w:hAnsi="Times New Roman" w:cs="Times New Roman"/>
          <w:color w:val="333333"/>
          <w:sz w:val="26"/>
          <w:szCs w:val="26"/>
        </w:rPr>
      </w:pPr>
      <w:r w:rsidRPr="00761336">
        <w:rPr>
          <w:rFonts w:ascii="Times New Roman" w:eastAsia="Times New Roman" w:hAnsi="Times New Roman" w:cs="Times New Roman"/>
          <w:color w:val="333333"/>
          <w:sz w:val="26"/>
          <w:szCs w:val="26"/>
        </w:rPr>
        <w:t xml:space="preserve">Trong khi nền kinh tế Việt Nam ghi nhận những điểm sáng với ước tính GDP năm 2022 tăng </w:t>
      </w:r>
      <w:r w:rsidR="00906AE7">
        <w:rPr>
          <w:rFonts w:ascii="Times New Roman" w:eastAsia="Times New Roman" w:hAnsi="Times New Roman" w:cs="Times New Roman"/>
          <w:color w:val="333333"/>
          <w:sz w:val="26"/>
          <w:szCs w:val="26"/>
          <w:lang w:val="vi-VN"/>
        </w:rPr>
        <w:t>5.57</w:t>
      </w:r>
      <w:r w:rsidRPr="00761336">
        <w:rPr>
          <w:rFonts w:ascii="Times New Roman" w:eastAsia="Times New Roman" w:hAnsi="Times New Roman" w:cs="Times New Roman"/>
          <w:color w:val="333333"/>
          <w:sz w:val="26"/>
          <w:szCs w:val="26"/>
        </w:rPr>
        <w:t>% so với năm trước do nền kinh tế được khôi phục trở lại và đạt mức tăng cao nhất trong giai đoạn 2011</w:t>
      </w:r>
      <w:r w:rsidR="00906AE7">
        <w:rPr>
          <w:rFonts w:ascii="Times New Roman" w:eastAsia="Times New Roman" w:hAnsi="Times New Roman" w:cs="Times New Roman"/>
          <w:color w:val="333333"/>
          <w:sz w:val="26"/>
          <w:szCs w:val="26"/>
          <w:lang w:val="vi-VN"/>
        </w:rPr>
        <w:t xml:space="preserve"> - </w:t>
      </w:r>
      <w:r w:rsidRPr="00761336">
        <w:rPr>
          <w:rFonts w:ascii="Times New Roman" w:eastAsia="Times New Roman" w:hAnsi="Times New Roman" w:cs="Times New Roman"/>
          <w:color w:val="333333"/>
          <w:sz w:val="26"/>
          <w:szCs w:val="26"/>
        </w:rPr>
        <w:t>202</w:t>
      </w:r>
      <w:r w:rsidR="00906AE7">
        <w:rPr>
          <w:rFonts w:ascii="Times New Roman" w:eastAsia="Times New Roman" w:hAnsi="Times New Roman" w:cs="Times New Roman"/>
          <w:color w:val="333333"/>
          <w:sz w:val="26"/>
          <w:szCs w:val="26"/>
          <w:lang w:val="vi-VN"/>
        </w:rPr>
        <w:t>4</w:t>
      </w:r>
      <w:r w:rsidRPr="00761336">
        <w:rPr>
          <w:rFonts w:ascii="Times New Roman" w:eastAsia="Times New Roman" w:hAnsi="Times New Roman" w:cs="Times New Roman"/>
          <w:color w:val="333333"/>
          <w:sz w:val="26"/>
          <w:szCs w:val="26"/>
        </w:rPr>
        <w:t>, trong mức tăng chung của toàn nền kinh tế, khu vực công nghiệp và xây dựng tăng 7,78%, đóng góp 38,24%. thì đối với ngành thép Việt Nam, 2022 là một năm đầy thách thức, đó là thị trường tiêu thụ nội địa giảm sút, giá cả nguyên liệu sản xuất thép diễn biến phức tạp, nhiều doanh nghiệp thép rơi vào tình trạng khó khăn, thua lỗ.</w:t>
      </w:r>
    </w:p>
    <w:p w14:paraId="55D7820F" w14:textId="77777777" w:rsidR="00D978DF" w:rsidRPr="00761336" w:rsidRDefault="00D978DF">
      <w:pPr>
        <w:pBdr>
          <w:top w:val="none" w:sz="0" w:space="0" w:color="000000"/>
          <w:left w:val="none" w:sz="0" w:space="0" w:color="000000"/>
          <w:bottom w:val="none" w:sz="0" w:space="0" w:color="000000"/>
          <w:right w:val="none" w:sz="0" w:space="0" w:color="000000"/>
        </w:pBdr>
        <w:spacing w:before="240" w:line="276" w:lineRule="auto"/>
        <w:jc w:val="both"/>
        <w:rPr>
          <w:rFonts w:ascii="Times New Roman" w:eastAsia="Times New Roman" w:hAnsi="Times New Roman" w:cs="Times New Roman"/>
          <w:color w:val="212529"/>
          <w:sz w:val="26"/>
          <w:szCs w:val="26"/>
          <w:highlight w:val="white"/>
        </w:rPr>
      </w:pPr>
      <w:hyperlink r:id="rId16" w:tooltip="https://nhandan.vn/nganh-thep-viet-nam-tag81322.html" w:history="1">
        <w:r w:rsidRPr="00761336">
          <w:rPr>
            <w:rStyle w:val="Hyperlink"/>
            <w:rFonts w:ascii="Times New Roman" w:eastAsia="Times New Roman" w:hAnsi="Times New Roman" w:cs="Times New Roman"/>
            <w:color w:val="212529"/>
            <w:sz w:val="26"/>
            <w:szCs w:val="26"/>
            <w:highlight w:val="white"/>
            <w:u w:val="none"/>
          </w:rPr>
          <w:t>Ngành thép Việt Nam</w:t>
        </w:r>
      </w:hyperlink>
      <w:r w:rsidRPr="00761336">
        <w:rPr>
          <w:rFonts w:ascii="Times New Roman" w:eastAsia="Times New Roman" w:hAnsi="Times New Roman" w:cs="Times New Roman"/>
          <w:color w:val="212529"/>
          <w:sz w:val="26"/>
          <w:szCs w:val="26"/>
          <w:highlight w:val="white"/>
        </w:rPr>
        <w:t xml:space="preserve"> hiện vẫn còn phụ thuộc đáng kể vào nguồn cung nhập khẩu. Điều này khiến thị trường dễ bị ảnh hưởng trước những biến động từ các quốc gia cung ứng lớn nên giá thành phụ thuộc vào biến động thế giới, khi giá hàng hóa tăng sẽ làm chi phí sản xuất đội lên và ảnh hưởng trực tiếp đến lợi nhuận</w:t>
      </w:r>
      <w:r w:rsidRPr="00761336">
        <w:rPr>
          <w:rFonts w:ascii="Times New Roman" w:eastAsia="Times New Roman" w:hAnsi="Times New Roman" w:cs="Times New Roman"/>
          <w:color w:val="212529"/>
          <w:sz w:val="26"/>
          <w:szCs w:val="26"/>
        </w:rPr>
        <w:t xml:space="preserve">. </w:t>
      </w:r>
      <w:hyperlink r:id="rId17" w:tooltip="https://nhandan.vn/ong-nghiem-xuan-da-tiep-tuc-duoc-tin-nhiem-bau-lam-chu-tich-hiep-hoi-thep-viet-nam-post883641.html" w:history="1">
        <w:r w:rsidRPr="00761336">
          <w:rPr>
            <w:rStyle w:val="Hyperlink"/>
            <w:rFonts w:ascii="Times New Roman" w:eastAsia="Times New Roman" w:hAnsi="Times New Roman" w:cs="Times New Roman"/>
            <w:color w:val="212529"/>
            <w:sz w:val="26"/>
            <w:szCs w:val="26"/>
            <w:highlight w:val="white"/>
            <w:u w:val="none"/>
          </w:rPr>
          <w:t>Theo Hiệp hội Thép Việt Nam</w:t>
        </w:r>
      </w:hyperlink>
      <w:r w:rsidRPr="00761336">
        <w:rPr>
          <w:rFonts w:ascii="Times New Roman" w:eastAsia="Times New Roman" w:hAnsi="Times New Roman" w:cs="Times New Roman"/>
          <w:color w:val="212529"/>
          <w:sz w:val="26"/>
          <w:szCs w:val="26"/>
          <w:highlight w:val="white"/>
        </w:rPr>
        <w:t xml:space="preserve"> (VSA), trong năm 2024, sản lượng thép thành phẩm nhập khẩu vào Việt Nam đạt 17,7 triệu tấn, với kim ngạch lên tới 12,6 tỷ USD. Trong khi đó, sản lượng xuất khẩu chỉ ở mức 12,6 triệu tấn, tương ứng giá trị hơn 9 tỷ USD. Sự mất cân đối rõ nét về cả khối</w:t>
      </w:r>
    </w:p>
    <w:p w14:paraId="47A560DA" w14:textId="77777777" w:rsidR="00D978DF" w:rsidRPr="00761336" w:rsidRDefault="00000000">
      <w:pPr>
        <w:pBdr>
          <w:top w:val="none" w:sz="0" w:space="0" w:color="000000"/>
          <w:left w:val="none" w:sz="0" w:space="0" w:color="000000"/>
          <w:bottom w:val="none" w:sz="0" w:space="0" w:color="000000"/>
          <w:right w:val="none" w:sz="0" w:space="0" w:color="000000"/>
        </w:pBdr>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212529"/>
          <w:sz w:val="26"/>
          <w:szCs w:val="26"/>
          <w:highlight w:val="white"/>
        </w:rPr>
        <w:t>lượng và giá trị cho thấy Việt Nam vẫn đang là quốc gia nhập siêu thép. </w:t>
      </w:r>
    </w:p>
    <w:p w14:paraId="2E815826" w14:textId="77777777" w:rsidR="00D978DF" w:rsidRPr="00761336" w:rsidRDefault="00000000">
      <w:pPr>
        <w:pStyle w:val="Heading4"/>
        <w:pBdr>
          <w:top w:val="none" w:sz="0" w:space="0" w:color="000000"/>
          <w:left w:val="none" w:sz="0" w:space="0" w:color="000000"/>
          <w:bottom w:val="none" w:sz="0" w:space="0" w:color="000000"/>
          <w:right w:val="none" w:sz="0" w:space="0" w:color="000000"/>
        </w:pBdr>
        <w:shd w:val="clear" w:color="FFFFFF" w:fill="FFFFFF"/>
        <w:spacing w:after="0" w:line="276" w:lineRule="auto"/>
        <w:jc w:val="both"/>
        <w:rPr>
          <w:rFonts w:ascii="Times New Roman" w:hAnsi="Times New Roman" w:cs="Times New Roman"/>
          <w:i w:val="0"/>
          <w:sz w:val="26"/>
          <w:szCs w:val="26"/>
        </w:rPr>
      </w:pPr>
      <w:r w:rsidRPr="00761336">
        <w:rPr>
          <w:rFonts w:ascii="Times New Roman" w:eastAsia="Times New Roman" w:hAnsi="Times New Roman" w:cs="Times New Roman"/>
          <w:i w:val="0"/>
          <w:iCs w:val="0"/>
          <w:color w:val="212529"/>
          <w:sz w:val="26"/>
          <w:szCs w:val="26"/>
          <w:highlight w:val="white"/>
        </w:rPr>
        <w:t>Tuy nhiên, việc tiêu dùng nội địa vẫn duy trì tốc độ tăng trưởng khá tốt những năm gần đây, ngành thép, đặc biệt là mảng thép xây dựng của Hòa Phát chịu tác động trực tiếp từ các hoạt động đầu tư hạ tầng và bất động sản. Các dự án lớn như cao tốc Bắc – Nam, sân bay Long Thành hay hàng loạt khu công nghiệp mới đã và đang được triển khai tạo ra nhu cầu tiêu thụ thép khá ổn định</w:t>
      </w:r>
    </w:p>
    <w:p w14:paraId="331F7230" w14:textId="77777777" w:rsidR="00D978DF" w:rsidRPr="00761336" w:rsidRDefault="00000000">
      <w:pPr>
        <w:pStyle w:val="Heading4"/>
        <w:pBdr>
          <w:top w:val="none" w:sz="0" w:space="0" w:color="000000"/>
          <w:left w:val="none" w:sz="0" w:space="0" w:color="000000"/>
          <w:bottom w:val="none" w:sz="0" w:space="0" w:color="000000"/>
          <w:right w:val="none" w:sz="0" w:space="0" w:color="000000"/>
        </w:pBdr>
        <w:shd w:val="clear" w:color="FFFFFF" w:fill="FFFFFF"/>
        <w:spacing w:after="0" w:line="276" w:lineRule="auto"/>
        <w:jc w:val="both"/>
        <w:rPr>
          <w:rFonts w:ascii="Times New Roman" w:hAnsi="Times New Roman" w:cs="Times New Roman"/>
          <w:i w:val="0"/>
          <w:sz w:val="26"/>
          <w:szCs w:val="26"/>
        </w:rPr>
      </w:pPr>
      <w:r w:rsidRPr="00761336">
        <w:rPr>
          <w:rFonts w:ascii="Times New Roman" w:eastAsia="Times New Roman" w:hAnsi="Times New Roman" w:cs="Times New Roman"/>
          <w:i w:val="0"/>
          <w:iCs w:val="0"/>
          <w:color w:val="212529"/>
          <w:sz w:val="26"/>
          <w:szCs w:val="26"/>
        </w:rPr>
        <w:t>Trên bình diện quốc tế, mặc dù xuất khẩu thép của Việt Nam đã mở rộng sang nhiều thị trường, song áp lực từ các biện pháp phòng vệ thương mại, điển hình là các vụ kiện chống bán phá giá ở Mỹ, EU hay Ấn Độ, vẫn là rủi ro thường trực, có thể hạn chế khả năng tăng trưởng xuất khẩu trong dài hạn. Ngoài ra, xu thế toàn cầu về sản xuất xanh và cam kết Net Zero 2050 của Việt Nam đang đặt ra thách thức mới cho ngành thép, buộc các doanh nghiệp phải đổi mới công nghệ, hướng tới mô hình sản xuất tiết kiệm năng lượng, giảm phát thải và tăng tính bền vững nếu muốn duy trì khả năng cạnh tranh lâu dài.</w:t>
      </w:r>
    </w:p>
    <w:p w14:paraId="586C60BF" w14:textId="77777777" w:rsidR="00D978DF" w:rsidRPr="00761336" w:rsidRDefault="00000000">
      <w:pPr>
        <w:pBdr>
          <w:top w:val="none" w:sz="0" w:space="0" w:color="000000"/>
          <w:left w:val="none" w:sz="0" w:space="0" w:color="000000"/>
          <w:bottom w:val="none" w:sz="0" w:space="0" w:color="000000"/>
          <w:right w:val="none" w:sz="0" w:space="0" w:color="000000"/>
        </w:pBdr>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Như vậy, ngành công nghiệp thép Việt Nam giai đoạn 2022 – 2024 vừa cho thấy sự nhạy cảm trước các biến động kinh tế và thị trường thế giới, vừa thể hiện tiềm năng tăng trưởng gắn liền với đầu tư công và quá trình đô thị hóa, nhưng để phát triển bền vững, ngành cần sớm giải quyết vấn đề phụ thuộc nguyên liệu nhập khẩu và thích ứng với yêu cầu khắt khe hơn từ các thị trường quốc tế.</w:t>
      </w:r>
    </w:p>
    <w:p w14:paraId="50C859E6" w14:textId="77777777" w:rsidR="00D978DF" w:rsidRPr="00761336" w:rsidRDefault="00000000">
      <w:pPr>
        <w:pStyle w:val="Heading2"/>
        <w:spacing w:line="276" w:lineRule="auto"/>
        <w:jc w:val="both"/>
        <w:rPr>
          <w:rFonts w:ascii="Times New Roman" w:hAnsi="Times New Roman" w:cs="Times New Roman"/>
          <w:sz w:val="26"/>
          <w:szCs w:val="26"/>
        </w:rPr>
      </w:pPr>
      <w:bookmarkStart w:id="5" w:name="_Toc211973130"/>
      <w:r w:rsidRPr="00761336">
        <w:rPr>
          <w:rFonts w:ascii="Times New Roman" w:eastAsia="Times New Roman" w:hAnsi="Times New Roman" w:cs="Times New Roman"/>
          <w:b/>
          <w:color w:val="000000"/>
          <w:sz w:val="26"/>
          <w:szCs w:val="26"/>
        </w:rPr>
        <w:lastRenderedPageBreak/>
        <w:t>2.2 Tổng quan về tập đoàn Hòa Phát</w:t>
      </w:r>
      <w:bookmarkEnd w:id="5"/>
    </w:p>
    <w:p w14:paraId="312DB694"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Hòa Phát là Tập đoàn sản xuất công nghiệp hàng đầu Việt Nam. Khởi đầu từ một Công ty chuyên buôn bán các loại máy xây dựng từ tháng 8/1992, Hòa Phát lần lượt mở rộng sang các lĩnh vực khác như Nội thất, ống thép, thép xây dựng, điện lạnh, bất động sản và nông nghiệp. Ngày 15/11/2007, Hòa Phát chính thức niêm yết cổ phiếu trên thị trường chứng khoán Việt Nam với mã chứng khoán HPG.</w:t>
      </w:r>
      <w:r w:rsidRPr="00761336">
        <w:rPr>
          <w:rFonts w:ascii="Times New Roman" w:eastAsia="Times New Roman" w:hAnsi="Times New Roman" w:cs="Times New Roman"/>
          <w:noProof/>
          <w:color w:val="333333"/>
          <w:sz w:val="26"/>
          <w:szCs w:val="26"/>
        </w:rPr>
        <w:drawing>
          <wp:inline distT="0" distB="0" distL="0" distR="0" wp14:anchorId="24ABED28" wp14:editId="72B5D7F8">
            <wp:extent cx="5943600" cy="2004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943599" cy="2004237"/>
                    </a:xfrm>
                    <a:prstGeom prst="rect">
                      <a:avLst/>
                    </a:prstGeom>
                  </pic:spPr>
                </pic:pic>
              </a:graphicData>
            </a:graphic>
          </wp:inline>
        </w:drawing>
      </w:r>
    </w:p>
    <w:p w14:paraId="41C2266E"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Hiện nay, Tập đoàn hoạt động trong 05 lĩnh vực: Gang thép (thép xây dựng, thép cuộn cán nóng) - Sản phẩm thép (gồm Ống thép, tôn mạ, thép rút dây, thép dự ứng lực) - Nông nghiệp - Bất động sản – Điện máy gia dụng. Sản xuất thép là lĩnh vực cốt lõi chiếm tỷ trọng 90% doanh thu và lợi nhuận toàn Tập đoàn. Với công suất 16 triệu tấn thép thô/năm, Hòa Phát là doanh nghiệp sản xuất thép lớn nhất khu vực Đông Nam Á.</w:t>
      </w:r>
    </w:p>
    <w:p w14:paraId="50491B8F"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eastAsia="Times New Roman" w:hAnsi="Times New Roman" w:cs="Times New Roman"/>
          <w:color w:val="333333"/>
          <w:sz w:val="26"/>
          <w:szCs w:val="26"/>
          <w:lang w:val="vi-VN"/>
        </w:rPr>
      </w:pPr>
      <w:r w:rsidRPr="00761336">
        <w:rPr>
          <w:rFonts w:ascii="Times New Roman" w:eastAsia="Times New Roman" w:hAnsi="Times New Roman" w:cs="Times New Roman"/>
          <w:color w:val="333333"/>
          <w:sz w:val="26"/>
          <w:szCs w:val="26"/>
        </w:rPr>
        <w:t>Tập đoàn Hòa Phát giữ thị phần số 1 Việt Nam về thép xây dựng, ống thép; Top 5 về tôn mạ. Hiện nay, Hòa Phát nằm trong Top 5 doanh nghiệp tư nhân lớn nhất Việt Nam, Top 50 DN niêm yết hiệu quả nhất, Top 30 DN nộp ngân sách Nhà nước lớn nhất Việt Nam, Top 3 DN có vốn điều lệ lớn nhất thị trường chứng khoán, Top 10 cổ phiếu có vốn hóa lớn nhất thị trường chứng khoán Việt Nam. Với triết lý kinh doanh “Hòa hợp cùng phát triển”, Hòa Phát dành ngân sách hàng trăm tỷ đồng mỗi năm để thực hiện trách nhiệm xã hội của doanh nghiệp với cộng đồng</w:t>
      </w:r>
    </w:p>
    <w:p w14:paraId="1FB30F5F" w14:textId="77777777" w:rsidR="00D978DF" w:rsidRPr="00761336" w:rsidRDefault="00000000">
      <w:pPr>
        <w:rPr>
          <w:rFonts w:ascii="Times New Roman" w:hAnsi="Times New Roman" w:cs="Times New Roman"/>
          <w:b/>
          <w:bCs/>
          <w:color w:val="000000" w:themeColor="text1"/>
          <w:sz w:val="26"/>
          <w:szCs w:val="26"/>
          <w:lang w:val="vi-VN"/>
        </w:rPr>
      </w:pPr>
      <w:r w:rsidRPr="00761336">
        <w:rPr>
          <w:rFonts w:ascii="Times New Roman" w:hAnsi="Times New Roman" w:cs="Times New Roman"/>
          <w:b/>
          <w:bCs/>
          <w:color w:val="000000" w:themeColor="text1"/>
          <w:sz w:val="26"/>
          <w:szCs w:val="26"/>
          <w:lang w:val="vi-VN"/>
        </w:rPr>
        <w:br w:type="page"/>
      </w:r>
    </w:p>
    <w:p w14:paraId="336181DC" w14:textId="77777777" w:rsidR="00D978DF" w:rsidRPr="00761336" w:rsidRDefault="00000000">
      <w:pPr>
        <w:pStyle w:val="Heading1"/>
        <w:spacing w:line="276" w:lineRule="auto"/>
        <w:rPr>
          <w:rFonts w:ascii="Times New Roman" w:hAnsi="Times New Roman" w:cs="Times New Roman"/>
          <w:b/>
          <w:bCs/>
          <w:color w:val="000000" w:themeColor="text1"/>
          <w:sz w:val="26"/>
          <w:szCs w:val="26"/>
          <w:lang w:val="vi-VN"/>
        </w:rPr>
      </w:pPr>
      <w:bookmarkStart w:id="6" w:name="_Toc211973131"/>
      <w:r w:rsidRPr="00761336">
        <w:rPr>
          <w:rFonts w:ascii="Times New Roman" w:hAnsi="Times New Roman" w:cs="Times New Roman"/>
          <w:b/>
          <w:bCs/>
          <w:color w:val="000000" w:themeColor="text1"/>
          <w:sz w:val="26"/>
          <w:szCs w:val="26"/>
          <w:lang w:val="vi-VN"/>
        </w:rPr>
        <w:lastRenderedPageBreak/>
        <w:t>PHẦN 2: PHÂN TÍCH KẾ TOÁN</w:t>
      </w:r>
      <w:bookmarkEnd w:id="6"/>
    </w:p>
    <w:p w14:paraId="3EBFA04D"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00" w:line="276" w:lineRule="auto"/>
        <w:outlineLvl w:val="0"/>
        <w:rPr>
          <w:rFonts w:ascii="Times New Roman" w:hAnsi="Times New Roman" w:cs="Times New Roman"/>
          <w:sz w:val="26"/>
          <w:szCs w:val="26"/>
        </w:rPr>
      </w:pPr>
      <w:bookmarkStart w:id="7" w:name="_Toc211973132"/>
      <w:r w:rsidRPr="00761336">
        <w:rPr>
          <w:rFonts w:ascii="Times New Roman" w:eastAsia="Times New Roman" w:hAnsi="Times New Roman" w:cs="Times New Roman"/>
          <w:b/>
          <w:color w:val="333333"/>
          <w:sz w:val="26"/>
          <w:szCs w:val="26"/>
          <w:lang w:val="vi-VN"/>
        </w:rPr>
        <w:t xml:space="preserve">1. </w:t>
      </w:r>
      <w:r w:rsidRPr="00761336">
        <w:rPr>
          <w:rFonts w:ascii="Times New Roman" w:eastAsia="Times New Roman" w:hAnsi="Times New Roman" w:cs="Times New Roman"/>
          <w:b/>
          <w:color w:val="333333"/>
          <w:sz w:val="26"/>
          <w:szCs w:val="26"/>
        </w:rPr>
        <w:t>Phân tích bảng cân đối kế toán</w:t>
      </w:r>
      <w:bookmarkEnd w:id="7"/>
    </w:p>
    <w:p w14:paraId="58757978"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00" w:line="276" w:lineRule="auto"/>
        <w:rPr>
          <w:rFonts w:ascii="Times New Roman" w:hAnsi="Times New Roman" w:cs="Times New Roman"/>
          <w:sz w:val="26"/>
          <w:szCs w:val="26"/>
        </w:rPr>
      </w:pPr>
      <w:r w:rsidRPr="00761336">
        <w:rPr>
          <w:rFonts w:ascii="Times New Roman" w:hAnsi="Times New Roman" w:cs="Times New Roman"/>
          <w:noProof/>
          <w:sz w:val="26"/>
          <w:szCs w:val="26"/>
        </w:rPr>
        <w:drawing>
          <wp:inline distT="0" distB="0" distL="0" distR="0" wp14:anchorId="452B2706" wp14:editId="2384FA9B">
            <wp:extent cx="5734050" cy="41814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734049" cy="4181474"/>
                    </a:xfrm>
                    <a:prstGeom prst="rect">
                      <a:avLst/>
                    </a:prstGeom>
                  </pic:spPr>
                </pic:pic>
              </a:graphicData>
            </a:graphic>
          </wp:inline>
        </w:drawing>
      </w:r>
    </w:p>
    <w:p w14:paraId="2DC1E615"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rPr>
          <w:rFonts w:ascii="Times New Roman" w:hAnsi="Times New Roman" w:cs="Times New Roman"/>
          <w:sz w:val="26"/>
          <w:szCs w:val="26"/>
        </w:rPr>
      </w:pPr>
      <w:r w:rsidRPr="00761336">
        <w:rPr>
          <w:rFonts w:ascii="Times New Roman" w:hAnsi="Times New Roman" w:cs="Times New Roman"/>
          <w:noProof/>
          <w:sz w:val="26"/>
          <w:szCs w:val="26"/>
        </w:rPr>
        <w:drawing>
          <wp:inline distT="0" distB="0" distL="0" distR="0" wp14:anchorId="3F8ED597" wp14:editId="65A4CE0E">
            <wp:extent cx="5734050" cy="2905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734049" cy="2905124"/>
                    </a:xfrm>
                    <a:prstGeom prst="rect">
                      <a:avLst/>
                    </a:prstGeom>
                  </pic:spPr>
                </pic:pic>
              </a:graphicData>
            </a:graphic>
          </wp:inline>
        </w:drawing>
      </w:r>
    </w:p>
    <w:p w14:paraId="02A48647" w14:textId="77777777" w:rsidR="00D978DF" w:rsidRPr="00761336" w:rsidRDefault="00000000">
      <w:pPr>
        <w:pStyle w:val="Heading2"/>
        <w:spacing w:line="276" w:lineRule="auto"/>
        <w:jc w:val="both"/>
        <w:rPr>
          <w:rFonts w:ascii="Times New Roman" w:hAnsi="Times New Roman" w:cs="Times New Roman"/>
          <w:sz w:val="26"/>
          <w:szCs w:val="26"/>
        </w:rPr>
      </w:pPr>
      <w:bookmarkStart w:id="8" w:name="_Toc211973133"/>
      <w:r w:rsidRPr="00761336">
        <w:rPr>
          <w:rFonts w:ascii="Times New Roman" w:eastAsia="Times New Roman" w:hAnsi="Times New Roman" w:cs="Times New Roman"/>
          <w:b/>
          <w:color w:val="333333"/>
          <w:sz w:val="26"/>
          <w:szCs w:val="26"/>
          <w:lang w:val="vi-VN"/>
        </w:rPr>
        <w:lastRenderedPageBreak/>
        <w:t>1</w:t>
      </w:r>
      <w:r w:rsidRPr="00761336">
        <w:rPr>
          <w:rFonts w:ascii="Times New Roman" w:eastAsia="Times New Roman" w:hAnsi="Times New Roman" w:cs="Times New Roman"/>
          <w:b/>
          <w:color w:val="333333"/>
          <w:sz w:val="26"/>
          <w:szCs w:val="26"/>
        </w:rPr>
        <w:t>.</w:t>
      </w:r>
      <w:r w:rsidRPr="00761336">
        <w:rPr>
          <w:rFonts w:ascii="Times New Roman" w:eastAsia="Times New Roman" w:hAnsi="Times New Roman" w:cs="Times New Roman"/>
          <w:b/>
          <w:color w:val="333333"/>
          <w:sz w:val="26"/>
          <w:szCs w:val="26"/>
          <w:lang w:val="vi-VN"/>
        </w:rPr>
        <w:t>1</w:t>
      </w:r>
      <w:r w:rsidRPr="00761336">
        <w:rPr>
          <w:rFonts w:ascii="Times New Roman" w:eastAsia="Times New Roman" w:hAnsi="Times New Roman" w:cs="Times New Roman"/>
          <w:b/>
          <w:color w:val="333333"/>
          <w:sz w:val="26"/>
          <w:szCs w:val="26"/>
        </w:rPr>
        <w:t xml:space="preserve"> Cơ cấu tài sản</w:t>
      </w:r>
      <w:bookmarkEnd w:id="8"/>
    </w:p>
    <w:p w14:paraId="7CC012AD"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Theo những số liệu được tổng hợp từ báo cáo tài chính hợp nhất của Tập đoàn Hòa Phát, có thể nhận thấy tổng tài sản của doanh nghiệp trong giai đoạn 2022–2024 duy trì xu hướng tăng trưởng liên tục với tốc độ khá ấn tượng. Cụ thể, từ mức hơn 170 nghìn tỷ đồng vào năm 2022, tổng tài sản đã tăng lên gần 188 nghìn tỷ đồng trong năm 2023 và tiếp tục đạt trên 224 nghìn tỷ đồng vào năm 2024. Mức tăng trưởng lần lượt 10,3% và 19,5% qua các năm không chỉ phản ánh sự mở rộng về quy mô mà còn cho thấy chiến lược phát triển có tính dài hạn và bền vững của tập đoàn. Nguyên nhân chính của sự gia tăng này xuất phát từ việc Hòa Phát đẩy mạnh đầu tư vào các dự án công nghiệp trọng điểm trong bối cảnh nhu cầu thép có dấu hiệu phục hồi sau giai đoạn trầm lắng của năm 2022. </w:t>
      </w:r>
    </w:p>
    <w:p w14:paraId="6F998297"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Đặc biệt cơ cấu tài sản có sự thay đổi đáng kể. Nếu như năm 2022, tài sản ngắn hạn còn chiếm ưu thế với tỷ trọng gần 47,3% thì đến năm 2023 tỷ lệ này giảm xuống còn khoảng 44% và tiếp tục giảm mạnh còn hơn 38,6% vào năm 2024. Ngược lại, tài sản dài hạn lại gia tăng liên tục, từ mức 52,7% năm 2022 lên 55,9% năm 2023 và vượt 61,3% vào năm 2024. Sự dịch chuyển tỷ trọng này cho thấy Hòa Phát đang giảm dần sự phụ thuộc vào các khoản mục ngắn hạn có tính thanh khoản cao, đồng thời tập trung nhiều hơn vào việc đầu tư các tài sản dài hạn nhằm phục vụ cho chiến lược mở rộng công suất sản xuất và phát triển bền vững.</w:t>
      </w:r>
    </w:p>
    <w:p w14:paraId="6F33C27B"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hAnsi="Times New Roman" w:cs="Times New Roman"/>
          <w:noProof/>
          <w:sz w:val="26"/>
          <w:szCs w:val="26"/>
        </w:rPr>
        <w:drawing>
          <wp:inline distT="0" distB="0" distL="0" distR="0" wp14:anchorId="7E81E4DF" wp14:editId="58362D88">
            <wp:extent cx="5734050" cy="1552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734049" cy="1552574"/>
                    </a:xfrm>
                    <a:prstGeom prst="rect">
                      <a:avLst/>
                    </a:prstGeom>
                  </pic:spPr>
                </pic:pic>
              </a:graphicData>
            </a:graphic>
          </wp:inline>
        </w:drawing>
      </w:r>
    </w:p>
    <w:p w14:paraId="2FB8CA9E"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center"/>
        <w:rPr>
          <w:rFonts w:ascii="Times New Roman" w:hAnsi="Times New Roman" w:cs="Times New Roman"/>
          <w:sz w:val="26"/>
          <w:szCs w:val="26"/>
        </w:rPr>
      </w:pPr>
      <w:r w:rsidRPr="00761336">
        <w:rPr>
          <w:rFonts w:ascii="Times New Roman" w:eastAsia="Times New Roman" w:hAnsi="Times New Roman" w:cs="Times New Roman"/>
          <w:i/>
          <w:color w:val="333333"/>
          <w:sz w:val="26"/>
          <w:szCs w:val="26"/>
          <w:highlight w:val="white"/>
        </w:rPr>
        <w:t>Bảng cơ cấu tài sản ngắn hạn của Tập đoàn Hòa Phát trong giai đoạn 2022-2024</w:t>
      </w:r>
    </w:p>
    <w:p w14:paraId="5F41D275"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 xml:space="preserve">Xét trong cơ cấu tài sản ngắn hạn, tỷ trọng tài sản ngắn hạn liên tục giảm qua ba năm, từ 47,27% năm 2022 xuống 44,05% năm 2023 và chỉ còn 38,61% năm 2024. Đây là xu hướng rõ rệt cho thấy tập đoàn đang dịch chuyển vốn khỏi các tài sản có tính thanh khoản cao sang các khoản đầu tư dài hạn. Bên trong nhóm này, một số biến động đáng chú ý: tiền và các khoản tương đương tiền giảm mạnh về tỷ trọng, từ mức 6,52% năm 2023 xuống chỉ còn 3,07% năm 2024; trong khi trước đó, năm 2022, con số này là 4,89%. Tương tự, đầu tư tài chính ngắn hạn giảm tỷ trọng từ 11,81% năm 2023 xuống 8,44% năm 2024, việc tỷ trọng tiền mặt và đầu tư tài chính ngắn hạn đồng loạt giảm cho thấy Hòa Phát không ưu tiên nắm giữ tài sản thanh khoản trong ngắn hạn, mà đang tập trung dồn vốn vào các dự án </w:t>
      </w:r>
      <w:r w:rsidRPr="00761336">
        <w:rPr>
          <w:rFonts w:ascii="Times New Roman" w:eastAsia="Times New Roman" w:hAnsi="Times New Roman" w:cs="Times New Roman"/>
          <w:color w:val="333333"/>
          <w:sz w:val="26"/>
          <w:szCs w:val="26"/>
        </w:rPr>
        <w:lastRenderedPageBreak/>
        <w:t>dài hạn.</w:t>
      </w:r>
    </w:p>
    <w:p w14:paraId="7B33C225"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Hàng tồn kho chiếm khoảng 20,25% tổng tài sản năm 2022, giảm xuống 18,37% năm 2023 và sau đó tăng trở lại 20,53% năm 2024. Như vậy, có thể thấy tỷ trọng tồn kho của Hòa Phát nhìn chung duy trì ổn định quanh mức 20%, chỉ dao động nhẹ theo từng năm, phản ánh việc Hòa Phát đẩy mạnh tích trữ nguyên vật liệu và thành phẩm. Đây là hiện tượng thường gặp trong ngành thép: khi giá quặng sắt, than mỡ luyện cốc hoặc thép xây dựng biến động, các tập đoàn lớn thường tăng dự trữ để đảm bảo đầu vào và ổn định sản xuất. Thực tế, giai đoạn 2023–2024, giá quặng sắt trên thị trường thế giới có nhiều biến động, khiến doanh nghiệp thép Việt Nam như Hòa Phát phải chủ động cân đối nguồn nguyên liệu.</w:t>
      </w:r>
    </w:p>
    <w:p w14:paraId="0BABF803"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Ngược lại, tỷ trọng tiền và tương đương tiền cùng với đầu tư tài chính ngắn hạn giảm mạnh, cho thấy Hòa Phát đã sử dụng bớt nguồn vốn thanh khoản để tài trợ cho các dự án trọng điểm. Thực tế trong giai đoạn gần đây, tập đoàn đang triển khai giai đoạn 2 của Khu liên hợp sản xuất gang thép Hòa Phát Dung Quất, một dự án đòi hỏi vốn đầu tư rất lớn, qua đó giải thích hợp lý cho sự suy giảm tỷ trọng tiền mặt trong cơ cấu tài sản. Điều này đồng nghĩa rằng, trong ngắn hạn, khả năng thanh toán nhanh của Hòa Phát suy giảm, nhưng nếu các dự án đầu tư phát huy hiệu quả thì việc dịch chuyển này sẽ góp phần gia tăng sức cạnh tranh dài hạn.</w:t>
      </w:r>
    </w:p>
    <w:p w14:paraId="5F563439"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hAnsi="Times New Roman" w:cs="Times New Roman"/>
          <w:noProof/>
          <w:sz w:val="26"/>
          <w:szCs w:val="26"/>
        </w:rPr>
        <w:drawing>
          <wp:inline distT="0" distB="0" distL="0" distR="0" wp14:anchorId="317D9140" wp14:editId="393A0BBB">
            <wp:extent cx="5734050" cy="2362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734049" cy="2362199"/>
                    </a:xfrm>
                    <a:prstGeom prst="rect">
                      <a:avLst/>
                    </a:prstGeom>
                  </pic:spPr>
                </pic:pic>
              </a:graphicData>
            </a:graphic>
          </wp:inline>
        </w:drawing>
      </w:r>
    </w:p>
    <w:p w14:paraId="091E6433"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center"/>
        <w:rPr>
          <w:rFonts w:ascii="Times New Roman" w:hAnsi="Times New Roman" w:cs="Times New Roman"/>
          <w:sz w:val="26"/>
          <w:szCs w:val="26"/>
        </w:rPr>
      </w:pPr>
      <w:r w:rsidRPr="00761336">
        <w:rPr>
          <w:rFonts w:ascii="Times New Roman" w:eastAsia="Times New Roman" w:hAnsi="Times New Roman" w:cs="Times New Roman"/>
          <w:i/>
          <w:color w:val="333333"/>
          <w:sz w:val="26"/>
          <w:szCs w:val="26"/>
          <w:highlight w:val="white"/>
        </w:rPr>
        <w:t>Bảng cơ cấu tài sản dài hạn của Tập đoàn Hòa Phát trong giai đoạn 2022-2024</w:t>
      </w:r>
    </w:p>
    <w:p w14:paraId="6DF6A4CF"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 xml:space="preserve">Đối với tài sản dài hạn, sự thay đổi nổi bật nhất đến từ tài sản dở dang dài hạn. Tỷ trọng của khoản mục này tăng gần gấp đôi chỉ trong một năm, từ khoảng 14% năm 2023 lên gần 28,5% năm 2024. Đây là minh chứng rõ rệt cho chiến lược mở rộng công suất và tái đầu tư của Hòa Phát. Trong ngành công nghiệp thép, việc xây dựng thêm nhà máy, nâng cấp dây chuyền luyện thép hoặc phát triển khu công nghiệp mới đòi hỏi nguồn vốn khổng lồ </w:t>
      </w:r>
      <w:r w:rsidRPr="00761336">
        <w:rPr>
          <w:rFonts w:ascii="Times New Roman" w:eastAsia="Times New Roman" w:hAnsi="Times New Roman" w:cs="Times New Roman"/>
          <w:color w:val="333333"/>
          <w:sz w:val="26"/>
          <w:szCs w:val="26"/>
        </w:rPr>
        <w:lastRenderedPageBreak/>
        <w:t>và kéo dài nhiều năm. Vì vậy, sự gia tăng tỷ trọng tài sản dở dang dài hạn cho thấy tập đoàn đang trong giai đoạn triển khai các dự án trọng điểm, đặt nền móng cho sự tăng trưởng trong tương lai. Bên cạnh đó, tài sản cố định vẫn duy trì tỷ trọng ổn định quanh mức 38–41%, phản ánh nền tảng sản xuất của doanh nghiệp vẫn được duy trì bền vững và đóng vai trò là “xương sống” cho toàn bộ hoạt động sản xuất kinh doanh.</w:t>
      </w:r>
    </w:p>
    <w:p w14:paraId="2A1D8074"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Việc cơ cấu tài sản của Tập đoàn Hòa Phát trong giai đoạn 2022–2024 dịch chuyển rõ rệt từ ngắn hạn sang dài hạn có thể thấy trong việc doanh nghiệp đã giảm tỷ trọng các khoản mục mang tính thanh khoản như tiền và đầu tư tài chính ngắn hạn để tập trung vào hàng tồn kho và đặc biệt là các dự án đầu tư dài hạn. Điều này thể hiện chiến lược phát triển mở rộng quy mô sản xuất, chấp nhận hy sinh khả năng thanh khoản ngắn hạn để đổi lấy sự tăng trưởng bền vững về lâu dài. Tuy nhiên, đi kèm với đó là áp lực quản trị dòng tiền và quản lý vốn lưu động, đặc biệt trong bối cảnh ngành thép chịu tác động lớn từ chu kỳ kinh tế và giá nguyên liệu toàn cầu.</w:t>
      </w:r>
    </w:p>
    <w:p w14:paraId="48D5A128" w14:textId="77777777" w:rsidR="00D978DF" w:rsidRPr="00761336" w:rsidRDefault="00000000">
      <w:pPr>
        <w:pStyle w:val="Heading2"/>
        <w:spacing w:line="276" w:lineRule="auto"/>
        <w:jc w:val="both"/>
        <w:rPr>
          <w:rFonts w:ascii="Times New Roman" w:hAnsi="Times New Roman" w:cs="Times New Roman"/>
          <w:sz w:val="26"/>
          <w:szCs w:val="26"/>
        </w:rPr>
      </w:pPr>
      <w:bookmarkStart w:id="9" w:name="_Toc211973134"/>
      <w:r w:rsidRPr="00761336">
        <w:rPr>
          <w:rFonts w:ascii="Times New Roman" w:eastAsia="Times New Roman" w:hAnsi="Times New Roman" w:cs="Times New Roman"/>
          <w:b/>
          <w:color w:val="333333"/>
          <w:sz w:val="26"/>
          <w:szCs w:val="26"/>
          <w:lang w:val="vi-VN"/>
        </w:rPr>
        <w:t>1.2</w:t>
      </w:r>
      <w:r w:rsidRPr="00761336">
        <w:rPr>
          <w:rFonts w:ascii="Times New Roman" w:eastAsia="Times New Roman" w:hAnsi="Times New Roman" w:cs="Times New Roman"/>
          <w:b/>
          <w:color w:val="333333"/>
          <w:sz w:val="26"/>
          <w:szCs w:val="26"/>
        </w:rPr>
        <w:t xml:space="preserve"> Cơ cấu nguồn vốn</w:t>
      </w:r>
      <w:bookmarkEnd w:id="9"/>
    </w:p>
    <w:p w14:paraId="46944C27"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hAnsi="Times New Roman" w:cs="Times New Roman"/>
          <w:noProof/>
          <w:sz w:val="26"/>
          <w:szCs w:val="26"/>
        </w:rPr>
        <w:drawing>
          <wp:inline distT="0" distB="0" distL="0" distR="0" wp14:anchorId="02E0E9B7" wp14:editId="0972D0B9">
            <wp:extent cx="5734050" cy="2905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734049" cy="2905124"/>
                    </a:xfrm>
                    <a:prstGeom prst="rect">
                      <a:avLst/>
                    </a:prstGeom>
                  </pic:spPr>
                </pic:pic>
              </a:graphicData>
            </a:graphic>
          </wp:inline>
        </w:drawing>
      </w:r>
    </w:p>
    <w:p w14:paraId="423A5F17"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center"/>
        <w:rPr>
          <w:rFonts w:ascii="Times New Roman" w:hAnsi="Times New Roman" w:cs="Times New Roman"/>
          <w:sz w:val="26"/>
          <w:szCs w:val="26"/>
        </w:rPr>
      </w:pPr>
      <w:r w:rsidRPr="00761336">
        <w:rPr>
          <w:rFonts w:ascii="Times New Roman" w:eastAsia="Times New Roman" w:hAnsi="Times New Roman" w:cs="Times New Roman"/>
          <w:i/>
          <w:color w:val="333333"/>
          <w:sz w:val="26"/>
          <w:szCs w:val="26"/>
          <w:highlight w:val="white"/>
        </w:rPr>
        <w:t>Bảng cơ cấu nguồn vốn của Tập đoàn Hòa Phát trong giai đoạn 2022-2024</w:t>
      </w:r>
    </w:p>
    <w:p w14:paraId="545ED6E9"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 xml:space="preserve">Dựa vào thông tin đã được tổng hợp từ báo cáo tài chính hợp nhất của tập đoàn Hòa Phát, ta có thể thấy được tỷ trọng giữa nợ phải trả và vốn chủ sở hữu càng ngày càng tiến tới cân bằng nhau trong giai đoạn 2022 - 2024, tỷ trọng nợ phải trả tăng dần, trong khi vốn chủ sở hữu có xu hướng suy giảm. Cụ thể, nợ phải trả từ mức 43,57% tổng nguồn vốn năm 2022 tăng lên 45,24% năm 2023 và đạt 48,93% năm 2024. Ngược lại, vốn chủ sở hữu giảm từ 56,43% năm 2022 xuống 54,76% năm 2023 và còn 51,07% năm 2024. Sự dịch chuyển này cho thấy Hòa Phát ngày càng phụ thuộc nhiều hơn vào vốn vay thay vì dựa vào nội lực tài </w:t>
      </w:r>
      <w:r w:rsidRPr="00761336">
        <w:rPr>
          <w:rFonts w:ascii="Times New Roman" w:eastAsia="Times New Roman" w:hAnsi="Times New Roman" w:cs="Times New Roman"/>
          <w:color w:val="333333"/>
          <w:sz w:val="26"/>
          <w:szCs w:val="26"/>
        </w:rPr>
        <w:lastRenderedPageBreak/>
        <w:t>chính, phản ánh áp lực vốn trong bối cảnh ngành thép gặp nhiều khó khăn.</w:t>
      </w:r>
    </w:p>
    <w:p w14:paraId="55679584"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Xét chi tiết, trong cơ cấu nguồn vốn của Tập đoàn Hòa Phát giai đoạn 2022–2024, nợ phải trả có xu hướng tăng dần. Tỷ trọng nợ ngắn hạn luôn chiếm tỷ trọng lớn nhất trong cơ cấu nợ, dao động từ 36,63% năm 2022 lên 38,08% năm 2023 và 33,51% năm 2024, trong đó vay ngắn hạn duy trì ở mức rất cao, từ 27,45% năm 2022 lên 29,28% năm 2023 rồi 24,89% năm 2024. Điều này cho thấy doanh nghiệp phụ thuộc mạnh vào tín dụng ngắn hạn để tài trợ vốn lưu động, phục vụ sản xuất, kinh doanh thường xuyên. Bên cạnh đó, nợ dài hạn cũng gia tăng đáng kể, từ 6,95% năm 2022 nhảy vọt lên 15,42% năm 2024; trong đó vay dài hạn chiếm chủ yếu, tăng từ 6,55% lên 12,06%. Việc tăng nhanh nợ dài hạn phản ánh nhu cầu vốn đầu tư lớn cho các dự án mở rộng công suất, điển hình như dự án Dung Quất 2. Tuy nhiên, điều này cũng kéo theo áp lực trả nợ và chi phí tài chính lớn hơn trong các năm tới. Việc tỷ trọng nợ phải trả tăng, đặc biệt là nợ dài hạn, gắn liền với xu hướng tài sản dài hạn cũng mở rộng, cho thấy doanh nghiệp chủ động sử dụng vốn vay để tài trợ cho các dự án đầu tư trọng điểm như mở rộng công suất sản xuất thép. Đồng thời, nợ ngắn hạn duy trì ở mức cao phù hợp với cơ cấu tài sản ngắn hạn lớn, trong đó hàng tồn kho và các khoản phải thu chiếm tỷ trọng đáng kể, phản ánh đặc thù ngành thép với chu kỳ sản xuất, tiêu thụ vốn dài và yêu cầu dự trữ nguyên vật liệu lớn.</w:t>
      </w:r>
    </w:p>
    <w:p w14:paraId="01DFBFE0"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Trong khi nợ vay gia tăng, vốn chủ sở hữu lại giảm tỷ trọng, từ mức chiếm ưu thế 56,43% năm 2022 xuống 51,07% năm 2024. Dù vốn cổ phần có tăng nhẹ (từ 34,14% năm 2022 lên 34,97% năm 2024), song lợi nhuận sau thuế chưa phân phối lại giảm từ 18% xuống 16,76%. Nguyên nhân có thể đến từ việc lợi nhuận ngành thép sụt giảm do giá bán giảm và áp lực cạnh tranh, khiến nguồn lợi nhuận giữ lại để tái đầu tư không còn dồi dào như trước. Việc vốn chủ suy giảm đồng nghĩa với mức độ tự chủ tài chính thấp đi, và doanh nghiệp phải dựa nhiều hơn vào vốn vay để duy trì và mở rộng hoạt động sản xuất. </w:t>
      </w:r>
    </w:p>
    <w:p w14:paraId="7FD09C75"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Như vậy, bức tranh cân đối tài chính của Hòa Phát giai đoạn này thể hiện chiến lược “đòn bẩy” để mở rộng quy mô sản xuất. Việc gia tăng đòn bẩy mang tính “hai mặt”. Một mặt, vốn vay giúp Hòa Phát có nguồn lực tài chính lớn để đầu tư mở rộng công suất, đón đầu nhu cầu thép trong trung và dài hạn. Nhưng mặt khác, áp lực chi phí lãi vay cũng gia tăng, đặc biệt trong bối cảnh lợi nhuận ngành thép suy giảm, khiến khả năng chi trả lãi vay bị thách thức. Nếu thị trường thép phục hồi đúng kỳ vọng, đòn bẩy tài chính sẽ khuếch đại lợi nhuận trên vốn chủ, giúp doanh nghiệp tăng trưởng mạnh. Ngược lại, nếu giá thép tiếp tục biến động bất lợi, rủi ro mất cân đối dòng tiền và gánh nặng tài chính sẽ trở thành áp lực lớn.</w:t>
      </w:r>
    </w:p>
    <w:p w14:paraId="010F3B88" w14:textId="77777777" w:rsidR="00D978DF" w:rsidRPr="00761336" w:rsidRDefault="00000000">
      <w:pPr>
        <w:pStyle w:val="Heading2"/>
        <w:spacing w:line="276" w:lineRule="auto"/>
        <w:jc w:val="both"/>
        <w:rPr>
          <w:rFonts w:ascii="Times New Roman" w:hAnsi="Times New Roman" w:cs="Times New Roman"/>
          <w:sz w:val="26"/>
          <w:szCs w:val="26"/>
        </w:rPr>
      </w:pPr>
      <w:bookmarkStart w:id="10" w:name="_Toc211973135"/>
      <w:r w:rsidRPr="00761336">
        <w:rPr>
          <w:rFonts w:ascii="Times New Roman" w:eastAsia="Times New Roman" w:hAnsi="Times New Roman" w:cs="Times New Roman"/>
          <w:b/>
          <w:color w:val="333333"/>
          <w:sz w:val="26"/>
          <w:szCs w:val="26"/>
          <w:lang w:val="vi-VN"/>
        </w:rPr>
        <w:lastRenderedPageBreak/>
        <w:t>1.</w:t>
      </w:r>
      <w:r w:rsidRPr="00761336">
        <w:rPr>
          <w:rFonts w:ascii="Times New Roman" w:eastAsia="Times New Roman" w:hAnsi="Times New Roman" w:cs="Times New Roman"/>
          <w:b/>
          <w:color w:val="333333"/>
          <w:sz w:val="26"/>
          <w:szCs w:val="26"/>
        </w:rPr>
        <w:t>3 Cách chính sách hạch toán chủ yếu</w:t>
      </w:r>
      <w:bookmarkEnd w:id="10"/>
    </w:p>
    <w:p w14:paraId="406B8096"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Dựa vào thông tin trong thuyết minh báo cáo tài chính của Tập Đoàn Hòa Phát, các chính sách hạch toán được doanh nghiệp sử dụng:</w:t>
      </w:r>
    </w:p>
    <w:p w14:paraId="7730CC76"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b/>
          <w:color w:val="333333"/>
          <w:sz w:val="26"/>
          <w:szCs w:val="26"/>
        </w:rPr>
        <w:t>Hàng tồn kho:</w:t>
      </w:r>
    </w:p>
    <w:p w14:paraId="2620CB99"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Hàng tồn kho được phản ánh theo giá thấp hơn giữa giá gốc và giá trị thuần có thể thực hiện được. Giá gốc được tính theo phương pháp bình quân gia quyền và bao gồm tất cả các chi phí phát sinh để có được hàng tồn kho ở địa điểm và trạng thái hiện tại. Giá trị thuần có thể thực hiện được ước tính dựa vào giá bán của hàng tồn kho trừ đi các khoản chi phí ước tính để hoàn thành sản phẩm và các chi phí ước tính để bán sản phẩm. </w:t>
      </w:r>
    </w:p>
    <w:p w14:paraId="532F624E"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Dự phòng cho hàng tồn kho được trích lập cho phần giá trị dự kiến bị tổn thất do các khoản suy giảm trong giá trị (do giảm giá, hư hỏng, kém phẩm chất, lỗi thời...) có thể xảy ra đối với hàng tồn kho thuộc quyền sở hữu của Tập đoàn dựa trên bằng chứng hợp lý về sự suy giảm giá trị tại ngày kết thúc kỳ kế toán. Số tăng hoặc giảm số dư tài khoản dự phòng giảm giá hàng tồn kho được ghi nhận vào giá vốn hàng bán trong báo cáo kết quả hoạt động kinh doanh hợp nhất trong năm. </w:t>
      </w:r>
    </w:p>
    <w:p w14:paraId="5BDB2D3D"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i/>
          <w:color w:val="333333"/>
          <w:sz w:val="26"/>
          <w:szCs w:val="26"/>
        </w:rPr>
        <w:t>Hàng tồn kho được sản xuất và để bản </w:t>
      </w:r>
    </w:p>
    <w:p w14:paraId="02637460"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Đối với thành phẩm và sản phẩm sản xuất dở dang, giá gốc bao gồm nguyên vật liệu, chi phí nhân công trực tiếp và các chi phí sản xuất chung đã được phân bổ. Tập đoàn áp dụng phương pháp kê khai thường xuyên để hạch toán hàng tồn kho. </w:t>
      </w:r>
    </w:p>
    <w:p w14:paraId="3C7439FA"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i/>
          <w:color w:val="333333"/>
          <w:sz w:val="26"/>
          <w:szCs w:val="26"/>
        </w:rPr>
        <w:t>Bất động sản xây dựng để bán trong tương lai</w:t>
      </w:r>
      <w:r w:rsidRPr="00761336">
        <w:rPr>
          <w:rFonts w:ascii="Times New Roman" w:eastAsia="Times New Roman" w:hAnsi="Times New Roman" w:cs="Times New Roman"/>
          <w:color w:val="333333"/>
          <w:sz w:val="26"/>
          <w:szCs w:val="26"/>
        </w:rPr>
        <w:t> </w:t>
      </w:r>
    </w:p>
    <w:p w14:paraId="51E10104"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Giá gốc được tính theo phương pháp đích danh và bao gồm chi phí đất, chi phí xây dựng cơ sở hạ tầng, các chi phí trực tiếp khác và các chi phí sản xuất chung được phân bổ.</w:t>
      </w:r>
    </w:p>
    <w:p w14:paraId="3FF0D516"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b/>
          <w:color w:val="333333"/>
          <w:sz w:val="26"/>
          <w:szCs w:val="26"/>
        </w:rPr>
        <w:t>Tài sản cố định hữu hình:</w:t>
      </w:r>
    </w:p>
    <w:p w14:paraId="152B96A5"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(a) Nguyên giá </w:t>
      </w:r>
    </w:p>
    <w:p w14:paraId="443EEFC3"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 xml:space="preserve">Tài sản cố định hữu hình được thể hiện theo nguyên giá trừ đi giá trị hao mòn lũy kế. Nguyên giá tài sản cố định hữu hình bao gồm giá mua, thuế nhập khẩu, các loại thuế mua hàng không hoàn lại và chi phí liên quan trực tiếp để đưa tài sản đến vị trí và trạng thái hoạt động cho mục đích sử dụng đã dự kiến. Các chi phí phát sinh sau khi tài sản cố định hữu hình đã được đưa vào hoạt động như chi phí sửa chữa và bảo dưỡng, ngoại trừ chi phí đại tu và sửa chữa lớn được ghi nhận vào chi phí trả trước dài hạn (Thuyết minh 3.11(b)), được ghi nhận vào báo cáo kết quả hoạt động kinh doanh hợp nhất trong năm mà chi phí phát sinh. Trong các trường hợp có thể chứng minh một cách rõ ràng rằng các khoản chi </w:t>
      </w:r>
      <w:r w:rsidRPr="00761336">
        <w:rPr>
          <w:rFonts w:ascii="Times New Roman" w:eastAsia="Times New Roman" w:hAnsi="Times New Roman" w:cs="Times New Roman"/>
          <w:color w:val="333333"/>
          <w:sz w:val="26"/>
          <w:szCs w:val="26"/>
        </w:rPr>
        <w:lastRenderedPageBreak/>
        <w:t>phí này làm tăng lợi ích kinh tế trong tương lai dự tính thu được từ việc sử dụng tài sản cố định hữu hình vượt trên mức hoạt động tiêu chuẩn theo như đánh giá ban đầu, thì các chi phí này được vốn hóa như một khoản nguyên giá tăng thêm của tài sản cố định hữu hình. </w:t>
      </w:r>
    </w:p>
    <w:p w14:paraId="3D80F20B"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(b) Khấu hao </w:t>
      </w:r>
    </w:p>
    <w:p w14:paraId="16D2608C"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Khấu hao được tính theo phương pháp đường thẳng dựa trên thời gian hữu dụng ước tính của tài sản cố định hữu hình. </w:t>
      </w:r>
    </w:p>
    <w:p w14:paraId="1FCE9874"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Thời gian hữu dụng ước tính như sau: </w:t>
      </w:r>
    </w:p>
    <w:p w14:paraId="53BB5974" w14:textId="77777777" w:rsidR="00D978DF" w:rsidRPr="00761336" w:rsidRDefault="00000000">
      <w:pPr>
        <w:pStyle w:val="ListParagraph"/>
        <w:numPr>
          <w:ilvl w:val="0"/>
          <w:numId w:val="1"/>
        </w:num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Nhà cửa 5-50 năm </w:t>
      </w:r>
    </w:p>
    <w:p w14:paraId="5563A3A3" w14:textId="77777777" w:rsidR="00D978DF" w:rsidRPr="00761336" w:rsidRDefault="00000000">
      <w:pPr>
        <w:pStyle w:val="ListParagraph"/>
        <w:numPr>
          <w:ilvl w:val="0"/>
          <w:numId w:val="1"/>
        </w:num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Máy móc và thiết bị 1-25 năm </w:t>
      </w:r>
    </w:p>
    <w:p w14:paraId="6A897EA7" w14:textId="77777777" w:rsidR="00D978DF" w:rsidRPr="00761336" w:rsidRDefault="00000000">
      <w:pPr>
        <w:pStyle w:val="ListParagraph"/>
        <w:numPr>
          <w:ilvl w:val="0"/>
          <w:numId w:val="1"/>
        </w:num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Phương tiện vận chuyển 1-30 năm </w:t>
      </w:r>
    </w:p>
    <w:p w14:paraId="37CCAFB9" w14:textId="77777777" w:rsidR="00D978DF" w:rsidRPr="00761336" w:rsidRDefault="00000000">
      <w:pPr>
        <w:pStyle w:val="ListParagraph"/>
        <w:numPr>
          <w:ilvl w:val="0"/>
          <w:numId w:val="1"/>
        </w:num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Dụng cụ văn phòng 2-12 năm </w:t>
      </w:r>
    </w:p>
    <w:p w14:paraId="427E2AFE" w14:textId="77777777" w:rsidR="00D978DF" w:rsidRPr="00761336" w:rsidRDefault="00000000">
      <w:pPr>
        <w:pStyle w:val="ListParagraph"/>
        <w:numPr>
          <w:ilvl w:val="0"/>
          <w:numId w:val="1"/>
        </w:num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Vật nuôi 3-5 năm </w:t>
      </w:r>
    </w:p>
    <w:p w14:paraId="7D44237E" w14:textId="77777777" w:rsidR="00D978DF" w:rsidRPr="00761336" w:rsidRDefault="00000000">
      <w:pPr>
        <w:pStyle w:val="ListParagraph"/>
        <w:numPr>
          <w:ilvl w:val="0"/>
          <w:numId w:val="1"/>
        </w:num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Tài sản cố định khác 2-12 năm</w:t>
      </w:r>
    </w:p>
    <w:p w14:paraId="3A129515"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b/>
          <w:color w:val="333333"/>
          <w:sz w:val="26"/>
          <w:szCs w:val="26"/>
        </w:rPr>
        <w:t>Tài sản cố định vô hình:</w:t>
      </w:r>
    </w:p>
    <w:p w14:paraId="75EE074A"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(a) Quyền sử dụng đất </w:t>
      </w:r>
    </w:p>
    <w:p w14:paraId="479A98B8"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Quyền sử dụng đất được thể hiện theo nguyên giá trừ giá trị hao mòn lũy kế. Nguyên giá ban đầu của quyền sử dụng đất bao gồm giá mua và các chi phí liên quan trực tiếp tới việc có được quyền sử dụng đất. Đối với quyền sử dụng đất với thời hạn xác định, khấu hao được tính theo phương pháp đường thẳng trong vòng từ 10 đến 50 năm. Quyền sử dụng đất vô thời hạn không được khấu hao. </w:t>
      </w:r>
    </w:p>
    <w:p w14:paraId="10E1A7D5"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(b) Phần mềm máy vi tính</w:t>
      </w:r>
    </w:p>
    <w:p w14:paraId="3BF059D1"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Giá mua phần mềm máy vi tính mới mà phần mềm này không phải là một bộ phận gắn kết với phần cứng có liên quan thì được vốn hóa và hạch toán như tài sản cố định vô hình. Phần mềm máy vi tính được tính khấu hao theo phương pháp đường thẳng trong thời gian từ 3 đến 8 năm.</w:t>
      </w:r>
    </w:p>
    <w:p w14:paraId="0EB26CB0"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b/>
          <w:color w:val="333333"/>
          <w:sz w:val="26"/>
          <w:szCs w:val="26"/>
        </w:rPr>
        <w:t>Bất động sản đầu tư cho thuê:</w:t>
      </w:r>
    </w:p>
    <w:p w14:paraId="6E005388"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(a) Nguyên giá</w:t>
      </w:r>
    </w:p>
    <w:p w14:paraId="1D918012"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 xml:space="preserve">Bất động sản đầu tư cho thuê được thể hiện theo nguyên giá trừ đi giá trị hao mòn lũy kế. Nguyên giá ban đầu của bất động sản đầu tư cho thuê bao gồm giá mua, chỉ phí quyền sử dụng đất, chi phí xây dựng và các chi phí liên quan trực tiếp đến việc đưa tài sản đến điều kiện cần thiết để tài sản có thể hoạt động theo cách thức đã dự kiến bởi Ban Giám đốc. Các </w:t>
      </w:r>
      <w:r w:rsidRPr="00761336">
        <w:rPr>
          <w:rFonts w:ascii="Times New Roman" w:eastAsia="Times New Roman" w:hAnsi="Times New Roman" w:cs="Times New Roman"/>
          <w:color w:val="333333"/>
          <w:sz w:val="26"/>
          <w:szCs w:val="26"/>
        </w:rPr>
        <w:lastRenderedPageBreak/>
        <w:t>chi phí phát sinh sau khi bất động sản đầu tư cho thuê đã được đưa vào hoạt động như chi phí sửa chữa và bảo trì được ghi nhận vào báo cáo kết quả hoạt động kinh doanh hợp nhất trong năm mà các chi phí này phát sinh. Trong các trường hợp có thể chứng minh một cách rõ ràng rằng các khoản chi phí này làm tăng lợi ích kinh tế trong tương lai dự tính thu được từ việc sử dụng bất động sản đầu tư cho thuê vượt trên mức hoạt động tiêu chuẩn theo như đánh giá ban đầu, thì các chi phí này được vốn hóa như một khoản nguyên giá tăng thêm của bất động sản đầu tư cho thuê. </w:t>
      </w:r>
    </w:p>
    <w:p w14:paraId="71EAE929"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after="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(b) Khấu hao </w:t>
      </w:r>
    </w:p>
    <w:p w14:paraId="5BFFB3B1"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Khấu hao được tính theo phương pháp đường thẳng dựa trên thời gian hữu dụng ước tính của bất động sản đầu tư cho thuê. </w:t>
      </w:r>
    </w:p>
    <w:p w14:paraId="7B9D796B"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Thời gian hữu dụng ước tính như sau: </w:t>
      </w:r>
    </w:p>
    <w:p w14:paraId="63480231" w14:textId="77777777" w:rsidR="00D978DF" w:rsidRPr="00761336" w:rsidRDefault="00000000">
      <w:pPr>
        <w:pStyle w:val="ListParagraph"/>
        <w:numPr>
          <w:ilvl w:val="0"/>
          <w:numId w:val="2"/>
        </w:numPr>
        <w:pBdr>
          <w:top w:val="none" w:sz="0" w:space="0" w:color="000000"/>
          <w:left w:val="none" w:sz="0" w:space="0" w:color="000000"/>
          <w:bottom w:val="none" w:sz="0" w:space="0" w:color="000000"/>
          <w:right w:val="none" w:sz="0" w:space="0" w:color="000000"/>
        </w:pBdr>
        <w:shd w:val="clear" w:color="FFFFFF" w:fill="FFFFFF"/>
        <w:spacing w:before="20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Nhà cửa 3-49 năm </w:t>
      </w:r>
    </w:p>
    <w:p w14:paraId="5C890976"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Quyền sử dụng đất vô thời hạn không được khấu hao.</w:t>
      </w:r>
    </w:p>
    <w:p w14:paraId="103CD0C8"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b/>
          <w:color w:val="333333"/>
          <w:sz w:val="26"/>
          <w:szCs w:val="26"/>
        </w:rPr>
        <w:t>Dự phòng </w:t>
      </w:r>
    </w:p>
    <w:p w14:paraId="08224521"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333333"/>
          <w:sz w:val="26"/>
          <w:szCs w:val="26"/>
        </w:rPr>
        <w:t>Ngoại trừ những khoản dự phòng được trình bày ở các thuyết minh khác, một khoản dự phòng được ghi nhận nếu, do kết quả của một sự kiện trong quá khứ, Tập đoàn có nghĩa vụ pháp lý hiện tại hoặc liên đới có thể ước tính một cách đáng tin cậy và chắc chắn sẽ làm giảm sút các lợi ích kinh tế trong tương lai để thanh toán các khoản nợ phải trả do nghĩa vụ đó. Khoản dự phòng được xác định bằng cách chiết khấu dòng tiền dự kiến phải trả trong tương lai với tỷ lệ chiết khấu trước thuế phản ánh đánh giá của thị trường ở thời điểm hiện tại về giá trị thời gian của tiền và rủi ro cụ thể của khoản nợ đó.</w:t>
      </w:r>
    </w:p>
    <w:p w14:paraId="25C2A682" w14:textId="77777777" w:rsidR="00D978DF" w:rsidRPr="00761336" w:rsidRDefault="00000000">
      <w:pPr>
        <w:pStyle w:val="Heading2"/>
        <w:spacing w:line="276" w:lineRule="auto"/>
        <w:jc w:val="both"/>
        <w:rPr>
          <w:rFonts w:ascii="Times New Roman" w:hAnsi="Times New Roman" w:cs="Times New Roman"/>
          <w:sz w:val="26"/>
          <w:szCs w:val="26"/>
        </w:rPr>
      </w:pPr>
      <w:bookmarkStart w:id="11" w:name="_Toc211973136"/>
      <w:r w:rsidRPr="00761336">
        <w:rPr>
          <w:rFonts w:ascii="Times New Roman" w:eastAsia="Times New Roman" w:hAnsi="Times New Roman" w:cs="Times New Roman"/>
          <w:b/>
          <w:color w:val="333333"/>
          <w:sz w:val="26"/>
          <w:szCs w:val="26"/>
          <w:lang w:val="vi-VN"/>
        </w:rPr>
        <w:t>1</w:t>
      </w:r>
      <w:r w:rsidRPr="00761336">
        <w:rPr>
          <w:rFonts w:ascii="Times New Roman" w:eastAsia="Times New Roman" w:hAnsi="Times New Roman" w:cs="Times New Roman"/>
          <w:b/>
          <w:color w:val="333333"/>
          <w:sz w:val="26"/>
          <w:szCs w:val="26"/>
        </w:rPr>
        <w:t>.4 Các đề nghị điều chỉnh kế toán</w:t>
      </w:r>
      <w:bookmarkEnd w:id="11"/>
    </w:p>
    <w:p w14:paraId="377A8073"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Theo kết quả phân tích báo cáo tài chính hợp nhất giai đoạn 2022–2024, nhóm phân tích nhận thấy cần có một số đề nghị điều chỉnh và công bố thông tin liên quan đến tài sản và nợ của Tập đoàn Hòa Phát nhằm đảm bảo tính minh bạch và phản ánh chính xác tình hình tài chính. </w:t>
      </w:r>
    </w:p>
    <w:p w14:paraId="719E9098"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 xml:space="preserve">Trước hết, đối với công tác kế toán, vấn đề trích lập dự phòng cần được rà soát kỹ lưỡng hơn. Số liệu cho thấy dự phòng giảm giá hàng tồn kho và phải thu khó đòi đều có xu hướng biến động âm, cụ thể năm 2022 dự phòng giảm giá hàng tồn kho là –1.236 tỷ đồng, năm 2023 còn –123 tỷ đồng, và năm 2024 chỉ còn –101 tỷ đồng; tương tự, dự phòng phải thu khó đòi năm 2022 ghi nhận –41 tỷ đồng, năm 2023 –46 tỷ đồng và năm 2024 là –159 tỷ đồng. Việc giá trị dự phòng mang dấu âm phản ánh khả năng hoàn nhập hoặc ghi nhận </w:t>
      </w:r>
      <w:r w:rsidRPr="00761336">
        <w:rPr>
          <w:rFonts w:ascii="Times New Roman" w:eastAsia="Times New Roman" w:hAnsi="Times New Roman" w:cs="Times New Roman"/>
          <w:color w:val="000000"/>
          <w:sz w:val="26"/>
          <w:szCs w:val="26"/>
        </w:rPr>
        <w:lastRenderedPageBreak/>
        <w:t>chưa đầy đủ mức độ rủi ro, có thể dẫn đến việc lợi nhuận bị “thổi phồng” so với thực tế. Trong bối cảnh ngành thép luôn biến động mạnh về giá cả, công ty cần minh bạch hơn trong chính sách dự phòng, công bố rõ phương pháp tính toán và giả định áp dụng, nhằm đảm bảo các khoản mục này phản ánh đúng chất lượng tài sản ngắn hạn.</w:t>
      </w:r>
    </w:p>
    <w:p w14:paraId="6B1E08BC"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Đáng lưu ý là tốc độ tăng nhanh của tài sản cố định và chi phí xây dựng cơ bản dở dang. Chỉ trong vòng ba năm, giá trị xây dựng cơ bản dở dang đã tăng gần gấp 5 lần, từ 13.334 tỷ đồng năm 2022 lên 26.052 tỷ đồng năm 2023 và đạt 63.752 tỷ đồng năm 2024, chiếm tới 28% tài sản dài hạn. Cùng với đó, nguyên giá tài sản cố định hữu hình lên tới 108.125 tỷ đồng năm 2024, cao hơn đáng kể so với mức 86.273 tỷ đồng năm 2022. Sự gia tăng mạnh này cho thấy Hòa Phát đang đầu tư quy mô lớn vào mở rộng công suất sản xuất, song cũng đặt ra yêu cầu minh bạch hóa về chính sách khấu hao, tiêu chí vốn hóa chi phí và tiến độ dự án. Nếu việc vốn hóa chưa tuân thủ chặt chẽ các chuẩn mực kế toán, chi phí có thể bị chuyển từ chi phí kỳ hiện tại sang tài sản, khiến lợi nhuận ngắn hạn tăng một cách giả tạo. Do đó, cần công bố chi tiết hơn các nguyên tắc vốn hóa, phương pháp khấu hao và tác động đến kết quả kinh doanh từng kỳ.</w:t>
      </w:r>
    </w:p>
    <w:p w14:paraId="7A41F553"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Ngoài ra, việc phân loại giữa nợ ngắn hạn và nợ dài hạn cũng cần được xem xét lại. Báo cáo cho thấy vay ngắn hạn chiếm tới 55.883 tỷ đồng năm 2024, tương đương 24,89% tổng nguồn vốn, trong khi vay dài hạn đạt 27.080 tỷ đồng (12,06%). Với mức nợ vay chiếm tỷ trọng cao như vậy, việc phân loại chính xác kỳ hạn có ý nghĩa đặc biệt quan trọng để đánh giá cơ cấu vốn và khả năng thanh toán. Nếu có các khoản vay dài hạn sắp đến hạn trả nhưng vẫn được ghi nhận ở mục nợ dài hạn, thì cơ cấu nguồn vốn có thể bị bóp méo, làm giảm tính trung thực của báo cáo. Do đó, công ty cần công bố chi tiết lịch trả nợ gốc và lãi, đồng thời minh bạch hơn về các điều khoản vay, bao gồm lãi suất, tài sản thế chấp và thời hạn cụ thể.</w:t>
      </w:r>
    </w:p>
    <w:p w14:paraId="4F6D7A0C"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Xét trên góc độ phân tích tài chính, tỷ lệ nợ trên vốn chủ sở hữu (D/E) của Hòa Phát năm 2024 chỉ còn 0,96 lần, giảm so với mức 0,99 lần năm 2023 và 0,77 lần năm 2022, phản ánh phần nào sự ổn định trong cấu trúc vốn. Tuy nhiên, rủi ro thanh khoản vẫn tồn tại khi tỷ trọng tài sản ngắn hạn giảm dần từ 47,27% năm 2022 xuống còn 38,61% năm 2024, trong khi vay ngắn hạn lại chiếm gần 25% tổng nguồn vốn. Sự mất cân đối này có thể gây áp lực lớn lên dòng tiền lưu động, đặc biệt trong bối cảnh ngành thép thường xuyên đối diện chu kỳ giá nguyên liệu biến động mạnh. Vì vậy, công ty cần công bố thông tin chi tiết hơn về các khoản vay, đồng thời bổ sung dữ liệu về tiến độ triển khai các dự án dở dang, quy mô vốn đầu tư và nguồn tài trợ, để giải thích hợp lý cho sự gia tăng mạnh mẽ của tài sản dài hạn.</w:t>
      </w:r>
    </w:p>
    <w:p w14:paraId="35EFF2CE"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hAnsi="Times New Roman" w:cs="Times New Roman"/>
          <w:sz w:val="26"/>
          <w:szCs w:val="26"/>
        </w:rPr>
      </w:pPr>
      <w:r w:rsidRPr="00761336">
        <w:rPr>
          <w:rFonts w:ascii="Times New Roman" w:eastAsia="Times New Roman" w:hAnsi="Times New Roman" w:cs="Times New Roman"/>
          <w:color w:val="000000"/>
          <w:sz w:val="26"/>
          <w:szCs w:val="26"/>
        </w:rPr>
        <w:t xml:space="preserve">Cuối cùng, việc công bố thông tin liên quan đến giao dịch nội bộ và rủi ro tài chính. Các </w:t>
      </w:r>
      <w:r w:rsidRPr="00761336">
        <w:rPr>
          <w:rFonts w:ascii="Times New Roman" w:eastAsia="Times New Roman" w:hAnsi="Times New Roman" w:cs="Times New Roman"/>
          <w:color w:val="000000"/>
          <w:sz w:val="26"/>
          <w:szCs w:val="26"/>
        </w:rPr>
        <w:lastRenderedPageBreak/>
        <w:t>khoản phải thu của Hòa Phát từ khách hàng năm 2024 vẫn chiếm hơn 4.352 tỷ đồng, nhưng chưa tách bạch rõ ràng giữa công ty con, công ty liên kết và khách hàng bên ngoài. Điều này tiềm ẩn rủi ro che giấu giao dịch nội bộ, làm sai lệch đánh giá về khả năng thu hồi nợ. Bên cạnh đó, doanh nghiệp cần phân tích thêm rủi ro liên quan đến lãi suất, tỷ giá và giá nguyên liệu đầu vào, bởi đây là những yếu tố trực tiếp ảnh hưởng đến chi phí vay nợ, giá trị tài sản và hiệu quả kinh doanh. Chuẩn mực quốc tế cho thấy nhiều tập đoàn lớn thường lập báo cáo phân tích rủi ro tài chính kèm theo báo cáo tài chính thường niên, giúp nhà đầu tư và các bên liên quan đánh giá chính xác hơn về khả năng chống chịu trước biến động vĩ mô.</w:t>
      </w:r>
    </w:p>
    <w:p w14:paraId="51429783" w14:textId="77777777" w:rsidR="00D978DF" w:rsidRPr="00761336" w:rsidRDefault="00000000">
      <w:pPr>
        <w:widowControl/>
        <w:spacing w:before="240" w:line="276" w:lineRule="auto"/>
        <w:jc w:val="both"/>
        <w:textAlignment w:val="baseline"/>
        <w:outlineLvl w:val="0"/>
        <w:rPr>
          <w:rFonts w:ascii="Times New Roman" w:eastAsia="Times New Roman" w:hAnsi="Times New Roman" w:cs="Times New Roman"/>
          <w:b/>
          <w:bCs/>
          <w:color w:val="000000"/>
          <w:sz w:val="26"/>
          <w:szCs w:val="26"/>
          <w:lang w:val="zh-CN"/>
        </w:rPr>
      </w:pPr>
      <w:bookmarkStart w:id="12" w:name="_Toc211973137"/>
      <w:r w:rsidRPr="00761336">
        <w:rPr>
          <w:rFonts w:ascii="Times New Roman" w:eastAsia="Times New Roman" w:hAnsi="Times New Roman" w:cs="Times New Roman"/>
          <w:b/>
          <w:bCs/>
          <w:color w:val="000000"/>
          <w:sz w:val="26"/>
          <w:szCs w:val="26"/>
          <w:lang w:val="vi-VN"/>
        </w:rPr>
        <w:t xml:space="preserve">2. </w:t>
      </w:r>
      <w:r w:rsidRPr="00761336">
        <w:rPr>
          <w:rFonts w:ascii="Times New Roman" w:eastAsia="Times New Roman" w:hAnsi="Times New Roman" w:cs="Times New Roman"/>
          <w:b/>
          <w:bCs/>
          <w:color w:val="000000"/>
          <w:sz w:val="26"/>
          <w:szCs w:val="26"/>
          <w:lang w:val="zh-CN"/>
        </w:rPr>
        <w:t>Phân tích báo cáo thu nhập</w:t>
      </w:r>
      <w:bookmarkEnd w:id="12"/>
      <w:r w:rsidRPr="00761336">
        <w:rPr>
          <w:rFonts w:ascii="Times New Roman" w:eastAsia="Times New Roman" w:hAnsi="Times New Roman" w:cs="Times New Roman"/>
          <w:b/>
          <w:bCs/>
          <w:color w:val="000000"/>
          <w:sz w:val="26"/>
          <w:szCs w:val="26"/>
          <w:lang w:val="zh-CN"/>
        </w:rPr>
        <w:t> </w:t>
      </w:r>
    </w:p>
    <w:p w14:paraId="02BB4BCB" w14:textId="77777777" w:rsidR="00D978DF" w:rsidRPr="00761336" w:rsidRDefault="00000000">
      <w:pPr>
        <w:pStyle w:val="Heading2"/>
        <w:spacing w:line="276" w:lineRule="auto"/>
        <w:jc w:val="both"/>
        <w:rPr>
          <w:rFonts w:ascii="Times New Roman" w:eastAsia="Times New Roman" w:hAnsi="Times New Roman" w:cs="Times New Roman"/>
          <w:b/>
          <w:bCs/>
          <w:color w:val="000000"/>
          <w:sz w:val="26"/>
          <w:szCs w:val="26"/>
          <w:lang w:val="zh-CN"/>
        </w:rPr>
      </w:pPr>
      <w:bookmarkStart w:id="13" w:name="_Toc211973138"/>
      <w:r w:rsidRPr="00761336">
        <w:rPr>
          <w:rFonts w:ascii="Times New Roman" w:eastAsia="Times New Roman" w:hAnsi="Times New Roman" w:cs="Times New Roman"/>
          <w:b/>
          <w:bCs/>
          <w:color w:val="000000"/>
          <w:sz w:val="26"/>
          <w:szCs w:val="26"/>
          <w:lang w:val="vi-VN"/>
        </w:rPr>
        <w:t xml:space="preserve">2.1 </w:t>
      </w:r>
      <w:r w:rsidRPr="00761336">
        <w:rPr>
          <w:rFonts w:ascii="Times New Roman" w:eastAsia="Times New Roman" w:hAnsi="Times New Roman" w:cs="Times New Roman"/>
          <w:b/>
          <w:bCs/>
          <w:color w:val="000000"/>
          <w:sz w:val="26"/>
          <w:szCs w:val="26"/>
          <w:lang w:val="zh-CN"/>
        </w:rPr>
        <w:t>Phân tích tỷ trọng</w:t>
      </w:r>
      <w:bookmarkEnd w:id="13"/>
    </w:p>
    <w:p w14:paraId="66575DFF" w14:textId="77777777" w:rsidR="00D978DF" w:rsidRPr="00761336" w:rsidRDefault="00D978DF">
      <w:pPr>
        <w:widowControl/>
        <w:spacing w:line="276" w:lineRule="auto"/>
        <w:jc w:val="both"/>
        <w:rPr>
          <w:rFonts w:ascii="Times New Roman" w:eastAsia="Times New Roman" w:hAnsi="Times New Roman" w:cs="Times New Roman"/>
          <w:sz w:val="26"/>
          <w:szCs w:val="26"/>
          <w:lang w:val="zh-CN"/>
        </w:rPr>
      </w:pPr>
    </w:p>
    <w:p w14:paraId="40BDE2C5" w14:textId="77777777" w:rsidR="00D978DF" w:rsidRPr="00761336" w:rsidRDefault="00000000">
      <w:pPr>
        <w:widowControl/>
        <w:spacing w:after="240"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noProof/>
          <w:sz w:val="26"/>
          <w:szCs w:val="26"/>
          <w:lang w:val="zh-CN"/>
        </w:rPr>
        <w:drawing>
          <wp:inline distT="0" distB="0" distL="0" distR="0" wp14:anchorId="14BE0860" wp14:editId="59541A10">
            <wp:extent cx="5943600" cy="3362325"/>
            <wp:effectExtent l="0" t="0" r="0" b="3175"/>
            <wp:docPr id="57326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66711" name="Picture 1"/>
                    <pic:cNvPicPr>
                      <a:picLocks noChangeAspect="1"/>
                    </pic:cNvPicPr>
                  </pic:nvPicPr>
                  <pic:blipFill>
                    <a:blip r:embed="rId23"/>
                    <a:stretch>
                      <a:fillRect/>
                    </a:stretch>
                  </pic:blipFill>
                  <pic:spPr>
                    <a:xfrm>
                      <a:off x="0" y="0"/>
                      <a:ext cx="5943600" cy="3362325"/>
                    </a:xfrm>
                    <a:prstGeom prst="rect">
                      <a:avLst/>
                    </a:prstGeom>
                  </pic:spPr>
                </pic:pic>
              </a:graphicData>
            </a:graphic>
          </wp:inline>
        </w:drawing>
      </w:r>
    </w:p>
    <w:p w14:paraId="4FB175F5" w14:textId="77777777" w:rsidR="00D978DF" w:rsidRPr="00761336" w:rsidRDefault="00000000">
      <w:pPr>
        <w:pBdr>
          <w:top w:val="none" w:sz="0" w:space="0" w:color="000000"/>
          <w:left w:val="none" w:sz="0" w:space="0" w:color="000000"/>
          <w:bottom w:val="none" w:sz="0" w:space="0" w:color="000000"/>
          <w:right w:val="none" w:sz="0" w:space="0" w:color="000000"/>
        </w:pBdr>
        <w:shd w:val="clear" w:color="FFFFFF" w:fill="FFFFFF"/>
        <w:spacing w:before="240" w:line="276" w:lineRule="auto"/>
        <w:jc w:val="both"/>
        <w:rPr>
          <w:rFonts w:ascii="Times New Roman" w:eastAsia="Times New Roman" w:hAnsi="Times New Roman" w:cs="Times New Roman"/>
          <w:color w:val="000000"/>
          <w:sz w:val="26"/>
          <w:szCs w:val="26"/>
        </w:rPr>
      </w:pPr>
      <w:r w:rsidRPr="00761336">
        <w:rPr>
          <w:rFonts w:ascii="Times New Roman" w:eastAsia="Times New Roman" w:hAnsi="Times New Roman" w:cs="Times New Roman"/>
          <w:color w:val="000000"/>
          <w:sz w:val="26"/>
          <w:szCs w:val="26"/>
        </w:rPr>
        <w:t>Trong giai đoạn 2022 – 2024, tình hình kinh doanh của Tập đoàn Hòa Phát có sự biến động rõ rệt. Doanh thu thuần năm 2022 đạt hơn 141 nghìn tỷ đồng nhưng giảm xuống chỉ còn gần 119 nghìn tỷ đồng vào năm 2023, tương đương mức sụt giảm gần 16%. Nguyên nhân chủ yếu đến từ sự suy giảm nhu cầu thép trong bối cảnh kinh tế toàn cầu chậm lại, bất động sản đóng băng và giá nguyên liệu đầu vào biến động bất lợi. Sang năm 2024, doanh thu đã phục hồi mạnh mẽ, đạt khoảng 139 nghìn tỷ đồng, tăng trưởng 16,7% so với năm trước.</w:t>
      </w:r>
    </w:p>
    <w:p w14:paraId="66072266"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Giá vốn hàng bán luôn chiếm tỷ trọng cao dao động từ 87% đến 89% trong ba năm, phản ánh đặc thù ngành thép với biên lợi nhuận thấp và phụ thuộc nhiều vào biến động giá </w:t>
      </w:r>
      <w:r w:rsidRPr="00761336">
        <w:rPr>
          <w:rFonts w:ascii="Times New Roman" w:eastAsia="Times New Roman" w:hAnsi="Times New Roman" w:cs="Times New Roman"/>
          <w:color w:val="000000"/>
          <w:sz w:val="26"/>
          <w:szCs w:val="26"/>
          <w:lang w:val="zh-CN"/>
        </w:rPr>
        <w:lastRenderedPageBreak/>
        <w:t>nguyên vật liệu. Năm 2023, giá vốn/doanh thu đạt mức cao nhất (89,12%), khiến biên lợi nhuận gộp giảm xuống chỉ còn 10,87%. Tuy nhiên, năm 2024, tỷ trọng giá vốn giảm còn 87,68%, nhờ đó biên lợi nhuận gộp cải thiện mạnh lên 13,32% và lợi nhuận gộp đạt 18.498 tỷ đồng. Đây là tín hiệu tích cực cho thấy Hòa Phát đã nâng cao hiệu quả quản trị chi phí và tận dụng tốt sự phục hồi giá thép trên thị trường.</w:t>
      </w:r>
    </w:p>
    <w:p w14:paraId="3ABFA08F"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Biên lợi nhuận gộp cũng cải thiện đáng kể, từ mức 10,87% năm 2023 lên 13,32% năm 2024, phản ánh sự phục hồi của thị trường thép và khả năng kiểm soát chi phí nguyên vật liệu của doanh nghiệp.</w:t>
      </w:r>
    </w:p>
    <w:p w14:paraId="647F714D"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Hoạt động tài chính trong giai đoạn này cho thấy nhiều tín hiệu tích cực. Doanh thu tài chính có xu hướng giảm dần qua các năm từ 3.744 tỷ đồng năm 2022 xuống 2.619 tỷ đồng năm 2024, song chi phí tài chính cũng giảm mạnh, từ hơn 7 nghìn tỷ đồng năm 2022 xuống chỉ còn gần 4 nghìn tỷ đồng vào năm 2024. Đáng chú ý, chi phí lãi vay đã giảm từ 3.585 tỷ đồng năm 2023 xuống còn 2.287 tỷ đồng năm 2024, góp phần giảm áp lực tài chính và cải thiện kết quả kinh doanh. </w:t>
      </w:r>
    </w:p>
    <w:p w14:paraId="082A91A2"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Xét về chi phí hoạt động, chi phí bán hàng duy trì ở mức ổn định và có tỷ trọng thấp so với doanh thu thuần, trong khi chi phí quản lý doanh nghiệp lại có xu hướng tăng dần, từ hơn 1.000 tỷ đồng năm 2022 lên hơn 1.500 tỷ đồng năm 2024. Mặc dù mức tăng này chưa ảnh hưởng quá lớn đến tổng thể, song phản ánh áp lực quản trị và vận hành gia tăng cùng với sự mở rộng quy mô của tập đoàn.</w:t>
      </w:r>
    </w:p>
    <w:p w14:paraId="6421B496"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vi-VN"/>
        </w:rPr>
      </w:pPr>
      <w:r w:rsidRPr="00761336">
        <w:rPr>
          <w:rFonts w:ascii="Times New Roman" w:eastAsia="Times New Roman" w:hAnsi="Times New Roman" w:cs="Times New Roman"/>
          <w:color w:val="000000"/>
          <w:sz w:val="26"/>
          <w:szCs w:val="26"/>
          <w:lang w:val="zh-CN"/>
        </w:rPr>
        <w:t>Nhờ sự phục hồi của doanh thu và hiệu quả kiểm soát chi phí, lợi nhuận thuần từ hoạt động kinh doanh đã cải thiện đáng kể. Sau khi giảm còn 7.650 tỷ đồng trong năm 2023, con số này đã tăng vọt lên 13.267 tỷ đồng năm 2024, chiếm 9,55% doanh thu thuần, đạt mức cao nhất trong ba năm. Lợi nhuận kế toán trước thuế đạt 13.694 tỷ đồng, tăng 75% so với năm trước. Sau khi trừ chi phí thuế thu nhập doanh nghiệp, lợi nhuận sau thuế năm 2024 đạt 12.020 tỷ đồng, tăng 77% so với năm 2023 và cao hơn mức năm 2022. Chỉ số thu nhập cơ bản trên mỗi cổ phiếu  có xu hướng biến động cùng chiều với lợi nhuận sau thuế, qua đó phản ánh trực tiếp hiệu quả tạo giá trị cho cổ đông. Năm 2023 giảm xuống 1.005 đồng/cổ phiếu do kết quả kinh doanh suy yếu, nhưng sang năm 2024, chỉ số này đã tăng mạnh lên 1.751 đồng/cổ phiếu nhờ sự phục hồi doanh thu và lợi nhuận. Sự cải thiện này cho thấy Hòa Phát không chỉ khắc phục được khó khăn trong ngắn hạn mà còn đang khẳng định khả năng thích ứng tốt với biến động thị trường. </w:t>
      </w:r>
    </w:p>
    <w:p w14:paraId="7C19DC4B" w14:textId="77777777" w:rsidR="00D978DF" w:rsidRPr="00761336" w:rsidRDefault="00000000">
      <w:pPr>
        <w:pStyle w:val="Heading2"/>
        <w:spacing w:line="276" w:lineRule="auto"/>
        <w:jc w:val="both"/>
        <w:rPr>
          <w:rFonts w:ascii="Times New Roman" w:eastAsia="Times New Roman" w:hAnsi="Times New Roman" w:cs="Times New Roman"/>
          <w:b/>
          <w:bCs/>
          <w:color w:val="000000"/>
          <w:sz w:val="26"/>
          <w:szCs w:val="26"/>
          <w:lang w:val="vi-VN"/>
        </w:rPr>
      </w:pPr>
      <w:bookmarkStart w:id="14" w:name="_Toc211973139"/>
      <w:r w:rsidRPr="00761336">
        <w:rPr>
          <w:rFonts w:ascii="Times New Roman" w:eastAsia="Times New Roman" w:hAnsi="Times New Roman" w:cs="Times New Roman"/>
          <w:b/>
          <w:bCs/>
          <w:color w:val="000000"/>
          <w:sz w:val="26"/>
          <w:szCs w:val="26"/>
          <w:lang w:val="vi-VN"/>
        </w:rPr>
        <w:t>2.2 Các vấn đề về kế toán</w:t>
      </w:r>
      <w:bookmarkEnd w:id="14"/>
    </w:p>
    <w:p w14:paraId="0725287A"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Để đánh giá một cách toàn diện chất lượng lợi nhuận của Hòa Phát, không thể chỉ nhìn vào những con số hiển thị trên báo cáo tài chính. Cần phải xem xét kỹ lưỡng các vấn đề kế toán </w:t>
      </w:r>
      <w:r w:rsidRPr="00761336">
        <w:rPr>
          <w:rFonts w:ascii="Times New Roman" w:eastAsia="Times New Roman" w:hAnsi="Times New Roman" w:cs="Times New Roman"/>
          <w:color w:val="000000"/>
          <w:sz w:val="26"/>
          <w:szCs w:val="26"/>
          <w:lang w:val="zh-CN"/>
        </w:rPr>
        <w:lastRenderedPageBreak/>
        <w:t>có thể ảnh hưởng đến tính trung thực của lợi nhuận được ghi nhận, bởi đôi khi các con số tưởng chừng ổn định cũng có thể che giấu những biến động tiềm ẩn. Trong giai đoạn 2022–2024, Hòa Phát ghi nhận một số nghiệp vụ đáng chú ý bao gồm vốn hóa chi phí, trích lập và hoàn nhập dự phòng, cùng với các chính sách ghi nhận doanh thu. Những yếu tố này, nếu không được phân tích cẩn trọng, có thể dẫn đến sự đánh giá quá cao hoặc quá thấp về hiệu quả kinh doanh thực sự. Việc nhận diện và hiểu rõ tác động của các nghiệp vụ kế toán này giúp nhà đầu tư và các bên liên quan có cái nhìn chính xác hơn về khả năng sinh lời bền vững và sự ổn định tài chính của doanh nghiệp, đồng thời đánh giá được mức độ rủi ro tiềm ẩn trong báo cáo lợi nhuận.</w:t>
      </w:r>
    </w:p>
    <w:p w14:paraId="378E9422" w14:textId="77777777" w:rsidR="00D978DF" w:rsidRPr="00761336" w:rsidRDefault="00000000">
      <w:pPr>
        <w:widowControl/>
        <w:spacing w:before="240" w:line="276" w:lineRule="auto"/>
        <w:jc w:val="both"/>
        <w:textAlignment w:val="baseline"/>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 Vốn hóa chi phí lãi vay: Nghiệp vụ này cho phép doanh nghiệp ghi nhận chi phí lãi vay phát sinh liên quan trực tiếp đến việc xây dựng tài sản dở dang vào nguyên giá tài sản, thay vì hạch toán ngay vào chi phí tài chính trong kỳ, từ đó ảnh hưởng trực tiếp đến lợi nhuận kế toán tạm thời. Giai đoạn 2022–2024, Hòa Phát triển khai mạnh mẽ dự án Khu liên hợp gang thép Dung Quất 2, một dự án có quy mô lớn và thời gian xây dựng kéo dài nhiều năm. Theo chuẩn mực kế toán, lãi vay của các khoản nợ phục vụ dự án đủ điều kiện sẽ được vốn hóa cho đến khi dự án hoàn tất. Trên thực tế, Hòa Phát đã vốn hóa một phần chi phí lãi vay trong giai đoạn này, làm giảm chi phí tài chính ghi nhận trong kỳ và gia tăng lợi nhuận kế toán tạm thời.</w:t>
      </w:r>
    </w:p>
    <w:p w14:paraId="73D59E96" w14:textId="77777777" w:rsidR="00D978DF" w:rsidRPr="00761336" w:rsidRDefault="00000000">
      <w:pPr>
        <w:widowControl/>
        <w:spacing w:after="240" w:line="276" w:lineRule="auto"/>
        <w:jc w:val="both"/>
        <w:textAlignment w:val="baseline"/>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 Trích lập và hoàn nhập dự phòng : Chất lượng lợi nhuận còn chịu ảnh hưởng bởi cách Hòa Phát trích lập dự phòng kế toán , đặc biệt là dự phòng giảm giá hàng tồn kho. Với đặc thù ngành thép, giá hàng tồn kho (quặng sắt , phôi thép, thành phẩm) biến động theo giá thị trường. Khi giá thị trường giảm thấp hơn giá gốc, doanh nghiệp phải trích lập dự phòng để phản ánh tổn thất. Cuối năm 2022, do giá thép lao dốc, Hòa Phát đã trích lập khoản dự phòng hàng tồn kho quy mô lớn khoảng 1.000 tỷ đồng, góp phần khiến quý IV/2022 ghi nhận mức lỗ ròng đáng kể, gần 2.000 tỷ. Đến đầu 2023, giá thép phục hồi giúp doanh nghiệp hoàn nhập một phần khoản dự phòng này. Riêng quý I/2023, Hòa Phát hoàn nhập 948 tỷ đồng giúp biên lợi nhuận được cải thiện 6,3% so với mức âm của quý trước đó. Kết quả là dự phòng tồn kho giảm từ 1.200 tỷ đồng cuối 2022 xuống còn 288 tỷ đồng cuối quý I/2023. Điều này đồng nghĩa, gần 948 tỷ đồng lợi nhuận quý I/2023 thực chất đến từ nghiệp vụ kế toán hoàn nhập dự phòng, thay vì hoạt động kinh doanh cốt lõi. Nghiệp vụ này đã làm lợi nhuận sau thuế năm 2022 bị giảm mạnh, trong khi năm 2023 lại được hỗ trợ tăng thêm một cách kỹ thuật. Vì vậy, khi phân tích chất lượng lợi nhuận, cần tách bạch phần lợi nhuận đến từ hoàn nhập dự phòng để đánh giá đúng năng lực sinh lời bền vững. Ngoài hàng tồn kho, Hòa Phát cũng có khả năng phát sinh dự phòng cho công nợ khó đòi hoặc tổn thất đầu tư, nhưng trong giai đoạn này không ghi nhận khoản nào đáng kể, do công nợ chủ yếu là ngắn hạn và được quản lý tương đối chặt chẽ.</w:t>
      </w:r>
    </w:p>
    <w:p w14:paraId="6531D035" w14:textId="77777777" w:rsidR="00D978DF" w:rsidRPr="00761336" w:rsidRDefault="00000000">
      <w:pPr>
        <w:widowControl/>
        <w:spacing w:before="240" w:line="276" w:lineRule="auto"/>
        <w:jc w:val="both"/>
        <w:textAlignment w:val="baseline"/>
        <w:rPr>
          <w:rFonts w:ascii="Times New Roman" w:eastAsia="Times New Roman" w:hAnsi="Times New Roman" w:cs="Times New Roman"/>
          <w:color w:val="000000"/>
          <w:sz w:val="26"/>
          <w:szCs w:val="26"/>
          <w:lang w:val="vi-VN"/>
        </w:rPr>
      </w:pPr>
      <w:r w:rsidRPr="00761336">
        <w:rPr>
          <w:rFonts w:ascii="Times New Roman" w:eastAsia="Times New Roman" w:hAnsi="Times New Roman" w:cs="Times New Roman"/>
          <w:color w:val="000000"/>
          <w:sz w:val="26"/>
          <w:szCs w:val="26"/>
          <w:lang w:val="zh-CN"/>
        </w:rPr>
        <w:lastRenderedPageBreak/>
        <w:t>- Chính sách ghi nhận doanh thu (theo thời điểm hay theo kỳ hạn) : Hòa Phát tập trung chủ yếu vào sản xuất và kinh doanh thép cùng các sản phẩm công nghiệp. Với đặc thù này, doanh thu thường được ghi nhận tại thời điểm giao hàng, khi quyền kiểm soát đã được chuyển giao cho khách hàng. Nguyên tắc này phù hợp với quy định của IFRS 15 và VAS 14, nhấn mạnh rằng doanh thu chỉ được xác định khi khách hàng có đầy đủ quyền sở hữu và định đoạt đối với hàng hóa. Trong các mảng kinh doanh chính như thép xây dựng, ống thép hay nội thất, doanh thu phát sinh theo một lần tại thời điểm xuất kho, do đây là các sản phẩm phổ biến, không đòi hỏi quá trình thực hiện nghĩa vụ kéo dài. Khác với doanh nghiệp xây dựng hoặc bất động sản, vốn phải ghi nhận doanh thu theo tiến độ dự án, tỷ trọng doanh thu của Hòa Phát từ các mảng này cũng chỉ ở mức rất nhỏ (khoảng 6%), do đó không ảnh hưởng đáng kể đến bức tranh chung. Vì vậy, không xuất hiện dấu hiệu cho thấy Hòa Phát đẩy nhanh hay trì hoãn ghi nhận doanh thu một cách bất thường. Kết quả doanh thu hàng năm nhìn chung phản ánh khá chính xác tình hình tiêu thụ thực tế. Nhà phân tích có thể kiểm chứng thêm ở phần thuyết minh, đặc biệt đối với các giao dịch cuối năm, để xem có hiện tượng “chạy doanh thu” nhằm hoàn thành kế hoạch hay không. Tuy nhiên, với quy mô hoạt động lớn, khả năng điều chỉnh doanh thu giữa các kỳ gần như không đáng kể. Nhìn chung, chính sách doanh thu nhất quán và tuân thủ chuẩn mực giúp lợi nhuận của HPG về mặt doanh thu khá chất lượng, không có biến động ảo do phương pháp ghi nhận.</w:t>
      </w:r>
    </w:p>
    <w:p w14:paraId="430D7ADD" w14:textId="77777777" w:rsidR="00D978DF" w:rsidRPr="00761336" w:rsidRDefault="00000000">
      <w:pPr>
        <w:pStyle w:val="Heading1"/>
        <w:spacing w:line="276" w:lineRule="auto"/>
        <w:jc w:val="both"/>
        <w:rPr>
          <w:rFonts w:ascii="Times New Roman" w:eastAsia="Times New Roman" w:hAnsi="Times New Roman" w:cs="Times New Roman"/>
          <w:b/>
          <w:bCs/>
          <w:color w:val="000000"/>
          <w:sz w:val="26"/>
          <w:szCs w:val="26"/>
          <w:lang w:val="vi-VN"/>
        </w:rPr>
      </w:pPr>
      <w:bookmarkStart w:id="15" w:name="_Toc211973140"/>
      <w:r w:rsidRPr="00761336">
        <w:rPr>
          <w:rFonts w:ascii="Times New Roman" w:eastAsia="Times New Roman" w:hAnsi="Times New Roman" w:cs="Times New Roman"/>
          <w:b/>
          <w:bCs/>
          <w:color w:val="000000"/>
          <w:sz w:val="26"/>
          <w:szCs w:val="26"/>
          <w:lang w:val="vi-VN"/>
        </w:rPr>
        <w:t xml:space="preserve">3. </w:t>
      </w:r>
      <w:r w:rsidRPr="00761336">
        <w:rPr>
          <w:rFonts w:ascii="Times New Roman" w:eastAsia="Times New Roman" w:hAnsi="Times New Roman" w:cs="Times New Roman"/>
          <w:b/>
          <w:bCs/>
          <w:color w:val="000000"/>
          <w:sz w:val="26"/>
          <w:szCs w:val="26"/>
          <w:lang w:val="zh-CN"/>
        </w:rPr>
        <w:t>Báo cáo dòng tiền</w:t>
      </w:r>
      <w:bookmarkEnd w:id="15"/>
      <w:r w:rsidRPr="00761336">
        <w:rPr>
          <w:rFonts w:ascii="Times New Roman" w:eastAsia="Times New Roman" w:hAnsi="Times New Roman" w:cs="Times New Roman"/>
          <w:b/>
          <w:bCs/>
          <w:color w:val="000000"/>
          <w:sz w:val="26"/>
          <w:szCs w:val="26"/>
          <w:lang w:val="zh-CN"/>
        </w:rPr>
        <w:t> </w:t>
      </w:r>
    </w:p>
    <w:p w14:paraId="772F428E" w14:textId="77777777" w:rsidR="00D978DF" w:rsidRPr="00761336" w:rsidRDefault="00000000">
      <w:pPr>
        <w:pStyle w:val="Heading2"/>
        <w:spacing w:line="276" w:lineRule="auto"/>
        <w:rPr>
          <w:rFonts w:ascii="Times New Roman" w:eastAsia="Times New Roman" w:hAnsi="Times New Roman" w:cs="Times New Roman"/>
          <w:color w:val="auto"/>
          <w:sz w:val="26"/>
          <w:szCs w:val="26"/>
          <w:lang w:val="vi-VN"/>
        </w:rPr>
      </w:pPr>
      <w:bookmarkStart w:id="16" w:name="_Toc211973141"/>
      <w:r w:rsidRPr="00761336">
        <w:rPr>
          <w:rFonts w:ascii="Times New Roman" w:eastAsia="Times New Roman" w:hAnsi="Times New Roman" w:cs="Times New Roman"/>
          <w:b/>
          <w:bCs/>
          <w:color w:val="000000"/>
          <w:sz w:val="26"/>
          <w:szCs w:val="26"/>
          <w:lang w:val="zh-CN"/>
        </w:rPr>
        <w:t>3.1. Dòng tiền vào và dòng tiền ra</w:t>
      </w:r>
      <w:bookmarkEnd w:id="16"/>
    </w:p>
    <w:p w14:paraId="6B192C5B" w14:textId="77777777" w:rsidR="00D978DF" w:rsidRPr="00761336" w:rsidRDefault="00000000">
      <w:pPr>
        <w:widowControl/>
        <w:spacing w:before="240" w:line="276" w:lineRule="auto"/>
        <w:textAlignment w:val="baseline"/>
        <w:rPr>
          <w:rFonts w:ascii="Times New Roman" w:eastAsia="Times New Roman" w:hAnsi="Times New Roman" w:cs="Times New Roman"/>
          <w:color w:val="000000"/>
          <w:sz w:val="26"/>
          <w:szCs w:val="26"/>
          <w:lang w:val="vi-VN"/>
        </w:rPr>
      </w:pPr>
      <w:r w:rsidRPr="00761336">
        <w:rPr>
          <w:rFonts w:ascii="Times New Roman" w:eastAsia="Times New Roman" w:hAnsi="Times New Roman" w:cs="Times New Roman"/>
          <w:color w:val="000000"/>
          <w:sz w:val="26"/>
          <w:szCs w:val="26"/>
          <w:lang w:val="zh-CN"/>
        </w:rPr>
        <w:t>Dòng</w:t>
      </w:r>
      <w:r w:rsidRPr="00761336">
        <w:rPr>
          <w:rFonts w:ascii="Times New Roman" w:eastAsia="Times New Roman" w:hAnsi="Times New Roman" w:cs="Times New Roman"/>
          <w:color w:val="000000"/>
          <w:sz w:val="26"/>
          <w:szCs w:val="26"/>
          <w:lang w:val="vi-VN"/>
        </w:rPr>
        <w:t xml:space="preserve"> tiền vào:</w:t>
      </w:r>
    </w:p>
    <w:p w14:paraId="3FC7991E" w14:textId="77777777" w:rsidR="00D978DF" w:rsidRPr="00761336" w:rsidRDefault="00000000">
      <w:pPr>
        <w:pBdr>
          <w:top w:val="none" w:sz="0" w:space="0" w:color="000000"/>
          <w:left w:val="none" w:sz="0" w:space="0" w:color="000000"/>
          <w:bottom w:val="none" w:sz="0" w:space="0" w:color="000000"/>
          <w:right w:val="none" w:sz="0" w:space="0" w:color="000000"/>
        </w:pBdr>
        <w:spacing w:line="276" w:lineRule="auto"/>
        <w:rPr>
          <w:rFonts w:ascii="Times New Roman" w:hAnsi="Times New Roman" w:cs="Times New Roman"/>
          <w:sz w:val="26"/>
          <w:szCs w:val="26"/>
          <w:lang w:val="en-US"/>
        </w:rPr>
      </w:pPr>
      <w:r w:rsidRPr="00761336">
        <w:rPr>
          <w:rFonts w:ascii="Times New Roman" w:hAnsi="Times New Roman" w:cs="Times New Roman"/>
          <w:noProof/>
          <w:sz w:val="26"/>
          <w:szCs w:val="26"/>
          <w:lang w:val="en-US"/>
        </w:rPr>
        <w:drawing>
          <wp:inline distT="0" distB="0" distL="0" distR="0" wp14:anchorId="0A78C88C" wp14:editId="56B24DDE">
            <wp:extent cx="5943600" cy="1054735"/>
            <wp:effectExtent l="0" t="0" r="0" b="0"/>
            <wp:docPr id="1480601317"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01317" name="Picture 1" descr="A table with numbers and numbers&#10;&#10;AI-generated content may be incorrect."/>
                    <pic:cNvPicPr>
                      <a:picLocks noChangeAspect="1"/>
                    </pic:cNvPicPr>
                  </pic:nvPicPr>
                  <pic:blipFill>
                    <a:blip r:embed="rId24"/>
                    <a:stretch>
                      <a:fillRect/>
                    </a:stretch>
                  </pic:blipFill>
                  <pic:spPr>
                    <a:xfrm>
                      <a:off x="0" y="0"/>
                      <a:ext cx="5943600" cy="1054735"/>
                    </a:xfrm>
                    <a:prstGeom prst="rect">
                      <a:avLst/>
                    </a:prstGeom>
                  </pic:spPr>
                </pic:pic>
              </a:graphicData>
            </a:graphic>
          </wp:inline>
        </w:drawing>
      </w:r>
    </w:p>
    <w:p w14:paraId="6749E9B0" w14:textId="77777777" w:rsidR="00D978DF" w:rsidRPr="00761336" w:rsidRDefault="00D978DF">
      <w:pPr>
        <w:pBdr>
          <w:top w:val="none" w:sz="0" w:space="0" w:color="000000"/>
          <w:left w:val="none" w:sz="0" w:space="0" w:color="000000"/>
          <w:bottom w:val="none" w:sz="0" w:space="0" w:color="000000"/>
          <w:right w:val="none" w:sz="0" w:space="0" w:color="000000"/>
        </w:pBdr>
        <w:spacing w:line="276" w:lineRule="auto"/>
        <w:rPr>
          <w:rFonts w:ascii="Times New Roman" w:hAnsi="Times New Roman" w:cs="Times New Roman"/>
          <w:sz w:val="26"/>
          <w:szCs w:val="26"/>
          <w:lang w:val="vi-VN"/>
        </w:rPr>
      </w:pPr>
    </w:p>
    <w:p w14:paraId="19970451" w14:textId="77777777" w:rsidR="00D978DF" w:rsidRPr="00761336" w:rsidRDefault="00000000">
      <w:pPr>
        <w:pBdr>
          <w:top w:val="none" w:sz="0" w:space="0" w:color="000000"/>
          <w:left w:val="none" w:sz="0" w:space="0" w:color="000000"/>
          <w:bottom w:val="none" w:sz="0" w:space="0" w:color="000000"/>
          <w:right w:val="none" w:sz="0" w:space="0" w:color="000000"/>
        </w:pBdr>
        <w:spacing w:line="276" w:lineRule="auto"/>
        <w:rPr>
          <w:rFonts w:ascii="Times New Roman" w:hAnsi="Times New Roman" w:cs="Times New Roman"/>
          <w:sz w:val="26"/>
          <w:szCs w:val="26"/>
          <w:lang w:val="vi-VN"/>
        </w:rPr>
      </w:pPr>
      <w:r w:rsidRPr="00761336">
        <w:rPr>
          <w:rFonts w:ascii="Times New Roman" w:hAnsi="Times New Roman" w:cs="Times New Roman"/>
          <w:sz w:val="26"/>
          <w:szCs w:val="26"/>
          <w:lang w:val="vi-VN"/>
        </w:rPr>
        <w:t>Dòng tiền ra:</w:t>
      </w:r>
    </w:p>
    <w:p w14:paraId="518D692C" w14:textId="77777777" w:rsidR="00D978DF" w:rsidRPr="00761336" w:rsidRDefault="00000000">
      <w:pPr>
        <w:pBdr>
          <w:top w:val="none" w:sz="0" w:space="0" w:color="000000"/>
          <w:left w:val="none" w:sz="0" w:space="0" w:color="000000"/>
          <w:bottom w:val="none" w:sz="0" w:space="0" w:color="000000"/>
          <w:right w:val="none" w:sz="0" w:space="0" w:color="000000"/>
        </w:pBdr>
        <w:spacing w:line="276" w:lineRule="auto"/>
        <w:rPr>
          <w:rFonts w:ascii="Times New Roman" w:hAnsi="Times New Roman" w:cs="Times New Roman"/>
          <w:sz w:val="26"/>
          <w:szCs w:val="26"/>
          <w:lang w:val="vi-VN"/>
        </w:rPr>
      </w:pPr>
      <w:r w:rsidRPr="00761336">
        <w:rPr>
          <w:rFonts w:ascii="Times New Roman" w:hAnsi="Times New Roman" w:cs="Times New Roman"/>
          <w:noProof/>
          <w:sz w:val="26"/>
          <w:szCs w:val="26"/>
          <w:lang w:val="en-US"/>
        </w:rPr>
        <w:drawing>
          <wp:inline distT="0" distB="0" distL="0" distR="0" wp14:anchorId="11622188" wp14:editId="7CAD16C0">
            <wp:extent cx="5943600" cy="916305"/>
            <wp:effectExtent l="0" t="0" r="0" b="0"/>
            <wp:docPr id="992063099" name="Picture 1" descr="A white shee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63099" name="Picture 1" descr="A white sheet with numbers&#10;&#10;AI-generated content may be incorrect."/>
                    <pic:cNvPicPr>
                      <a:picLocks noChangeAspect="1"/>
                    </pic:cNvPicPr>
                  </pic:nvPicPr>
                  <pic:blipFill>
                    <a:blip r:embed="rId25"/>
                    <a:stretch>
                      <a:fillRect/>
                    </a:stretch>
                  </pic:blipFill>
                  <pic:spPr>
                    <a:xfrm>
                      <a:off x="0" y="0"/>
                      <a:ext cx="5943600" cy="916305"/>
                    </a:xfrm>
                    <a:prstGeom prst="rect">
                      <a:avLst/>
                    </a:prstGeom>
                  </pic:spPr>
                </pic:pic>
              </a:graphicData>
            </a:graphic>
          </wp:inline>
        </w:drawing>
      </w:r>
    </w:p>
    <w:p w14:paraId="39089D58" w14:textId="77777777" w:rsidR="00D978DF" w:rsidRPr="00761336" w:rsidRDefault="00D978DF">
      <w:pPr>
        <w:pBdr>
          <w:top w:val="none" w:sz="0" w:space="0" w:color="000000"/>
          <w:left w:val="none" w:sz="0" w:space="0" w:color="000000"/>
          <w:bottom w:val="none" w:sz="0" w:space="0" w:color="000000"/>
          <w:right w:val="none" w:sz="0" w:space="0" w:color="000000"/>
        </w:pBdr>
        <w:spacing w:line="276" w:lineRule="auto"/>
        <w:rPr>
          <w:rFonts w:ascii="Times New Roman" w:hAnsi="Times New Roman" w:cs="Times New Roman"/>
          <w:sz w:val="26"/>
          <w:szCs w:val="26"/>
          <w:lang w:val="vi-VN"/>
        </w:rPr>
      </w:pPr>
    </w:p>
    <w:p w14:paraId="1A890313"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Dòng tiền vào chiếm tỷ trọng cao nhất là lợi nhuận trước thuế của công ty: sụt giảm đáng kể từ năm 2022 đến năm 2023 do chi phí cao và áp lực thị trường, xuống đến -27,34%; tuy nhiên từ năm 2023 đến năm 2024 đã hồi phục mạnh khi chứng kiến sự tăng vọt lên 43,09% (tăng 70,43%). Con số chứng minh trong năm 2024 tập đoàn Hòa Phát đã có sự tăng trưởng vượt trội, hoạt động sản xuất kinh doanh được cải thiện rõ rệt. </w:t>
      </w:r>
    </w:p>
    <w:p w14:paraId="1547BC08" w14:textId="77777777" w:rsidR="00D978DF" w:rsidRPr="00761336" w:rsidRDefault="00D978DF">
      <w:pPr>
        <w:widowControl/>
        <w:spacing w:line="276" w:lineRule="auto"/>
        <w:jc w:val="both"/>
        <w:rPr>
          <w:rFonts w:ascii="Times New Roman" w:eastAsia="Times New Roman" w:hAnsi="Times New Roman" w:cs="Times New Roman"/>
          <w:color w:val="000000"/>
          <w:sz w:val="26"/>
          <w:szCs w:val="26"/>
          <w:lang w:val="vi-VN"/>
        </w:rPr>
      </w:pPr>
    </w:p>
    <w:p w14:paraId="7C05475C"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Dòng tiền ra chiếm tỷ trọng lớn nhất là khoản biến động hàng tồn kho: doanh nghiệp bắt đầu giải phóng hàng tồn kho để thu hồi vốn khi có sự sụt giảm mạnh từ năm 2022 đến năm 2023, chạm đáy -681,75%; tăng lại trong năm 2023 đến năm 2024 là 109,54% (tăng 791,29%). Trong những năm gần đây, tập đoàn Hòa Phát có sự biến động lớn trong việc tăng/giảm hàng tồn kho.</w:t>
      </w:r>
    </w:p>
    <w:p w14:paraId="718F870F" w14:textId="77777777" w:rsidR="00D978DF" w:rsidRPr="00761336" w:rsidRDefault="00D978DF">
      <w:pPr>
        <w:widowControl/>
        <w:spacing w:line="276" w:lineRule="auto"/>
        <w:jc w:val="both"/>
        <w:rPr>
          <w:rFonts w:ascii="Times New Roman" w:eastAsia="Times New Roman" w:hAnsi="Times New Roman" w:cs="Times New Roman"/>
          <w:color w:val="000000"/>
          <w:sz w:val="26"/>
          <w:szCs w:val="26"/>
          <w:lang w:val="vi-VN"/>
        </w:rPr>
      </w:pPr>
    </w:p>
    <w:p w14:paraId="2A3D4735"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Xem xét tổng quan về dòng tiền vào của Hòa Phát, ta thấy tiền thu từ hoạt động đi vay từ 2022 đến 2024 có sự gia tăng nhưng không ổn định (tăng 33,37%), doanh nghiệp giảm vay trong 2023 và tăng mạnh vay vốn trở lại vào 2024. Điều này phản ánh nhu cầu vốn hóa cho mở rộng sản xuất và đầu tư được chú trọng. Về lợi nhuận từ hoạt động kinh doanh trước thay đổi vốn lưu động cũng gia tăng một cách vượt trội nhưng không ổn định với tỷ lệ 53,28% trong khoảng thời gian trên, giảm vào 2023 và tăng bật trở lại vào 2024, xu hướng tương tự lợi nhuận trước thuế; đây là một con số tích cực cho thấy dòng tiền từ hoạt động kinh doanh có cải thiện. Tuy nhiên, chi phí đi vay giảm khá sâu với tỷ lệ giảm -70,73%. Mặc dù vay nhiều hơn trong 2024, chi phí đi vay lại giảm rất mạnh; điều này có thể do lãi suất vay giảm hay cơ cấu nợ thay đổi hoặc một vài lý do khác.</w:t>
      </w:r>
    </w:p>
    <w:p w14:paraId="0BE1805E" w14:textId="77777777" w:rsidR="00D978DF" w:rsidRPr="00761336" w:rsidRDefault="00D978DF">
      <w:pPr>
        <w:widowControl/>
        <w:spacing w:line="276" w:lineRule="auto"/>
        <w:jc w:val="both"/>
        <w:rPr>
          <w:rFonts w:ascii="Times New Roman" w:eastAsia="Times New Roman" w:hAnsi="Times New Roman" w:cs="Times New Roman"/>
          <w:color w:val="000000"/>
          <w:sz w:val="26"/>
          <w:szCs w:val="26"/>
          <w:lang w:val="vi-VN"/>
        </w:rPr>
      </w:pPr>
    </w:p>
    <w:p w14:paraId="65064DE5"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Nhìn nhận tổng quan dòng tiền ra của Hòa Phát, có thể thấy doanh nghiệp giảm trả nợ gốc trong năm 2023 nhưng đến năm 2024 lại tăng lại; phản ánh áp lực thanh toán nợ gốc hiện nay lớn hơn. Về thuế thu nhập doanh nghiệp đã nộp thì biến động tương ứng với lợi nhuận. Tiền trả cổ tức trong 2022 đến 2023 tăng rất mạnh với tỷ lệ 71,78%, nhưng sau đó lại giảm xuống -61,21%, mức chi trả giảm đáng kể để giữ lại dòng tiền cho hoạt động tái đầu tư.</w:t>
      </w:r>
    </w:p>
    <w:p w14:paraId="3DE7296D" w14:textId="77777777" w:rsidR="00D978DF" w:rsidRPr="00761336" w:rsidRDefault="00D978DF">
      <w:pPr>
        <w:widowControl/>
        <w:spacing w:line="276" w:lineRule="auto"/>
        <w:jc w:val="both"/>
        <w:rPr>
          <w:rFonts w:ascii="Times New Roman" w:eastAsia="Times New Roman" w:hAnsi="Times New Roman" w:cs="Times New Roman"/>
          <w:color w:val="000000"/>
          <w:sz w:val="26"/>
          <w:szCs w:val="26"/>
          <w:lang w:val="vi-VN"/>
        </w:rPr>
      </w:pPr>
    </w:p>
    <w:p w14:paraId="682D0F44"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Nhìn chung, năm 2023 là giai đoạn thắt chặt, doanh nghiệp giảm trả nợ và giải phóng tồn kho nhưng vẫn chi cổ tức lớn → áp lực tài chính cao. Sang 2024, Hòa Phát vừa phục hồi lợi nhuận vừa tăng chi phí trả nợ gốc, đồng thời giảm chi cổ tức để cân bằng tài chính.</w:t>
      </w:r>
    </w:p>
    <w:p w14:paraId="23AF8749" w14:textId="77777777" w:rsidR="00D978DF" w:rsidRPr="00761336" w:rsidRDefault="00D978DF">
      <w:pPr>
        <w:widowControl/>
        <w:spacing w:line="276" w:lineRule="auto"/>
        <w:jc w:val="both"/>
        <w:rPr>
          <w:rFonts w:ascii="Times New Roman" w:eastAsia="Times New Roman" w:hAnsi="Times New Roman" w:cs="Times New Roman"/>
          <w:b/>
          <w:bCs/>
          <w:color w:val="000000"/>
          <w:sz w:val="26"/>
          <w:szCs w:val="26"/>
          <w:lang w:val="vi-VN"/>
        </w:rPr>
      </w:pPr>
    </w:p>
    <w:p w14:paraId="1FE5BE5C"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17" w:name="_Toc211973142"/>
      <w:r w:rsidRPr="00761336">
        <w:rPr>
          <w:rFonts w:ascii="Times New Roman" w:eastAsia="Times New Roman" w:hAnsi="Times New Roman" w:cs="Times New Roman"/>
          <w:b/>
          <w:bCs/>
          <w:color w:val="000000"/>
          <w:sz w:val="26"/>
          <w:szCs w:val="26"/>
          <w:lang w:val="zh-CN"/>
        </w:rPr>
        <w:t>3.2. Cách thức lập báo cáo lưu chuyển tiền tệ</w:t>
      </w:r>
      <w:bookmarkEnd w:id="17"/>
    </w:p>
    <w:p w14:paraId="4BC483CC"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Để xây dựng báo cáo lưu chuyển tiền tệ, trước tiên cần xác định rõ các loại dòng tiền chủ yếu, bao gồm dòng tiền từ hoạt động kinh doanh, hoạt động đầu tư và hoạt động tài chính. Tiếp đó, doanh nghiệp phải thu thập đầy đủ thông tin liên quan đến các giao dịch tài chính </w:t>
      </w:r>
      <w:r w:rsidRPr="00761336">
        <w:rPr>
          <w:rFonts w:ascii="Times New Roman" w:eastAsia="Times New Roman" w:hAnsi="Times New Roman" w:cs="Times New Roman"/>
          <w:color w:val="000000"/>
          <w:sz w:val="26"/>
          <w:szCs w:val="26"/>
          <w:lang w:val="zh-CN"/>
        </w:rPr>
        <w:lastRenderedPageBreak/>
        <w:t>và hoạt động sản xuất – kinh doanh trong một giai đoạn nhất định. Nguồn dữ liệu thường được lấy từ bảng cân đối kế toán, báo cáo kết quả kinh doanh, cùng các tài liệu khác phản ánh tình hình tiền tệ.</w:t>
      </w:r>
    </w:p>
    <w:p w14:paraId="4D0101AD"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Sau khi đã có dữ liệu, bước tiếp theo là phân loại các giao dịch thành dòng tiền thu và chi, chia theo ba nhóm chính: kinh doanh, đầu tư và tài chính. Toàn bộ thông tin này sẽ được tổng hợp và trình bày trong bảng lưu chuyển tiền tệ, với các phần mục như: tiền thu từ hoạt động kinh doanh, đầu tư và tài chính; tiền chi cho từng loại hoạt động; tổng cộng thu – chi; và cuối cùng là sự thay đổi trong số dư tiền mặt cũng như các khoản tương đương tiền.</w:t>
      </w:r>
    </w:p>
    <w:p w14:paraId="3AAA1826"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Khi bảng lưu chuyển tiền tệ đã hoàn thành, cần tiến hành kiểm tra, đối chiếu và rà soát để đảm bảo tính chính xác và đầy đủ. Nếu phát hiện sai lệch, doanh nghiệp phải kịp thời điều chỉnh. Tiếp đó, việc phân tích và diễn giải số liệu sẽ giúp làm rõ hơn tình hình tài chính, hiệu quả hoạt động cũng như các xu hướng vận động của dòng tiền trong kỳ.</w:t>
      </w:r>
    </w:p>
    <w:p w14:paraId="2A6D3C87"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Thông tin này khi được đưa vào báo cáo tài chính, không chỉ phản ánh sức khỏe tài chính của doanh nghiệp mà còn hỗ trợ các bên liên quan trong việc đánh giá và ra quyết định. Một số chỉ tiêu quan trọng thường được theo dõi bao gồm: </w:t>
      </w:r>
    </w:p>
    <w:p w14:paraId="3BB7CEE6" w14:textId="77777777" w:rsidR="00D978DF" w:rsidRPr="00761336" w:rsidRDefault="00000000">
      <w:pPr>
        <w:widowControl/>
        <w:numPr>
          <w:ilvl w:val="0"/>
          <w:numId w:val="3"/>
        </w:numPr>
        <w:spacing w:before="240" w:line="276" w:lineRule="auto"/>
        <w:ind w:left="1440"/>
        <w:jc w:val="both"/>
        <w:textAlignment w:val="baseline"/>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Biến động hàng tồn kho</w:t>
      </w:r>
    </w:p>
    <w:p w14:paraId="15892ED1" w14:textId="77777777" w:rsidR="00D978DF" w:rsidRPr="00761336" w:rsidRDefault="00000000">
      <w:pPr>
        <w:widowControl/>
        <w:numPr>
          <w:ilvl w:val="0"/>
          <w:numId w:val="3"/>
        </w:numPr>
        <w:spacing w:line="276" w:lineRule="auto"/>
        <w:ind w:left="1440"/>
        <w:jc w:val="both"/>
        <w:textAlignment w:val="baseline"/>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Chi phí lãi vay</w:t>
      </w:r>
    </w:p>
    <w:p w14:paraId="4AD5B28F" w14:textId="77777777" w:rsidR="00D978DF" w:rsidRPr="00761336" w:rsidRDefault="00000000">
      <w:pPr>
        <w:widowControl/>
        <w:numPr>
          <w:ilvl w:val="0"/>
          <w:numId w:val="3"/>
        </w:numPr>
        <w:spacing w:line="276" w:lineRule="auto"/>
        <w:ind w:left="1440"/>
        <w:jc w:val="both"/>
        <w:textAlignment w:val="baseline"/>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Biến động các khoản phải thu</w:t>
      </w:r>
    </w:p>
    <w:p w14:paraId="032FFF5B" w14:textId="77777777" w:rsidR="00D978DF" w:rsidRPr="00761336" w:rsidRDefault="00000000">
      <w:pPr>
        <w:widowControl/>
        <w:numPr>
          <w:ilvl w:val="0"/>
          <w:numId w:val="3"/>
        </w:numPr>
        <w:spacing w:after="240" w:line="276" w:lineRule="auto"/>
        <w:ind w:left="1440"/>
        <w:jc w:val="both"/>
        <w:textAlignment w:val="baseline"/>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Số dư tiền đầu kỳ và số dư tiền cuối kỳ</w:t>
      </w:r>
    </w:p>
    <w:p w14:paraId="6363ECA5"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18" w:name="_Toc211973143"/>
      <w:r w:rsidRPr="00761336">
        <w:rPr>
          <w:rFonts w:ascii="Times New Roman" w:eastAsia="Times New Roman" w:hAnsi="Times New Roman" w:cs="Times New Roman"/>
          <w:b/>
          <w:bCs/>
          <w:color w:val="000000"/>
          <w:sz w:val="26"/>
          <w:szCs w:val="26"/>
          <w:lang w:val="zh-CN"/>
        </w:rPr>
        <w:t>3.3. Các tỷ số dòng tiền chủ yếu</w:t>
      </w:r>
      <w:bookmarkEnd w:id="18"/>
    </w:p>
    <w:tbl>
      <w:tblPr>
        <w:tblW w:w="9026" w:type="dxa"/>
        <w:tblCellMar>
          <w:top w:w="15" w:type="dxa"/>
          <w:left w:w="15" w:type="dxa"/>
          <w:bottom w:w="15" w:type="dxa"/>
          <w:right w:w="15" w:type="dxa"/>
        </w:tblCellMar>
        <w:tblLook w:val="04A0" w:firstRow="1" w:lastRow="0" w:firstColumn="1" w:lastColumn="0" w:noHBand="0" w:noVBand="1"/>
      </w:tblPr>
      <w:tblGrid>
        <w:gridCol w:w="5594"/>
        <w:gridCol w:w="1144"/>
        <w:gridCol w:w="1144"/>
        <w:gridCol w:w="1144"/>
      </w:tblGrid>
      <w:tr w:rsidR="00D978DF" w:rsidRPr="00761336" w14:paraId="001AAF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A64B1"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dòng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5903F"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BB8B2"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96F97"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2FA880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A4C3C"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Khả năng thanh toán lãi vay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B4A59"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03B88"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8AC58"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6,99</w:t>
            </w:r>
          </w:p>
        </w:tc>
      </w:tr>
      <w:tr w:rsidR="00D978DF" w:rsidRPr="00761336" w14:paraId="5E5EDC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75046"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đảm bảo nợ vay ngắn hạn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F8C83"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E3377"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926B6"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1,15</w:t>
            </w:r>
          </w:p>
        </w:tc>
      </w:tr>
      <w:tr w:rsidR="00D978DF" w:rsidRPr="00761336" w14:paraId="45EA7A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67F6B"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tiền mặt trên chi tiêu vốn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32062"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E3AD2"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387B9"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0,6</w:t>
            </w:r>
          </w:p>
        </w:tc>
      </w:tr>
      <w:tr w:rsidR="00D978DF" w:rsidRPr="00761336" w14:paraId="2CD828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001D9"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tiền mặt trên tổng nợ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3C88F"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1F0EA"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4081E"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0,06</w:t>
            </w:r>
          </w:p>
        </w:tc>
      </w:tr>
      <w:tr w:rsidR="00D978DF" w:rsidRPr="00761336" w14:paraId="772350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36D95"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đảm bảo dòng tiền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FF726"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9369C"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0D54A"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0,2</w:t>
            </w:r>
          </w:p>
        </w:tc>
      </w:tr>
      <w:tr w:rsidR="00D978DF" w:rsidRPr="00761336" w14:paraId="390556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0796F"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tái đầu tư tiền mặt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F5570"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D99C8"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15D4E"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0,1</w:t>
            </w:r>
          </w:p>
        </w:tc>
      </w:tr>
    </w:tbl>
    <w:p w14:paraId="1CD05176"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Trước hết, khả năng thanh toán lãi vay của Hòa Phát duy trì ở mức cao, luôn lớn hơn 3 lần và đặc biệt tăng vọt lên 6,99 lần trong năm 2024. Điều này phản ánh hiệu quả hoạt động sản xuất kinh doanh được cải thiện, dòng tiền từ hoạt động kinh doanh không chỉ đủ bù đắp chi phí lãi vay mà còn tạo dư địa an toàn cho doanh nghiệp trước áp lực nợ vay. Đây là tín hiệu tích cực cho thấy sức khỏe tài chính của tập đoàn có bước phục hồi rõ rệt sau giai đoạn khó khăn.</w:t>
      </w:r>
    </w:p>
    <w:p w14:paraId="7ED1DD80"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Tuy nhiên, các chỉ số khác lại cho thấy sự suy giảm về khả năng đảm bảo nợ và duy trì dòng tiền. Cụ thể, tỷ số đảm bảo nợ vay ngắn hạn giảm dần từ 1,29 xuống 1,15, cho thấy năng lực chi trả nợ ngắn hạn bằng dòng tiền đang yếu đi. Bên cạnh đó, tỷ số tiền mặt trên chi tiêu vốn cũng giảm mạnh, chỉ còn 0,6 vào năm 2024, phản ánh dòng tiền tạo ra ngày càng khó đáp ứng nhu cầu tái đầu tư. Đây là dấu hiệu cho thấy Hòa Phát đang chịu áp lực lớn trong việc cân đối nguồn vốn cho hoạt động đầu tư phát triển.</w:t>
      </w:r>
    </w:p>
    <w:p w14:paraId="542B7C32"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Đáng chú ý, tỷ số tiền mặt trên tổng nợ có xu hướng đi xuống, từ 0,11 (2022) xuống mức rất thấp là 0,06 (2024). Điều này đồng nghĩa với việc lượng tiền mặt so với tổng nợ ngày càng nhỏ, làm gia tăng rủi ro thanh khoản nếu doanh nghiệp gặp biến động bất lợi. Mặc dù tỷ số đảm bảo dòng tiền giữ ở mức ổn định quanh 0,2, nhưng con số này chưa thực sự cao để tạo lợi thế cho việc mở rộng đầu tư hoặc trả nợ nhanh chóng.</w:t>
      </w:r>
    </w:p>
    <w:p w14:paraId="23487E61"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Cuối cùng, tỷ số tái đầu tư tiền mặt vẫn duy trì ở mức thấp, dao động từ 0,08 đến 0,1 trong ba năm. Điều này cho thấy Hòa Phát chưa thể tự chủ nhiều bằng dòng tiền trong việc tài trợ cho các kế hoạch tái đầu tư, và có thể phải dựa vào vốn vay hoặc vốn chủ sở hữu để duy trì đà tăng trưởng.</w:t>
      </w:r>
    </w:p>
    <w:p w14:paraId="2F251E84"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Tóm lại, các chỉ số cho thấy Hòa Phát đang có lợi thế về khả năng thanh toán lãi vay và duy trì dòng tiền ổn định, song lại đối mặt với áp lực ngày càng lớn trong quản trị thanh khoản và đảm bảo vốn cho tái đầu tư. Doanh nghiệp cần tiếp tục củng cố năng lực tạo tiền mặt, đồng thời kiểm soát chặt chẽ cơ cấu nợ vay để duy trì sự bền vững trong dài hạn.</w:t>
      </w:r>
    </w:p>
    <w:p w14:paraId="3E10682C"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19" w:name="_Toc211973144"/>
      <w:r w:rsidRPr="00761336">
        <w:rPr>
          <w:rFonts w:ascii="Times New Roman" w:eastAsia="Times New Roman" w:hAnsi="Times New Roman" w:cs="Times New Roman"/>
          <w:b/>
          <w:bCs/>
          <w:color w:val="000000"/>
          <w:sz w:val="26"/>
          <w:szCs w:val="26"/>
          <w:lang w:val="zh-CN"/>
        </w:rPr>
        <w:t>3.4. Biến động của dòng tiền có phù hợp với vòng đời của doanh nghiệp và sự biến động của thu nhập hay không?</w:t>
      </w:r>
      <w:bookmarkEnd w:id="19"/>
    </w:p>
    <w:p w14:paraId="16793EFF" w14:textId="77777777" w:rsidR="00D978DF" w:rsidRPr="00761336" w:rsidRDefault="00D978DF">
      <w:pPr>
        <w:widowControl/>
        <w:spacing w:line="276" w:lineRule="auto"/>
        <w:rPr>
          <w:rFonts w:ascii="Times New Roman" w:eastAsia="Times New Roman" w:hAnsi="Times New Roman" w:cs="Times New Roman"/>
          <w:sz w:val="26"/>
          <w:szCs w:val="26"/>
          <w:lang w:val="zh-CN"/>
        </w:rPr>
      </w:pPr>
    </w:p>
    <w:tbl>
      <w:tblPr>
        <w:tblW w:w="9026" w:type="dxa"/>
        <w:tblCellMar>
          <w:top w:w="15" w:type="dxa"/>
          <w:left w:w="15" w:type="dxa"/>
          <w:bottom w:w="15" w:type="dxa"/>
          <w:right w:w="15" w:type="dxa"/>
        </w:tblCellMar>
        <w:tblLook w:val="04A0" w:firstRow="1" w:lastRow="0" w:firstColumn="1" w:lastColumn="0" w:noHBand="0" w:noVBand="1"/>
      </w:tblPr>
      <w:tblGrid>
        <w:gridCol w:w="1903"/>
        <w:gridCol w:w="2345"/>
        <w:gridCol w:w="2324"/>
        <w:gridCol w:w="2454"/>
      </w:tblGrid>
      <w:tr w:rsidR="00D978DF" w:rsidRPr="00761336" w14:paraId="160A59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27C67"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B44FF"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2D2B6"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A757E"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2B7D03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53259"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Biến động</w:t>
            </w:r>
            <w:r w:rsidRPr="00761336">
              <w:rPr>
                <w:rFonts w:ascii="Times New Roman" w:eastAsia="Times New Roman" w:hAnsi="Times New Roman" w:cs="Times New Roman"/>
                <w:color w:val="000000"/>
                <w:sz w:val="26"/>
                <w:szCs w:val="26"/>
                <w:lang w:val="vi-VN"/>
              </w:rPr>
              <w:t xml:space="preserve"> </w:t>
            </w:r>
            <w:r w:rsidRPr="00761336">
              <w:rPr>
                <w:rFonts w:ascii="Times New Roman" w:eastAsia="Times New Roman" w:hAnsi="Times New Roman" w:cs="Times New Roman"/>
                <w:color w:val="000000"/>
                <w:sz w:val="26"/>
                <w:szCs w:val="26"/>
                <w:lang w:val="zh-CN"/>
              </w:rPr>
              <w:t>hàng tồn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93E5F"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8.023.194.725.141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AABA4"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1.026.315.216.371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7600F"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(10.759.800.904.696)</w:t>
            </w:r>
          </w:p>
        </w:tc>
      </w:tr>
      <w:tr w:rsidR="00D978DF" w:rsidRPr="00761336" w14:paraId="2DC153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CEC9C"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Chi phí lãi vay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E19A8"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3.083.638.131.818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AF49B"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3.585.077.683.881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6CF74"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2.287.360.810.880</w:t>
            </w:r>
          </w:p>
        </w:tc>
      </w:tr>
      <w:tr w:rsidR="00D978DF" w:rsidRPr="00761336" w14:paraId="3B03BD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3D4B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Biến</w:t>
            </w:r>
            <w:r w:rsidRPr="00761336">
              <w:rPr>
                <w:rFonts w:ascii="Times New Roman" w:eastAsia="Times New Roman" w:hAnsi="Times New Roman" w:cs="Times New Roman"/>
                <w:color w:val="000000"/>
                <w:sz w:val="26"/>
                <w:szCs w:val="26"/>
                <w:lang w:val="vi-VN"/>
              </w:rPr>
              <w:t xml:space="preserve"> </w:t>
            </w:r>
            <w:r w:rsidRPr="00761336">
              <w:rPr>
                <w:rFonts w:ascii="Times New Roman" w:eastAsia="Times New Roman" w:hAnsi="Times New Roman" w:cs="Times New Roman"/>
                <w:color w:val="000000"/>
                <w:sz w:val="26"/>
                <w:szCs w:val="26"/>
                <w:lang w:val="zh-CN"/>
              </w:rPr>
              <w:t>động khoản phải thu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3F367"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4.711.117.735.355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D938E"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(5.601.896.103.470)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27FF6"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(1.818.671.846.432)</w:t>
            </w:r>
          </w:p>
        </w:tc>
      </w:tr>
      <w:tr w:rsidR="00D978DF" w:rsidRPr="00761336" w14:paraId="323319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865D0"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Tiền đầu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6A6D2"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22.471.375.562.130 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A79FD"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8.324.588.920.227 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6C57C"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12.252.001.160.884</w:t>
            </w:r>
          </w:p>
        </w:tc>
      </w:tr>
      <w:tr w:rsidR="00D978DF" w:rsidRPr="00761336" w14:paraId="1905C7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68CFB"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Tiền cuối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B6396"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8.324.588.920.227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82246"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12.252.001.160.884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7946C"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6.887.646.139.852</w:t>
            </w:r>
          </w:p>
        </w:tc>
      </w:tr>
    </w:tbl>
    <w:p w14:paraId="0DC46D26"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giai đoạn 2022, Hòa Phát chịu áp lực lớn từ biến động vốn lưu động. Cụ thể, hàng tồn kho tăng thêm hơn 8.023 tỷ đồng, đồng thời các khoản phải thu cũng tăng hơn 4.711 tỷ đồng. Điều này khiến một lượng vốn lớn bị giữ trong tồn kho và công nợ, làm suy giảm khả năng tạo tiền của doanh nghiệp. Vì thế mặc dù tiền đầu kỳ đạt trên 22,4 nghìn tỷ đồng, nhưng đến cuối kỳ chỉ còn khoảng 8,3 nghìn tỷ đồng, tức giảm hơn 62%. Đây là bức tranh điển hình của một năm khó khăn, phản ánh giai đoạn suy giảm trong chu kỳ kinh doanh khi lợi nhuận giảm sút trong khi dòng tiền vận hành gặp nhiều áp lực.</w:t>
      </w:r>
    </w:p>
    <w:p w14:paraId="439BFBE2"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Bước sang năm 2023, tình hình đã có sự chuyển biến rõ rệt. Doanh nghiệp bắt đầu kiểm soát tồn kho tốt hơn khi mức tăng chỉ còn hơn 1.026 tỷ đồng, thấp hơn nhiều so với năm trước. Đáng chú ý hơn, Hòa Phát đã đẩy mạnh thu hồi công nợ, khi biến động khoản phải thu ghi nhận mức âm tới 5.602 tỷ đồng, cho thấy dòng tiền quay trở lại mạnh mẽ. Nhờ đó, tiền cuối kỳ tăng lên 12,25 nghìn tỷ đồng, cao hơn đầu kỳ gần 3.927 tỷ đồng. Đây là giai đoạn mà doanh nghiệp tập trung ổn định thanh khoản, cải thiện quản trị vốn lưu động để ứng phó với điều kiện thị trường còn nhiều biến động.</w:t>
      </w:r>
    </w:p>
    <w:p w14:paraId="521AE5F7"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Đến năm 2024, bức tranh dòng tiền tiếp tục cho thấy sự dịch chuyển quan trọng. Hòa Phát giải phóng tồn kho rất mạnh, khi biến động tồn kho ghi nhận mức âm hơn 10.759 tỷ đồng, đồng thời tiếp tục thu hồi công nợ với giá trị âm hơn 1.819 tỷ đồng. Hai yếu tố này cho thấy doanh nghiệp đã chủ động thu dòng tiền về. Tuy nhiên, tiền mặt cuối kỳ lại giảm còn khoảng 6,9 nghìn tỷ đồng, thấp hơn đầu kỳ tới 43,8%. Nguyên nhân có thể đến từ việc Hòa Phát dành phần lớn dòng tiền thu được để tái đầu tư, trả nợ gốc hoặc chi cho các hoạt động tài chính khác. Một tín hiệu tích cực là chi phí lãi vay năm 2024 giảm xuống còn khoảng 2.287 tỷ đồng, thấp hơn năm trước hơn 36%, phản ánh sự cải thiện trong cơ cấu nợ vay.</w:t>
      </w:r>
    </w:p>
    <w:p w14:paraId="6CF51EE7"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Nhìn tổng thể, sự biến động dòng tiền của Hòa Phát trong ba năm qua khá phù hợp với đặc điểm vòng đời doanh nghiệp và biến động thu nhập của ngành thép. Năm 2022 là giai đoạn khó khăn với vốn lưu động phình to và tiền mặt suy giảm mạnh; năm 2023 là giai đoạn ổn định khi doanh nghiệp thu hồi công nợ và cải thiện thanh khoản; còn năm 2024 cho thấy đặc điểm của giai đoạn tái đầu tư, khi doanh nghiệp tận dụng nguồn tiền thu hồi được để </w:t>
      </w:r>
      <w:r w:rsidRPr="00761336">
        <w:rPr>
          <w:rFonts w:ascii="Times New Roman" w:eastAsia="Times New Roman" w:hAnsi="Times New Roman" w:cs="Times New Roman"/>
          <w:color w:val="000000"/>
          <w:sz w:val="26"/>
          <w:szCs w:val="26"/>
          <w:lang w:val="zh-CN"/>
        </w:rPr>
        <w:lastRenderedPageBreak/>
        <w:t>mở rộng quy mô và chuẩn bị cho chu kỳ tăng trưởng mới. Tuy nhiên, việc tiền mặt cuối kỳ giảm mạnh trong năm 2024 cũng cảnh báo rủi ro thanh khoản ngắn hạn, đòi hỏi doanh nghiệp cần cân nhắc giữa mục tiêu tăng trưởng và an toàn tài chính.</w:t>
      </w:r>
    </w:p>
    <w:p w14:paraId="12AF6C85"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20" w:name="_Toc211973145"/>
      <w:r w:rsidRPr="00761336">
        <w:rPr>
          <w:rFonts w:ascii="Times New Roman" w:eastAsia="Times New Roman" w:hAnsi="Times New Roman" w:cs="Times New Roman"/>
          <w:b/>
          <w:bCs/>
          <w:color w:val="000000"/>
          <w:sz w:val="26"/>
          <w:szCs w:val="26"/>
          <w:lang w:val="zh-CN"/>
        </w:rPr>
        <w:t>3.5. Các lưu ý về phân loại trong dòng tiền, về công bố thông tin liên quan đến dòng tiền</w:t>
      </w:r>
      <w:bookmarkEnd w:id="20"/>
    </w:p>
    <w:p w14:paraId="6EE2F3AB"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Phân loại dòng tiền là bước đầu tiên và quan trọng để có cái nhìn rõ ràng về tình hình lưu chuyển tiền tệ. Dòng tiền thường được chia thành ba nhóm chính: dòng tiền từ hoạt động kinh doanh, dòng tiền từ hoạt động đầu tư và dòng tiền từ hoạt động tài chính. Ở mỗi nhóm, các khoản mục tiếp tục được phân tách thành dòng tiền thu vào, chi ra, cũng như những giao dịch không trực tiếp làm thay đổi lượng tiền mặt, từ đó phản ánh đầy đủ bản chất của từng hoạt động.</w:t>
      </w:r>
    </w:p>
    <w:p w14:paraId="13AAE0A8"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Thông tin về dòng tiền cần được công bố minh bạch trong báo cáo tài chính, mà trọng tâm là Báo cáo lưu chuyển tiền tệ. Việc trình bày rõ ràng, dễ hiểu sẽ giúp các bên liên quan – từ nhà đầu tư, cổ đông cho tới cơ quan quản lý – có cơ sở đánh giá đúng về năng lực tài chính và hiệu quả hoạt động của doanh nghiệp.</w:t>
      </w:r>
    </w:p>
    <w:p w14:paraId="1D795856"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Bên cạnh đó, quản lý dòng tiền giữ vai trò then chốt trong sự vận hành bền vững của doanh nghiệp. Những chính sách và quy trình quản trị dòng tiền cần được thiết kế một cách chặt chẽ, đảm bảo doanh nghiệp luôn có đủ nguồn tiền mặt để thanh toán các khoản nợ đến hạn cũng như đáp ứng chi phí vận hành hằng ngày. Một chiến lược quản lý tốt không chỉ giúp hạn chế rủi ro thanh khoản mà còn tạo dư địa cho các cơ hội đầu tư trong tương lai.</w:t>
      </w:r>
    </w:p>
    <w:p w14:paraId="533EA3C6"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Doanh nghiệp còn phải theo dõi và phân tích dòng tiền thường xuyên. Việc quan sát sự biến động của dòng tiền giúp lãnh đạo đưa ra những dự báo chính xác hơn, từ đó xây dựng chiến lược phù hợp. Phân tích dòng tiền còn là cơ sở để đánh giá khả năng sinh lời, năng lực thanh toán nợ và sức khỏe tài chính tổng thể.</w:t>
      </w:r>
    </w:p>
    <w:p w14:paraId="251DB62D" w14:textId="77777777" w:rsidR="00D978DF" w:rsidRPr="00761336" w:rsidRDefault="00000000">
      <w:pPr>
        <w:widowControl/>
        <w:spacing w:before="240" w:after="240" w:line="276" w:lineRule="auto"/>
        <w:jc w:val="both"/>
        <w:rPr>
          <w:rFonts w:ascii="Times New Roman" w:eastAsia="Times New Roman" w:hAnsi="Times New Roman" w:cs="Times New Roman"/>
          <w:color w:val="000000"/>
          <w:sz w:val="26"/>
          <w:szCs w:val="26"/>
          <w:lang w:val="vi-VN"/>
        </w:rPr>
      </w:pPr>
      <w:r w:rsidRPr="00761336">
        <w:rPr>
          <w:rFonts w:ascii="Times New Roman" w:eastAsia="Times New Roman" w:hAnsi="Times New Roman" w:cs="Times New Roman"/>
          <w:color w:val="000000"/>
          <w:sz w:val="26"/>
          <w:szCs w:val="26"/>
          <w:lang w:val="zh-CN"/>
        </w:rPr>
        <w:t>Và để có góc nhìn toàn diện, doanh nghiệp cần đối chiếu dòng tiền của mình với chuẩn mực ngành. Việc so sánh này không chỉ giúp đánh giá mức độ hiệu quả và tính cạnh tranh, mà còn giúp nắm bắt xu hướng và biến động chung của ngành. Từ đó, doanh nghiệp có thể xác định vị thế của mình trên thị trường và đưa ra quyết định điều chỉnh chiến lược một cách kịp thời và hợp lý.</w:t>
      </w:r>
    </w:p>
    <w:p w14:paraId="7FE2AE9E" w14:textId="77777777" w:rsidR="00D978DF" w:rsidRPr="00761336" w:rsidRDefault="00000000">
      <w:pPr>
        <w:pStyle w:val="Heading1"/>
        <w:spacing w:line="276" w:lineRule="auto"/>
        <w:rPr>
          <w:rFonts w:ascii="Times New Roman" w:eastAsia="Times New Roman" w:hAnsi="Times New Roman" w:cs="Times New Roman"/>
          <w:b/>
          <w:bCs/>
          <w:color w:val="000000"/>
          <w:sz w:val="26"/>
          <w:szCs w:val="26"/>
          <w:lang w:val="vi-VN"/>
        </w:rPr>
      </w:pPr>
      <w:bookmarkStart w:id="21" w:name="_Toc211973146"/>
      <w:r w:rsidRPr="00761336">
        <w:rPr>
          <w:rFonts w:ascii="Times New Roman" w:eastAsia="Times New Roman" w:hAnsi="Times New Roman" w:cs="Times New Roman"/>
          <w:b/>
          <w:bCs/>
          <w:color w:val="000000"/>
          <w:sz w:val="26"/>
          <w:szCs w:val="26"/>
          <w:lang w:val="vi-VN"/>
        </w:rPr>
        <w:lastRenderedPageBreak/>
        <w:t>PHẦN 3: PHÂN TÍCH TÀI CHÍNH</w:t>
      </w:r>
      <w:bookmarkEnd w:id="21"/>
    </w:p>
    <w:p w14:paraId="3651CE2C" w14:textId="77777777" w:rsidR="00D978DF" w:rsidRPr="00761336" w:rsidRDefault="00000000">
      <w:pPr>
        <w:pStyle w:val="Heading1"/>
        <w:spacing w:line="276" w:lineRule="auto"/>
        <w:rPr>
          <w:rFonts w:ascii="Times New Roman" w:eastAsia="Times New Roman" w:hAnsi="Times New Roman" w:cs="Times New Roman"/>
          <w:sz w:val="26"/>
          <w:szCs w:val="26"/>
          <w:lang w:val="zh-CN"/>
        </w:rPr>
      </w:pPr>
      <w:bookmarkStart w:id="22" w:name="_Toc211973147"/>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 Phân tích tỷ số tài chính</w:t>
      </w:r>
      <w:bookmarkEnd w:id="22"/>
    </w:p>
    <w:p w14:paraId="7B5F41AD"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23" w:name="_Toc211973148"/>
      <w:r w:rsidRPr="00761336">
        <w:rPr>
          <w:rFonts w:ascii="Times New Roman" w:eastAsia="Times New Roman" w:hAnsi="Times New Roman" w:cs="Times New Roman"/>
          <w:b/>
          <w:bCs/>
          <w:color w:val="000000"/>
          <w:sz w:val="26"/>
          <w:szCs w:val="26"/>
          <w:lang w:val="vi-VN"/>
        </w:rPr>
        <w:t xml:space="preserve">1.1 </w:t>
      </w:r>
      <w:r w:rsidRPr="00761336">
        <w:rPr>
          <w:rFonts w:ascii="Times New Roman" w:eastAsia="Times New Roman" w:hAnsi="Times New Roman" w:cs="Times New Roman"/>
          <w:b/>
          <w:bCs/>
          <w:color w:val="000000"/>
          <w:sz w:val="26"/>
          <w:szCs w:val="26"/>
          <w:lang w:val="zh-CN"/>
        </w:rPr>
        <w:t>Tỷ số thanh toán ngắn hạn (Short Term Solvency Ratios)</w:t>
      </w:r>
      <w:bookmarkEnd w:id="23"/>
    </w:p>
    <w:p w14:paraId="106785EF"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24" w:name="_Toc211973149"/>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.1.1 Tỷ số thanh toán hiện hành (Current Ratio)</w:t>
      </w:r>
      <w:bookmarkEnd w:id="24"/>
    </w:p>
    <w:tbl>
      <w:tblPr>
        <w:tblW w:w="0" w:type="auto"/>
        <w:tblInd w:w="-59" w:type="dxa"/>
        <w:tblCellMar>
          <w:top w:w="15" w:type="dxa"/>
          <w:left w:w="15" w:type="dxa"/>
          <w:bottom w:w="15" w:type="dxa"/>
          <w:right w:w="15" w:type="dxa"/>
        </w:tblCellMar>
        <w:tblLook w:val="04A0" w:firstRow="1" w:lastRow="0" w:firstColumn="1" w:lastColumn="0" w:noHBand="0" w:noVBand="1"/>
      </w:tblPr>
      <w:tblGrid>
        <w:gridCol w:w="2919"/>
        <w:gridCol w:w="2160"/>
        <w:gridCol w:w="2160"/>
        <w:gridCol w:w="2160"/>
      </w:tblGrid>
      <w:tr w:rsidR="00D978DF" w:rsidRPr="00761336" w14:paraId="2A75EF30" w14:textId="77777777">
        <w:tc>
          <w:tcPr>
            <w:tcW w:w="3139"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E89CD81"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79DCA1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B5EDAB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0F8F90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35D521E8" w14:textId="77777777">
        <w:tc>
          <w:tcPr>
            <w:tcW w:w="313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965CB06"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Tài sản ngắn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2A5CB4"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80.514.710.854.456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1332FB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82.716.439.173.043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3BA86E0"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86.674.276.272.995</w:t>
            </w:r>
          </w:p>
        </w:tc>
      </w:tr>
      <w:tr w:rsidR="00D978DF" w:rsidRPr="00761336" w14:paraId="1AE10213" w14:textId="77777777">
        <w:tc>
          <w:tcPr>
            <w:tcW w:w="313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8295A6"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Nợ ngắn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B3EF60"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62.385.392.809.685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9F3093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71.513.492.904.733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BB49C67"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75.225.243.262.689</w:t>
            </w:r>
          </w:p>
        </w:tc>
      </w:tr>
      <w:tr w:rsidR="00D978DF" w:rsidRPr="00761336" w14:paraId="44E90BFA" w14:textId="77777777">
        <w:tc>
          <w:tcPr>
            <w:tcW w:w="313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5194089"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Tỷ số thanh toán hiện hành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4CD92F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D8D289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B59F3C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1,15</w:t>
            </w:r>
          </w:p>
        </w:tc>
      </w:tr>
    </w:tbl>
    <w:p w14:paraId="3B7D5FFF"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giai đoạn 2022 đến 2024, tỷ số thanh toán hiện hành của Hòa Phát sụt giảm liên tục. Nguyên nhân trực tiếp là do sự chênh lệch trong tốc độ tăng trưởng giữa tài sản ngắn hạn và nợ ngắn hạn. Mặc dù tài sản ngắn hạn đã tăng trưởng từ khoảng 80,5 nghìn tỷ đồng lên gần 86,7 nghìn tỷ đồng, tương ứng với mức tăng trưởng trung bình khoảng 3,7% mỗi năm. Nhưng nợ ngắn hạn tăng nhanh hơn, từ 62,4 nghìn tỷ đồng năm 2022 lên đến 75,2 nghìn tỷ đồng năm 2024, tức là tăng hơn 20% chỉ trong 2 năm. </w:t>
      </w:r>
    </w:p>
    <w:p w14:paraId="53D87BDF"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Sự sụt giảm này phản ánh rằng nợ ngắn hạn đang gia tăng nhanh hơn khả năng tạo ra tài sản lưu động của doanh nghiệp, điều này bắt nguồn từ việc năm 2023, Hòa Phát tập trung toàn bộ nguồn lực cho KLH Gang thép Hòa Phát Dung Quất 2, dự án đầu tư này đòi hỏi lượng vốn lớn, dẫn đến áp lực lên khả năng thanh toán của Hòa Phát. Mặc dù tỷ số thanh toán hiện hành vẫn trên mức an toàn cơ bản là 1,0, nhưng việc giảm dần qua các năm và tiến sát mốc này cho thấy biên độ an toàn về thanh khoản đang bị thu hẹp, nhất là trong bối cảnh ngành thép chịu ảnh hưởng mạnh từ chu kỳ kinh tế và giá nguyên vật liệu đầu vào.</w:t>
      </w:r>
    </w:p>
    <w:p w14:paraId="331509BB"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49231E1B" w14:textId="77777777" w:rsidR="00D978DF" w:rsidRPr="00761336" w:rsidRDefault="00000000">
      <w:pPr>
        <w:widowControl/>
        <w:shd w:val="clear" w:color="auto" w:fill="FFFFFF"/>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7AED25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6BD1C"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BD1CA1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A41C16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7A61E8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64F1CA64"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76C9B1D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2B82D7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EB6110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9B7A2E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1,15</w:t>
            </w:r>
          </w:p>
        </w:tc>
      </w:tr>
      <w:tr w:rsidR="00D978DF" w:rsidRPr="00761336" w14:paraId="2FCBE4FA"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2AEE40E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13DEC2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99CAD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A07942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1,34</w:t>
            </w:r>
          </w:p>
        </w:tc>
      </w:tr>
    </w:tbl>
    <w:p w14:paraId="3C1C1CDE"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Tỷ số thanh toán hiện hành của Hòa Phát giảm liên tục từ 1,29 (2022) xuống 1,16 (2023) và tiếp tục suy giảm còn 1,15 (2024). Trong khi tài sản ngắn hạn tăng nhẹ qua các năm, nợ ngắn hạn lại tăng nhanh hơn, phản ánh xu hướng gia tăng sử dụng đòn bẩy tài chính ngắn </w:t>
      </w:r>
      <w:r w:rsidRPr="00761336">
        <w:rPr>
          <w:rFonts w:ascii="Times New Roman" w:eastAsia="Times New Roman" w:hAnsi="Times New Roman" w:cs="Times New Roman"/>
          <w:color w:val="000000"/>
          <w:sz w:val="26"/>
          <w:szCs w:val="26"/>
          <w:lang w:val="zh-CN"/>
        </w:rPr>
        <w:lastRenderedPageBreak/>
        <w:t>hạn. Ngược lại, Nam Kim không những duy trì tỷ số thanh toán hiện hành ổn định mà còn cải thiện qua từng năm, từ 1,28 (2022) lên 1,37 (2023), và giữ ở mức 1,34 (2024). Như vậy, Nam Kim có vị thế thanh khoản ngắn hạn tốt hơn và đang kiểm soát chặt chẽ nợ ngắn hạn, đặc biệt là trong bối cảnh ngành thép biến động. Có thể nói, Nam Kim phù hợp với nhà đầu tư ưu tiên an toàn thanh khoản, khả năng xoay vòng vốn ngắn hạn trong ngắn hạn; trong khi Hòa Phát hấp dẫn hơn với những ai ưu tiên tăng trưởng dài hạn và khả năng tối ưu vốn.</w:t>
      </w:r>
    </w:p>
    <w:p w14:paraId="1D8C4685"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25" w:name="_Toc211973150"/>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w:t>
      </w:r>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.2 Tỷ số thanh toán nhanh (Acid-test Ratio)</w:t>
      </w:r>
      <w:bookmarkEnd w:id="25"/>
    </w:p>
    <w:tbl>
      <w:tblPr>
        <w:tblW w:w="0" w:type="auto"/>
        <w:tblCellMar>
          <w:top w:w="15" w:type="dxa"/>
          <w:left w:w="15" w:type="dxa"/>
          <w:bottom w:w="15" w:type="dxa"/>
          <w:right w:w="15" w:type="dxa"/>
        </w:tblCellMar>
        <w:tblLook w:val="04A0" w:firstRow="1" w:lastRow="0" w:firstColumn="1" w:lastColumn="0" w:noHBand="0" w:noVBand="1"/>
      </w:tblPr>
      <w:tblGrid>
        <w:gridCol w:w="2725"/>
        <w:gridCol w:w="2160"/>
        <w:gridCol w:w="2160"/>
        <w:gridCol w:w="2160"/>
      </w:tblGrid>
      <w:tr w:rsidR="00D978DF" w:rsidRPr="00761336" w14:paraId="1FBADCB0"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97A15F0"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BA865D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656BD4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8A8D33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1D7911C8"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EB1164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Tài sản ngắn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B00FB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80.514.710.854.456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F5881C0"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82.716.439.173.043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176968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86.674.276.272.995</w:t>
            </w:r>
          </w:p>
        </w:tc>
      </w:tr>
      <w:tr w:rsidR="00D978DF" w:rsidRPr="00761336" w14:paraId="5E1E986F"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ABF89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86D08B6"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34.491.111.096.123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9F3DCA5"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34.504.487.406.261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B649E6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46.091.222.189.472</w:t>
            </w:r>
          </w:p>
        </w:tc>
      </w:tr>
      <w:tr w:rsidR="00D978DF" w:rsidRPr="00761336" w14:paraId="4E25D951"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6CAB643"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Nợ ngắn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9BEFD4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62.385.392.809.685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0898C9"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71.513.492.904.733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7DA5619"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75.225.243.262.689</w:t>
            </w:r>
          </w:p>
        </w:tc>
      </w:tr>
      <w:tr w:rsidR="00D978DF" w:rsidRPr="00761336" w14:paraId="0D699A80"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D0EE945"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Tỷ số thanh toán nhanh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017C4A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0,74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AE0D4B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E4CA52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0,54</w:t>
            </w:r>
          </w:p>
        </w:tc>
      </w:tr>
    </w:tbl>
    <w:p w14:paraId="2758CA3D"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Từ năm 2022 đến 2024, tỷ số thanh toán nhanh của Hòa Phát giảm liên tục từ 0,74 xuống 0,54, phản ánh xu hướng suy yếu về khả năng thanh toán ngắn hạn. Dù tổng tài sản ngắn hạn tăng nhẹ, nhưng hàng tồn kho tăng mạnh (từ 34,5 lên 46,1 nghìn tỷ đồng) và nợ ngắn hạn cũng tăng đáng kể (từ 62,3 lên 75,2 nghìn tỷ đồng), trong khi các tài sản thanh khoản không có cải thiện tương xứng. Đây là nguyên nhân chính kéo giảm chỉ số thanh khoản nhanh.</w:t>
      </w:r>
    </w:p>
    <w:p w14:paraId="1453404F"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Việc tỷ số thanh toán nhanh duy trì dưới 1 cho thấy Hòa Phát chưa đảm bảo đủ tài sản thanh khoản để thanh toán nợ ngắn hạn mà không phụ thuộc vào việc xử lý hàng tồn kho.  Tuy nhiên, ngành thép nói chung, và Hòa Phát nói riêng, vốn có đặc điểm là lượng hàng tồn kho lớn, chu kỳ sản xuất dài, nên tỷ số thanh toán nhanh nhỏ hơn 1 là tương đối phổ biến. Có thể nhận thấy không có chỉ số nào trong giai đoạn 2022 - 2024 nhỏ hơn 0,5; điều này cho thấy doanh nghiệp vẫn có khả năng hoàn trả các khoản nợ trong khoảng thời gian ngắn. Điều quan trọng là doanh nghiệp phải đảm bảo được tốc độ luân chuyển hàng tồn kho và khả năng tiếp cận các nguồn vốn ngắn hạn linh hoạt.</w:t>
      </w:r>
    </w:p>
    <w:p w14:paraId="58D6C860"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42D1F520"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388052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595D5"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041D19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813479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6ADE6E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2768F33E"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2DFA6FF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BA5579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0,74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11D993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78C962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0,54</w:t>
            </w:r>
          </w:p>
        </w:tc>
      </w:tr>
      <w:tr w:rsidR="00D978DF" w:rsidRPr="00761336" w14:paraId="6289F11B"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0048574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249431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0,42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FA0A73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0,53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3B146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0,46</w:t>
            </w:r>
          </w:p>
        </w:tc>
      </w:tr>
    </w:tbl>
    <w:p w14:paraId="60F37C29"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thanh toán nhanh loại trừ hàng tồn kho khỏi tài sản ngắn hạn, phản ánh khả năng thanh toán tức thời hơn nếu doanh nghiệp không thể chuyển hàng tồn kho thành tiền trong ngắn hạn. Ở chỉ tiêu này, cả hai doanh nghiệp đều có tỷ số dưới 1, cho thấy vẫn phụ thuộc đáng kể vào hàng tồn kho. Hòa Phát có tỷ số thanh toán nhanh giảm từ 0,74 (2022) xuống 0,67 (2023) và tiếp tục giảm còn 0,54 (2024), phù hợp với việc hàng tồn kho tăng mạnh trong năm 2024 (+33%), công ty đang giữ một lượng lớn hàng hóa chưa tiêu thụ được, ảnh hưởng đến khả năng thanh toán thực tế. Nam Kim tuy có quy mô nhỏ hơn, nhưng lại có tỷ số thanh toán nhanh cao hơn Hòa Phát trong năm 2023 và 2024, cho thấy Nam Kim cũng có mức độ phụ thuộc cao vào hàng tồn kho, nhưng họ đang kiểm soát tương đối ổn định qua các năm. Xét riêng tỷ lệ này, nhà đầu tư ưu tiên thanh khoản cao, tăng trưởng dài hạn và khả năng chống chịu rủi ro kinh tế cao, sẽ nghiêng về Hòa Phát, do mức độ an toàn tài sản thanh khoản tốt hơn, nhưng xu hướng giảm là dấu hiệu cần lưu ý nếu hàng tồn kho không được luân chuyển hiệu quả.</w:t>
      </w:r>
    </w:p>
    <w:p w14:paraId="77EF2B8D"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26" w:name="_Toc211973151"/>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w:t>
      </w:r>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3 Tỷ số tiền mặt (Cash Ratio)</w:t>
      </w:r>
      <w:bookmarkEnd w:id="26"/>
    </w:p>
    <w:tbl>
      <w:tblPr>
        <w:tblW w:w="0" w:type="auto"/>
        <w:tblCellMar>
          <w:top w:w="15" w:type="dxa"/>
          <w:left w:w="15" w:type="dxa"/>
          <w:bottom w:w="15" w:type="dxa"/>
          <w:right w:w="15" w:type="dxa"/>
        </w:tblCellMar>
        <w:tblLook w:val="04A0" w:firstRow="1" w:lastRow="0" w:firstColumn="1" w:lastColumn="0" w:noHBand="0" w:noVBand="1"/>
      </w:tblPr>
      <w:tblGrid>
        <w:gridCol w:w="2860"/>
        <w:gridCol w:w="2160"/>
        <w:gridCol w:w="2160"/>
        <w:gridCol w:w="2160"/>
      </w:tblGrid>
      <w:tr w:rsidR="00D978DF" w:rsidRPr="00761336" w14:paraId="58496E12"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D66A753"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62DF29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BC08A1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47E31C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4A596EA3"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4109843"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Tiền và các khoản tương đương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BADEF25"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8.324.588.920.227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ABC501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12.252.001.160.884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5A0AB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6.887.646.139.852</w:t>
            </w:r>
          </w:p>
        </w:tc>
      </w:tr>
      <w:tr w:rsidR="00D978DF" w:rsidRPr="00761336" w14:paraId="2A37D0EF"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3F6357C"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Nợ ngắn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76EC0D1"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62.385.392.809.685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EE80BE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71.513.492.904.733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71DB865"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75.225.243.262.689</w:t>
            </w:r>
          </w:p>
        </w:tc>
      </w:tr>
      <w:tr w:rsidR="00D978DF" w:rsidRPr="00761336" w14:paraId="5C630B66"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A573D49"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Tỷ số tiền mặt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FD6F8E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517988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43280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0,09</w:t>
            </w:r>
          </w:p>
        </w:tc>
      </w:tr>
    </w:tbl>
    <w:p w14:paraId="5EB9421C"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tiền mặt của Tập đoàn Hòa Phát trong thời kỳ 2022 - 2024 biến động thiếu ổn định và tiềm ẩn rủi ro suy giảm thanh khoản tức thời. Năm 2022, mức tỷ số 0,13 cho thấy khả năng thanh toán ngay các nghĩa vụ ngắn hạn bằng tiền và tương đương tiền của Hòa Phát còn khiêm tốn - chỉ tương ứng với 13% tổng nợ ngắn hạn. Tuy nhiên, đây vẫn là mức chấp nhận được trong bối cảnh ngành công nghiệp thép vốn đặc thù sử dụng nhiều hàng tồn kho và vốn lưu động. Bước sang năm 2023, tỷ số này cải thiện lên 0,17 nhờ lượng tiền mặt tăng gần 47% (từ 8,3 nghìn tỷ lên 12,25 nghìn tỷ đồng), trong khi nợ ngắn hạn chỉ tăng hơn 14%.</w:t>
      </w:r>
    </w:p>
    <w:p w14:paraId="042A2842"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 xml:space="preserve">Tuy nhiên, xu hướng tích cực này không duy trì được. Đến năm 2024, tỷ số tiền mặt sụt giảm nghiêm trọng xuống chỉ còn 0,09, mức thấp đáng lo ngại. Nguyên nhân chính đến từ việc tiền mặt sụt giảm gần 44% (xuống còn 6,89 nghìn tỷ), trong khi nợ ngắn hạn vẫn tăng lên hơn 75 nghìn tỷ đồng. Việc dự trữ tiền mặt không đủ 10% giá trị nợ ngắn hạn thể hiện mức dự trữ tiền mặt quá mỏng, là tín hiệu rõ ràng rủi ro thanh khoản tức thời ở mức cao, </w:t>
      </w:r>
      <w:r w:rsidRPr="00761336">
        <w:rPr>
          <w:rFonts w:ascii="Times New Roman" w:eastAsia="Times New Roman" w:hAnsi="Times New Roman" w:cs="Times New Roman"/>
          <w:color w:val="000000"/>
          <w:sz w:val="26"/>
          <w:szCs w:val="26"/>
          <w:lang w:val="zh-CN"/>
        </w:rPr>
        <w:lastRenderedPageBreak/>
        <w:t>không đủ để đảm bảo an toàn tài chính cho Hòa Phát nếu có biến động đột xuất về dòng tiền hoặc thị trường.</w:t>
      </w:r>
    </w:p>
    <w:p w14:paraId="605717A8"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08338444"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24B94A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5DE53"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E0EE3C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C452A0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46A151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54B6897D"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736C4DF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CF8F14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54CE8C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28A74F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0,09</w:t>
            </w:r>
          </w:p>
        </w:tc>
      </w:tr>
      <w:tr w:rsidR="00D978DF" w:rsidRPr="00761336" w14:paraId="09232359"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79C5651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4C4E82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10BA35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6864C2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0,05</w:t>
            </w:r>
          </w:p>
        </w:tc>
      </w:tr>
    </w:tbl>
    <w:p w14:paraId="240FB7E5"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tiền mặt là thước đo khắt khe nhất, chỉ xét đến lượng tiền và tài sản tương đương tiền so với nợ ngắn hạn. Chỉ số này cho biết khả năng thanh toán ngay lập tức của doanh nghiệp mà không cần thanh lý hàng tồn kho hay thu hồi công nợ. Hòa Phát có tỷ số tiền mặt tăng từ 0,13 (2022) lên 0,17 (2023), nhưng lại giảm mạnh xuống 0,09 (2024), sự sụt giảm này phần lớn do dòng tiền mặt giảm mạnh trong khi nợ ngắn hạn vẫn tăng. Nam Kim duy trì tỷ số tiền mặt ở mức rất thấp trong suốt giai đoạn: 0,12 (2022 - 2023) và giảm còn 0,05 (2024). Mức tiền mặt quá thấp có thể là dấu hiệu công ty đang tận dụng dòng tiền để quay vòng sản xuất hoặc đầu tư, tuy nhiên rủi ro thanh khoản khi thị trường xảy ra biến động là đáng lưu ý. Ở chỉ tiêu này, Hòa Phát vượt trội hơn Nam Kim, do duy trì lượng tiền mặt cao hơn đáng kể cả về giá trị tuyệt đối lẫn tỷ lệ trên nợ ngắn hạn. Dù tỷ số giảm trong năm 2024, Hòa Phát vẫn đảm bảo được mức độ thanh khoản tối thiểu ngay lập tức, điều mà Nam Kim chưa làm được.</w:t>
      </w:r>
    </w:p>
    <w:p w14:paraId="0A0E8644"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27" w:name="_Toc211973152"/>
      <w:r w:rsidRPr="00761336">
        <w:rPr>
          <w:rFonts w:ascii="Times New Roman" w:eastAsia="Times New Roman" w:hAnsi="Times New Roman" w:cs="Times New Roman"/>
          <w:b/>
          <w:bCs/>
          <w:color w:val="000000"/>
          <w:sz w:val="26"/>
          <w:szCs w:val="26"/>
          <w:lang w:val="vi-VN"/>
        </w:rPr>
        <w:t>1.2</w:t>
      </w:r>
      <w:r w:rsidRPr="00761336">
        <w:rPr>
          <w:rFonts w:ascii="Times New Roman" w:eastAsia="Times New Roman" w:hAnsi="Times New Roman" w:cs="Times New Roman"/>
          <w:b/>
          <w:bCs/>
          <w:color w:val="000000"/>
          <w:sz w:val="26"/>
          <w:szCs w:val="26"/>
          <w:lang w:val="zh-CN"/>
        </w:rPr>
        <w:t xml:space="preserve"> Tỷ số thanh toán dài hạn (Long Term Solvency Ratios)</w:t>
      </w:r>
      <w:bookmarkEnd w:id="27"/>
      <w:r w:rsidRPr="00761336">
        <w:rPr>
          <w:rFonts w:ascii="Times New Roman" w:eastAsia="Times New Roman" w:hAnsi="Times New Roman" w:cs="Times New Roman"/>
          <w:b/>
          <w:bCs/>
          <w:color w:val="000000"/>
          <w:sz w:val="26"/>
          <w:szCs w:val="26"/>
          <w:lang w:val="zh-CN"/>
        </w:rPr>
        <w:t> </w:t>
      </w:r>
    </w:p>
    <w:p w14:paraId="6A418969"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28" w:name="_Toc211973153"/>
      <w:r w:rsidRPr="00761336">
        <w:rPr>
          <w:rFonts w:ascii="Times New Roman" w:eastAsia="Times New Roman" w:hAnsi="Times New Roman" w:cs="Times New Roman"/>
          <w:b/>
          <w:bCs/>
          <w:color w:val="000000"/>
          <w:sz w:val="26"/>
          <w:szCs w:val="26"/>
          <w:lang w:val="vi-VN"/>
        </w:rPr>
        <w:t>1.2.1</w:t>
      </w:r>
      <w:r w:rsidRPr="00761336">
        <w:rPr>
          <w:rFonts w:ascii="Times New Roman" w:eastAsia="Times New Roman" w:hAnsi="Times New Roman" w:cs="Times New Roman"/>
          <w:b/>
          <w:bCs/>
          <w:color w:val="000000"/>
          <w:sz w:val="26"/>
          <w:szCs w:val="26"/>
          <w:lang w:val="zh-CN"/>
        </w:rPr>
        <w:t xml:space="preserve"> Tỷ số tổng nợ (Total Debt Ratios)</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590"/>
        <w:gridCol w:w="2290"/>
        <w:gridCol w:w="2290"/>
        <w:gridCol w:w="2290"/>
      </w:tblGrid>
      <w:tr w:rsidR="00D978DF" w:rsidRPr="00761336" w14:paraId="55F17D89"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F416F83"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C5FE3C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5B25EC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6EABA1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72223BFB"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C69DCAB"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Nợ phải trả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443552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74.222.582.021.349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6277D0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84.946.167.324.422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3F39184"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109.842.249.570.282</w:t>
            </w:r>
          </w:p>
        </w:tc>
      </w:tr>
      <w:tr w:rsidR="00D978DF" w:rsidRPr="00761336" w14:paraId="58FEB1A0"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66413E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Tổng tài sản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85B76C7"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170.335.521.637.132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7E89A8B"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187.782.586.563.801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7D8FB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224.489.707.553.981</w:t>
            </w:r>
          </w:p>
        </w:tc>
      </w:tr>
      <w:tr w:rsidR="00D978DF" w:rsidRPr="00761336" w14:paraId="4C0CEE5B"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DF11AAC"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Tỷ số tổng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99004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9AC0AF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82E876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0,49</w:t>
            </w:r>
          </w:p>
        </w:tc>
      </w:tr>
    </w:tbl>
    <w:p w14:paraId="2720E989"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tổng nợ trên tổng tài sản của Tập đoàn Hòa Phát duy trì ở mức trung bình, dao động từ 0,44 đến 0,49, phản ánh cơ cấu vốn tương đối ổn định, khoảng 44% - 49% tổng tài sản của doanh nghiệp được tài trợ từ nguồn nợ phải trả, phần còn lại đến từ vốn chủ sở hữu. Mức độ đòn bẩy tài chính này được đánh giá là khá an toàn trong bối cảnh ngành công nghiệp thép vốn có chu kỳ đầu tư dài và nhu cầu vốn lớn. </w:t>
      </w:r>
    </w:p>
    <w:p w14:paraId="34ABE365"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lastRenderedPageBreak/>
        <w:t>Từ 2022 đến 2024, tổng tài sản tăng 32%, trong khi nợ phải trả tăng mạnh tới 48%. Tốc độ tăng nợ cao hơn rõ rệt so với tốc độ tăng tài sản là nguyên nhân chính làm tỷ số tổng nợ tiệm cận ngưỡng 0,5, cho thấy chiến lược tài trợ bằng nợ đang chiếm ưu thế, thay vì dùng vốn chủ sở hữu hoặc lợi nhuận giữ lại. Dù vậy, với tỷ số tổng nợ vẫn nằm trong vùng an toàn dưới 0,5, có thể nhận định rằng Hòa Phát đang quản trị rủi ro tài chính một cách cẩn trọng, chưa phụ thuộc quá mức vào đòn bẩy nợ để tăng trưởng.</w:t>
      </w:r>
    </w:p>
    <w:p w14:paraId="413F5D21"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36E480BF" w14:textId="77777777" w:rsidR="00D978DF" w:rsidRPr="00761336" w:rsidRDefault="00000000">
      <w:pPr>
        <w:widowControl/>
        <w:shd w:val="clear" w:color="auto" w:fill="FFFFFF"/>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2B98AC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BFD58"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DA310A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3C1CD7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CF484D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7FECD138"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1B0F61A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821EEF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8D9C63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595D3D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0,49</w:t>
            </w:r>
          </w:p>
        </w:tc>
      </w:tr>
      <w:tr w:rsidR="00D978DF" w:rsidRPr="00761336" w14:paraId="6B3D92BA"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3B2343A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2E8717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0,60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A556A0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9D13DD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0,57</w:t>
            </w:r>
          </w:p>
        </w:tc>
      </w:tr>
    </w:tbl>
    <w:p w14:paraId="3432E9EC"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 duy trì tỷ lệ tổng nợ trên tổng tài sản ổn định quanh mức 44 - 49%, phản ánh một cấu trúc tài chính khá cân đối, với tỷ trọng vốn vay không chiếm ưu thế. Trong khi đó, Nam Kim có tỷ lệ cao hơn đáng kể: 0,60 (2022), giảm nhẹ xuống 0,56 (2023) nhưng tiếp tục tăng lên 0,57 (2024). Với mức nợ chiếm hơn 50% tổng tài sản, Nam Kim rõ ràng đang sử dụng đòn bẩy cao hơn, đồng nghĩa với rủi ro tài chính dài hạn lớn hơn trong bối cảnh lãi suất và điều kiện tín dụng biến động, đặc biệt trong ngành thép, nơi biến động thị trường có thể ảnh hưởng mạnh đến dòng tiền và khả năng trả nợ. Tùy theo mức độ chấp nhận rủi ro, nhà đầu tư thận trọng và ưu tiên sự ổn định tài chính nên lựa chọn Hòa Phát, doanh nghiệp có nền tảng cơ bản vững chắc. Ngược lại, nhà đầu tư tìm kiếm cơ hội sinh lời cao hơn có thể xem xét Nam Kim, với kỳ vọng tận dụng hiệu ứng đòn bẩy tài chính để gia tăng lợi nhuận trên vốn chủ sở hữu.</w:t>
      </w:r>
    </w:p>
    <w:p w14:paraId="2044E26C"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29" w:name="_Toc211973154"/>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.2</w:t>
      </w:r>
      <w:r w:rsidRPr="00761336">
        <w:rPr>
          <w:rFonts w:ascii="Times New Roman" w:eastAsia="Times New Roman" w:hAnsi="Times New Roman" w:cs="Times New Roman"/>
          <w:b/>
          <w:bCs/>
          <w:color w:val="000000"/>
          <w:sz w:val="26"/>
          <w:szCs w:val="26"/>
          <w:lang w:val="vi-VN"/>
        </w:rPr>
        <w:t>.2</w:t>
      </w:r>
      <w:r w:rsidRPr="00761336">
        <w:rPr>
          <w:rFonts w:ascii="Times New Roman" w:eastAsia="Times New Roman" w:hAnsi="Times New Roman" w:cs="Times New Roman"/>
          <w:b/>
          <w:bCs/>
          <w:color w:val="000000"/>
          <w:sz w:val="26"/>
          <w:szCs w:val="26"/>
          <w:lang w:val="zh-CN"/>
        </w:rPr>
        <w:t xml:space="preserve"> Tỷ số nợ trên vốn chủ sở hữu (Debt – To – Equity Ratio)</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775"/>
        <w:gridCol w:w="2160"/>
        <w:gridCol w:w="2290"/>
        <w:gridCol w:w="2290"/>
      </w:tblGrid>
      <w:tr w:rsidR="00D978DF" w:rsidRPr="00761336" w14:paraId="1D2A7FE0"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DAEFAFD"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CDF86C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641D24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62D267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400725D0"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2786E86"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Nợ phải trả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134BC5B"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74.222.582.021.349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F2AD94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84.946.167.324.422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9DF8BE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109.842.249.570.282</w:t>
            </w:r>
          </w:p>
        </w:tc>
      </w:tr>
      <w:tr w:rsidR="00D978DF" w:rsidRPr="00761336" w14:paraId="440369BE"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D4270EE"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Vốn chủ sở hữu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8F3488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96.112.939.615.783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8325CCE"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102.836.419.239.379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F1F04AE"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114.647.457.983.699</w:t>
            </w:r>
          </w:p>
        </w:tc>
      </w:tr>
      <w:tr w:rsidR="00D978DF" w:rsidRPr="00761336" w14:paraId="1C2A246F"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FC726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Tỷ số nợ trên </w:t>
            </w:r>
          </w:p>
          <w:p w14:paraId="5CBD5465"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vốn chủ sở hữu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65BA05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0,77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4245C1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1EEAB2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0,96</w:t>
            </w:r>
          </w:p>
        </w:tc>
      </w:tr>
    </w:tbl>
    <w:p w14:paraId="17C4818E"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Tỷ số nợ trên vốn chủ sở hữu (D/E) của Tập đoàn Hòa Phát có xu hướng tăng nhẹ, nhưng vẫn được kiểm soát ở mức hợp lý. Cụ thể: 0,77 (2022), 0,83 (2023) và 0,96 (2024), cho thấy doanh nghiệp đang sử dụng khoảng 77% đến 96% nợ phải trả so với quy mô vốn chủ </w:t>
      </w:r>
      <w:r w:rsidRPr="00761336">
        <w:rPr>
          <w:rFonts w:ascii="Times New Roman" w:eastAsia="Times New Roman" w:hAnsi="Times New Roman" w:cs="Times New Roman"/>
          <w:color w:val="000000"/>
          <w:sz w:val="26"/>
          <w:szCs w:val="26"/>
          <w:lang w:val="zh-CN"/>
        </w:rPr>
        <w:lastRenderedPageBreak/>
        <w:t>sở hữu, tức là 1 đồng vốn chủ đang “gánh” dưới 1 đồng nợ - một mức độ đòn bẩy tài chính tương đối an toàn đối với doanh nghiệp trong ngành công nghiệp nặng như thép.</w:t>
      </w:r>
    </w:p>
    <w:p w14:paraId="68AAE625"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Sự gia tăng của tỷ số D/E trong báo cáo hợp nhất vào năm 2024 đến từ việc nợ phải trả tăng mạnh hơn so với vốn chủ sở hữu, trong bối cảnh doanh nghiệp đẩy mạnh mở rộng đầu tư, bổ sung vốn lưu động để nắm bắt cơ hội phục hồi thị trường. Mặc dù vậy, tỷ số D/E vẫn nằm trong ngưỡng cho phép (0,96), chưa gây áp lực lớn đến khả năng thanh toán hay chi phí tài chính. Tỷ số D/E là một chỉ số quan trọng để đánh giá rủi ro tài chính và khả năng chịu đựng trước biến động kinh tế. Với tỷ lệ hiện tại, Hòa Phát vẫn giữ được sự cân đối tài chính tương đối ổn định, cho phép linh hoạt huy động vốn phục vụ chiến lược phát triển trung - dài hạn, đồng thời hạn chế rủi ro khi lãi suất hoặc chi phí tài chính có biến động bất lợi.</w:t>
      </w:r>
    </w:p>
    <w:p w14:paraId="7F4C172B"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2521C4E2"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66C4AB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ADA1C"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8DE2D0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E71481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AE88F0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07CD8835"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21F92B6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023E0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0,77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412237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6E7DB1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0,96</w:t>
            </w:r>
          </w:p>
        </w:tc>
      </w:tr>
      <w:tr w:rsidR="00D978DF" w:rsidRPr="00761336" w14:paraId="37511144"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72EF143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8E7A6A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9F1F7C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2BAE78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1,30</w:t>
            </w:r>
          </w:p>
        </w:tc>
      </w:tr>
    </w:tbl>
    <w:p w14:paraId="3C1034C5"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nợ trên vốn chủ sở hữu phản ánh mức độ sử dụng nợ so với vốn của cổ đông để tài trợ hoạt động kinh doanh. Ở Hòa Phát, tỷ lệ này tăng từ 0,77 (2022) lên 0,96 (2024), mức tương đối thấp so với mặt bằng ngành thép, công ty khá thận trọng trong sử dụng nợ, và tỷ lệ nợ vẫn thấp hơn vốn chủ sở hữu, giúp giảm áp lực tài chính và rủi ro mất cân đối nợ vay. Ngược lại, Nam Kim duy trì D/E ở mức cao: 1,53 (2022), giảm còn 1,26 (2023) nhưng tăng nhẹ lên 1,30 (2024). Dù có sự cải thiện, nhưng đây vẫn là mức cao, phản ánh cấu trúc vốn dựa nhiều vào nợ, tạo ra lợi thế tài chính nhưng đồng thời cũng làm tăng rủi ro tài chính, khiến doanh nghiệp dễ bị tổn thương nếu chi phí vốn tăng hoặc dòng tiền suy yếu. Hòa Phát phù hợp với các nhà đầu tư tổ chức, quỹ đầu tư hoặc nhà đầu tư giá trị dài hạn, nhờ nền tảng tài chính vững mạnh, hiệu quả hoạt động ổn định và khả năng duy trì vị thế dẫn đầu trong ngành. Nam Kim chỉ phù hợp với nhà đầu tư mạo hiểm, rủi ro cao, theo đuổi chiến lược đầu cơ ngắn hạn hoặc đánh theo chu kỳ ngành thép, khi kỳ vọng vào biên lợi nhuận cải thiện nhờ đòn bẩy tài chính và biến động giá thép.</w:t>
      </w:r>
    </w:p>
    <w:p w14:paraId="54C545F4"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30" w:name="_Toc211973155"/>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.2.3 Bội số vốn cổ phần (Equity Multiplier)</w:t>
      </w:r>
      <w:bookmarkEnd w:id="30"/>
    </w:p>
    <w:tbl>
      <w:tblPr>
        <w:tblW w:w="0" w:type="auto"/>
        <w:tblCellMar>
          <w:top w:w="15" w:type="dxa"/>
          <w:left w:w="15" w:type="dxa"/>
          <w:bottom w:w="15" w:type="dxa"/>
          <w:right w:w="15" w:type="dxa"/>
        </w:tblCellMar>
        <w:tblLook w:val="04A0" w:firstRow="1" w:lastRow="0" w:firstColumn="1" w:lastColumn="0" w:noHBand="0" w:noVBand="1"/>
      </w:tblPr>
      <w:tblGrid>
        <w:gridCol w:w="2161"/>
        <w:gridCol w:w="2290"/>
        <w:gridCol w:w="2290"/>
        <w:gridCol w:w="2290"/>
      </w:tblGrid>
      <w:tr w:rsidR="00D978DF" w:rsidRPr="00761336" w14:paraId="0BC09F2F"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F197A0F"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F6C51C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98B738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5DBC92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422374D9"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7A78299"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Tổng tài sản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04A0E15"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170.335.521.637.132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40B280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187.782.586.563.801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0C4E45"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224.489.707.553.981</w:t>
            </w:r>
          </w:p>
        </w:tc>
      </w:tr>
      <w:tr w:rsidR="00D978DF" w:rsidRPr="00761336" w14:paraId="20BD3D56"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46831E"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Vốn chủ sở hữu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D211161"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96.112.939.615.783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8A49D4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102.836.419.239.379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E320A2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114.647.457.983.699</w:t>
            </w:r>
          </w:p>
        </w:tc>
      </w:tr>
      <w:tr w:rsidR="00D978DF" w:rsidRPr="00761336" w14:paraId="40AD0D83"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6E6CFAE"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Bội số vốn cổ phần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FBA0BF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1,77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6A070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19D756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1,96</w:t>
            </w:r>
          </w:p>
        </w:tc>
      </w:tr>
    </w:tbl>
    <w:p w14:paraId="49EC3D6C"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những năm 2022 - 2024, chỉ số bội số vốn cổ phần của Hòa Phát dao động tăng nhẹ nhưng vẫn giữ một cấu trúc vốn tương đối an toàn. Tổng tài sản của Hòa Phát cao hơn từ 1,77 đến 1,96 lần so với vốn chủ sở hữu, nghĩa là mỗi đồng vốn chủ đang huy động thêm khoảng 0,77 - 0,96 đồng từ nguồn nợ để hình thành tổng tài sản. </w:t>
      </w:r>
    </w:p>
    <w:p w14:paraId="06FD221E"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Chỉ số này phản ánh mức độ sử dụng đòn bẩy tài chính trong cấu trúc tài sản. So với mức trung bình ngành sản xuất công nghiệp, các hệ số trên được đánh giá là khá thận trọng, Hòa Phát không quá phụ thuộc vào vốn vay để tài trợ cho hoạt động sản xuất, kinh doanh. Sự tăng nhẹ từ 1,77 lên 1,96 trong giai đoạn ba năm cho thấy doanh nghiệp có xu hướng gia tăng mức độ đòn bẩy tài chính một cách có kiểm soát, phù hợp với giai đoạn phục hồi sản xuất và mở rộng đầu tư sau thời kỳ khó khăn 2022 - 2023.</w:t>
      </w:r>
    </w:p>
    <w:p w14:paraId="3812901F"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3B2FCA15"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2F9E45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852C8"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43CA39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55D998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2D77B3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4FD49F17"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65D7176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AAEEB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393CF5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885608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1,96</w:t>
            </w:r>
          </w:p>
        </w:tc>
      </w:tr>
      <w:tr w:rsidR="00D978DF" w:rsidRPr="00761336" w14:paraId="2B93625C"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2AE807D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2820F8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2,53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299DBD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93E3B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2,30</w:t>
            </w:r>
          </w:p>
        </w:tc>
      </w:tr>
    </w:tbl>
    <w:p w14:paraId="50312176" w14:textId="77777777" w:rsidR="00D978DF" w:rsidRPr="00761336" w:rsidRDefault="00D978DF">
      <w:pPr>
        <w:widowControl/>
        <w:shd w:val="clear" w:color="auto" w:fill="FFFFFF"/>
        <w:spacing w:line="276" w:lineRule="auto"/>
        <w:rPr>
          <w:rFonts w:ascii="Times New Roman" w:eastAsia="Times New Roman" w:hAnsi="Times New Roman" w:cs="Times New Roman"/>
          <w:sz w:val="26"/>
          <w:szCs w:val="26"/>
          <w:lang w:val="zh-CN"/>
        </w:rPr>
      </w:pPr>
    </w:p>
    <w:p w14:paraId="07DD94FF"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 ghi nhận bội số vốn cổ phần tăng nhẹ từ 1,77 (2022) lên 1,96 (2024), công ty đang gia tăng việc sử dụng đòn bẩy tài chính nhưng vẫn duy trì ở mức độ thận trọng. Với hệ số duy trì dưới ngưỡng 2, phần lớn tài sản của công ty được tài trợ bằng vốn chủ sở hữu, giúp giảm áp lực tài chính và rủi ro từ các khoản nợ vay. Chỉ số đòn bẩy thấp và ổn định qua các năm cũng cho thấy khả năng kiểm soát rủi ro tài chính hiệu quả, đồng thời tạo nền tảng vững chắc cho tăng trưởng bền vững trong dài hạn. Nhờ mức độ tín nhiệm tài chính tốt, Hòa Phát có lợi thế trong việc huy động vốn, cả từ chủ sở hữu lẫn từ nguồn vay, với chi phí thấp và điều kiện thuận lợi hơn so với các doanh nghiệp có mức đòn bẩy cao.</w:t>
      </w:r>
    </w:p>
    <w:p w14:paraId="5AA9A80B"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Ngược lại, Nam Kim có bội số vốn cổ phần cao hơn nhiều, từ 2,53 (2022) giảm xuống 2,26 (2023) rồi tăng nhẹ lên 2,30 (2024). Đây là dấu hiệu doanh nghiệp sử dụng nhiều vốn vay hơn trong cơ cấu vốn, làm gia tăng mức độ đòn bẩy tài chính và kéo theo rủi ro tài chính cao hơn so với Hòa Phát. Dù có cải thiện nhẹ năm 2023, mức tăng trở lại trong năm 2024 cho thấy Nam Kim vẫn chưa thoát khỏi sự phụ thuộc đáng kể vào nguồn vốn vay. Việc duy trì hệ số đòn bẩy cao đồng nghĩa với khả năng khuếch đại lợi nhuận vốn chủ sở hữu trong </w:t>
      </w:r>
      <w:r w:rsidRPr="00761336">
        <w:rPr>
          <w:rFonts w:ascii="Times New Roman" w:eastAsia="Times New Roman" w:hAnsi="Times New Roman" w:cs="Times New Roman"/>
          <w:color w:val="000000"/>
          <w:sz w:val="26"/>
          <w:szCs w:val="26"/>
          <w:lang w:val="zh-CN"/>
        </w:rPr>
        <w:lastRenderedPageBreak/>
        <w:t>điều kiện kinh doanh thuận lợi. Tuy nhiên, điều này cũng đi kèm với nguy cơ mất cân đối tài chính nếu thị trường đảo chiều hoặc chi phí lãi vay gia tăng.</w:t>
      </w:r>
    </w:p>
    <w:p w14:paraId="39A08AAF"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31" w:name="_Toc211973156"/>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.2.4 Khả năng thanh toán lãi vay (Times Interest Earned)</w:t>
      </w:r>
      <w:bookmarkEnd w:id="31"/>
    </w:p>
    <w:tbl>
      <w:tblPr>
        <w:tblW w:w="0" w:type="auto"/>
        <w:tblInd w:w="-195" w:type="dxa"/>
        <w:tblCellMar>
          <w:top w:w="15" w:type="dxa"/>
          <w:left w:w="15" w:type="dxa"/>
          <w:bottom w:w="15" w:type="dxa"/>
          <w:right w:w="15" w:type="dxa"/>
        </w:tblCellMar>
        <w:tblLook w:val="04A0" w:firstRow="1" w:lastRow="0" w:firstColumn="1" w:lastColumn="0" w:noHBand="0" w:noVBand="1"/>
      </w:tblPr>
      <w:tblGrid>
        <w:gridCol w:w="3055"/>
        <w:gridCol w:w="2160"/>
        <w:gridCol w:w="2160"/>
        <w:gridCol w:w="2160"/>
      </w:tblGrid>
      <w:tr w:rsidR="00D978DF" w:rsidRPr="00761336" w14:paraId="035CCC92" w14:textId="77777777">
        <w:tc>
          <w:tcPr>
            <w:tcW w:w="3275"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EF52980"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2160"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E45E9B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2160"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B24FA7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2160"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4AA466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531D39B7" w14:textId="77777777">
        <w:tc>
          <w:tcPr>
            <w:tcW w:w="3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A20B20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Lợi nhuận kế toán trước thuế</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35A0709"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9.922.941.127.284</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FCCDE5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7.792.728.743.173</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7A124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13.693.502.261.178</w:t>
            </w:r>
          </w:p>
        </w:tc>
      </w:tr>
      <w:tr w:rsidR="00D978DF" w:rsidRPr="00761336" w14:paraId="7DCF9ECA" w14:textId="77777777">
        <w:tc>
          <w:tcPr>
            <w:tcW w:w="3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3BF33B"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Lãi vay</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DEED86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3.083.638.131.818</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EF1BE10"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3.585.077.683.881</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B155E4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2.287.360.810.880</w:t>
            </w:r>
          </w:p>
        </w:tc>
      </w:tr>
      <w:tr w:rsidR="00D978DF" w:rsidRPr="00761336" w14:paraId="74D99FF0" w14:textId="77777777">
        <w:tc>
          <w:tcPr>
            <w:tcW w:w="3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0B9E1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EBIT</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5BD0284"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13.006.579.259.102</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F166F3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11.377.806.427.054</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AB4CAE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15.980.863.072.058</w:t>
            </w:r>
          </w:p>
        </w:tc>
      </w:tr>
      <w:tr w:rsidR="00D978DF" w:rsidRPr="00761336" w14:paraId="19C19D59" w14:textId="77777777">
        <w:tc>
          <w:tcPr>
            <w:tcW w:w="3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BD9C315"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Khả năng thanh toán lãi vay</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1DD11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4,22</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EEA949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3,17</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852C0F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6,99</w:t>
            </w:r>
          </w:p>
        </w:tc>
      </w:tr>
    </w:tbl>
    <w:p w14:paraId="33BE1C1A"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Chỉ số khả năng thanh toán lãi vay (TIE) của Tập đoàn Hòa Phát có nhiều biến động đáng chú ý từ năm 2022 đến 2024, thể hiện sự thay đổi trong hiệu quả hoạt động và cấu trúc tài chính của doanh nghiệp. Theo báo cáo hợp nhất, khả năng thanh toán lãi vay lần lượt đạt 4,22 (2022), 3,17 (2023) và 6,99 (2024). Đây là một xu hướng tích cực, đặc biệt là sự cải thiện mạnh mẽ trong năm 2024.</w:t>
      </w:r>
    </w:p>
    <w:p w14:paraId="1F48D0D6"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Cụ thể, trong năm 2022, Hòa Phát có EBIT đạt hơn 13.000 tỷ đồng, trong khi chi phí lãi vay là 3.084 tỷ đồng, doanh nghiệp tạo ra lợi nhuận gấp 4,22 lần số tiền lãi phải trả. Tuy đây là năm ngành thép gặp nhiều khó khăn, mức TIE này vẫn ở ngưỡng an toàn, thể hiện khả năng kiểm soát tài chính tốt của công ty.</w:t>
      </w:r>
    </w:p>
    <w:p w14:paraId="47806ED8"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Bước sang năm 2023, chỉ số khả năng thanh toán giảm còn 3,17 lần, chủ yếu do EBIT sụt giảm trong bối cảnh giá thép đi xuống và nhu cầu thị trường chưa phục hồi mạnh, trong khi chi phí tài chính vẫn ở mức cao. Mặc dù vậy, mức 3,17 vẫn được coi là ổn định, Hòa Phát vẫn có khả năng trả lãi mà không ảnh hưởng đến hoạt động sản xuất kinh doanh.</w:t>
      </w:r>
    </w:p>
    <w:p w14:paraId="25292ACA"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Năm 2024 ghi nhận sự phục hồi ấn tượng với EBIT tăng mạnh lên gần 16.000 tỷ đồng, trong khi chi phí lãi vay giảm đáng kể còn 2.287 tỷ đồng. Nhờ đó, TIE tăng vọt lên 6,99 lần, phản ánh rõ nét năng lực tài chính vượt trội và khả năng kiểm soát đòn bẩy hiệu quả của Hòa Phát. Đây là mức rất an toàn, vượt xa mức tối thiểu 3 lần mà các nhà đầu tư và ngân hàng thường kỳ vọng ở doanh nghiệp sản xuất công nghiệp.</w:t>
      </w:r>
    </w:p>
    <w:p w14:paraId="375B4473"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435DCB0A" w14:textId="77777777" w:rsidR="00D978DF" w:rsidRPr="00761336" w:rsidRDefault="00000000">
      <w:pPr>
        <w:rPr>
          <w:rFonts w:ascii="Times New Roman" w:eastAsia="Times New Roman" w:hAnsi="Times New Roman" w:cs="Times New Roman"/>
          <w:b/>
          <w:bCs/>
          <w:i/>
          <w:iCs/>
          <w:color w:val="000000"/>
          <w:sz w:val="26"/>
          <w:szCs w:val="26"/>
          <w:lang w:val="zh-CN"/>
        </w:rPr>
      </w:pPr>
      <w:r w:rsidRPr="00761336">
        <w:rPr>
          <w:rFonts w:ascii="Times New Roman" w:eastAsia="Times New Roman" w:hAnsi="Times New Roman" w:cs="Times New Roman"/>
          <w:b/>
          <w:bCs/>
          <w:i/>
          <w:iCs/>
          <w:color w:val="000000"/>
          <w:sz w:val="26"/>
          <w:szCs w:val="26"/>
          <w:lang w:val="zh-CN"/>
        </w:rPr>
        <w:br w:type="page"/>
      </w:r>
    </w:p>
    <w:p w14:paraId="0043219E"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lastRenderedPageBreak/>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723BC6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D5BDA"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0698F8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CB4851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46282A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1B0AE56B"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7A3F75D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9875D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6EED1D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2F4F94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6,99</w:t>
            </w:r>
          </w:p>
        </w:tc>
      </w:tr>
      <w:tr w:rsidR="00D978DF" w:rsidRPr="00761336" w14:paraId="16758224"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0C0FF33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AF176E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C6BE03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1,61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85D62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3,69</w:t>
            </w:r>
          </w:p>
        </w:tc>
      </w:tr>
    </w:tbl>
    <w:p w14:paraId="350E6F1A"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Khả năng thanh toán lãi vay là chỉ tiêu đánh giá liệu lợi nhuận từ hoạt động kinh doanh có đủ để chi trả chi phí tài chính hay không. Hòa Phát có tỷ số khả năng thanh toán lãi vay mức cao, dù có sự biến động nhẹ, từ 4,22 (2022) giảm còn 3,17 (2023) và tăng mạnh lên 6,99 (2024). Sự cải thiện này phản ánh hiệu quả kinh doanh được khôi phục mạnh mẽ sau giai đoạn khó khăn của ngành. Trong khi đó, Nam Kim cũng có cải thiện nhưng ở mức độ thấp hơn, lần lượt là 1,52, 1,61 và 3,69. Mức dưới 2 (năm 2022 và 2023) là đáng lưu ý, lợi nhuận công ty chỉ vừa đủ để trang trải chi phí lãi vay. Đây vẫn là điểm cảnh báo về áp lực tài chính đối với Nam Kim bởi chỉ cần lợi nhuận sụt giảm nhẹ, Nam Kim có thể không đủ năng lực trả lãi vay đúng hạn. </w:t>
      </w:r>
    </w:p>
    <w:p w14:paraId="05C911FD"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Từ góc độ đầu tư, Hòa Phát là lựa chọn phù hợp với nhà đầu tư dài hạn, ưu tiên sự ổn định và dòng tiền bền vững. Cơ cấu tài chính lành mạnh, khả năng sinh lời phục hồi tốt, cùng với chiến lược tăng trưởng thận trọng giúp doanh nghiệp duy trì mức rủi ro thấp và khả năng chống chịu tốt qua các chu kỳ ngành. Trong khi đó, Nam Kim đi kèm mức độ rủi ro cao hơn do sử dụng đòn bẩy tài chính lớn và phụ thuộc nhiều vào biến động chu kỳ ngành thép. Trước khi đầu tư, nhà đầu tư cần đánh giá kỹ triển vọng giá thép, nhu cầu thị trường và xu hướng lãi suất, bởi các yếu tố này ảnh hưởng trực tiếp đến khả năng sinh lời và năng lực trả nợ của doanh nghiệp.</w:t>
      </w:r>
    </w:p>
    <w:p w14:paraId="0DC3CCB6"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32" w:name="_Toc211973157"/>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.2.5 Tỷ số đảm bảo tiền mặt (Cash Coverage Ratio)</w:t>
      </w:r>
      <w:bookmarkEnd w:id="32"/>
    </w:p>
    <w:tbl>
      <w:tblPr>
        <w:tblW w:w="0" w:type="auto"/>
        <w:tblCellMar>
          <w:top w:w="15" w:type="dxa"/>
          <w:left w:w="15" w:type="dxa"/>
          <w:bottom w:w="15" w:type="dxa"/>
          <w:right w:w="15" w:type="dxa"/>
        </w:tblCellMar>
        <w:tblLook w:val="04A0" w:firstRow="1" w:lastRow="0" w:firstColumn="1" w:lastColumn="0" w:noHBand="0" w:noVBand="1"/>
      </w:tblPr>
      <w:tblGrid>
        <w:gridCol w:w="2688"/>
        <w:gridCol w:w="2160"/>
        <w:gridCol w:w="2160"/>
        <w:gridCol w:w="2160"/>
      </w:tblGrid>
      <w:tr w:rsidR="00D978DF" w:rsidRPr="00761336" w14:paraId="5AEE00B3"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B9125A1"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A5D5E3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AF43DD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6F4730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3BD15A75"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79DCA76"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EBIT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B6CFF3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13.006.579.259.102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889011"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11.377.806.427.054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50BABF9"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15.980.863.072.058</w:t>
            </w:r>
          </w:p>
        </w:tc>
      </w:tr>
      <w:tr w:rsidR="00D978DF" w:rsidRPr="00761336" w14:paraId="511279F0"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987FCA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Khấu 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0F4EE8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6.759.462.100.582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6EC884"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6.761.933.539.397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80F6140"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6.915.671.331.197</w:t>
            </w:r>
          </w:p>
        </w:tc>
      </w:tr>
      <w:tr w:rsidR="00D978DF" w:rsidRPr="00761336" w14:paraId="781C1D69"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DCD40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EBITDA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EBF540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19.766.041.359.684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D078CE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18.139.739.966.451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5B627A7"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22.896.534.403.255</w:t>
            </w:r>
          </w:p>
        </w:tc>
      </w:tr>
      <w:tr w:rsidR="00D978DF" w:rsidRPr="00761336" w14:paraId="16E6DB33"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9A14CFD"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Lãi vay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C136BE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3.083.638.131.818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01EC579"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3.585.077.683.881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78A7CE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2.287.360.810.880</w:t>
            </w:r>
          </w:p>
        </w:tc>
      </w:tr>
      <w:tr w:rsidR="00D978DF" w:rsidRPr="00761336" w14:paraId="338D676C"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174043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Tỷ số đảm bảo tiền mặt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D2F09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6,41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964FB0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5,06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FEB5B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10,01</w:t>
            </w:r>
          </w:p>
        </w:tc>
      </w:tr>
    </w:tbl>
    <w:p w14:paraId="52C57A71"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Tỷ số đảm bảo tiền mặt (Cash Coverage Ratio - CCR) liên tục duy trì ở mức cao và ổn định trong suốt 3 năm cho thấy Tập đoàn Hòa Phát đang sở hữu bức tranh tài chính rất tích cực, </w:t>
      </w:r>
      <w:r w:rsidRPr="00761336">
        <w:rPr>
          <w:rFonts w:ascii="Times New Roman" w:eastAsia="Times New Roman" w:hAnsi="Times New Roman" w:cs="Times New Roman"/>
          <w:color w:val="000000"/>
          <w:sz w:val="26"/>
          <w:szCs w:val="26"/>
          <w:lang w:val="zh-CN"/>
        </w:rPr>
        <w:lastRenderedPageBreak/>
        <w:t>năng lực tạo dòng tiền từ hoạt động kinh doanh đủ mạnh để chi trả chi phí lãi vay một cách an toàn và hiệu quả.</w:t>
      </w:r>
    </w:p>
    <w:p w14:paraId="7CF72394"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Năm 2022, dù là thời điểm thị trường thép bước vào chu kỳ suy giảm, Hòa Phát vẫn duy trì tỷ số đảm bảo tiền mặt ở mức 6,41, tương đương EBITDA gấp hơn 6 lần chi phí lãi vay. Đây là mức cao và an toàn, cho thấy công ty không gặp khó khăn trong việc chi trả lãi vay dù lợi nhuận kế toán sụt giảm so với năm trước.</w:t>
      </w:r>
    </w:p>
    <w:p w14:paraId="301CDF80"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Sang năm 2023, tỷ số này giảm nhẹ còn 5,06, chủ yếu do cả EBIT và EBITDA suy giảm trong bối cảnh giá thép thấp và chi phí sản xuất tăng. Tuy nhiên, tỷ số đảm bảo tiền mặt vẫn trên ngưỡng an toàn (3 lần), thể hiện dòng tiền từ hoạt động vẫn đủ mạnh để bảo đảm nghĩa vụ tài chính ngắn hạn.</w:t>
      </w:r>
    </w:p>
    <w:p w14:paraId="5EB6F934"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Đến năm 2024, tỷ số đảm bảo tiền mặt cải thiện vượt bậc, đạt 10,01, một mức rất cao trong ngành sản xuất công nghiệp nặng. Sự tăng trưởng mạnh mẽ của EBITDA nhờ hồi phục sản lượng, cải thiện biên lợi nhuận gộp và kiểm soát chi phí hiệu quả đã giúp Hòa Phát mở rộng khoảng đệm tài chính. Đồng thời, chi phí lãi vay giảm đáng kể cũng cho thấy tập đoàn đã cơ cấu lại nợ vay theo hướng an toàn hơn, giảm thiểu rủi ro lãi suất trong môi trường tài chính không ổn định.</w:t>
      </w:r>
    </w:p>
    <w:p w14:paraId="2C833993"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414495A4"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2F68E7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D9B3A"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3A8FA6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49C194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3820E3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54A6A924"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6674634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A11127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6,41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BFEA5F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5,06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30DD4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10,01</w:t>
            </w:r>
          </w:p>
        </w:tc>
      </w:tr>
      <w:tr w:rsidR="00D978DF" w:rsidRPr="00761336" w14:paraId="0C5FE328"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18B39F9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DFD878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245C1B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2,89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925DB6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5,47</w:t>
            </w:r>
          </w:p>
        </w:tc>
      </w:tr>
    </w:tbl>
    <w:p w14:paraId="559A20FD"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đảm bảo tiền mặt (EBITDA/Lãi vay) cho biết khả năng trả nợ từ dòng tiền trước lãi vay và khấu hao, chỉ số này đo lường khả năng trả lãi vay bằng dòng tiền hoạt động, có tính chất thực tế hơn EBIT vì loại bỏ các khoản chi phí phi tiền mặt. Hòa Phát tiếp tục thể hiện vị thế vượt trội với tỷ số từ 6,41 (2022) lên đến 10,01 (2024), nghĩa là mỗi đồng lãi vay có thể được chi trả 6 đến 10 lần từ dòng tiền hoạt động. Ngược lại, Nam Kim duy trì ở mức thấp hơn nhiều, từ 3,35 đến 5,47. Dù vẫn là ngưỡng an toàn, nhưng so với Hòa Phát thì biên an toàn thấp hơn, dòng tiền chưa thật sự ổn định và dư thừa, phụ thuộc nhiều vào việc duy trì dòng tiền ổn định trong môi trường kinh doanh nhiều biến động của ngành thép.</w:t>
      </w:r>
    </w:p>
    <w:p w14:paraId="14F0713D"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Hòa Phát là lựa chọn phù hợp với nhà đầu tư dài hạn, đặc biệt những người ưu tiên sự an toàn tài chính và dòng tiền ổn định. Công ty sở hữu dòng tiền hoạt động mạnh mẽ, cho phép tự chủ trong việc chi trả lãi vay và duy trì hoạt động kinh doanh, qua đó giảm thiểu rủi ro tài chính và tăng khả năng vượt qua các giai đoạn khủng hoảng kinh tế. Ngược lại, </w:t>
      </w:r>
      <w:r w:rsidRPr="00761336">
        <w:rPr>
          <w:rFonts w:ascii="Times New Roman" w:eastAsia="Times New Roman" w:hAnsi="Times New Roman" w:cs="Times New Roman"/>
          <w:color w:val="000000"/>
          <w:sz w:val="26"/>
          <w:szCs w:val="26"/>
          <w:lang w:val="zh-CN"/>
        </w:rPr>
        <w:lastRenderedPageBreak/>
        <w:t>Nam Kim phù hợp với nhà đầu tư chấp nhận rủi ro cao, các nhà đầu tư ngắn hạn hoặc những người tìm kiếm cơ hội đầu tư theo thời điểm khi thị trường thép có triển vọng tích cực.</w:t>
      </w:r>
    </w:p>
    <w:p w14:paraId="6734F724"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33" w:name="_Toc211973158"/>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.2.6. Thước đo khác về khả năng trả nợ dài hạn</w:t>
      </w:r>
      <w:bookmarkEnd w:id="33"/>
    </w:p>
    <w:p w14:paraId="75FA12F1"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Thước đo khác về khả năng trả nợ dài hạn: Nợ phải chịu lãiEBITDA</w:t>
      </w:r>
    </w:p>
    <w:tbl>
      <w:tblPr>
        <w:tblW w:w="0" w:type="auto"/>
        <w:tblCellMar>
          <w:top w:w="15" w:type="dxa"/>
          <w:left w:w="15" w:type="dxa"/>
          <w:bottom w:w="15" w:type="dxa"/>
          <w:right w:w="15" w:type="dxa"/>
        </w:tblCellMar>
        <w:tblLook w:val="04A0" w:firstRow="1" w:lastRow="0" w:firstColumn="1" w:lastColumn="0" w:noHBand="0" w:noVBand="1"/>
      </w:tblPr>
      <w:tblGrid>
        <w:gridCol w:w="2760"/>
        <w:gridCol w:w="2160"/>
        <w:gridCol w:w="2160"/>
        <w:gridCol w:w="2160"/>
      </w:tblGrid>
      <w:tr w:rsidR="00D978DF" w:rsidRPr="00761336" w14:paraId="27763251"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5B592DA"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1CF6CD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D9058E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5AFE1C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0DEAFD47"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C7513C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Vay ngắn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284CF00"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46.748.670.400.471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C0609B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54.981.883.180.636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EAEAB35"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55.882.686.213.459</w:t>
            </w:r>
          </w:p>
        </w:tc>
      </w:tr>
      <w:tr w:rsidR="00D978DF" w:rsidRPr="00761336" w14:paraId="64F40CA4"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B034B5D"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Vay dài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86ED59A"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11.151.651.204.402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052BD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10.399.119.292.481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470C2F5"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27.080.443.256.096</w:t>
            </w:r>
          </w:p>
        </w:tc>
      </w:tr>
      <w:tr w:rsidR="00D978DF" w:rsidRPr="00761336" w14:paraId="0D6190D1"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195CF0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Nợ phải chịu lãi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B3475D7"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57.900.321.604.873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699B6A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65.381.002.473.117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2024D6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82.963.129.469.555</w:t>
            </w:r>
          </w:p>
        </w:tc>
      </w:tr>
      <w:tr w:rsidR="00D978DF" w:rsidRPr="00761336" w14:paraId="7A95953B"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2FD4E35"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EBITDA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AAE2E80"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19.766.041.359.684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3AF03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18.139.739.966.451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B1F4B3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22.896.534.403.255</w:t>
            </w:r>
          </w:p>
        </w:tc>
      </w:tr>
      <w:tr w:rsidR="00D978DF" w:rsidRPr="00761336" w14:paraId="73333AC8"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8AFC3B" w14:textId="77777777" w:rsidR="00D978DF" w:rsidRPr="00761336" w:rsidRDefault="00000000">
            <w:pPr>
              <w:widowControl/>
              <w:spacing w:line="276" w:lineRule="auto"/>
              <w:rPr>
                <w:rFonts w:ascii="Times New Roman" w:eastAsia="Times New Roman" w:hAnsi="Times New Roman" w:cs="Times New Roman"/>
                <w:b/>
                <w:bCs/>
                <w:color w:val="000000"/>
                <w:sz w:val="26"/>
                <w:szCs w:val="26"/>
                <w:lang w:val="zh-CN"/>
              </w:rPr>
            </w:pPr>
            <w:r w:rsidRPr="00761336">
              <w:rPr>
                <w:rFonts w:ascii="Times New Roman" w:eastAsia="Times New Roman" w:hAnsi="Times New Roman" w:cs="Times New Roman"/>
                <w:b/>
                <w:bCs/>
                <w:color w:val="000000"/>
                <w:sz w:val="26"/>
                <w:szCs w:val="26"/>
                <w:lang w:val="zh-CN"/>
              </w:rPr>
              <w:t>Thước đo khác về</w:t>
            </w:r>
          </w:p>
          <w:p w14:paraId="09FB50C2"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khả năng trả nợ dài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955D67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2,93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D11E26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3,60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22792A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3,62</w:t>
            </w:r>
          </w:p>
        </w:tc>
      </w:tr>
    </w:tbl>
    <w:p w14:paraId="0F630A90"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6598EC2F"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Áp lực tài chính dài hạn của Tập đoàn Hòa Phát ngày càng lớn hơn do chỉ số Nợ phải chịu lãi trên EBITDA có xu hướng gia tăng trong giai đoạn 2022 - 2024. Cụ thể, năm 2022, tỷ số này đạt 2,93, thể hiện Hòa Phát vẫn duy trì được một cấu trúc tài chính tương đối ổn định. Mức dưới 3 lần thường được xem là ngưỡng an toàn đối với các doanh nghiệp công nghiệp có chu kỳ đầu tư dài như ngành thép. Điều này phản ánh khả năng tạo dòng tiền ổn định của Hòa Phát trong thời kỳ hậu đại dịch, dù thị trường đã bắt đầu bước vào giai đoạn suy giảm.</w:t>
      </w:r>
    </w:p>
    <w:p w14:paraId="36A9B7EB"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Tuy nhiên, bước sang năm 2023, chỉ số này tăng lên đáng kể, đạt 3,60, tức doanh nghiệp sẽ cần tới 3,6 lần EBITDA để có thể thanh toán toàn bộ khoản nợ vay có lãi nếu toàn bộ lợi nhuận trước lãi, thuế và khấu hao được dùng để trả nợ. Sự gia tăng này do hai yếu tố chính: EBITDA sụt giảm nhẹ vì giá thép thế giới giảm và sức tiêu thụ nội địa yếu, và tổng nợ vay chịu lãi tăng thêm hơn 7.000 tỷ đồng. Do đó làm gia tăng rủi ro tài chính, mức độ phụ thuộc vào vốn vay có lãi gia tăng đáng kể so với năm trước, đặc biệt trong bối cảnh lãi suất duy trì ở mức cao và dòng tiền từ hoạt động kinh doanh có thể gặp khó khăn nếu thị trường tiếp tục biến động bất lợi.</w:t>
      </w:r>
    </w:p>
    <w:p w14:paraId="28017AFA"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Đến năm 2024, mặc dù EBITDA đã phục hồi lên hơn 22.896 tỷ đồng, mức cao nhất trong ba năm, thì nợ vay chịu lãi cũng tăng mạnh lên gần 83.000 tỷ đồng - chủ yếu do Hòa Phát tăng vay dài hạn để tài trợ đầu tư mở rộng công suất và các dự án mới. Do đó, tỷ số Nợ vay chịu lãi / EBITDA gần như không đổi ở mức 3,62 lần, phản ánh thực tế là tăng trưởng EBITDA chưa đủ nhanh để bù đắp tốc độ tăng nợ.</w:t>
      </w:r>
    </w:p>
    <w:p w14:paraId="5BD7A308"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7A965E6B" w14:textId="77777777" w:rsidR="00D978DF" w:rsidRPr="00761336" w:rsidRDefault="00000000">
      <w:pPr>
        <w:rPr>
          <w:rFonts w:ascii="Times New Roman" w:eastAsia="Times New Roman" w:hAnsi="Times New Roman" w:cs="Times New Roman"/>
          <w:b/>
          <w:bCs/>
          <w:i/>
          <w:iCs/>
          <w:color w:val="000000"/>
          <w:sz w:val="26"/>
          <w:szCs w:val="26"/>
          <w:lang w:val="zh-CN"/>
        </w:rPr>
      </w:pPr>
      <w:r w:rsidRPr="00761336">
        <w:rPr>
          <w:rFonts w:ascii="Times New Roman" w:eastAsia="Times New Roman" w:hAnsi="Times New Roman" w:cs="Times New Roman"/>
          <w:b/>
          <w:bCs/>
          <w:i/>
          <w:iCs/>
          <w:color w:val="000000"/>
          <w:sz w:val="26"/>
          <w:szCs w:val="26"/>
          <w:lang w:val="zh-CN"/>
        </w:rPr>
        <w:br w:type="page"/>
      </w:r>
    </w:p>
    <w:p w14:paraId="75B11A04"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lastRenderedPageBreak/>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4DED68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001EB"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0964E9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151D5D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B86656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57E85F86"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27D2394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6EB48A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2,93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B4E366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3,60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28A1F8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3,62</w:t>
            </w:r>
          </w:p>
        </w:tc>
      </w:tr>
      <w:tr w:rsidR="00D978DF" w:rsidRPr="00761336" w14:paraId="5659F1B0"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08A57D9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FCF982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A0D77B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5,64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B5CBD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5,56</w:t>
            </w:r>
          </w:p>
        </w:tc>
      </w:tr>
    </w:tbl>
    <w:p w14:paraId="5399CD12"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Một chỉ số đáng chú ý là “thước đo khác về khả năng trả nợ dài hạn”, chỉ số dòng tiền hoạt động trên nợ phải chịu lãi, đo lường khả năng trả nợ gốc và lãi từ dòng tiền của doanh nghiệp. Hòa Phát duy trì chỉ số này ở mức 2,93 - 3,60 - 3,62, mức an toàn và ổn định. Trong khi đó, Nam Kim có chỉ số rất cao trong năm 2022 (7,40) nhưng giảm dần xuống 5,64 (2023) và 5,56 (2024). Mặc dù cao hơn Hòa Phát, nhưng Nam Kim có EBITDA ở mức ổn định, trong khi quy mô nợ chịu lãi thấp hơn nhiều, nên chỉ số này có thể bị ảnh hưởng bởi các biến động dòng tiền đột biến thay vì phản ánh hiệu quả tài chính ổn định dài hạn như Hòa Phát.</w:t>
      </w:r>
    </w:p>
    <w:p w14:paraId="4E5D071A"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 phù hợp với những nhà đầu tư ưa ổn định, có tầm nhìn dài hạn và ưu tiên các doanh nghiệp có khả năng kiểm soát nợ tốt và dòng tiền mạnh. Mặc dù một số chỉ số tài chính ở mức thấp hơn so với các doanh nghiệp tăng trưởng nhanh, nhưng vẫn duy trì được sự ổn định và an toàn, phản ánh năng lực trả nợ bền vững và khả năng duy trì hiệu quả tài chính trong dài hạn. Trái lại, Nam Kim thích hợp với nhà đầu tư ngắn hạn, chấp nhận rủi ro cao, kỳ vọng vào khả năng xoay vòng vốn nhanh hoặc tìm kiếm cơ hội đầu tư theo chu kỳ ngành. Các chỉ số tài chính cao cho thấy doanh nghiệp tận dụng tốt hiệu suất sử dụng vốn vay, tuy nhiên cũng đồng thời đặt ra cảnh báo về rủi ro tài chính, khi đòn bẩy cao và dòng tiền hoạt động chưa ổn định sẽ ảnh hưởng đến khả năng chống chịu trước biến động thị trường.</w:t>
      </w:r>
    </w:p>
    <w:p w14:paraId="61E648EF"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34" w:name="_Toc211973159"/>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.3</w:t>
      </w:r>
      <w:r w:rsidRPr="00761336">
        <w:rPr>
          <w:rFonts w:ascii="Times New Roman" w:eastAsia="Times New Roman" w:hAnsi="Times New Roman" w:cs="Times New Roman"/>
          <w:b/>
          <w:bCs/>
          <w:color w:val="000000"/>
          <w:sz w:val="26"/>
          <w:szCs w:val="26"/>
          <w:lang w:val="vi-VN"/>
        </w:rPr>
        <w:t xml:space="preserve"> </w:t>
      </w:r>
      <w:r w:rsidRPr="00761336">
        <w:rPr>
          <w:rFonts w:ascii="Times New Roman" w:eastAsia="Times New Roman" w:hAnsi="Times New Roman" w:cs="Times New Roman"/>
          <w:b/>
          <w:bCs/>
          <w:color w:val="000000"/>
          <w:sz w:val="26"/>
          <w:szCs w:val="26"/>
          <w:lang w:val="zh-CN"/>
        </w:rPr>
        <w:t>Tỷ số quản trị tài sản (Asset Management Ratios)</w:t>
      </w:r>
      <w:bookmarkEnd w:id="34"/>
    </w:p>
    <w:p w14:paraId="5A88E685"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35" w:name="_Toc211973160"/>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.3.1 Vòng quay hàng tồn kho (Inventory Turnover)</w:t>
      </w:r>
      <w:bookmarkEnd w:id="35"/>
    </w:p>
    <w:tbl>
      <w:tblPr>
        <w:tblW w:w="0" w:type="auto"/>
        <w:tblCellMar>
          <w:top w:w="15" w:type="dxa"/>
          <w:left w:w="15" w:type="dxa"/>
          <w:bottom w:w="15" w:type="dxa"/>
          <w:right w:w="15" w:type="dxa"/>
        </w:tblCellMar>
        <w:tblLook w:val="04A0" w:firstRow="1" w:lastRow="0" w:firstColumn="1" w:lastColumn="0" w:noHBand="0" w:noVBand="1"/>
      </w:tblPr>
      <w:tblGrid>
        <w:gridCol w:w="2470"/>
        <w:gridCol w:w="2290"/>
        <w:gridCol w:w="2290"/>
        <w:gridCol w:w="2290"/>
      </w:tblGrid>
      <w:tr w:rsidR="00D978DF" w:rsidRPr="00761336" w14:paraId="74231697"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1005328"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483136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38B2EA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D89A24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0F87FF68"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126A3C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Giá vốn hàng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265EBF9"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124.645.848.221.080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B1A91C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106.015.187.198.082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556D72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120.357.563.003.703</w:t>
            </w:r>
          </w:p>
        </w:tc>
      </w:tr>
      <w:tr w:rsidR="00D978DF" w:rsidRPr="00761336" w14:paraId="75147A78"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5DFA4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Hàng tồn kho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356F97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34.491.111.096.123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AAD205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34.504.487.406.261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EBDDEAE"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46.091.222.189.472</w:t>
            </w:r>
          </w:p>
        </w:tc>
      </w:tr>
      <w:tr w:rsidR="00D978DF" w:rsidRPr="00761336" w14:paraId="5A35EABA"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DAB55D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Hàng tồn kho 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07EEF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38.312.802.514.167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668059"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34.497.799.251.192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56A64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40.297.854.797.867</w:t>
            </w:r>
          </w:p>
        </w:tc>
      </w:tr>
      <w:tr w:rsidR="00D978DF" w:rsidRPr="00761336" w14:paraId="1A550B2B"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17AC1D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Vòng quay </w:t>
            </w:r>
          </w:p>
          <w:p w14:paraId="3D6BB1B2"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78CC9E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3,25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2ADE1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3,07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96E82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2,99</w:t>
            </w:r>
          </w:p>
        </w:tc>
      </w:tr>
      <w:tr w:rsidR="00D978DF" w:rsidRPr="00761336" w14:paraId="58799A4D"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B9A32C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lastRenderedPageBreak/>
              <w:t>Thời gian lưu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59B0B6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8116C1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F6BDFE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122</w:t>
            </w:r>
          </w:p>
        </w:tc>
      </w:tr>
    </w:tbl>
    <w:p w14:paraId="4C215FB4"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Qua các năm 2022 - 2024, Tập đoàn Hòa Phát ghi nhận xu hướng giảm nhẹ về hiệu quả quản lý hàng tồn kho, tốc độ tiêu thụ hàng hóa chậm lại, biểu hiện qua tỷ số vòng quay hàng tồn kho lần lượt là 3,25 (2022), 3,07 (2023) và 2,99 (2024). Diễn biến này cho thấy tốc độ luân chuyển hàng hóa có xu hướng chậm lại qua các năm, kéo theo sự gia tăng thời gian lưu kho, từ 112 ngày (năm 2022) lên 119 ngày (2023) và tiếp tục tăng lên 122 ngày trong năm 2024.</w:t>
      </w:r>
    </w:p>
    <w:p w14:paraId="37614D2A"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Việc thời gian lưu kho kéo dài phản ánh rõ nét tình trạng hàng tồn kho đang bị giữ lại lâu hơn, ảnh hưởng tiêu cực đến hiệu quả sử dụng vốn lưu động, chi phí lưu trữ, và làm tăng rủi ro hao hụt, giảm giá hàng tồn. Nguyên nhân của xu hướng này có thể xuất phát từ sự biến động của nhu cầu thị trường (đặc biệt trong lĩnh vực thép xây dựng) và tình trạng trầm lắng của ngành bất động sản. Tuy nhiên, với đặc thù ngành sản xuất công nghiệp nặng như thép - vốn có chu kỳ sản xuất dài và nhu cầu dự trữ nguyên vật liệu lớn - mức vòng quay tồn kho quanh ngưỡng 3 lần, tỷ lệ biến động rất thấp vẫn được xem là ổn định, Hòa Phát vẫn duy trì sự ổn định trong hoạt động quản trị kho hàng, không xảy ra tình trạng tồn kho quá mức hoặc đình trệ sản xuất.</w:t>
      </w:r>
    </w:p>
    <w:p w14:paraId="2ADA16C1"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0BA7C36E"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0" w:type="auto"/>
        <w:tblCellMar>
          <w:top w:w="15" w:type="dxa"/>
          <w:left w:w="15" w:type="dxa"/>
          <w:bottom w:w="15" w:type="dxa"/>
          <w:right w:w="15" w:type="dxa"/>
        </w:tblCellMar>
        <w:tblLook w:val="04A0" w:firstRow="1" w:lastRow="0" w:firstColumn="1" w:lastColumn="0" w:noHBand="0" w:noVBand="1"/>
      </w:tblPr>
      <w:tblGrid>
        <w:gridCol w:w="1955"/>
        <w:gridCol w:w="1161"/>
        <w:gridCol w:w="1233"/>
        <w:gridCol w:w="1161"/>
        <w:gridCol w:w="1233"/>
        <w:gridCol w:w="1161"/>
        <w:gridCol w:w="1233"/>
      </w:tblGrid>
      <w:tr w:rsidR="00D978DF" w:rsidRPr="00761336" w14:paraId="049FB98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11A3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Năm</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7A63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07DF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C915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2E2F9ADB"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E9E29FD"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Chỉ số</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4BDD1F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12C985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6DE2B5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43240C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6EB589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DB2C4A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r>
      <w:tr w:rsidR="00D978DF" w:rsidRPr="00761336" w14:paraId="0AD1A891" w14:textId="77777777">
        <w:tc>
          <w:tcPr>
            <w:tcW w:w="0" w:type="auto"/>
            <w:tcBorders>
              <w:top w:val="single" w:sz="6" w:space="0" w:color="000000"/>
              <w:left w:val="single" w:sz="6" w:space="0" w:color="000000"/>
              <w:bottom w:val="single" w:sz="6" w:space="0" w:color="000000"/>
              <w:right w:val="single" w:sz="4" w:space="0" w:color="000000"/>
            </w:tcBorders>
            <w:tcMar>
              <w:top w:w="40" w:type="dxa"/>
              <w:left w:w="40" w:type="dxa"/>
              <w:bottom w:w="40" w:type="dxa"/>
              <w:right w:w="40" w:type="dxa"/>
            </w:tcMar>
            <w:vAlign w:val="center"/>
          </w:tcPr>
          <w:p w14:paraId="7354890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Vòng quay </w:t>
            </w:r>
          </w:p>
          <w:p w14:paraId="0D1946E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hàng tồn kho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DC1EDB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3C8C77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2,83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898049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3,07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AF57DE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2,75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6EB1D3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2,99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4CBD5B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3,03</w:t>
            </w:r>
          </w:p>
        </w:tc>
      </w:tr>
      <w:tr w:rsidR="00D978DF" w:rsidRPr="00761336" w14:paraId="01692E62" w14:textId="77777777">
        <w:tc>
          <w:tcPr>
            <w:tcW w:w="0" w:type="auto"/>
            <w:tcBorders>
              <w:top w:val="single" w:sz="6" w:space="0" w:color="000000"/>
              <w:left w:val="single" w:sz="6" w:space="0" w:color="000000"/>
              <w:bottom w:val="single" w:sz="6" w:space="0" w:color="000000"/>
              <w:right w:val="single" w:sz="4" w:space="0" w:color="000000"/>
            </w:tcBorders>
            <w:tcMar>
              <w:top w:w="40" w:type="dxa"/>
              <w:left w:w="40" w:type="dxa"/>
              <w:bottom w:w="40" w:type="dxa"/>
              <w:right w:w="40" w:type="dxa"/>
            </w:tcMar>
            <w:vAlign w:val="center"/>
          </w:tcPr>
          <w:p w14:paraId="283C7E2C"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Thời gian lưu kho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3C11A0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20F5EC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2B4880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2D47A0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C59F21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1A9929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121</w:t>
            </w:r>
          </w:p>
        </w:tc>
      </w:tr>
    </w:tbl>
    <w:p w14:paraId="3B250752"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Hòa Phát và Nam Kim đều là các doanh nghiệp sản xuất thép có quy mô và đặc điểm hoạt động khác nhau, nên hiệu quả quản lý hàng tồn kho cũng có sự chênh lệch đáng chú ý. Trong giai đoạn 2022 - 2024, vòng quay hàng tồn kho của Hòa Phát có xu hướng giảm nhẹ từ 3,25 xuống còn 2,99 lần/năm, kéo theo thời gian lưu kho tăng từ 112 lên 122 ngày. Ngược lại, Nam Kim cho thấy hiệu quả luân chuyển hàng tồn kho được cải thiện rõ rệt. Vòng quay hàng tồn kho tăng từ 2,75 lên 3,03 lần trong giai đoạn 3 năm, đồng thời thời gian lưu kho rút ngắn từ 133 ngày còn 121 ngày. Mặc dù ban đầu Nam Kim có hiệu suất thấp hơn Hòa Phát, nhưng đến cuối năm 2024 đã vượt qua đối thủ về tốc độ xoay vòng hàng tồn kho. Điều này phần nào phản ánh chiến lược sản xuất theo nhu cầu, quy trình vận </w:t>
      </w:r>
      <w:r w:rsidRPr="00761336">
        <w:rPr>
          <w:rFonts w:ascii="Times New Roman" w:eastAsia="Times New Roman" w:hAnsi="Times New Roman" w:cs="Times New Roman"/>
          <w:color w:val="000000"/>
          <w:sz w:val="26"/>
          <w:szCs w:val="26"/>
          <w:lang w:val="zh-CN"/>
        </w:rPr>
        <w:lastRenderedPageBreak/>
        <w:t>hành linh hoạt và khả năng thích ứng tốt với biến động cung - cầu của thị trường, phù hợp với mô hình sản xuất ngắn hạn, xoay vòng nhanh của Nam Kim.</w:t>
      </w:r>
    </w:p>
    <w:p w14:paraId="1696A497"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36" w:name="_Toc211973161"/>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.3.2. Vòng quay khoản phải thu (Receivables Turnover)</w:t>
      </w:r>
      <w:bookmarkEnd w:id="36"/>
    </w:p>
    <w:tbl>
      <w:tblPr>
        <w:tblW w:w="0" w:type="auto"/>
        <w:tblCellMar>
          <w:top w:w="15" w:type="dxa"/>
          <w:left w:w="15" w:type="dxa"/>
          <w:bottom w:w="15" w:type="dxa"/>
          <w:right w:w="15" w:type="dxa"/>
        </w:tblCellMar>
        <w:tblLook w:val="04A0" w:firstRow="1" w:lastRow="0" w:firstColumn="1" w:lastColumn="0" w:noHBand="0" w:noVBand="1"/>
      </w:tblPr>
      <w:tblGrid>
        <w:gridCol w:w="2470"/>
        <w:gridCol w:w="2290"/>
        <w:gridCol w:w="2290"/>
        <w:gridCol w:w="2290"/>
      </w:tblGrid>
      <w:tr w:rsidR="00D978DF" w:rsidRPr="00761336" w14:paraId="12218E0D"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C3504F5"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90BE52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862BAD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EA6DAB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5EE93327"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C534E0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Doanh thu thuần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2E5636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141.409.274.460.632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523E9E6"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118.953.027.893.654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DD0D0DB"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138.855.112.131.387</w:t>
            </w:r>
          </w:p>
        </w:tc>
      </w:tr>
      <w:tr w:rsidR="00D978DF" w:rsidRPr="00761336" w14:paraId="2C4A1ABA"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35C57F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Phải thu ngắn hạn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8A6FDF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2.958.587.125.337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96A9E4A"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5.999.539.831.497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474C6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4.352.135.419.872</w:t>
            </w:r>
          </w:p>
        </w:tc>
      </w:tr>
      <w:tr w:rsidR="00D978DF" w:rsidRPr="00761336" w14:paraId="042E3B00"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1F0243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Phải thu ngắn hạn của khách hàng 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4AA393B"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3.965.841.398.840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16271C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4.479.063.478.417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8B5092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5.175.837.625.685</w:t>
            </w:r>
          </w:p>
        </w:tc>
      </w:tr>
      <w:tr w:rsidR="00D978DF" w:rsidRPr="00761336" w14:paraId="76BCB383"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C9A2A3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Vòng quay các </w:t>
            </w:r>
          </w:p>
          <w:p w14:paraId="415186AC"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khoản phải thu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A84B7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35,66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6645CB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26,56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3469B3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26,83</w:t>
            </w:r>
          </w:p>
        </w:tc>
      </w:tr>
      <w:tr w:rsidR="00D978DF" w:rsidRPr="00761336" w14:paraId="56574282"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03FAD70"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Kỳ thu tiền 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ED7D7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2F3785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15CF60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14</w:t>
            </w:r>
          </w:p>
        </w:tc>
      </w:tr>
    </w:tbl>
    <w:p w14:paraId="6C9F5881"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vòng quay các khoản phải thu của Tập đoàn Hòa Phát có xu hướng giảm nhẹ, đồng nghĩa với việc số ngày thu tiền bình quân tăng. Trong năm 2022, Hòa Phát đạt vòng quay khoản phải thu rất cao (35,66), tương đương 10 ngày thu tiền, thể hiện khả năng thu hồi công nợ khách hàng cực kỳ hiệu quả và chu kỳ tiền mặt ngắn, hỗ trợ mạnh mẽ cho dòng tiền hoạt động. Tuy nhiên, từ 2023, vòng quay giảm mạnh còn 26,56, số ngày thu tiền tăng lên 14 ngày. Sang 2024, chỉ số gần như không đổi (26,83, vẫn 14 ngày), cho thấy xu hướng ổn định nhưng kém hơn so với năm 2022.</w:t>
      </w:r>
    </w:p>
    <w:p w14:paraId="3813408E"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Mặc dù mức giảm không lớn và các chỉ số vẫn nằm trong vùng an toàn, xu hướng này cho thấy tốc độ thu hồi công nợ từ khách hàng đã chậm lại so với trước. Tuy nhiên, với chu kỳ thu tiền duy trì ở mức 14 ngày, con số này vẫn ở mức rất thấp so với mặt bằng chung trong ngành công nghiệp nặng, nơi thời hạn thanh toán có thể kéo dài 30 - 60 ngày. Với vòng quay khoản phải thu dao động quanh mức 26 - 27 vòng, Hòa Phát vẫn thể hiện năng lực quản trị công nợ tốt và kiểm soát tín dụng khách hàng hiệu quả, góp phần đảm bảo dòng tiền ổn định cho hoạt động sản xuất, kinh doanh.</w:t>
      </w:r>
    </w:p>
    <w:p w14:paraId="55A04C72"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01A1887C"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0" w:type="auto"/>
        <w:tblCellMar>
          <w:top w:w="15" w:type="dxa"/>
          <w:left w:w="15" w:type="dxa"/>
          <w:bottom w:w="15" w:type="dxa"/>
          <w:right w:w="15" w:type="dxa"/>
        </w:tblCellMar>
        <w:tblLook w:val="04A0" w:firstRow="1" w:lastRow="0" w:firstColumn="1" w:lastColumn="0" w:noHBand="0" w:noVBand="1"/>
      </w:tblPr>
      <w:tblGrid>
        <w:gridCol w:w="1626"/>
        <w:gridCol w:w="1161"/>
        <w:gridCol w:w="1233"/>
        <w:gridCol w:w="1161"/>
        <w:gridCol w:w="1233"/>
        <w:gridCol w:w="1161"/>
        <w:gridCol w:w="1233"/>
      </w:tblGrid>
      <w:tr w:rsidR="00D978DF" w:rsidRPr="00761336" w14:paraId="51CC6EE5"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DB31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Năm</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B91F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B2FD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8414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2F19CBAF"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AC732F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Chỉ số</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6FA02A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045400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BB6013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0598F6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6DFE00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5A326F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r>
      <w:tr w:rsidR="00D978DF" w:rsidRPr="00761336" w14:paraId="09522E72" w14:textId="77777777">
        <w:tc>
          <w:tcPr>
            <w:tcW w:w="0" w:type="auto"/>
            <w:tcBorders>
              <w:top w:val="single" w:sz="6" w:space="0" w:color="000000"/>
              <w:left w:val="single" w:sz="6" w:space="0" w:color="000000"/>
              <w:bottom w:val="single" w:sz="6" w:space="0" w:color="000000"/>
              <w:right w:val="single" w:sz="4" w:space="0" w:color="000000"/>
            </w:tcBorders>
            <w:tcMar>
              <w:top w:w="40" w:type="dxa"/>
              <w:left w:w="40" w:type="dxa"/>
              <w:bottom w:w="40" w:type="dxa"/>
              <w:right w:w="40" w:type="dxa"/>
            </w:tcMar>
            <w:vAlign w:val="center"/>
          </w:tcPr>
          <w:p w14:paraId="0BA7D42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Vòng quay </w:t>
            </w:r>
          </w:p>
          <w:p w14:paraId="40821B35"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khoản phải thu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A5A879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35,66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E105C5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18,07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4B316B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26,56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57B9BF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21BF82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26,83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60BAF5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14,36</w:t>
            </w:r>
          </w:p>
        </w:tc>
      </w:tr>
      <w:tr w:rsidR="00D978DF" w:rsidRPr="00761336" w14:paraId="16F00B77" w14:textId="77777777">
        <w:tc>
          <w:tcPr>
            <w:tcW w:w="0" w:type="auto"/>
            <w:tcBorders>
              <w:top w:val="single" w:sz="6" w:space="0" w:color="000000"/>
              <w:left w:val="single" w:sz="6" w:space="0" w:color="000000"/>
              <w:bottom w:val="single" w:sz="6" w:space="0" w:color="000000"/>
              <w:right w:val="single" w:sz="4" w:space="0" w:color="000000"/>
            </w:tcBorders>
            <w:tcMar>
              <w:top w:w="40" w:type="dxa"/>
              <w:left w:w="40" w:type="dxa"/>
              <w:bottom w:w="40" w:type="dxa"/>
              <w:right w:w="40" w:type="dxa"/>
            </w:tcMar>
            <w:vAlign w:val="center"/>
          </w:tcPr>
          <w:p w14:paraId="30CC785E"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Kỳ thu tiền </w:t>
            </w:r>
          </w:p>
          <w:p w14:paraId="2F327FC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bình quân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F5C4CC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2FAEDF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F88C3C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CCC4E7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4EBE21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84E17B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25</w:t>
            </w:r>
          </w:p>
        </w:tc>
      </w:tr>
    </w:tbl>
    <w:p w14:paraId="11F49B1E"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Một điểm nổi bật trong quản trị hiệu quả hoạt động là Hòa Phát có khả năng thu hồi công nợ rất tốt. Vòng quay các khoản phải thu của doanh nghiệp này duy trì ở mức cao (trung bình trên 26 lần/năm), đồng thời kỳ thu tiền bình quân chỉ dao động từ 10 - 14 ngày, cho thấy Hòa Phát áp dụng chính sách tín dụng chặt chẽ, quản lý dòng tiền hiệu quả, và có sức mạnh đàm phán tốt với khách hàng. Đây là yếu tố then chốt giúp công ty đảm bảo dòng tiền hoạt động ổn định, đặc biệt quan trọng trong ngành công nghiệp nặng có tính chu kỳ như thép. Trong khi đó, Nam Kim có kỳ thu tiền kéo dài hơn đáng kể, từ 20 ngày năm 2022 lên tới 27 ngày năm 2023, và giảm nhẹ về 25 ngày vào 2024. Dù chưa vượt mức nguy hiểm, việc thu hồi công nợ chậm khiến dòng tiền gặp áp lực, nhất là trong bối cảnh thị trường biến động. Vòng quay khoản phải thu của Nam Kim cũng thấp hơn đáng kể so với Hòa Phát, cho thấy khả năng kiểm soát tín dụng và quản trị nợ phải thu chưa thực sự tối ưu.</w:t>
      </w:r>
    </w:p>
    <w:p w14:paraId="6FEF7AEE"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37" w:name="_Toc211973162"/>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.3.3. Vòng quay khoản phải trả (Payable Turnover)</w:t>
      </w:r>
      <w:bookmarkEnd w:id="37"/>
    </w:p>
    <w:tbl>
      <w:tblPr>
        <w:tblW w:w="0" w:type="auto"/>
        <w:tblCellMar>
          <w:top w:w="15" w:type="dxa"/>
          <w:left w:w="15" w:type="dxa"/>
          <w:bottom w:w="15" w:type="dxa"/>
          <w:right w:w="15" w:type="dxa"/>
        </w:tblCellMar>
        <w:tblLook w:val="04A0" w:firstRow="1" w:lastRow="0" w:firstColumn="1" w:lastColumn="0" w:noHBand="0" w:noVBand="1"/>
      </w:tblPr>
      <w:tblGrid>
        <w:gridCol w:w="2470"/>
        <w:gridCol w:w="2290"/>
        <w:gridCol w:w="2290"/>
        <w:gridCol w:w="2290"/>
      </w:tblGrid>
      <w:tr w:rsidR="00D978DF" w:rsidRPr="00761336" w14:paraId="5DFEC0ED"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14BDCAB"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65D6EA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96AD10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1E2345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57F1C2EE"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13C1D5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Giá vốn hàng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3E69E6"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124.645.848.221.080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771677B"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106.015.187.198.082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49BCC1A"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120.357.563.003.703</w:t>
            </w:r>
          </w:p>
        </w:tc>
      </w:tr>
      <w:tr w:rsidR="00D978DF" w:rsidRPr="00761336" w14:paraId="101B82F1"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0D01B3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Phải trả người bán ngắn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AB12FB9"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11.107.162.924.326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A80BA20"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12.387.496.434.147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771497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14.046.841.160.127</w:t>
            </w:r>
          </w:p>
        </w:tc>
      </w:tr>
      <w:tr w:rsidR="00D978DF" w:rsidRPr="00761336" w14:paraId="639F8AEA"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A7B19F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Phải trả người bán ngắn hạn 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F9EE37B"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17.418.152.746.873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D89B09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11.747.329.679.237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6494317"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13.217.168.797.137</w:t>
            </w:r>
          </w:p>
        </w:tc>
      </w:tr>
      <w:tr w:rsidR="00D978DF" w:rsidRPr="00761336" w14:paraId="7905B65C"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AA130BC"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Vòng quay </w:t>
            </w:r>
          </w:p>
          <w:p w14:paraId="14D7948F"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khoản phải trả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D6AF9F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7,16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C03F4D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9,02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ED47E7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9,11</w:t>
            </w:r>
          </w:p>
        </w:tc>
      </w:tr>
      <w:tr w:rsidR="00D978DF" w:rsidRPr="00761336" w14:paraId="6FDB873F"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B31DAA9"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Kỳ trả tiền 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29E6D2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2CEFA7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96C6E9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40</w:t>
            </w:r>
          </w:p>
        </w:tc>
      </w:tr>
    </w:tbl>
    <w:p w14:paraId="53E06768"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giai đoạn 2022 đến 2024, chỉ số vòng quay khoản phải trả của Tập đoàn Hòa Phát có xu hướng cải thiện tích cực, phản ánh sự thay đổi trong chính sách thanh toán đối với nhà cung cấp. Cụ thể, vòng quay khoản phải trả tăng từ 7,16 trong năm 2022 lên 9,02 năm 2023 và tiếp tục tăng nhẹ lên 9,11 trong năm 2024. Diễn biến này cho thấy Hòa Phát đã rút ngắn thời gian lưu giữ công nợ phải trả, đồng nghĩa với việc doanh nghiệp đang thanh toán nhanh hơn cho các nhà cung ứng hàng hóa và dịch vụ đầu vào.</w:t>
      </w:r>
    </w:p>
    <w:p w14:paraId="62EBF3CB"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lastRenderedPageBreak/>
        <w:t>Song song với đó, chỉ tiêu kỳ trả tiền bình quân - đại diện cho số ngày trung bình doanh nghiệp cần để thanh toán cho nhà cung cấp - ghi nhận xu hướng giảm tương ứng. Từ mức 51 ngày trong năm 2022, số ngày trả tiền bình quân giảm xuống còn 40 ngày trong hai năm 2023 và 2024. Hòa Phát đã rút ngắn chu kỳ thanh toán và đang quản lý nghĩa vụ nợ ngắn hạn một cách chủ động và hiệu quả hơn. Việc cải thiện vòng quay khoản phải trả và rút ngắn kỳ trả tiền bình quân phản ánh sức khỏe tài chính tương đối ổn định của Hòa Phát, đặc biệt trong bối cảnh ngành thép đối mặt với nhiều biến động về chi phí nguyên vật liệu và nhu cầu thị trường.</w:t>
      </w:r>
    </w:p>
    <w:p w14:paraId="10F4ABFC"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157691FB"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0" w:type="auto"/>
        <w:tblCellMar>
          <w:top w:w="15" w:type="dxa"/>
          <w:left w:w="15" w:type="dxa"/>
          <w:bottom w:w="15" w:type="dxa"/>
          <w:right w:w="15" w:type="dxa"/>
        </w:tblCellMar>
        <w:tblLook w:val="04A0" w:firstRow="1" w:lastRow="0" w:firstColumn="1" w:lastColumn="0" w:noHBand="0" w:noVBand="1"/>
      </w:tblPr>
      <w:tblGrid>
        <w:gridCol w:w="1568"/>
        <w:gridCol w:w="1161"/>
        <w:gridCol w:w="1233"/>
        <w:gridCol w:w="1161"/>
        <w:gridCol w:w="1233"/>
        <w:gridCol w:w="1161"/>
        <w:gridCol w:w="1233"/>
      </w:tblGrid>
      <w:tr w:rsidR="00D978DF" w:rsidRPr="00761336" w14:paraId="0C8C5FC3"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AFCD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Năm</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26F7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BEEC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3D12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1F86FCCE"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04284C0"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Chỉ số</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2EB631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B460D3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975588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5D2918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A24E6F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4BC86A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r>
      <w:tr w:rsidR="00D978DF" w:rsidRPr="00761336" w14:paraId="1A5CD5F6"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89D2489"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Vòng quay </w:t>
            </w:r>
          </w:p>
          <w:p w14:paraId="5F8F4A00"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khoản phải trả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716BE9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E9B53F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5,82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F211A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C9B764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164AE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9436A9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15,10</w:t>
            </w:r>
          </w:p>
        </w:tc>
      </w:tr>
      <w:tr w:rsidR="00D978DF" w:rsidRPr="00761336" w14:paraId="2AD89014"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688ED32"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Kỳ trả tiền </w:t>
            </w:r>
          </w:p>
          <w:p w14:paraId="7E00852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501423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57485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B7E5F1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138F8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B7656D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5EEF27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24</w:t>
            </w:r>
          </w:p>
        </w:tc>
      </w:tr>
    </w:tbl>
    <w:p w14:paraId="511C28BB"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Điểm đáng chú ý trong quản trị công nợ của Hòa Phát là khả năng duy trì chính sách thanh toán hiệu quả và ổn định với nhà cung cấp. Vòng quay khoản phải trả của Hòa Phát liên tục ở mức cao và tăng đều qua các năm. Đồng thời, kỳ trả tiền bình quân được giữ ổn định ở mức 40 ngày trong hai năm cuối, cho thấy Hòa Phát có sự kiểm soát chặt chẽ trong việc cân đối dòng tiền và duy trì mối quan hệ tốt với nhà cung cấp. Đây là minh chứng cho chiến lược quản trị vốn lưu động hiệu quả, giúp doanh nghiệp vừa tận dụng được nguồn vốn từ nhà cung cấp vừa đảm bảo thanh khoản hợp lý trong ngành thép có đặc thù vốn lưu động lớn.</w:t>
      </w:r>
    </w:p>
    <w:p w14:paraId="40536321"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khi đó, Nam Kim có xu hướng thanh toán nhanh hơn rõ rệt. Vòng quay khoản phải trả của Nam Kim tăng mạnh từ 5,82 năm 2022 lên tới 15,10 năm 2024, trong khi kỳ trả tiền bình quân giảm sâu từ 63 ngày xuống chỉ còn 24 ngày trong cùng giai đoạn. Mặc dù chính sách này giúp Nam Kim nâng cao uy tín và giảm chi phí tài chính liên quan đến công nợ, việc rút ngắn kỳ trả tiền quá nhanh cũng đặt ra thách thức lớn về áp lực dòng tiền và thanh khoản ngắn hạn. So với Hòa Phát, Nam Kim cho thấy chiến lược thanh toán khá quyết liệt và có phần mạo hiểm hơn trong việc sử dụng nguồn vốn từ nhà cung cấp.</w:t>
      </w:r>
    </w:p>
    <w:p w14:paraId="5A0EB09E"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Sự khác biệt trong hai chính sách quản lý công nợ phải trả của Hòa Phát và Nam Kim cho thấy các chiến lược tài chính khác nhau đang được áp dụng. Hòa Phát theo đuổi sự ổn định </w:t>
      </w:r>
      <w:r w:rsidRPr="00761336">
        <w:rPr>
          <w:rFonts w:ascii="Times New Roman" w:eastAsia="Times New Roman" w:hAnsi="Times New Roman" w:cs="Times New Roman"/>
          <w:color w:val="000000"/>
          <w:sz w:val="26"/>
          <w:szCs w:val="26"/>
          <w:lang w:val="zh-CN"/>
        </w:rPr>
        <w:lastRenderedPageBreak/>
        <w:t>và kiểm soát rủi ro dòng tiền, trong khi Nam Kim đang hướng tới tăng tính cạnh tranh trong chuỗi cung ứng thông qua việc thanh toán nhanh.</w:t>
      </w:r>
    </w:p>
    <w:p w14:paraId="009A901E"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38" w:name="_Toc211973163"/>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.3.4 Vòng quay tổng tài sản (Total Asset Turnover)</w:t>
      </w:r>
      <w:bookmarkEnd w:id="38"/>
    </w:p>
    <w:tbl>
      <w:tblPr>
        <w:tblW w:w="0" w:type="auto"/>
        <w:tblCellMar>
          <w:top w:w="15" w:type="dxa"/>
          <w:left w:w="15" w:type="dxa"/>
          <w:bottom w:w="15" w:type="dxa"/>
          <w:right w:w="15" w:type="dxa"/>
        </w:tblCellMar>
        <w:tblLook w:val="04A0" w:firstRow="1" w:lastRow="0" w:firstColumn="1" w:lastColumn="0" w:noHBand="0" w:noVBand="1"/>
      </w:tblPr>
      <w:tblGrid>
        <w:gridCol w:w="2470"/>
        <w:gridCol w:w="2290"/>
        <w:gridCol w:w="2290"/>
        <w:gridCol w:w="2290"/>
      </w:tblGrid>
      <w:tr w:rsidR="00D978DF" w:rsidRPr="00761336" w14:paraId="311732B0"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49785E5"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3F8887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098469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1CD84D3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555AE121"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2005F8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Doanh thu thuần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35CC256"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141.409.274.460.632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8983B5A"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118.953.027.893.654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329CAE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138.855.112.131.387</w:t>
            </w:r>
          </w:p>
        </w:tc>
      </w:tr>
      <w:tr w:rsidR="00D978DF" w:rsidRPr="00761336" w14:paraId="3569ADBF"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A7B9292"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Tổng tài sản 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1B2ADE1"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174.285.971.997.691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EC5451E"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179.059.054.100.467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0F9421A"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206.136.147.058.891</w:t>
            </w:r>
          </w:p>
        </w:tc>
      </w:tr>
      <w:tr w:rsidR="00D978DF" w:rsidRPr="00761336" w14:paraId="5F67D9FE"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23B4B1C"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Vòng quay tổng tài sản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7BD390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41A2C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E0F637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0,67</w:t>
            </w:r>
          </w:p>
        </w:tc>
      </w:tr>
    </w:tbl>
    <w:p w14:paraId="2E22D897"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Hiệu quả sử dụng tài sản của Tập đoàn Hòa Phát thể hiện qua tỷ số vòng quay tổng tài sản có xu hướng suy giảm. Sự sụt giảm rõ rệt trong năm 2023 là điều đáng lưu ý. Trong khi tài sản bình quân tăng lên hơn 179 nghìn tỷ đồng, thì doanh thu thuần lại giảm hơn 15% so với năm 2022, kéo theo tỷ số vòng quay tổng tài sản giảm mạnh từ 0,81 xuống 0,66, tức là mỗi đồng tài sản mà Hòa Phát đầu tư chỉ tạo ra được từ 0,66 đến 0,81 đồng doanh thu mỗi năm. Điều này xuất phát từ việc công suất sử dụng tài sản thấp hơn do nhu cầu thị trường giảm, đặc biệt trong bối cảnh ngành bất động sản và xây dựng - nhóm khách hàng tiêu thụ thép chính - tiếp tục trầm lắng. </w:t>
      </w:r>
    </w:p>
    <w:p w14:paraId="09DBE13D"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Sang năm 2024, doanh thu thuần phục hồi đáng kể, đạt gần 139 nghìn tỷ đồng, tăng khoảng 16,7% so với năm trước. Tuy nhiên, tỷ số vòng quay tổng tài sản chỉ cải thiện nhẹ lên 0,67, cho thấy tài sản tiếp tục tăng nhanh hơn tốc độ tăng doanh thu. Tuy nhiên, tỷ số vẫn ở mức chấp nhận được với đặc thù ngành công nghiệp nặng như thép - vốn có cơ cấu tài sản cố định lớn và chu kỳ đầu tư dài.</w:t>
      </w:r>
    </w:p>
    <w:p w14:paraId="535CA678"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246B241C"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129BB7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509D5"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2670B0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61F769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01577A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158F8DB3" w14:textId="77777777">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7AEBE7C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727674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0,81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DB0F7A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0,66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91A007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0,67</w:t>
            </w:r>
          </w:p>
        </w:tc>
      </w:tr>
      <w:tr w:rsidR="00D978DF" w:rsidRPr="00761336" w14:paraId="6E65E7FE" w14:textId="77777777">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3F3BCAA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3DAD64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1,60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D5AC7D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EB26F5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1,60</w:t>
            </w:r>
          </w:p>
        </w:tc>
      </w:tr>
    </w:tbl>
    <w:p w14:paraId="5681EC7D"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Nam Kim có một điểm sáng nổi bật là hiệu suất sử dụng tài sản rất cao. Vòng quay tổng tài sản của Nam Kim duy trì ở mức 1,45 - 1,60 lần/năm trong cả ba năm, gấp hơn 2 lần so với Hòa Phát. Điều này chứng tỏ Nam Kim tạo ra doanh thu trên mỗi đồng tài sản hiệu quả hơn, phù hợp với đặc điểm hoạt động gọn nhẹ, ít tài sản cố định, linh hoạt trong chu kỳ sản xuất và kinh doanh. Ngược lại, Hòa Phát có vòng quay tài sản thấp, chỉ dao động từ 0,66 </w:t>
      </w:r>
      <w:r w:rsidRPr="00761336">
        <w:rPr>
          <w:rFonts w:ascii="Times New Roman" w:eastAsia="Times New Roman" w:hAnsi="Times New Roman" w:cs="Times New Roman"/>
          <w:color w:val="000000"/>
          <w:sz w:val="26"/>
          <w:szCs w:val="26"/>
          <w:lang w:val="zh-CN"/>
        </w:rPr>
        <w:lastRenderedPageBreak/>
        <w:t>đến 0,81 lần/năm, do quy mô tài sản rất lớn và đầu tư dài hạn vào các dự án hạ tầng, khu công nghiệp, khu liên hợp luyện thép. Dù hiệu suất thấp, đây là chiến lược phù hợp với mục tiêu phát triển bền vững và mở rộng quy mô. Các tài sản đầu tư của Hòa Phát thường mang lại giá trị lâu dài và có khả năng sinh lời trong tương lai, dù không tạo ra doanh thu ngắn hạn nhanh như Nam Kim.</w:t>
      </w:r>
    </w:p>
    <w:p w14:paraId="515A62EE"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u w:val="single"/>
          <w:lang w:val="zh-CN"/>
        </w:rPr>
        <w:t>Kết luận chung về Tỷ số quản trị tài sản của cả Tập đoàn Hòa Phát và Thép Nam Kim</w:t>
      </w:r>
    </w:p>
    <w:p w14:paraId="13923767"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Hiệu quả hoạt động của Hòa Phát tập trung vào các chỉ số cho thấy sự ổn định, an toàn và kiểm soát rủi ro tài chính tốt. Khả năng thu hồi công nợ vượt trội giúp doanh nghiệp duy trì dòng tiền mạnh và giảm phụ thuộc vào vốn vay ngắn hạn. Bên cạnh đó, vòng quay khoản phải trả của Hòa Phát duy trì ở mức hợp lý với kỳ trả tiền bình quân ổn định quanh 40 ngày, cho thấy chính sách thanh toán công nợ cân bằng, vừa đảm bảo quan hệ tốt với nhà cung cấp vừa tối ưu hóa dòng tiền. Mặc dù hiệu suất tài sản và luân chuyển hàng tồn kho không cao bằng Nam Kim, điều đó là hợp lý với đặc điểm ngành và quy mô hoạt động lớn. Với đặc trưng này, Hòa Phát là lựa chọn phù hợp cho nhà đầu tư giá trị, ưa thích sự ổn định và tiềm năng phát triển dài hạn.</w:t>
      </w:r>
    </w:p>
    <w:p w14:paraId="6B643651"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Ngược lại, Nam Kim nổi bật ở khả năng tối ưu hóa tài sản và cải thiện hiệu suất vận hành, đặc biệt là trong quản trị hàng tồn kho và sử dụng tài sản linh hoạt. Tuy nhiên, điểm yếu nằm ở khâu thu hồi công nợ, khiến dòng tiền trở nên thiếu ổn định hơn trong điều kiện thị trường khó đoán. Vì vậy, Nam Kim sẽ phù hợp hơn với các nhà đầu tư chấp nhận rủi ro cao hơn, có xu hướng đầu tư theo chu kỳ ngành, hoặc tìm kiếm cơ hội tăng trưởng nhanh trong ngắn - trung hạn.</w:t>
      </w:r>
    </w:p>
    <w:p w14:paraId="7E84C1B3"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39" w:name="_Toc211973164"/>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.4 Tỷ số khả năng sinh lợi (Profitability Ratios)</w:t>
      </w:r>
      <w:bookmarkEnd w:id="39"/>
    </w:p>
    <w:p w14:paraId="4607EF08"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40" w:name="_Toc211973165"/>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.4.1 Biên lợi nhuận ròng (Profit Margin)</w:t>
      </w:r>
      <w:bookmarkEnd w:id="40"/>
    </w:p>
    <w:tbl>
      <w:tblPr>
        <w:tblW w:w="0" w:type="auto"/>
        <w:tblCellMar>
          <w:top w:w="15" w:type="dxa"/>
          <w:left w:w="15" w:type="dxa"/>
          <w:bottom w:w="15" w:type="dxa"/>
          <w:right w:w="15" w:type="dxa"/>
        </w:tblCellMar>
        <w:tblLook w:val="04A0" w:firstRow="1" w:lastRow="0" w:firstColumn="1" w:lastColumn="0" w:noHBand="0" w:noVBand="1"/>
      </w:tblPr>
      <w:tblGrid>
        <w:gridCol w:w="2298"/>
        <w:gridCol w:w="2290"/>
        <w:gridCol w:w="2290"/>
        <w:gridCol w:w="2290"/>
      </w:tblGrid>
      <w:tr w:rsidR="00D978DF" w:rsidRPr="00761336" w14:paraId="4A77587E"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969DB40"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D0CFBD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6256B6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496062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1F9B106A"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F8AAE7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Doanh thu thuần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65308A1"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141.409.274.460.632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A7EF1B1"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118.953.027.893.654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0AC7AE"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138.855.112.131.387</w:t>
            </w:r>
          </w:p>
        </w:tc>
      </w:tr>
      <w:tr w:rsidR="00D978DF" w:rsidRPr="00761336" w14:paraId="67C10367"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AD180CF"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Lợi nhuận sau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24757EB"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8.444.429.054.516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604C097"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6.800.388.315.081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5D422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12.020.023.621.271</w:t>
            </w:r>
          </w:p>
        </w:tc>
      </w:tr>
      <w:tr w:rsidR="00D978DF" w:rsidRPr="00761336" w14:paraId="36337313"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2AC69B2"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Biên lợi nhuận ròng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B5FC55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5,97%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422F8E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5,72%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B4267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8,66%</w:t>
            </w:r>
          </w:p>
        </w:tc>
      </w:tr>
    </w:tbl>
    <w:p w14:paraId="6ED27851"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Biên lợi nhuận ròng của Tập đoàn Hòa Phát trong thời kỳ 2022 - 2024 phản ánh rõ nét khả năng thích ứng của doanh nghiệp trước các biến động của thị trường thép. Năm 2022, biên lợi nhuận ròng đạt 5,97%, tức cứ mỗi 100 đồng doanh thu thuần thì doanh nghiệp giữ lại được gần 6 đồng lợi nhuận sau thuế. Đây là kết quả tích cực trong bối cảnh giá nguyên vật liệu bắt đầu biến động, chi phí tài chính tăng và nhu cầu tiêu thụ thép chững lại, cho thấy Hòa Phát vẫn giữ được hiệu quả kinh doanh tốt trong bối cảnh thị trường bắt đầu suy yếu sau giai đoạn tăng trưởng mạnh hậu đại dịch. </w:t>
      </w:r>
    </w:p>
    <w:p w14:paraId="1B5EA228"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Sang năm 2023, chỉ số này giảm nhẹ xuống còn 5,72%, chủ yếu do áp lực từ giá thép giảm, chi phí đầu vào tăng và nhu cầu tiêu thụ trong nước suy yếu. Tuy nhiên, việc duy trì mức lợi nhuận ròng trên 5% trong một năm nhiều thách thức cho thấy doanh nghiệp đã kiểm soát tốt chi phí vận hành và tài chính - hai yếu tố thường biến động mạnh theo chu kỳ ngành thép.</w:t>
      </w:r>
    </w:p>
    <w:p w14:paraId="187F8D35"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Đến năm 2024, biên lợi nhuận ròng tăng mạnh lên 8,66% - mức cao nhất trong ba năm - nhờ sự phục hồi của thị trường tiêu thụ thép, cơ cấu sản phẩm được cải thiện, đồng thời doanh nghiệp tối ưu tốt hơn chi phí sản xuất và lãi vay. Với mức biên lợi nhuận này, Hòa Phát đã tạo ra 8,66 đồng lợi nhuận ròng trên mỗi 100 đồng doanh thu, mức cao vượt trội so với trung bình ngành trong cùng kỳ. Nhìn chung, biên lợi nhuận ròng ổn định và xu hướng tăng trong năm 2024 cho thấy Hòa Phát đang dần lấy lại đà tăng trưởng, đồng thời thể hiện năng lực kiểm soát chi phí và duy trì hiệu quả hoạt động ở mức cao so với mặt bằng chung của ngành.</w:t>
      </w:r>
    </w:p>
    <w:p w14:paraId="7058F854"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203B92B2"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191"/>
        <w:gridCol w:w="1945"/>
        <w:gridCol w:w="1945"/>
        <w:gridCol w:w="1945"/>
      </w:tblGrid>
      <w:tr w:rsidR="00D978DF" w:rsidRPr="00761336" w14:paraId="4336ED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78AF6"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D1AC01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648A34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BABA71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600E607B"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2D4A215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EE696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5,97%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4EDAA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428108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8,66%</w:t>
            </w:r>
          </w:p>
        </w:tc>
      </w:tr>
      <w:tr w:rsidR="00D978DF" w:rsidRPr="00761336" w14:paraId="7500028C"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2298484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71A378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3D0ADB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A58C3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2,20%</w:t>
            </w:r>
          </w:p>
        </w:tc>
      </w:tr>
    </w:tbl>
    <w:p w14:paraId="1C6EB165"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cả ba năm, Hòa Phát giữ lợi thế tuyệt đối về biên lợi nhuận ròng so với Nam Kim. Năm 2022, Hòa Phát đạt mức 5,97% trong khi Nam Kim chỉ có 0,54% - chênh lệch hơn 10 lần. Sự khác biệt này duy trì ổn định đến năm 2024, khi Hòa Phát nâng biên lợi nhuận lên 8,66%, còn Nam Kim cải thiện nhưng vẫn chỉ đạt 2,20%. Đây là dấu hiệu rõ ràng cho thấy Hòa Phát có cấu trúc chi phí tối ưu và hiệu quả hơn nhiều trong việc chuyển doanh thu thành lợi nhuận thực. Mặt khác, Nam Kim dù có tốc độ cải thiện tương đối, nhưng biên lợi nhuận mỏng khiến công ty dễ bị ảnh hưởng bởi biến động giá nguyên vật liệu, lãi suất và cạnh tranh về giá. Điều đó phản ánh Hòa Phát không chỉ có quy mô lớn mà còn có khả năng kiểm soát chi phí hiệu quả, đồng thời có lợi thế cạnh tranh bền vững hơn trong chuỗi giá trị ngành thép.</w:t>
      </w:r>
    </w:p>
    <w:p w14:paraId="5D981ED2"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41" w:name="_Toc211973166"/>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.4.2 Biên EBITDA (EBITDA Margin)</w:t>
      </w:r>
      <w:bookmarkEnd w:id="41"/>
    </w:p>
    <w:tbl>
      <w:tblPr>
        <w:tblW w:w="0" w:type="auto"/>
        <w:tblCellMar>
          <w:top w:w="15" w:type="dxa"/>
          <w:left w:w="15" w:type="dxa"/>
          <w:bottom w:w="15" w:type="dxa"/>
          <w:right w:w="15" w:type="dxa"/>
        </w:tblCellMar>
        <w:tblLook w:val="04A0" w:firstRow="1" w:lastRow="0" w:firstColumn="1" w:lastColumn="0" w:noHBand="0" w:noVBand="1"/>
      </w:tblPr>
      <w:tblGrid>
        <w:gridCol w:w="1814"/>
        <w:gridCol w:w="2290"/>
        <w:gridCol w:w="2290"/>
        <w:gridCol w:w="2290"/>
      </w:tblGrid>
      <w:tr w:rsidR="00D978DF" w:rsidRPr="00761336" w14:paraId="2816EF3E"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FE341CC"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C5FEAF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6C657A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21E866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66543DFC"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2E4DE7D"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Doanh thu thuần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1382764"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141.409.274.460.632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24C1A3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118.953.027.893.654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C95B52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138.855.112.131.387</w:t>
            </w:r>
          </w:p>
        </w:tc>
      </w:tr>
      <w:tr w:rsidR="00D978DF" w:rsidRPr="00761336" w14:paraId="3090E768"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DAE70E"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EBITDA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0DEDD41"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19.766.041.359.684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0DABFE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18.139.739.966.451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3020BF0"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22.896.534.403.255</w:t>
            </w:r>
          </w:p>
        </w:tc>
      </w:tr>
      <w:tr w:rsidR="00D978DF" w:rsidRPr="00761336" w14:paraId="1B3611AB"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20A45F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lastRenderedPageBreak/>
              <w:t>Biên EBITDA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29FB2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13,98%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893ECE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15,25%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DF3C0B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16,49%</w:t>
            </w:r>
          </w:p>
        </w:tc>
      </w:tr>
    </w:tbl>
    <w:p w14:paraId="04507C08"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3 năm 2022 - 2024, biên EBITDA của Hòa Phát có xu hướng cải thiện đều qua từng năm, từ 13,98% (năm 2022) lên 15,25% (2023) và đạt 16,49% (2024). Diễn biến này cho thấy khả năng kiểm soát chi phí, cải thiện cơ cấu sản phẩm và tối ưu hóa vận hành của doanh nghiệp đã phát huy hiệu quả, bất chấp những biến động lớn của chu kỳ ngành thép trong cùng kỳ.</w:t>
      </w:r>
    </w:p>
    <w:p w14:paraId="1EB2E725"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Năm 2022, biên EBITDA ở mức thấp nhất trong 3 năm do tác động kép từ chi phí nguyên vật liệu tăng cao và nhu cầu thị trường suy yếu. Với doanh thu thuần đạt hơn 141 nghìn tỷ đồng, Hòa Phát chỉ tạo ra khoảng 13,98 đồng EBITDA trên mỗi 100 đồng doanh thu. Mức biên thấp phản ánh sự suy giảm trong hiệu quả sản xuất và áp lực lớn từ giá vốn hàng bán - hệ quả của việc giá quặng sắt và than luyện kim tăng mạnh, trong khi giá bán thép giảm và sản lượng tiêu thụ giảm sút.</w:t>
      </w:r>
    </w:p>
    <w:p w14:paraId="505A3EAC"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Sang năm 2023, biên EBITDA cải thiện lên 15,25% dù doanh thu thuần sụt giảm gần 16% so với năm trước, còn khoảng 119 nghìn tỷ đồng. Điều này chủ yếu nhờ vào việc doanh nghiệp cắt giảm chi phí sản xuất, tăng tỷ trọng xuất khẩu, tái cơ cấu danh mục sản phẩm và kiểm soát tốt hơn các yếu tố chi phí cố định. EBITDA năm 2023 đạt hơn 18,1 nghìn tỷ đồng, cho thấy Hòa Phát duy trì được năng lực tạo dòng tiền tốt ngay cả khi quy mô doanh thu thu hẹp.</w:t>
      </w:r>
    </w:p>
    <w:p w14:paraId="31232A39"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Năm 2024 đánh dấu sự phục hồi rõ nét về hiệu quả hoạt động. Biên EBITDA tăng lên 16,49%, cao nhất trong 3 năm. Với doanh thu thuần đạt gần 139 nghìn tỷ đồng và EBITDA vượt 22,8 nghìn tỷ đồng, Hòa Phát tạo ra gần 16,5 đồng lợi nhuận hoạt động cho mỗi 100 đồng doanh thu, một chỉ số rất tích cực trong ngành công nghiệp nặng vốn có biên lợi nhuận thấp. Mức tăng trưởng này phản ánh sự cải thiện đồng thời cả về sản lượng, giá bán và cơ cấu sản phẩm. Ngoài ra, việc tối ưu hóa công suất tại các dự án lớn như Khu liên hợp Dung Quất và giảm áp lực chi phí nguyên vật liệu cũng đóng góp tích cực vào kết quả này.</w:t>
      </w:r>
    </w:p>
    <w:p w14:paraId="2D17891A"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7AF36D5A"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2870"/>
        <w:gridCol w:w="2052"/>
        <w:gridCol w:w="2052"/>
        <w:gridCol w:w="2052"/>
      </w:tblGrid>
      <w:tr w:rsidR="00D978DF" w:rsidRPr="00761336" w14:paraId="6E550F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71DC3"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6FDBCA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F3AFAF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4BB3E6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1873B6E2" w14:textId="77777777">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503873F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0C645D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13,98%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171306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E5AB23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16,49%</w:t>
            </w:r>
          </w:p>
        </w:tc>
      </w:tr>
      <w:tr w:rsidR="00D978DF" w:rsidRPr="00761336" w14:paraId="47467427" w14:textId="77777777">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2A3BB9D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05560B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66C571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4,55%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556354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5,51%</w:t>
            </w:r>
          </w:p>
        </w:tc>
      </w:tr>
    </w:tbl>
    <w:p w14:paraId="74E2DF12"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Hòa Phát tiếp tục chiếm ưu thế tuyệt đối khi xét riêng về biên EBITDA: tăng dần từ 13,98% (2022) lên 16,49% (2024), thể hiện sự cải thiện trong hoạt động cốt lõi và khả năng tạo dòng tiền trước lãi vay, thuế và khấu hao. Trong khi đó, Nam Kim bắt đầu từ mức rất thấp, </w:t>
      </w:r>
      <w:r w:rsidRPr="00761336">
        <w:rPr>
          <w:rFonts w:ascii="Times New Roman" w:eastAsia="Times New Roman" w:hAnsi="Times New Roman" w:cs="Times New Roman"/>
          <w:color w:val="000000"/>
          <w:sz w:val="26"/>
          <w:szCs w:val="26"/>
          <w:lang w:val="zh-CN"/>
        </w:rPr>
        <w:lastRenderedPageBreak/>
        <w:t>chỉ 3,00% vào năm 2022, và dù đã tăng gần gấp đôi lên 5,51% vào năm 2024, vẫn chỉ bằng khoảng một phần ba Hòa Phát. Điều này cho thấy sức khỏe tài chính hoạt động của Hòa Phát vượt trội hơn rõ rệt. Doanh nghiệp này có thể tạo ra dòng tiền lớn từ hoạt động kinh doanh mà không cần dựa quá nhiều vào vay nợ, nhờ vào biên lợi nhuận gộp ổn định và chi phí vận hành hiệu quả. Trong khi đó, Nam Kim vẫn đang trong giai đoạn tái cấu trúc chi phí và nâng cao hiệu quả hoạt động. Việc có biên EBITDA thấp đồng nghĩa với rủi ro dòng tiền cao hơn nếu doanh thu suy giảm đột ngột, đặt ra những giới hạn trong khả năng tạo dòng tiền ổn định cho hoạt động mở rộng và đầu tư.</w:t>
      </w:r>
    </w:p>
    <w:p w14:paraId="3E94ACC0" w14:textId="77777777" w:rsidR="00D978DF" w:rsidRPr="00761336" w:rsidRDefault="00D978DF">
      <w:pPr>
        <w:rPr>
          <w:rFonts w:ascii="Times New Roman" w:eastAsia="Times New Roman" w:hAnsi="Times New Roman" w:cs="Times New Roman"/>
          <w:b/>
          <w:bCs/>
          <w:color w:val="000000"/>
          <w:sz w:val="26"/>
          <w:szCs w:val="26"/>
          <w:lang w:val="vi-VN"/>
        </w:rPr>
      </w:pPr>
    </w:p>
    <w:p w14:paraId="68B41B4A"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42" w:name="_Toc211973167"/>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.4.3 Tỷ suất sinh lợi trên tài sản (Return On Assets)</w:t>
      </w:r>
      <w:bookmarkEnd w:id="42"/>
    </w:p>
    <w:tbl>
      <w:tblPr>
        <w:tblW w:w="0" w:type="auto"/>
        <w:tblCellMar>
          <w:top w:w="15" w:type="dxa"/>
          <w:left w:w="15" w:type="dxa"/>
          <w:bottom w:w="15" w:type="dxa"/>
          <w:right w:w="15" w:type="dxa"/>
        </w:tblCellMar>
        <w:tblLook w:val="04A0" w:firstRow="1" w:lastRow="0" w:firstColumn="1" w:lastColumn="0" w:noHBand="0" w:noVBand="1"/>
      </w:tblPr>
      <w:tblGrid>
        <w:gridCol w:w="2463"/>
        <w:gridCol w:w="2290"/>
        <w:gridCol w:w="2290"/>
        <w:gridCol w:w="2290"/>
      </w:tblGrid>
      <w:tr w:rsidR="00D978DF" w:rsidRPr="00761336" w14:paraId="0665582D"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087C20B"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32C09D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B837CB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E55387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7A8D8CBE"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8F4695F"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Lợi nhuận sau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37B5619"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8.444.429.054.516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DA2EF3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6.800.388.315.081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EBF438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12.020.023.621.271</w:t>
            </w:r>
          </w:p>
        </w:tc>
      </w:tr>
      <w:tr w:rsidR="00D978DF" w:rsidRPr="00761336" w14:paraId="6A757DD9"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5D4FE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Tổng tài sản 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DCF4CEC"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174.285.971.997.691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4C6EB2E"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179.059.054.100.467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E38F755"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206.136.147.058.891</w:t>
            </w:r>
          </w:p>
        </w:tc>
      </w:tr>
      <w:tr w:rsidR="00D978DF" w:rsidRPr="00761336" w14:paraId="6A53AC3D"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869E55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ROA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902FF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4,85%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8C1BA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3,80%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0C924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5,83%</w:t>
            </w:r>
          </w:p>
        </w:tc>
      </w:tr>
    </w:tbl>
    <w:p w14:paraId="27039E31" w14:textId="77777777" w:rsidR="00D978DF" w:rsidRPr="00761336" w:rsidRDefault="00D978DF">
      <w:pPr>
        <w:widowControl/>
        <w:shd w:val="clear" w:color="auto" w:fill="FFFFFF"/>
        <w:spacing w:line="276" w:lineRule="auto"/>
        <w:jc w:val="both"/>
        <w:rPr>
          <w:rFonts w:ascii="Times New Roman" w:eastAsia="Times New Roman" w:hAnsi="Times New Roman" w:cs="Times New Roman"/>
          <w:sz w:val="26"/>
          <w:szCs w:val="26"/>
          <w:lang w:val="zh-CN"/>
        </w:rPr>
      </w:pPr>
    </w:p>
    <w:p w14:paraId="50D88535"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suất sinh lợi trên tài sản của Hòa Phát trong 3 năm thể hiện xu hướng phù hợp với chu kỳ ngành và giai đoạn đầu tư mở rộng của doanh nghiệp. Năm 2022, ROA đạt 4,85%, tương đương với quy mô tài sản bình quân hơn 174 nghìn tỷ đồng, Hòa Phát tạo ra gần 8.444 tỷ đồng lợi nhuận sau thuế, một kết quả đáng ghi nhận trong bối cảnh ngành thép chịu áp lực lớn từ chi phí nguyên liệu đầu vào tăng cao và nhu cầu tiêu thụ toàn cầu suy giảm.</w:t>
      </w:r>
    </w:p>
    <w:p w14:paraId="1D7B2011"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Năm 2023, hiệu quả sử dụng tài sản giảm xuống, khi ROA chỉ còn 3,80%, giảm đáng kể so với năm trước. Mặc dù doanh nghiệp vẫn duy trì được lợi nhuận trên 6.800 tỷ đồng, nhưng sự mở rộng tài sản (lên hơn 179.000 tỷ đồng) trong khi biên lợi nhuận suy giảm khiến hiệu suất sử dụng vốn bị kéo thấp xuống. Đây là giai đoạn mà các khoản đầu tư lớn chưa mang lại giá trị tương xứng, trong khi thị trường vẫn còn nhiều khó khăn.</w:t>
      </w:r>
    </w:p>
    <w:p w14:paraId="1789EF8A"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Bước qua năm 2024, ROA của Hòa Phát cải thiện rõ rệt, đạt 5,83%, tức mỗi 100 đồng tài sản tạo ra 5,83 đồng lợi nhuận sau thuế. Doanh nghiệp ghi nhận lợi nhuận sau thuế hơn 12.020 tỷ đồng trên tổng tài sản bình quân khoảng 206 nghìn tỷ đồng. Kết quả này phản ánh hiệu quả sinh lời của các khoản đầu tư trước đó bắt đầu phát huy, cùng với sự phục hồi của thị trường thép và hoạt động sản xuất kinh doanh được vận hành ổn định hơn, đặc biệt tại các khu liên hợp lớn.</w:t>
      </w:r>
    </w:p>
    <w:p w14:paraId="21B73FED"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0E1C22D2"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191"/>
        <w:gridCol w:w="1945"/>
        <w:gridCol w:w="1945"/>
        <w:gridCol w:w="1945"/>
      </w:tblGrid>
      <w:tr w:rsidR="00D978DF" w:rsidRPr="00761336" w14:paraId="0FBF42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07CD9"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E72714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7700EC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0F3B04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07BBF8CF"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3772A19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3AE060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62940A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7A172B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5,83%</w:t>
            </w:r>
          </w:p>
        </w:tc>
      </w:tr>
      <w:tr w:rsidR="00D978DF" w:rsidRPr="00761336" w14:paraId="26440620"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5144D49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89BC7C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0,86%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B4CA00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0,91%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5A3C18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3,52%</w:t>
            </w:r>
          </w:p>
        </w:tc>
      </w:tr>
    </w:tbl>
    <w:p w14:paraId="1AABC861"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Xét về hiệu quả sử dụng tài sản, Hòa Phát tiếp tục giữ vững lợi thế cạnh tranh với ROA dao động từ 4,85% đến 5,83% trong giai đoạn 2022 - 2024. Đây là mức sinh lời rất tích cực, đặc biệt đối với một doanh nghiệp có quy mô tài sản lớn hoạt động trong lĩnh vực công nghiệp nặng, nơi thường có vòng quay tài sản chậm và biên lợi nhuận thấp.</w:t>
      </w:r>
    </w:p>
    <w:p w14:paraId="4B32E10B"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khi đó, Nam Kim ghi nhận ROA chỉ đạt 0,86% vào năm 2022 và phải đến năm 2024 mới cải thiện rõ rệt lên 3,52%. Mặc dù đây là tín hiệu tích cực về mặt xu hướng, nhưng xét trên phương diện tuyệt đối, hiệu quả sử dụng tài sản của Nam Kim vẫn thấp hơn đáng kể so với Hòa Phát. Điều này phản ánh khả năng chuyển đổi tài sản thành lợi nhuận của Nam Kim chưa thực sự tối ưu, có thể đến từ hiệu quả vận hành, cơ cấu tài sản, hoặc chi phí tài chính cao do đòn bẩy lớn.</w:t>
      </w:r>
    </w:p>
    <w:p w14:paraId="79F0387C"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 cho thấy năng lực kiểm soát tài sản cố định và tài sản lưu động hiệu quả hơn, đặc biệt trong bối cảnh thị trường thép biến động mạnh. Khả năng duy trì hiệu suất sinh lời ổn định trong điều kiện thị trường khó khăn là minh chứng cho nền tảng quản trị tài sản và hiệu quả vận hành vượt trội.</w:t>
      </w:r>
    </w:p>
    <w:p w14:paraId="0FB3F6EB"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43" w:name="_Toc211973168"/>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.4.4 Tỷ suất sinh lợi trên vốn chủ sở hữu (Return on Equity)</w:t>
      </w:r>
      <w:bookmarkEnd w:id="43"/>
    </w:p>
    <w:tbl>
      <w:tblPr>
        <w:tblW w:w="0" w:type="auto"/>
        <w:tblCellMar>
          <w:top w:w="15" w:type="dxa"/>
          <w:left w:w="15" w:type="dxa"/>
          <w:bottom w:w="15" w:type="dxa"/>
          <w:right w:w="15" w:type="dxa"/>
        </w:tblCellMar>
        <w:tblLook w:val="04A0" w:firstRow="1" w:lastRow="0" w:firstColumn="1" w:lastColumn="0" w:noHBand="0" w:noVBand="1"/>
      </w:tblPr>
      <w:tblGrid>
        <w:gridCol w:w="2730"/>
        <w:gridCol w:w="2160"/>
        <w:gridCol w:w="2160"/>
        <w:gridCol w:w="2290"/>
      </w:tblGrid>
      <w:tr w:rsidR="00D978DF" w:rsidRPr="00761336" w14:paraId="06315030"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614513E"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47D700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B3F480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5BA468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7D240B3F"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CDE077F"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Lợi nhuận sau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CD2669B"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8.444.429.054.516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EB72F7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6.800.388.315.081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4A58675"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12.020.023.621.271</w:t>
            </w:r>
          </w:p>
        </w:tc>
      </w:tr>
      <w:tr w:rsidR="00D978DF" w:rsidRPr="00761336" w14:paraId="5AAC5ABA"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AD05A6F"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Vốn chủ sở hữu 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62A3967"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93.446.782.563.611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CE8FF9B"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99.474.679.427.581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1A2B953"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108.741.938.611.539</w:t>
            </w:r>
          </w:p>
        </w:tc>
      </w:tr>
      <w:tr w:rsidR="00D978DF" w:rsidRPr="00761336" w14:paraId="62397E75"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21668B"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ROE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967A0B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9,04%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78C50A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6,84%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CFE48B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11,05%</w:t>
            </w:r>
          </w:p>
        </w:tc>
      </w:tr>
    </w:tbl>
    <w:p w14:paraId="52B53BC0"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Từ năm 2022 đến 2024, tỷ suất sinh lợi trên vốn chủ sở hữu có xu hướng biến động phù hợp với kết quả kinh doanh thực tế. Năm 2022, ROE đạt 9,04%, tương đương mỗi 100 đồng vốn chủ sở hữu tạo ra 9,04 đồng lợi nhuận sau thuế. Đây là mức sinh lời khá tích cực trong bối cảnh ngành thép toàn cầu gặp nhiều khó khăn, thể hiện khả năng quản trị vốn và giữ ổn định lợi nhuận trong môi trường biến động.</w:t>
      </w:r>
    </w:p>
    <w:p w14:paraId="0DC20826"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Sang năm 2023, ROE giảm xuống còn 6,84%, mức thấp nhất trong 3 năm. Nguyên nhân đến từ việc lợi nhuận sau thuế suy giảm (chỉ còn 6.800 tỷ đồng), trong khi vốn chủ sở hữu bình quân tiếp tục tăng lên gần 99.475 tỷ đồng, phản ánh hiệu quả sử dụng vốn chủ sở hữu </w:t>
      </w:r>
      <w:r w:rsidRPr="00761336">
        <w:rPr>
          <w:rFonts w:ascii="Times New Roman" w:eastAsia="Times New Roman" w:hAnsi="Times New Roman" w:cs="Times New Roman"/>
          <w:color w:val="000000"/>
          <w:sz w:val="26"/>
          <w:szCs w:val="26"/>
          <w:lang w:val="zh-CN"/>
        </w:rPr>
        <w:lastRenderedPageBreak/>
        <w:t>chưa tối ưu trong điều kiện thị trường chưa hồi phục hoàn toàn và các khoản đầu tư chưa phát huy hết công suất.</w:t>
      </w:r>
    </w:p>
    <w:p w14:paraId="67BF53A6"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Đến năm 2024, ROE phục hồi mạnh mẽ lên 11,05%, cho thấy mỗi 100 đồng vốn chủ sở hữu đã tạo ra hơn 11 đồng lợi nhuận sau thuế, mức cao nhất trong ba năm. Sự cải thiện này đến từ tăng trưởng lợi nhuận mạnh mẽ (+77% so với 2023) khi hoạt động kinh doanh phục hồi, sản lượng tăng, giá bán cải thiện và chi phí đầu vào được kiểm soát tốt hơn. Đồng thời, việc tối ưu vốn đầu tư đã giúp nâng cao hiệu quả sử dụng vốn chủ sở hữu. Mức ROE trên 10% cho thấy Hòa Phát đang duy trì khả năng sinh lời tốt và tạo ra lợi nhuận bền vững từ vốn tự có, mà không phụ thuộc quá lớn vào đòn bẩy tài chính. Điều này củng cố niềm tin của nhà đầu tư vào khả năng tăng trưởng giá trị cổ đông, cũng như tạo nền tảng tài chính cho các kế hoạch mở rộng và đầu tư dài hạn.</w:t>
      </w:r>
    </w:p>
    <w:p w14:paraId="31F8E9D6"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352F8B1D"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074"/>
        <w:gridCol w:w="1876"/>
        <w:gridCol w:w="1876"/>
        <w:gridCol w:w="2200"/>
      </w:tblGrid>
      <w:tr w:rsidR="00D978DF" w:rsidRPr="00761336" w14:paraId="7DAF26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89F3D"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C01E0D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F1B97B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097E16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0136A581"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436F6B8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47CB53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F41E2E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DAA16B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11,05%</w:t>
            </w:r>
          </w:p>
        </w:tc>
      </w:tr>
      <w:tr w:rsidR="00D978DF" w:rsidRPr="00761336" w14:paraId="05D2E4CB"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287807B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CD377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ED503B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CFB756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8,02%</w:t>
            </w:r>
          </w:p>
        </w:tc>
      </w:tr>
    </w:tbl>
    <w:p w14:paraId="069FF3AD"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Với các nhà đầu tư dài hạn, sự ổn định và bền vững của Tỷ suất sinh lợi trên vốn chủ sở hữu là yếu tố then chốt để đánh giá chất lượng doanh nghiệp, bởi nó phản ánh khả năng tạo giá trị lâu dài từ nguồn vốn cổ đông mà không phụ thuộc quá nhiều vào rủi ro tài chính ngắn hạn. Xét ROE trong 3 năm 2022 - 2024 tiếp tục cho thấy sự chênh lệch đáng kể giữa Hòa Phát và Nam Kim. Hòa Phát ghi nhận ROE đạt đỉnh 11,05% vào năm 2024, trong khi Nam Kim chỉ đạt 8,02% ở cùng thời điểm. Đáng chú ý, trong hai năm trước đó, mức chênh lệch ROE giữa hai doanh nghiệp thường xuyên vượt 5 điểm phần trăm, phản ánh rõ rệt sự khác biệt về hiệu quả sử dụng vốn chủ sở hữu. Hiệu suất sinh lời cao hơn của Hòa Phát không chỉ đến từ lợi nhuận ổn định, mà còn nhờ vào cơ cấu tài chính hợp lý, với mức đòn bẩy thấp, giúp hạn chế rủi ro và duy trì chất lượng lợi nhuận. Ngược lại, mặc dù ROE của Nam Kim tăng trưởng nhanh trong giai đoạn gần đây, nhưng mức độ biến động cao và thiếu ổn định lại là điểm trừ lớn khi đánh giá từ góc độ dài hạn.</w:t>
      </w:r>
    </w:p>
    <w:p w14:paraId="4153E29A"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44" w:name="_Toc211973169"/>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.4.5 Tỷ suất sinh lợi cơ bản (Basic Earning Power)</w:t>
      </w:r>
      <w:bookmarkEnd w:id="44"/>
    </w:p>
    <w:tbl>
      <w:tblPr>
        <w:tblW w:w="0" w:type="auto"/>
        <w:tblCellMar>
          <w:top w:w="15" w:type="dxa"/>
          <w:left w:w="15" w:type="dxa"/>
          <w:bottom w:w="15" w:type="dxa"/>
          <w:right w:w="15" w:type="dxa"/>
        </w:tblCellMar>
        <w:tblLook w:val="04A0" w:firstRow="1" w:lastRow="0" w:firstColumn="1" w:lastColumn="0" w:noHBand="0" w:noVBand="1"/>
      </w:tblPr>
      <w:tblGrid>
        <w:gridCol w:w="2463"/>
        <w:gridCol w:w="2290"/>
        <w:gridCol w:w="2290"/>
        <w:gridCol w:w="2290"/>
      </w:tblGrid>
      <w:tr w:rsidR="00D978DF" w:rsidRPr="00761336" w14:paraId="722999BC" w14:textId="7777777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4A2914F9"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51664E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72ADB7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2318E3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5F333510"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0FBC5B2"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EBIT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5DC160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13.006.579.259.102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745041F"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11.377.806.427.054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DBBF858"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15.980.863.072.058</w:t>
            </w:r>
          </w:p>
        </w:tc>
      </w:tr>
      <w:tr w:rsidR="00D978DF" w:rsidRPr="00761336" w14:paraId="44E17099"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8792A2"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Tổng tài sản bình quân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E11394D"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174.285.971.997.691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5D020C2"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179.059.054.100.467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C856787" w14:textId="77777777" w:rsidR="00D978DF" w:rsidRPr="00761336" w:rsidRDefault="00000000">
            <w:pPr>
              <w:widowControl/>
              <w:spacing w:line="276" w:lineRule="auto"/>
              <w:jc w:val="right"/>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206.136.147.058.891</w:t>
            </w:r>
          </w:p>
        </w:tc>
      </w:tr>
      <w:tr w:rsidR="00D978DF" w:rsidRPr="00761336" w14:paraId="58280051" w14:textId="77777777">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7A96D29"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lastRenderedPageBreak/>
              <w:t>BEP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9CD6D9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7,46%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8F361A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6,35%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BF604E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7,75%</w:t>
            </w:r>
          </w:p>
        </w:tc>
      </w:tr>
    </w:tbl>
    <w:p w14:paraId="11A105CF" w14:textId="77777777" w:rsidR="00D978DF" w:rsidRPr="00761336" w:rsidRDefault="00D978DF">
      <w:pPr>
        <w:widowControl/>
        <w:shd w:val="clear" w:color="auto" w:fill="FFFFFF"/>
        <w:spacing w:line="276" w:lineRule="auto"/>
        <w:jc w:val="both"/>
        <w:rPr>
          <w:rFonts w:ascii="Times New Roman" w:eastAsia="Times New Roman" w:hAnsi="Times New Roman" w:cs="Times New Roman"/>
          <w:sz w:val="26"/>
          <w:szCs w:val="26"/>
          <w:lang w:val="zh-CN"/>
        </w:rPr>
      </w:pPr>
    </w:p>
    <w:p w14:paraId="69689CA1"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3 năm qua, tỷ suất sinh lợi cơ bản của Hòa Phát dao động trong khoảng 6,35% đến 7,75%, phản ánh rõ sự nhạy cảm của Hòa Phát với biến động thị trường và tính hiệu quả trong chiến lược đầu tư tài sản dài hạn. Cụ thể, năm 2022, BEP đạt mức 7,46%, có nghĩa là cứ mỗi 100 đồng tài sản được sử dụng, tập đoàn tạo ra khoảng 7,46 đồng lợi nhuận trước lãi vay và thuế. Đây là một mức sinh lời nội tại tương đối ổn định trong bối cảnh thị trường thép bắt đầu có những biến động khó lường, đồng thời phản ánh hiệu quả sử dụng tài sản tốt nhờ các khoản đầu tư trước đó đã bắt đầu phát huy hiệu quả. Điều này cho thấy Hòa Phát đã vận hành hiệu quả nguồn lực tài sản và kiểm soát chi phí hoạt động tốt, tạo nền tảng tài chính vững chắc cho doanh nghiệp.</w:t>
      </w:r>
    </w:p>
    <w:p w14:paraId="6D4DC2CC"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Tuy nhiên, sang năm 2023, BEP giảm xuống còn 6,35%. Sự sụt giảm này phản ánh áp lực đáng kể từ biến động giá nguyên liệu đầu vào, cạnh tranh gia tăng và một phần do các khoản đầu tư tài sản tăng nhanh chưa kịp tạo ra lợi nhuận tương xứng. Việc tổng tài sản bình quân tăng lên nhưng EBIT không tương ứng đã làm hiệu quả sử dụng tài sản bị ảnh hưởng tiêu cực, tạo ra thách thức trong việc duy trì năng lực sinh lời. Đây là giai đoạn doanh nghiệp cần tập trung cải thiện hiệu suất vận hành và tái cấu trúc các dự án đầu tư để gia tăng khả năng sinh lợi trong các năm tiếp theo.</w:t>
      </w:r>
    </w:p>
    <w:p w14:paraId="5B37050B"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Trong năm 2024, BEP của Hòa Phát tăng trở lại mức 7,75%, cao hơn cả năm 2022. Mức tăng này phản ánh sự phục hồi mạnh mẽ trong hoạt động kinh doanh cốt lõi và hiệu quả quản lý tài sản, không bị ảnh hưởng bởi cách thức huy động vốn (vốn vay hay vốn chủ sở hữu) và chính sách thuế khác nhau. Các khoản đầu tư quy mô lớn vào các khu liên hợp sản xuất thép tại Dung Quất và các dự án mở rộng khác đã bắt đầu mang lại hiệu quả kinh tế rõ rệt. Bên cạnh đó, việc kiểm soát chi phí sản xuất và nâng cao năng suất vận hành giúp tập đoàn tối ưu hóa nguồn lực tài sản, gia tăng khả năng tạo lợi nhuận. Đây là tín hiệu tích cực cho thấy Hòa Phát không chỉ duy trì được nền tảng tài chính lành mạnh mà còn có khả năng phát triển bền vững trong ngành thép vốn có tính chu kỳ cao. </w:t>
      </w:r>
    </w:p>
    <w:p w14:paraId="68C95747" w14:textId="77777777" w:rsidR="00D978DF" w:rsidRPr="00761336" w:rsidRDefault="00D978DF">
      <w:pPr>
        <w:widowControl/>
        <w:shd w:val="clear" w:color="auto" w:fill="FFFFFF"/>
        <w:spacing w:line="276" w:lineRule="auto"/>
        <w:jc w:val="both"/>
        <w:rPr>
          <w:rFonts w:ascii="Times New Roman" w:eastAsia="Times New Roman" w:hAnsi="Times New Roman" w:cs="Times New Roman"/>
          <w:color w:val="000000"/>
          <w:sz w:val="26"/>
          <w:szCs w:val="26"/>
          <w:lang w:val="zh-CN"/>
        </w:rPr>
      </w:pPr>
    </w:p>
    <w:p w14:paraId="0F26284C" w14:textId="77777777" w:rsidR="00D978DF" w:rsidRPr="00761336" w:rsidRDefault="00000000">
      <w:pPr>
        <w:widowControl/>
        <w:shd w:val="clear" w:color="auto" w:fill="FFFFFF"/>
        <w:spacing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191"/>
        <w:gridCol w:w="1945"/>
        <w:gridCol w:w="1945"/>
        <w:gridCol w:w="1945"/>
      </w:tblGrid>
      <w:tr w:rsidR="00D978DF" w:rsidRPr="00761336" w14:paraId="59533A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4957F"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D47F13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BFDC12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0E76D2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6F3BD8A0"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68F33A1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60917B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5DFB5A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247956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7,75%</w:t>
            </w:r>
          </w:p>
        </w:tc>
      </w:tr>
      <w:tr w:rsidR="00D978DF" w:rsidRPr="00761336" w14:paraId="0BF51580"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65F2592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D52FDB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DC397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2943D0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5,95%</w:t>
            </w:r>
          </w:p>
        </w:tc>
      </w:tr>
    </w:tbl>
    <w:p w14:paraId="54468394"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Tỷ suất sinh lợi cơ bản (BEP), chỉ số đo lường khả năng tạo lợi nhuận từ tài sản trước lãi vay và thuế, cho thấy nội lực vận hành vượt trội của Hòa Phát. Trong giai đoạn 2022 - </w:t>
      </w:r>
      <w:r w:rsidRPr="00761336">
        <w:rPr>
          <w:rFonts w:ascii="Times New Roman" w:eastAsia="Times New Roman" w:hAnsi="Times New Roman" w:cs="Times New Roman"/>
          <w:color w:val="000000"/>
          <w:sz w:val="26"/>
          <w:szCs w:val="26"/>
          <w:lang w:val="zh-CN"/>
        </w:rPr>
        <w:lastRenderedPageBreak/>
        <w:t>2024, BEP của Hòa Phát duy trì ổn định quanh mức 6,35% - 7,75%, vượt xa so với Nam Kim, chỉ đạt 2,17% năm 2022 và cải thiện lên 5,95% năm 2024.</w:t>
      </w:r>
    </w:p>
    <w:p w14:paraId="30329874"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Vì BEP không chịu ảnh hưởng bởi cấu trúc vốn, nên đây là chỉ số phản ánh trung thực hiệu quả sinh lời từ hoạt động kinh doanh cốt lõi. Việc duy trì mức BEP cao và ổn định cho thấy Hòa Phát sở hữu mô hình kinh doanh chắc chắn, tạo ra giá trị thực từ tài sản mà không cần phụ thuộc vào đòn bẩy tài chính để thúc đẩy lợi nhuận.</w:t>
      </w:r>
    </w:p>
    <w:p w14:paraId="200F6093"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Ngược lại, dù BEP của Nam Kim đã cải thiện đáng kể trong giai đoạn này, thể hiện nỗ lực nâng cao hiệu quả vận hành đang phát huy tác dụng, nhưng vẫn chưa thể bắt kịp Hòa Phát về mặt hiệu suất sinh lời nội tại. Điều này phản ánh khoảng cách nhất định về nền tảng kinh doanh và khả năng tạo lợi nhuận bền vững giữa hai doanh nghiệp.</w:t>
      </w:r>
    </w:p>
    <w:p w14:paraId="08F8B75B"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u w:val="single"/>
          <w:lang w:val="zh-CN"/>
        </w:rPr>
        <w:t>Kết luận chung về Tỷ số khả năng sinh lợi của cả Tập đoàn Hòa Phát và Thép Nam Kim</w:t>
      </w:r>
    </w:p>
    <w:p w14:paraId="489ECA44"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cả ba năm, Tập đoàn Hòa Phát thể hiện rõ sự vượt trội về hiệu quả sinh lời so với CTCP Thép Nam Kim, thể hiện qua hầu hết các chỉ số tài chính quan trọng. Hòa Phát phù hợp với các nhà đầu tư dài hạn, theo đuổi chiến lược đầu tư giá trị, ưu tiên doanh nghiệp có nền tảng tài chính mạnh, khả năng tạo dòng tiền ổn định và biên lợi nhuận vững chắc qua các chu kỳ kinh tế. Đây là lựa chọn lý tưởng cho nhà đầu tư coi trọng sự an toàn, hiệu quả vận hành và lợi nhuận đều đặn trên vốn bỏ ra.</w:t>
      </w:r>
    </w:p>
    <w:p w14:paraId="0EC272FD"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Ngược lại, Nam Kim sẽ hấp dẫn hơn đối với những nhà đầu tư theo xu hướng tăng trưởng chu kỳ, sẵn sàng chấp nhận rủi ro cao hơn để kỳ vọng vào sự phục hồi mạnh trong lợi nhuận và hiệu suất vận hành. Tuy nhiên, để đầu tư vào Nam Kim hiệu quả, nhà đầu tư cần theo sát diễn biến thị trường thép, chi phí nguyên vật liệu và các yếu tố vĩ mô ảnh hưởng đến biên lợi nhuận của công ty.</w:t>
      </w:r>
    </w:p>
    <w:p w14:paraId="54C2170C" w14:textId="77777777" w:rsidR="00D978DF" w:rsidRPr="00761336" w:rsidRDefault="00D978DF">
      <w:pPr>
        <w:widowControl/>
        <w:shd w:val="clear" w:color="auto" w:fill="FFFFFF"/>
        <w:spacing w:line="276" w:lineRule="auto"/>
        <w:jc w:val="both"/>
        <w:rPr>
          <w:rFonts w:ascii="Times New Roman" w:eastAsia="Times New Roman" w:hAnsi="Times New Roman" w:cs="Times New Roman"/>
          <w:sz w:val="26"/>
          <w:szCs w:val="26"/>
          <w:lang w:val="vi-VN"/>
        </w:rPr>
      </w:pPr>
    </w:p>
    <w:p w14:paraId="34FAF79C"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45" w:name="_Toc211973170"/>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.5 Tỷ số giá trị thị trường (Market Value Ratios)</w:t>
      </w:r>
      <w:bookmarkEnd w:id="45"/>
    </w:p>
    <w:p w14:paraId="1AF9E3C1"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46" w:name="_Toc211973171"/>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.5.1 Tỷ số giá trên thu nhập (Price – Earning Ratio)</w:t>
      </w:r>
      <w:bookmarkEnd w:id="46"/>
    </w:p>
    <w:p w14:paraId="7FA332E9" w14:textId="77777777" w:rsidR="00D978DF" w:rsidRPr="00761336" w:rsidRDefault="00D978DF">
      <w:pPr>
        <w:widowControl/>
        <w:shd w:val="clear" w:color="auto" w:fill="FFFFFF"/>
        <w:spacing w:line="276" w:lineRule="auto"/>
        <w:rPr>
          <w:rFonts w:ascii="Times New Roman" w:eastAsia="Times New Roman" w:hAnsi="Times New Roman" w:cs="Times New Roman"/>
          <w:sz w:val="26"/>
          <w:szCs w:val="26"/>
          <w:lang w:val="zh-CN"/>
        </w:rPr>
      </w:pPr>
    </w:p>
    <w:tbl>
      <w:tblPr>
        <w:tblW w:w="0" w:type="auto"/>
        <w:tblCellMar>
          <w:top w:w="15" w:type="dxa"/>
          <w:left w:w="15" w:type="dxa"/>
          <w:bottom w:w="15" w:type="dxa"/>
          <w:right w:w="15" w:type="dxa"/>
        </w:tblCellMar>
        <w:tblLook w:val="04A0" w:firstRow="1" w:lastRow="0" w:firstColumn="1" w:lastColumn="0" w:noHBand="0" w:noVBand="1"/>
      </w:tblPr>
      <w:tblGrid>
        <w:gridCol w:w="3317"/>
        <w:gridCol w:w="795"/>
        <w:gridCol w:w="795"/>
        <w:gridCol w:w="795"/>
      </w:tblGrid>
      <w:tr w:rsidR="00D978DF" w:rsidRPr="00761336" w14:paraId="648F8D6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2E4FFA5"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6301F1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F26113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26E827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243FC82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231A760"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Giá trị thị trường của cổ phiếu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5EF0CB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EC8295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27.950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E6CC7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26.650</w:t>
            </w:r>
          </w:p>
        </w:tc>
      </w:tr>
      <w:tr w:rsidR="00D978DF" w:rsidRPr="00761336" w14:paraId="763A069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DEF4E59"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09D8AA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1.452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6DD8FE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CE632D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1.751</w:t>
            </w:r>
          </w:p>
        </w:tc>
      </w:tr>
      <w:tr w:rsidR="00D978DF" w:rsidRPr="00761336" w14:paraId="0CAF723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B1D06C3"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Tỷ số giá trên thu nhập (P/E)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992A3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12,40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5F4CBA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27,81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B36B44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15,22</w:t>
            </w:r>
          </w:p>
        </w:tc>
      </w:tr>
    </w:tbl>
    <w:p w14:paraId="41BE9BED" w14:textId="77777777" w:rsidR="00D978DF" w:rsidRPr="00761336" w:rsidRDefault="00000000">
      <w:pPr>
        <w:widowControl/>
        <w:shd w:val="clear" w:color="auto" w:fill="FFFFFF"/>
        <w:spacing w:before="240"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Năm 2022 là giai đoạn Hòa Phát chịu ảnh hưởng mạnh từ suy thoái ngành thép toàn cầu, giá thép lao dốc và chi phí nguyên liệu đầu vào tăng cao. Giá cổ phiếu giảm sâu xuống 18.000 đồng/cp, trong khi EPS đạt 1.452 đồng – mức khá tốt so với mặt bằng ngành thời </w:t>
      </w:r>
      <w:r w:rsidRPr="00761336">
        <w:rPr>
          <w:rFonts w:ascii="Times New Roman" w:eastAsia="Times New Roman" w:hAnsi="Times New Roman" w:cs="Times New Roman"/>
          <w:color w:val="000000"/>
          <w:sz w:val="26"/>
          <w:szCs w:val="26"/>
          <w:lang w:val="zh-CN"/>
        </w:rPr>
        <w:lastRenderedPageBreak/>
        <w:t>điểm đó. Hệ số P/E ở mức 12,4, cho thấy cổ phiếu đang được định giá thấp, phản ánh tâm lý thận trọng của nhà đầu tư trước triển vọng chưa rõ ràng.</w:t>
      </w:r>
    </w:p>
    <w:p w14:paraId="4870A00C" w14:textId="77777777" w:rsidR="00D978DF" w:rsidRPr="00761336" w:rsidRDefault="00000000">
      <w:pPr>
        <w:widowControl/>
        <w:shd w:val="clear" w:color="auto" w:fill="FFFFFF"/>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Bước sang năm 2023, thị trường chứng khoán phục hồi khiến giá cổ phiếu HPG tăng mạnh lên 27.950 đồng/cp. Tuy nhiên, lợi nhuận sau thuế của doanh nghiệp lại giảm, khiến EPS chỉ còn 1.005 đồng. Do đó, P/E tăng vọt lên 27,81, thể hiện mức định giá cao bất thường. Điều này cho thấy giá cổ phiếu tăng chủ yếu do kỳ vọng của nhà đầu tư vào sự hồi phục tương lai, hơn là dựa trên nền tảng lợi nhuận thực tế.</w:t>
      </w:r>
    </w:p>
    <w:p w14:paraId="23B8DB1B" w14:textId="77777777" w:rsidR="00D978DF" w:rsidRPr="00761336" w:rsidRDefault="00000000">
      <w:pPr>
        <w:widowControl/>
        <w:shd w:val="clear" w:color="auto" w:fill="FFFFFF"/>
        <w:spacing w:line="276" w:lineRule="auto"/>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Đến năm 2024, Hòa Phát bắt đầu ghi nhận tín hiệu phục hồi rõ rệt. EPS tăng mạnh lên 1.751 đồng, phản ánh kết quả kinh doanh cải thiện nhờ nhu cầu thép trong nước tăng trở lại, chi phí đầu vào hạ nhiệt và chiến lược tái cấu trúc hiệu quả. Giá cổ phiếu duy trì quanh 26.650 đồng/cp, khiến P/E giảm còn 15,22 – một mức hợp lý hơn, thể hiện sự cân bằng giữa tăng trưởng lợi nhuận và kỳ vọng của thị trường.</w:t>
      </w:r>
    </w:p>
    <w:p w14:paraId="05BA601F" w14:textId="77777777" w:rsidR="00D978DF" w:rsidRPr="00761336" w:rsidRDefault="00D978DF">
      <w:pPr>
        <w:widowControl/>
        <w:shd w:val="clear" w:color="auto" w:fill="FFFFFF"/>
        <w:spacing w:line="276" w:lineRule="auto"/>
        <w:rPr>
          <w:rFonts w:ascii="Times New Roman" w:eastAsia="Times New Roman" w:hAnsi="Times New Roman" w:cs="Times New Roman"/>
          <w:color w:val="000000"/>
          <w:sz w:val="26"/>
          <w:szCs w:val="26"/>
          <w:lang w:val="zh-CN"/>
        </w:rPr>
      </w:pPr>
    </w:p>
    <w:p w14:paraId="5A063969" w14:textId="77777777" w:rsidR="00D978DF" w:rsidRPr="00761336" w:rsidRDefault="00000000">
      <w:pPr>
        <w:widowControl/>
        <w:shd w:val="clear" w:color="auto" w:fill="FFFFFF"/>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3028"/>
        <w:gridCol w:w="2142"/>
        <w:gridCol w:w="1928"/>
        <w:gridCol w:w="1928"/>
      </w:tblGrid>
      <w:tr w:rsidR="00D978DF" w:rsidRPr="00761336" w14:paraId="5FD7B9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55B2B"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75B4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5D11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43E5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2FB454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65C6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338A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12DB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27,81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3B78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15,22</w:t>
            </w:r>
          </w:p>
        </w:tc>
      </w:tr>
      <w:tr w:rsidR="00D978DF" w:rsidRPr="00761336" w14:paraId="6338A9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1C8F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699B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-25,84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31AD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69,05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916B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10,08</w:t>
            </w:r>
          </w:p>
        </w:tc>
      </w:tr>
    </w:tbl>
    <w:p w14:paraId="0FBDBB4C" w14:textId="77777777" w:rsidR="00D978DF" w:rsidRPr="00761336" w:rsidRDefault="00D978DF">
      <w:pPr>
        <w:widowControl/>
        <w:shd w:val="clear" w:color="auto" w:fill="FFFFFF"/>
        <w:spacing w:line="276" w:lineRule="auto"/>
        <w:rPr>
          <w:rFonts w:ascii="Times New Roman" w:eastAsia="Times New Roman" w:hAnsi="Times New Roman" w:cs="Times New Roman"/>
          <w:sz w:val="26"/>
          <w:szCs w:val="26"/>
          <w:lang w:val="zh-CN"/>
        </w:rPr>
      </w:pPr>
    </w:p>
    <w:p w14:paraId="7CC717B1"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 duy trì P/E ở mức 12,40 lần năm 2022, sau đó tăng vọt lên 27,81 lần năm 2023, rồi hạ xuống 15,22 lần năm 2024. Xu hướng này cho thấy năm 2023, lợi nhuận của công ty suy giảm nhưng giá cổ phiếu lại tăng, dẫn tới định giá bị kéo lên cao. Đến 2024, khi lợi nhuận cải thiện, P/E hạ về mức hợp lý hơn, phản ánh sự cân bằng giữa giá cổ phiếu và kết quả kinh doanh. Ngược lại, Nam Kim có sự biến động rất mạnh: năm 2022 âm -25,84 lần do thua lỗ, năm 2023 vọt lên 69,05 lần (mức quá cao, tiềm ẩn rủi ro đầu tư), rồi năm 2024 hạ xuống 10,08 lần nhờ lợi nhuận phục hồi. Như vậy, P/E của Hòa Phát ổn định và phản ánh sức mạnh nội tại, trong khi P/E của Nam Kim mang tính “dao động chu kỳ”, dễ biến động theo thị trường thép và tình hình lợi nhuận ngắn hạn.</w:t>
      </w:r>
    </w:p>
    <w:p w14:paraId="7CE4CD45"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u w:val="single"/>
          <w:lang w:val="zh-CN"/>
        </w:rPr>
        <w:t>Kết luận chung về Tỷ số giá trên thu nhập (P/E) của cả Tập đoàn Hòa Phát và Thép Nam Kim</w:t>
      </w:r>
    </w:p>
    <w:p w14:paraId="70A3C687" w14:textId="77777777" w:rsidR="00D978DF" w:rsidRPr="00761336" w:rsidRDefault="00D978DF">
      <w:pPr>
        <w:widowControl/>
        <w:shd w:val="clear" w:color="auto" w:fill="FFFFFF"/>
        <w:spacing w:line="276" w:lineRule="auto"/>
        <w:jc w:val="both"/>
        <w:rPr>
          <w:rFonts w:ascii="Times New Roman" w:eastAsia="Times New Roman" w:hAnsi="Times New Roman" w:cs="Times New Roman"/>
          <w:sz w:val="26"/>
          <w:szCs w:val="26"/>
          <w:lang w:val="zh-CN"/>
        </w:rPr>
      </w:pPr>
    </w:p>
    <w:p w14:paraId="560409A0"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Qua phân tích số liệu giai đoạn 2022–2024, có thể nhận thấy tỷ số giá trên thu nhập (P/E) của Tập đoàn Hòa Phát (HPG) phản ánh rõ nét chu kỳ biến động của ngành thép và mức độ kỳ vọng của nhà đầu tư đối với triển vọng doanh nghiệp.</w:t>
      </w:r>
    </w:p>
    <w:p w14:paraId="73F21E35"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Năm 2022, P/E ở mức 12,40 lần, cho thấy cổ phiếu đang được định giá thấp trong bối cảnh thị trường ảm đạm và lợi nhuận suy giảm do tác động từ giá thép và chi phí nguyên vật </w:t>
      </w:r>
      <w:r w:rsidRPr="00761336">
        <w:rPr>
          <w:rFonts w:ascii="Times New Roman" w:eastAsia="Times New Roman" w:hAnsi="Times New Roman" w:cs="Times New Roman"/>
          <w:color w:val="000000"/>
          <w:sz w:val="26"/>
          <w:szCs w:val="26"/>
          <w:lang w:val="zh-CN"/>
        </w:rPr>
        <w:lastRenderedPageBreak/>
        <w:t>liệu. Nhà đầu tư tỏ ra thận trọng, khiến giá cổ phiếu giảm mạnh dù Hòa Phát vẫn duy trì lợi nhuận dương và nền tảng tài chính vững chắc.</w:t>
      </w:r>
    </w:p>
    <w:p w14:paraId="2A7DC45A"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Bước sang 2023, khi thị trường chứng khoán hồi phục và dòng tiền đầu cơ quay trở lại, P/E tăng vọt lên 27,81 lần. Tuy nhiên, sự tăng giá cổ phiếu này chủ yếu dựa trên kỳ vọng tương lai, không phản ánh hiệu quả kinh doanh thực tế vì EPS giảm xuống 1.005 đồng. Mức định giá này được xem là “nóng”, thể hiện trạng thái hưng phấn nhất thời của thị trường.</w:t>
      </w:r>
    </w:p>
    <w:p w14:paraId="35E27628"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Đến 2024, Hòa Phát ghi nhận dấu hiệu phục hồi lợi nhuận rõ rệt với EPS tăng lên 1.751 đồng, nhờ nhu cầu tiêu thụ thép nội địa tăng trở lại và hiệu quả tái cấu trúc sản xuất. Giá cổ phiếu duy trì ổn định quanh 26.650 đồng/cp, giúp P/E giảm còn 15,22 lần – một mức hợp lý hơn, phản ánh sự cân bằng giữa giá trị thị trường và năng lực sinh lời thực tế của doanh nghiệp.</w:t>
      </w:r>
    </w:p>
    <w:p w14:paraId="4BDB9E9E"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Khi so sánh với Nam Kim (NKG) – một đối thủ cùng ngành, có thể thấy P/E của Hòa Phát ổn định và phản ánh nội lực bền vững hơn. Trong khi Nam Kim biến động mạnh (âm -25,84 lần năm 2022 do thua lỗ, lên 69,05 lần năm 2023, rồi giảm còn 10,08 lần năm 2024), thì Hòa Phát duy trì được mức định giá hợp lý và ổn định hơn qua các năm.</w:t>
      </w:r>
    </w:p>
    <w:p w14:paraId="4360F52E"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P/E của Hòa Phát trong giai đoạn 2022–2024 cho thấy doanh nghiệp đang phục hồi vững chắc sau giai đoạn suy thoái, đồng thời thể hiện niềm tin thị trường ngày càng ổn định hơn vào tiềm năng tăng trưởng dài hạn. So với các đối thủ cùng ngành, Hòa Phát có định giá hợp lý, ít biến động và phản ánh đúng sức mạnh tài chính cũng như vị thế dẫn đầu trong lĩnh vực sản xuất thép Việt Nam.</w:t>
      </w:r>
    </w:p>
    <w:p w14:paraId="79AAC11F" w14:textId="77777777" w:rsidR="00D978DF" w:rsidRPr="00761336" w:rsidRDefault="00D978DF">
      <w:pPr>
        <w:widowControl/>
        <w:shd w:val="clear" w:color="auto" w:fill="FFFFFF"/>
        <w:spacing w:line="276" w:lineRule="auto"/>
        <w:jc w:val="both"/>
        <w:rPr>
          <w:rFonts w:ascii="Times New Roman" w:eastAsia="Times New Roman" w:hAnsi="Times New Roman" w:cs="Times New Roman"/>
          <w:sz w:val="26"/>
          <w:szCs w:val="26"/>
          <w:lang w:val="zh-CN"/>
        </w:rPr>
      </w:pPr>
    </w:p>
    <w:p w14:paraId="26BFB32E"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47" w:name="_Toc211973172"/>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.5.2 Tỷ số giá trị thị trường trên giá trị sổ sách (Market – To – Book Value Ratio)</w:t>
      </w:r>
      <w:bookmarkEnd w:id="47"/>
    </w:p>
    <w:p w14:paraId="2349BB5D" w14:textId="77777777" w:rsidR="00D978DF" w:rsidRPr="00761336" w:rsidRDefault="00D978DF">
      <w:pPr>
        <w:widowControl/>
        <w:shd w:val="clear" w:color="auto" w:fill="FFFFFF"/>
        <w:spacing w:line="276" w:lineRule="auto"/>
        <w:rPr>
          <w:rFonts w:ascii="Times New Roman" w:eastAsia="Times New Roman" w:hAnsi="Times New Roman" w:cs="Times New Roman"/>
          <w:sz w:val="26"/>
          <w:szCs w:val="26"/>
          <w:lang w:val="zh-CN"/>
        </w:rPr>
      </w:pPr>
    </w:p>
    <w:tbl>
      <w:tblPr>
        <w:tblW w:w="0" w:type="auto"/>
        <w:tblCellMar>
          <w:top w:w="15" w:type="dxa"/>
          <w:left w:w="15" w:type="dxa"/>
          <w:bottom w:w="15" w:type="dxa"/>
          <w:right w:w="15" w:type="dxa"/>
        </w:tblCellMar>
        <w:tblLook w:val="04A0" w:firstRow="1" w:lastRow="0" w:firstColumn="1" w:lastColumn="0" w:noHBand="0" w:noVBand="1"/>
      </w:tblPr>
      <w:tblGrid>
        <w:gridCol w:w="2604"/>
        <w:gridCol w:w="2160"/>
        <w:gridCol w:w="2290"/>
        <w:gridCol w:w="2290"/>
      </w:tblGrid>
      <w:tr w:rsidR="00D978DF" w:rsidRPr="00761336" w14:paraId="523DD94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EA5957B"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164807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7A0A3C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B7E7A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1FDDBFB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9C4CE03"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Giá trị thị trường của cổ phiếu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E20076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DC9E59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27.950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579E1F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26.650</w:t>
            </w:r>
          </w:p>
        </w:tc>
      </w:tr>
      <w:tr w:rsidR="00D978DF" w:rsidRPr="00761336" w14:paraId="625EDC7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9103E79"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3978E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1.452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ADF302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F47D90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1.751</w:t>
            </w:r>
          </w:p>
        </w:tc>
      </w:tr>
      <w:tr w:rsidR="00D978DF" w:rsidRPr="00761336" w14:paraId="05BD1DA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3C3D55"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Vốn chủ sở hữu của cổ đông công ty mẹ</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09D4F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96.112.939.615.783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3D22D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102.836.419.239.379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6F452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114.647.457.983.699</w:t>
            </w:r>
          </w:p>
        </w:tc>
      </w:tr>
      <w:tr w:rsidR="00D978DF" w:rsidRPr="00761336" w14:paraId="0D0632A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2818E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Số lượng cổ phiếu phổ thông đang lưu hành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50A32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5.814.785.700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48FAFF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5.814.785.700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5F45D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6.396.250.200</w:t>
            </w:r>
          </w:p>
        </w:tc>
      </w:tr>
      <w:tr w:rsidR="00D978DF" w:rsidRPr="00761336" w14:paraId="640CDE1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1D1EE56"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BVPS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DB11F8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16.529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F13400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17.685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08D33E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17.924</w:t>
            </w:r>
          </w:p>
        </w:tc>
      </w:tr>
      <w:tr w:rsidR="00D978DF" w:rsidRPr="00761336" w14:paraId="242C536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CB0E28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Tỷ số giá trị thị trường trên giá trị sổ sách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8EF74D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1,09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632CF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1,58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8C18C3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1,49</w:t>
            </w:r>
          </w:p>
        </w:tc>
      </w:tr>
    </w:tbl>
    <w:p w14:paraId="538845D9" w14:textId="77777777" w:rsidR="00D978DF" w:rsidRPr="00761336" w:rsidRDefault="00000000">
      <w:pPr>
        <w:widowControl/>
        <w:shd w:val="clear" w:color="auto" w:fill="FFFFFF"/>
        <w:spacing w:before="240"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Năm 2022, Hòa Phát chịu ảnh hưởng mạnh từ sự sụt giảm của thị trường bất động sản và giá thép toàn cầu, khiến lợi nhuận giảm sút. Giá cổ phiếu chỉ còn 18.000 đồng/cp, trong khi EPS đạt 1.452 đồng. Tuy nhiên, BVPS vẫn ở mức 16.529 đồng, cho thấy năng lực tài chính và quy mô vốn chủ sở hữu (hơn 96 nghìn tỷ đồng) vẫn rất lớn. Tỷ lệ P/B (giá trị thị trường trên giá trị sổ sách) đạt 1,09, phản ánh việc cổ phiếu đang bị định giá thấp – một phần do tâm lý bi quan của nhà đầu tư trong chu kỳ giảm của ngành.</w:t>
      </w:r>
    </w:p>
    <w:p w14:paraId="2DEC6ED9" w14:textId="77777777" w:rsidR="00D978DF" w:rsidRPr="00761336" w:rsidRDefault="00000000">
      <w:pPr>
        <w:widowControl/>
        <w:shd w:val="clear" w:color="auto" w:fill="FFFFFF"/>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Đến năm 2023, giá cổ phiếu tăng mạnh lên 27.950 đồng, nhưng EPS giảm còn 1.005 đồng, cho thấy doanh nghiệp vẫn chưa thực sự phục hồi về lợi nhuận. Dù vậy, BVPS tăng lên 17.685 đồng, nhờ tích lũy lợi nhuận giữ lại và tăng vốn chủ sở hữu lên hơn 102 nghìn tỷ đồng. Tỷ số P/B tăng lên 1,58, cho thấy nhà đầu tư bắt đầu định giá cao hơn so với giá trị sổ sách, phản ánh kỳ vọng hồi phục trong tương lai.</w:t>
      </w:r>
    </w:p>
    <w:p w14:paraId="62654C94" w14:textId="77777777" w:rsidR="00D978DF" w:rsidRPr="00761336" w:rsidRDefault="00000000">
      <w:pPr>
        <w:widowControl/>
        <w:shd w:val="clear" w:color="auto" w:fill="FFFFFF"/>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Đến năm 2024, Hòa Phát thể hiện dấu hiệu phục hồi rõ rệt. EPS tăng mạnh lên 1.751 đồng, BVPS tiếp tục tăng nhẹ lên 17.924 đồng, và vốn chủ sở hữu đạt hơn 114 nghìn tỷ đồng – mức cao nhất trong ba năm. Số lượng cổ phiếu lưu hành cũng tăng lên 6,396 tỷ đơn vị, có thể do chia cổ tức bằng cổ phiếu hoặc phát hành thêm. Giá cổ phiếu ở mức 26.650 đồng, khiến P/B giảm còn 1,49, phản ánh định giá hợp lý hơn khi giá không tăng mạnh nhưng nền tảng tài chính đã được củng cố.</w:t>
      </w:r>
    </w:p>
    <w:p w14:paraId="6337AA1F" w14:textId="77777777" w:rsidR="00D978DF" w:rsidRPr="00761336" w:rsidRDefault="00000000">
      <w:pPr>
        <w:widowControl/>
        <w:shd w:val="clear" w:color="auto" w:fill="FFFFFF"/>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p w14:paraId="698657BA" w14:textId="77777777" w:rsidR="00D978DF" w:rsidRPr="00761336" w:rsidRDefault="00D978DF">
      <w:pPr>
        <w:widowControl/>
        <w:shd w:val="clear" w:color="auto" w:fill="FFFFFF"/>
        <w:spacing w:line="276" w:lineRule="auto"/>
        <w:rPr>
          <w:rFonts w:ascii="Times New Roman" w:eastAsia="Times New Roman" w:hAnsi="Times New Roman" w:cs="Times New Roman"/>
          <w:sz w:val="26"/>
          <w:szCs w:val="26"/>
          <w:lang w:val="zh-CN"/>
        </w:rPr>
      </w:pPr>
    </w:p>
    <w:tbl>
      <w:tblPr>
        <w:tblW w:w="9026" w:type="dxa"/>
        <w:tblCellMar>
          <w:top w:w="15" w:type="dxa"/>
          <w:left w:w="15" w:type="dxa"/>
          <w:bottom w:w="15" w:type="dxa"/>
          <w:right w:w="15" w:type="dxa"/>
        </w:tblCellMar>
        <w:tblLook w:val="04A0" w:firstRow="1" w:lastRow="0" w:firstColumn="1" w:lastColumn="0" w:noHBand="0" w:noVBand="1"/>
      </w:tblPr>
      <w:tblGrid>
        <w:gridCol w:w="3281"/>
        <w:gridCol w:w="1915"/>
        <w:gridCol w:w="1915"/>
        <w:gridCol w:w="1915"/>
      </w:tblGrid>
      <w:tr w:rsidR="00D978DF" w:rsidRPr="00761336" w14:paraId="68C43F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06D0F"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4C74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D6E5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EFC5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1082AC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1326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8895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8BCB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CC5F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1,49</w:t>
            </w:r>
          </w:p>
        </w:tc>
      </w:tr>
      <w:tr w:rsidR="00D978DF" w:rsidRPr="00761336" w14:paraId="5C3B03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AF7E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602E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A66E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9C3D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0,78</w:t>
            </w:r>
          </w:p>
        </w:tc>
      </w:tr>
    </w:tbl>
    <w:p w14:paraId="5F122F07" w14:textId="77777777" w:rsidR="00D978DF" w:rsidRPr="00761336" w:rsidRDefault="00D978DF">
      <w:pPr>
        <w:widowControl/>
        <w:shd w:val="clear" w:color="auto" w:fill="FFFFFF"/>
        <w:spacing w:line="276" w:lineRule="auto"/>
        <w:rPr>
          <w:rFonts w:ascii="Times New Roman" w:eastAsia="Times New Roman" w:hAnsi="Times New Roman" w:cs="Times New Roman"/>
          <w:sz w:val="26"/>
          <w:szCs w:val="26"/>
          <w:lang w:val="zh-CN"/>
        </w:rPr>
      </w:pPr>
    </w:p>
    <w:p w14:paraId="57A30585"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 liên tục duy trì M/B &gt; 1 trong cả giai đoạn (1,09 → 1,58 → 1,49), nghĩa là thị trường luôn định giá cao hơn giá trị sổ sách. Điều này phản ánh niềm tin của nhà đầu tư vào tiềm năng dài hạn của doanh nghiệp. Nam Kim thì biến động mạnh hơn: năm 2022 chỉ đạt 0,56 lần, tức bị thị trường chiết khấu; năm 2023 tăng lên 1,44 lần, cho thấy kỳ vọng hồi phục; nhưng năm 2024 lại giảm xuống 0,78 lần, phản ánh niềm tin thị trường suy giảm. Điều này cho thấy, Nam Kim thường được định giá thấp do quy mô nhỏ, sức cạnh tranh hạn chế và lợi nhuận thiếu ổn định.</w:t>
      </w:r>
    </w:p>
    <w:p w14:paraId="2417A153"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u w:val="single"/>
          <w:lang w:val="zh-CN"/>
        </w:rPr>
        <w:t>Kết luận chung về Tỷ số giá trị thị trường trên giá trị sổ sách (P/B) của cả Tập đoàn Hòa Phát và Thép Nam Kim</w:t>
      </w:r>
    </w:p>
    <w:p w14:paraId="3994B71B"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Phân tích tỷ số P/B (Market-to-Book Value Ratio) của Tập đoàn Hòa Phát (HPG) trong giai đoạn 2022–2024 cho thấy xu hướng ổn định và tích cực hơn so với trung bình ngành, </w:t>
      </w:r>
      <w:r w:rsidRPr="00761336">
        <w:rPr>
          <w:rFonts w:ascii="Times New Roman" w:eastAsia="Times New Roman" w:hAnsi="Times New Roman" w:cs="Times New Roman"/>
          <w:color w:val="000000"/>
          <w:sz w:val="26"/>
          <w:szCs w:val="26"/>
          <w:lang w:val="zh-CN"/>
        </w:rPr>
        <w:lastRenderedPageBreak/>
        <w:t>phản ánh niềm tin vững chắc của nhà đầu tư vào năng lực tài chính và giá trị nội tại của doanh nghiệp.</w:t>
      </w:r>
    </w:p>
    <w:p w14:paraId="19416B5D"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Cụ thể, năm 2022, Hòa Phát chịu tác động mạnh từ chu kỳ suy giảm của ngành thép và bất động sản, khiến lợi nhuận sụt giảm, giá cổ phiếu chỉ còn 18.000 đồng/cp. Tuy nhiên, BVPS đạt 16.529 đồng, tương ứng P/B = 1,09 lần – nghĩa là dù thị trường khó khăn, cổ phiếu vẫn được định giá cao hơn giá trị sổ sách. Điều này cho thấy nhà đầu tư vẫn đánh giá cao tiềm năng tăng trưởng dài hạn và vị thế đầu ngành của Hòa Phát.</w:t>
      </w:r>
    </w:p>
    <w:p w14:paraId="7DC09F7B"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Bước sang 2023, giá cổ phiếu tăng lên 27.950 đồng, vốn chủ sở hữu tăng lên hơn 102 nghìn tỷ đồng, giúp BVPS đạt 17.685 đồng và P/B tăng lên 1,58 lần. Mức tăng này thể hiện niềm tin thị trường phục hồi, khi nhà đầu tư bắt đầu kỳ vọng Hòa Phát sẽ sớm vượt qua giai đoạn khó khăn. Tuy nhiên, việc P/B tăng nhanh hơn tăng trưởng lợi nhuận cho thấy định giá có phần cao, phản ánh nhiều hơn yếu tố kỳ vọng.</w:t>
      </w:r>
    </w:p>
    <w:p w14:paraId="61B32393"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Đến 2024, Hòa Phát thực sự bước vào giai đoạn phục hồi vững chắc. Lợi nhuận tăng mạnh (EPS 1.751 đồng), vốn chủ sở hữu đạt hơn 114 nghìn tỷ đồng, và BVPS tăng lên 17.924 đồng/cp. Giá cổ phiếu ở mức 26.650 đồng, khiến P/B giảm nhẹ còn 1,49 lần – một mức định giá cân bằng hơn, phản ánh cả năng lực tài chính bền vững lẫn sự điều chỉnh hợp lý của thị trường sau giai đoạn tăng nóng.</w:t>
      </w:r>
    </w:p>
    <w:p w14:paraId="30689BD7"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Khi so sánh với Nam Kim (NKG), có thể thấy Hòa Phát duy trì P/B &gt; 1 trong suốt 3 năm, trong khi Nam Kim chỉ vượt 1 duy nhất năm 2023. P/B của Nam Kim biến động mạnh (0,56 → 1,44 → 0,78), cho thấy định giá phụ thuộc nhiều vào chu kỳ ngắn hạn và lợi nhuận thất thường, trong khi Hòa Phát thể hiện sự ổn định, quy mô vốn lớn và niềm tin thị trường bền vững hơn.</w:t>
      </w:r>
    </w:p>
    <w:p w14:paraId="382F4DFD"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Tỷ số P/B của Hòa Phát giai đoạn 2022–2024 duy trì trên 1 lần phản ánh việc thị trường luôn định giá doanh nghiệp cao hơn giá trị sổ sách, cho thấy sức mạnh nội tại, uy tín thương hiệu và triển vọng tăng trưởng dài hạn. So với các đối thủ cùng ngành, Hòa Phát được xem là doanh nghiệp có định giá ổn định, ít biến động và thể hiện vị thế dẫn đầu trong lĩnh vực thép Việt Nam.</w:t>
      </w:r>
    </w:p>
    <w:p w14:paraId="09CFB64F" w14:textId="77777777" w:rsidR="00D978DF" w:rsidRPr="00761336" w:rsidRDefault="00000000">
      <w:pPr>
        <w:pStyle w:val="Heading3"/>
        <w:spacing w:line="276" w:lineRule="auto"/>
        <w:rPr>
          <w:rFonts w:ascii="Times New Roman" w:eastAsia="Times New Roman" w:hAnsi="Times New Roman" w:cs="Times New Roman"/>
          <w:sz w:val="26"/>
          <w:szCs w:val="26"/>
          <w:lang w:val="zh-CN"/>
        </w:rPr>
      </w:pPr>
      <w:bookmarkStart w:id="48" w:name="_Toc211973173"/>
      <w:r w:rsidRPr="00761336">
        <w:rPr>
          <w:rFonts w:ascii="Times New Roman" w:eastAsia="Times New Roman" w:hAnsi="Times New Roman" w:cs="Times New Roman"/>
          <w:b/>
          <w:bCs/>
          <w:color w:val="000000"/>
          <w:sz w:val="26"/>
          <w:szCs w:val="26"/>
          <w:lang w:val="vi-VN"/>
        </w:rPr>
        <w:t>1</w:t>
      </w:r>
      <w:r w:rsidRPr="00761336">
        <w:rPr>
          <w:rFonts w:ascii="Times New Roman" w:eastAsia="Times New Roman" w:hAnsi="Times New Roman" w:cs="Times New Roman"/>
          <w:b/>
          <w:bCs/>
          <w:color w:val="000000"/>
          <w:sz w:val="26"/>
          <w:szCs w:val="26"/>
          <w:lang w:val="zh-CN"/>
        </w:rPr>
        <w:t>.5.3 Vốn hóa thị trường (Market Capitalization)</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474"/>
        <w:gridCol w:w="2290"/>
        <w:gridCol w:w="2290"/>
        <w:gridCol w:w="2290"/>
      </w:tblGrid>
      <w:tr w:rsidR="00D978DF" w:rsidRPr="00761336" w14:paraId="3B2AE4E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091AE8C"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FE1ED0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94EF9E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5D6594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443DA6D8"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79B9CDF"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Giá trị thị trường của cổ phiếu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7DE10F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D3ED564"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27.950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E8D0D2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26.650</w:t>
            </w:r>
          </w:p>
        </w:tc>
      </w:tr>
      <w:tr w:rsidR="00D978DF" w:rsidRPr="00761336" w14:paraId="394E44D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C368FF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43E25B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1.452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F38AFC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1.005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CBCFD4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1.751</w:t>
            </w:r>
          </w:p>
        </w:tc>
      </w:tr>
      <w:tr w:rsidR="00D978DF" w:rsidRPr="00761336" w14:paraId="764A1D7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B4E6F2"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Vốn chủ sở hữu của cổ đông công ty mẹ</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0C93C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96.112.939.615.783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8E062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102.836.419.239.379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8F876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114.647.457.983.699</w:t>
            </w:r>
          </w:p>
        </w:tc>
      </w:tr>
      <w:tr w:rsidR="00D978DF" w:rsidRPr="00761336" w14:paraId="4433B1B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59F830"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Số lượng cổ phiếu phổ thông đang lưu hành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9310B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5.814.785.700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6F44C8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5.814.785.700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2915B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6.396.250.200</w:t>
            </w:r>
          </w:p>
        </w:tc>
      </w:tr>
      <w:tr w:rsidR="00D978DF" w:rsidRPr="00761336" w14:paraId="4D083E3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E350928"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BVPS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ACF0F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16.529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CA403E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17.685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B35764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17.924</w:t>
            </w:r>
          </w:p>
        </w:tc>
      </w:tr>
      <w:tr w:rsidR="00D978DF" w:rsidRPr="00761336" w14:paraId="3D29EE6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047A084"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Vốn hóa thị trường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6E5CE4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104.666.142.600.000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92864D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162.523.260.315.000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DB0A80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170.460.067.830.000</w:t>
            </w:r>
          </w:p>
        </w:tc>
      </w:tr>
    </w:tbl>
    <w:p w14:paraId="0CACB10E"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Năm 2022, trong bối cảnh ngành thép toàn cầu lao dốc, giá cổ phiếu HPG chỉ đạt 18.000 đồng/cp, kéo theo vốn hóa thị trường còn khoảng 104,7 nghìn tỷ đồng. Dù vậy, vốn chủ sở hữu của cổ đông công ty mẹ vẫn đạt hơn 96 nghìn tỷ đồng, BVPS ở mức 16.529 đồng, thể hiện nền tảng tài chính ổn định và khả năng duy trì giá trị doanh nghiệp trong giai đoạn khó khăn.</w:t>
      </w:r>
    </w:p>
    <w:p w14:paraId="58111750"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Sang năm 2023, thị trường chứng khoán phục hồi và dòng vốn đầu tư quay trở lại giúp giá cổ phiếu tăng lên 27.950 đồng/cp, khiến vốn hóa thị trường vọt lên 162,5 nghìn tỷ đồng, tăng gần 55% so với năm trước. Trong khi đó, vốn chủ sở hữu cũng tăng lên hơn 102,8 nghìn tỷ đồng, cho thấy doanh nghiệp vẫn duy trì được đà tăng trưởng nội tại. Tuy nhiên, EPS giảm còn 1.005 đồng, phản ánh giai đoạn lợi nhuận sụt giảm do nhu cầu thép chưa phục hồi hoàn toàn.</w:t>
      </w:r>
    </w:p>
    <w:p w14:paraId="22B83EDE"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Đến năm 2024, Hòa Phát ghi nhận sự phục hồi thực chất cả về kết quả kinh doanh và giá trị doanh nghiệp. Lợi nhuận tăng mạnh (EPS 1.751 đồng), vốn chủ sở hữu vượt 114,6 nghìn tỷ đồng, và BVPS tăng lên 17.924 đồng. Mặc dù giá cổ phiếu giảm nhẹ xuống 26.650 đồng/cp, vốn hóa thị trường vẫn tăng lên hơn 170,4 nghìn tỷ đồng, cho thấy niềm tin của nhà đầu tư vẫn duy trì ổn định nhờ triển vọng phục hồi lợi nhuận và quy mô tài sản lớn.</w:t>
      </w:r>
    </w:p>
    <w:p w14:paraId="11508638"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Giai đoạn 2022–2024 đánh dấu quá trình phục hồi mạnh mẽ của Hòa Phát sau chu kỳ suy giảm của ngành. Vốn hóa thị trường tăng liên tục từ 104,6 nghìn tỷ lên hơn 170,4 nghìn tỷ đồng, phản ánh sức hút của cổ phiếu HPG và niềm tin thị trường vào năng lực tài chính vững chắc. Cùng với việc vốn chủ sở hữu và BVPS tăng đều qua các năm, Hòa Phát tiếp tục khẳng định vị thế doanh nghiệp thép hàng đầu Việt Nam, có khả năng tạo giá trị bền vững cho cổ đông và thu hút nhà đầu tư dài hạn.</w:t>
      </w:r>
    </w:p>
    <w:p w14:paraId="5939D554" w14:textId="77777777" w:rsidR="00D978DF" w:rsidRPr="00761336" w:rsidRDefault="00D978DF">
      <w:pPr>
        <w:widowControl/>
        <w:shd w:val="clear" w:color="auto" w:fill="FFFFFF"/>
        <w:spacing w:line="276" w:lineRule="auto"/>
        <w:rPr>
          <w:rFonts w:ascii="Times New Roman" w:eastAsia="Times New Roman" w:hAnsi="Times New Roman" w:cs="Times New Roman"/>
          <w:b/>
          <w:bCs/>
          <w:i/>
          <w:iCs/>
          <w:color w:val="000000"/>
          <w:sz w:val="26"/>
          <w:szCs w:val="26"/>
          <w:lang w:val="zh-CN"/>
        </w:rPr>
      </w:pPr>
    </w:p>
    <w:p w14:paraId="1AB9E031" w14:textId="77777777" w:rsidR="00D978DF" w:rsidRPr="00761336" w:rsidRDefault="00000000">
      <w:pPr>
        <w:widowControl/>
        <w:shd w:val="clear" w:color="auto" w:fill="FFFFFF"/>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1316"/>
        <w:gridCol w:w="2570"/>
        <w:gridCol w:w="2570"/>
        <w:gridCol w:w="2570"/>
      </w:tblGrid>
      <w:tr w:rsidR="00D978DF" w:rsidRPr="00761336" w14:paraId="771359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A881F"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502A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4728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A6A0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649EB1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608B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92DB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104.666.142.600.000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BD27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162.523.260.315.000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7262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170.460.067.830.000</w:t>
            </w:r>
          </w:p>
        </w:tc>
      </w:tr>
      <w:tr w:rsidR="00D978DF" w:rsidRPr="00761336" w14:paraId="05E0E7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F62B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9F7A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3.225.153.123.500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F2D06"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7.787.723.257.700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EE0B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4.565.217.082.100</w:t>
            </w:r>
          </w:p>
        </w:tc>
      </w:tr>
    </w:tbl>
    <w:p w14:paraId="20223EEA"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 xml:space="preserve">Quy mô vốn hóa của Hòa Phát vượt trội so với Nam Kim trong toàn bộ giai đoạn: từ 104.666 tỷ đồng (2022) → 162.523 tỷ (2023) → 170.460 tỷ (2024). Hòa Phát nhờ vị thế số 1 ngành thép, vốn hóa luôn duy trì ở mức hàng trăm nghìn tỷ đồng, cho thấy khả năng </w:t>
      </w:r>
      <w:r w:rsidRPr="00761336">
        <w:rPr>
          <w:rFonts w:ascii="Times New Roman" w:eastAsia="Times New Roman" w:hAnsi="Times New Roman" w:cs="Times New Roman"/>
          <w:color w:val="000000"/>
          <w:sz w:val="26"/>
          <w:szCs w:val="26"/>
          <w:lang w:val="zh-CN"/>
        </w:rPr>
        <w:lastRenderedPageBreak/>
        <w:t>huy động vốn và sức hút đối với nhà đầu tư tổ chức. Nam Kim ngược lại chỉ dao động từ 3.225 tỷ → 7.788 tỷ → 4.565 tỷ, vừa nhỏ về quy mô vừa biến động mạnh theo chu kỳ ngành. Điều này phản ánh sự khác biệt rõ rệt giữa doanh nghiệp đầu ngành và doanh nghiệp quy mô trung bình.</w:t>
      </w:r>
    </w:p>
    <w:p w14:paraId="5CD4586B"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u w:val="single"/>
          <w:lang w:val="zh-CN"/>
        </w:rPr>
        <w:t>Kết luận chung về Vốn hóa thị trường (Market Capitalization) của cả Tập đoàn Hòa Phát và Thép Nam Kim </w:t>
      </w:r>
    </w:p>
    <w:p w14:paraId="5950F0AA"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Phân tích cho thấy vốn hóa thị trường của Tập đoàn Hòa Phát (HPG) trong giai đoạn 2022–2024 phản ánh quá trình phục hồi mạnh mẽ, bền vững và ổn định hơn so với phần lớn doanh nghiệp cùng ngành. Đây là minh chứng rõ nét cho sức mạnh nội tại, niềm tin của nhà đầu tư, và vị thế dẫn đầu của Hòa Phát trong lĩnh vực thép Việt Nam.</w:t>
      </w:r>
    </w:p>
    <w:p w14:paraId="112D83E6"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Cụ thể, năm 2022, vốn hóa thị trường chỉ đạt 104,7 nghìn tỷ đồng do tác động tiêu cực từ suy thoái ngành thép và thị trường bất động sản, kéo giá cổ phiếu xuống mức thấp 18.000 đồng/cp. Tuy nhiên, vốn chủ sở hữu vẫn duy trì trên 96 nghìn tỷ đồng, cho thấy nền tảng tài chính vững chắc và sức chống chịu tốt trước biến động kinh tế.</w:t>
      </w:r>
    </w:p>
    <w:p w14:paraId="1A29D5BD"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Sang năm 2023, khi thị trường chứng khoán và nhu cầu đầu tư khởi sắc, giá cổ phiếu HPG tăng lên 27.950 đồng/cp, giúp vốn hóa thị trường tăng gần 55%, đạt 162,5 nghìn tỷ đồng. Dù lợi nhuận chưa phục hồi hoàn toàn, việc vốn hóa tăng nhanh cho thấy nhà đầu tư đặt niềm tin lớn vào tiềm năng tăng trưởng dài hạn và khả năng dẫn dắt chu kỳ phục hồi của ngành thép Việt Nam.</w:t>
      </w:r>
    </w:p>
    <w:p w14:paraId="51F97C91"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Đến năm 2024, Hòa Phát ghi nhận bước phục hồi thực chất: EPS tăng lên 1.751 đồng, vốn chủ sở hữu đạt hơn 114,6 nghìn tỷ đồng, trong khi vốn hóa thị trường tiếp tục đạt 170,4 nghìn tỷ đồng. Mặc dù giá cổ phiếu giảm nhẹ, quy mô vốn hóa vẫn tăng, phản ánh sự ổn định của dòng vốn đầu tư và sức hấp dẫn bền vững của cổ phiếu HPG trên thị trường.</w:t>
      </w:r>
    </w:p>
    <w:p w14:paraId="6B2C9666"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Khi so sánh với Nam Kim (NKG) – doanh nghiệp thép quy mô trung bình, sự chênh lệch rất rõ: Hòa Phát duy trì vốn hóa ở mức hàng trăm nghìn tỷ đồng, dao động từ 104,6 → 170,4 nghìn tỷ đồng, trong khi Nam Kim chỉ ở mức 3,2 → 7,8 → 4,6 nghìn tỷ đồng qua 3 năm. Điều này chứng minh Hòa Phát không chỉ có quy mô vượt trội, mà còn ổn định hơn nhiều so với doanh nghiệp cùng ngành, thể hiện năng lực duy trì thị phần, sức hấp dẫn vốn hóa và khả năng huy động đầu tư quy mô lớn.</w:t>
      </w:r>
    </w:p>
    <w:p w14:paraId="2892AB16" w14:textId="77777777" w:rsidR="00D978DF" w:rsidRPr="00761336" w:rsidRDefault="00000000">
      <w:pPr>
        <w:widowControl/>
        <w:shd w:val="clear" w:color="auto" w:fill="FFFFFF"/>
        <w:spacing w:line="276" w:lineRule="auto"/>
        <w:jc w:val="both"/>
        <w:rPr>
          <w:rFonts w:ascii="Times New Roman" w:eastAsia="Times New Roman" w:hAnsi="Times New Roman" w:cs="Times New Roman"/>
          <w:color w:val="000000"/>
          <w:sz w:val="26"/>
          <w:szCs w:val="26"/>
          <w:lang w:val="vi-VN"/>
        </w:rPr>
      </w:pPr>
      <w:r w:rsidRPr="00761336">
        <w:rPr>
          <w:rFonts w:ascii="Times New Roman" w:eastAsia="Times New Roman" w:hAnsi="Times New Roman" w:cs="Times New Roman"/>
          <w:color w:val="000000"/>
          <w:sz w:val="26"/>
          <w:szCs w:val="26"/>
          <w:lang w:val="zh-CN"/>
        </w:rPr>
        <w:t> Giai đoạn 2022–2024 khẳng định Hòa Phát duy trì vị thế doanh nghiệp dẫn đầu ngành thép Việt Nam, với vốn hóa thị trường tăng trưởng liên tục, phản ánh sức khỏe tài chính vững mạnh, niềm tin của nhà đầu tư và triển vọng dài hạn tích cực. Trong khi các đối thủ như Nam Kim biến động mạnh theo chu kỳ, Hòa Phát nổi bật với quy mô vốn hóa lớn, khả năng phục hồi nhanh và nền tảng phát triển bền vững, tiếp tục là lựa chọn an toàn và hấp dẫn cho các nhà đầu tư dài hạn.</w:t>
      </w:r>
    </w:p>
    <w:p w14:paraId="1DBA315A" w14:textId="77777777" w:rsidR="00D978DF" w:rsidRPr="00761336" w:rsidRDefault="00D978DF">
      <w:pPr>
        <w:widowControl/>
        <w:shd w:val="clear" w:color="auto" w:fill="FFFFFF"/>
        <w:spacing w:line="276" w:lineRule="auto"/>
        <w:outlineLvl w:val="2"/>
        <w:rPr>
          <w:rFonts w:ascii="Times New Roman" w:eastAsia="Times New Roman" w:hAnsi="Times New Roman" w:cs="Times New Roman"/>
          <w:sz w:val="26"/>
          <w:szCs w:val="26"/>
          <w:lang w:val="vi-VN"/>
        </w:rPr>
      </w:pPr>
    </w:p>
    <w:p w14:paraId="0B0412AE" w14:textId="77777777" w:rsidR="00D978DF" w:rsidRPr="00761336" w:rsidRDefault="00000000">
      <w:pPr>
        <w:widowControl/>
        <w:shd w:val="clear" w:color="auto" w:fill="FFFFFF"/>
        <w:spacing w:line="276" w:lineRule="auto"/>
        <w:outlineLvl w:val="2"/>
        <w:rPr>
          <w:rFonts w:ascii="Times New Roman" w:eastAsia="Times New Roman" w:hAnsi="Times New Roman" w:cs="Times New Roman"/>
          <w:b/>
          <w:bCs/>
          <w:color w:val="000000"/>
          <w:sz w:val="26"/>
          <w:szCs w:val="26"/>
          <w:lang w:val="vi-VN"/>
        </w:rPr>
      </w:pPr>
      <w:bookmarkStart w:id="49" w:name="_Toc211973174"/>
      <w:r w:rsidRPr="00761336">
        <w:rPr>
          <w:rFonts w:ascii="Times New Roman" w:eastAsia="Times New Roman" w:hAnsi="Times New Roman" w:cs="Times New Roman"/>
          <w:b/>
          <w:bCs/>
          <w:color w:val="000000"/>
          <w:sz w:val="26"/>
          <w:szCs w:val="26"/>
          <w:lang w:val="vi-VN"/>
        </w:rPr>
        <w:t xml:space="preserve">1.5.4 </w:t>
      </w:r>
      <w:r w:rsidRPr="00761336">
        <w:rPr>
          <w:rFonts w:ascii="Times New Roman" w:eastAsia="Times New Roman" w:hAnsi="Times New Roman" w:cs="Times New Roman"/>
          <w:b/>
          <w:bCs/>
          <w:color w:val="000000"/>
          <w:sz w:val="26"/>
          <w:szCs w:val="26"/>
          <w:lang w:val="zh-CN"/>
        </w:rPr>
        <w:t>Giá trị doanh nghiệp (Enterprise Value)</w:t>
      </w:r>
      <w:bookmarkEnd w:id="49"/>
    </w:p>
    <w:tbl>
      <w:tblPr>
        <w:tblW w:w="0" w:type="auto"/>
        <w:tblCellMar>
          <w:top w:w="15" w:type="dxa"/>
          <w:left w:w="15" w:type="dxa"/>
          <w:bottom w:w="15" w:type="dxa"/>
          <w:right w:w="15" w:type="dxa"/>
        </w:tblCellMar>
        <w:tblLook w:val="04A0" w:firstRow="1" w:lastRow="0" w:firstColumn="1" w:lastColumn="0" w:noHBand="0" w:noVBand="1"/>
      </w:tblPr>
      <w:tblGrid>
        <w:gridCol w:w="2474"/>
        <w:gridCol w:w="2290"/>
        <w:gridCol w:w="2290"/>
        <w:gridCol w:w="2290"/>
      </w:tblGrid>
      <w:tr w:rsidR="00D978DF" w:rsidRPr="00761336" w14:paraId="6886A8E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64D4D8A"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lastRenderedPageBreak/>
              <w:t>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EA4870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8DD77A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344268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57CBDCE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109EDE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Vốn hóa thị trường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4F779F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104.666.142.600.000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0E355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162.523.260.315.000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D224C0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170.460.067.830.000</w:t>
            </w:r>
          </w:p>
        </w:tc>
      </w:tr>
      <w:tr w:rsidR="00D978DF" w:rsidRPr="00761336" w14:paraId="424C301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E61F1F"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Vay ngắn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44D19D"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46.748.670.400.471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82A365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54981883180636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73C4A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55.882.686.213.459</w:t>
            </w:r>
          </w:p>
        </w:tc>
      </w:tr>
      <w:tr w:rsidR="00D978DF" w:rsidRPr="00761336" w14:paraId="107FE0B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DD614E"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Vay dài hạn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EAD8B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11.151.651.204.402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E887CD5"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10399119292481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29D29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27.080.443.256.096</w:t>
            </w:r>
          </w:p>
        </w:tc>
      </w:tr>
      <w:tr w:rsidR="00D978DF" w:rsidRPr="00761336" w14:paraId="0073798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DB9BE1"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Nợ vay có lãi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7F7B558"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57.900.321.604.873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4F4CA1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65381002473117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DF87A2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82.963.129.469.555</w:t>
            </w:r>
          </w:p>
        </w:tc>
      </w:tr>
      <w:tr w:rsidR="00D978DF" w:rsidRPr="00761336" w14:paraId="5493396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08C79D"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Tiền và tương đương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DEC10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8.324.588.920.227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9F290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12.252.001.160.884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F6512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6.887.646.139.852</w:t>
            </w:r>
          </w:p>
        </w:tc>
      </w:tr>
      <w:tr w:rsidR="00D978DF" w:rsidRPr="00761336" w14:paraId="7EAD588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F0EEDA7"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Giá trị doanh nghiệp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ABFFE73"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154.241.875.284.646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291795C"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215.652.261.627.233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E9BABB"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246.535.551.159.703</w:t>
            </w:r>
          </w:p>
        </w:tc>
      </w:tr>
    </w:tbl>
    <w:p w14:paraId="5B29D62F" w14:textId="77777777" w:rsidR="00D978DF" w:rsidRPr="00761336" w:rsidRDefault="00000000">
      <w:pPr>
        <w:widowControl/>
        <w:shd w:val="clear" w:color="auto" w:fill="FFFFFF"/>
        <w:spacing w:before="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Năm 2022, trong bối cảnh giá thép thế giới lao dốc và nhu cầu sụt giảm, vốn hóa thị trường của Hòa Phát chỉ đạt 104,7 nghìn tỷ đồng, trong khi nợ vay có lãi ở mức khá cao, khoảng 57,9 nghìn tỷ đồng, khiến giá trị doanh nghiệp (EV) đạt khoảng 154,2 nghìn tỷ đồng. Dù chịu áp lực từ chi phí lãi vay và thị trường khó khăn, Hòa Phát vẫn duy trì được thanh khoản tương đối ổn định với 8,3 nghìn tỷ đồng tiền và tương đương tiền, cho thấy nền tảng tài chính vững và khả năng chống chịu tốt.</w:t>
      </w:r>
    </w:p>
    <w:p w14:paraId="6F0AC12F"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Sang năm 2023, khi thị trường thép bắt đầu phục hồi, vốn hóa thị trường tăng mạnh lên 162,5 nghìn tỷ đồng, phản ánh niềm tin nhà đầu tư trở lại. Dù nợ vay có lãi tăng nhẹ lên 65,4 nghìn tỷ đồng, Hòa Phát vẫn kiểm soát được rủi ro tài chính nhờ lượng tiền mặt dự trữ tăng lên 12,25 nghìn tỷ đồng. Nhờ đó, giá trị doanh nghiệp (EV) tăng lên 215,65 nghìn tỷ đồng, tương đương mức tăng gần 40% so với năm 2022, cho thấy khả năng mở rộng quy mô và sức hấp dẫn đầu tư ngày càng cao.</w:t>
      </w:r>
    </w:p>
    <w:p w14:paraId="0AA20870"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Đến năm 2024, Hòa Phát bước vào giai đoạn phục hồi toàn diện, khi vốn hóa thị trường đạt 170,46 nghìn tỷ đồng, còn nợ vay có lãi tăng lên 82,96 nghìn tỷ đồng do mở rộng đầu tư vào sản xuất và hạ tầng. Dù tiền mặt giảm xuống 6,89 nghìn tỷ đồng, tổng giá trị doanh nghiệp (EV) vẫn tăng mạnh lên 246,54 nghìn tỷ đồng, cao nhất trong 3 năm. Điều này thể hiện rõ quy mô hoạt động mở rộng, năng lực tài chính lớn và triển vọng tăng trưởng dài hạn tích cực.</w:t>
      </w:r>
    </w:p>
    <w:p w14:paraId="052A546F"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Tổng thể, giai đoạn 2022–2024, EV của Hòa Phát tăng hơn 59%, từ 154,2 nghìn tỷ lên 246,5 nghìn tỷ đồng, minh chứng cho sức bật phục hồi mạnh, uy tín trên thị trường vốn, và khả năng tận dụng đòn bẩy tài chính hợp lý. So với các doanh nghiệp thép khác, Hòa Phát không chỉ duy trì vốn hóa lớn mà còn gia tăng giá trị doanh nghiệp ổn định, khẳng định vị thế tập đoàn thép hàng đầu khu vực Đông Nam Á và là cổ phiếu blue-chip bền vững trong mắt nhà đầu tư dài hạn.</w:t>
      </w:r>
    </w:p>
    <w:p w14:paraId="43F5CC17" w14:textId="77777777" w:rsidR="00D978DF" w:rsidRPr="00761336" w:rsidRDefault="00D978DF">
      <w:pPr>
        <w:widowControl/>
        <w:shd w:val="clear" w:color="auto" w:fill="FFFFFF"/>
        <w:spacing w:line="276" w:lineRule="auto"/>
        <w:jc w:val="both"/>
        <w:rPr>
          <w:rFonts w:ascii="Times New Roman" w:eastAsia="Times New Roman" w:hAnsi="Times New Roman" w:cs="Times New Roman"/>
          <w:b/>
          <w:bCs/>
          <w:i/>
          <w:iCs/>
          <w:color w:val="000000"/>
          <w:sz w:val="26"/>
          <w:szCs w:val="26"/>
          <w:lang w:val="zh-CN"/>
        </w:rPr>
      </w:pPr>
    </w:p>
    <w:p w14:paraId="47A356D0" w14:textId="77777777" w:rsidR="00D978DF" w:rsidRPr="00761336" w:rsidRDefault="00000000">
      <w:pPr>
        <w:rPr>
          <w:rFonts w:ascii="Times New Roman" w:eastAsia="Times New Roman" w:hAnsi="Times New Roman" w:cs="Times New Roman"/>
          <w:b/>
          <w:bCs/>
          <w:i/>
          <w:iCs/>
          <w:color w:val="000000"/>
          <w:sz w:val="26"/>
          <w:szCs w:val="26"/>
          <w:lang w:val="zh-CN"/>
        </w:rPr>
      </w:pPr>
      <w:r w:rsidRPr="00761336">
        <w:rPr>
          <w:rFonts w:ascii="Times New Roman" w:eastAsia="Times New Roman" w:hAnsi="Times New Roman" w:cs="Times New Roman"/>
          <w:b/>
          <w:bCs/>
          <w:i/>
          <w:iCs/>
          <w:color w:val="000000"/>
          <w:sz w:val="26"/>
          <w:szCs w:val="26"/>
          <w:lang w:val="zh-CN"/>
        </w:rPr>
        <w:br w:type="page"/>
      </w:r>
    </w:p>
    <w:p w14:paraId="604635D6"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lastRenderedPageBreak/>
        <w:t>So sánh đối thủ cùng ngành</w:t>
      </w:r>
    </w:p>
    <w:tbl>
      <w:tblPr>
        <w:tblW w:w="9026" w:type="dxa"/>
        <w:tblCellMar>
          <w:top w:w="15" w:type="dxa"/>
          <w:left w:w="15" w:type="dxa"/>
          <w:bottom w:w="15" w:type="dxa"/>
          <w:right w:w="15" w:type="dxa"/>
        </w:tblCellMar>
        <w:tblLook w:val="04A0" w:firstRow="1" w:lastRow="0" w:firstColumn="1" w:lastColumn="0" w:noHBand="0" w:noVBand="1"/>
      </w:tblPr>
      <w:tblGrid>
        <w:gridCol w:w="1316"/>
        <w:gridCol w:w="2570"/>
        <w:gridCol w:w="2570"/>
        <w:gridCol w:w="2570"/>
      </w:tblGrid>
      <w:tr w:rsidR="00D978DF" w:rsidRPr="00761336" w14:paraId="6055ED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C4F81" w14:textId="77777777" w:rsidR="00D978DF" w:rsidRPr="00761336" w:rsidRDefault="00D978DF">
            <w:pPr>
              <w:widowControl/>
              <w:spacing w:line="276" w:lineRule="auto"/>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2A589"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54FEA"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78C8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08E126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2EF90"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D51EF"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154.241.875.284.646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D29DE"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215.652.261.627.233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C2702"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246.535.551.159.703</w:t>
            </w:r>
          </w:p>
        </w:tc>
      </w:tr>
      <w:tr w:rsidR="00D978DF" w:rsidRPr="00761336" w14:paraId="5351B8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9A33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6752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7.334.122.260.061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937A7"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11.769.899.217.999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8DD61" w14:textId="77777777" w:rsidR="00D978DF" w:rsidRPr="00761336" w:rsidRDefault="00000000">
            <w:pPr>
              <w:widowControl/>
              <w:spacing w:line="276" w:lineRule="auto"/>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10.485.089.444.154</w:t>
            </w:r>
          </w:p>
        </w:tc>
      </w:tr>
    </w:tbl>
    <w:p w14:paraId="01263737" w14:textId="77777777" w:rsidR="00D978DF" w:rsidRPr="00761336" w:rsidRDefault="00D978DF">
      <w:pPr>
        <w:widowControl/>
        <w:shd w:val="clear" w:color="auto" w:fill="FFFFFF"/>
        <w:spacing w:line="276" w:lineRule="auto"/>
        <w:rPr>
          <w:rFonts w:ascii="Times New Roman" w:eastAsia="Times New Roman" w:hAnsi="Times New Roman" w:cs="Times New Roman"/>
          <w:sz w:val="26"/>
          <w:szCs w:val="26"/>
          <w:lang w:val="zh-CN"/>
        </w:rPr>
      </w:pPr>
    </w:p>
    <w:p w14:paraId="3220EA36"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Giá trị doanh nghiệp của Hòa Phát tăng liên tục, từ 154.242 tỷ (2022) → 215.652 tỷ (2023) → 246.536 tỷ (2024), chứng tỏ quy mô ngày càng mở rộng. Tuy nhiên, mức tăng này một phần đến từ nợ vay có lãi (năm 2024 tăng lên 82.963 tỷ), điều này hàm ý áp lực tài chính cũng cao hơn. Nam Kim có EV khiêm tốn, chỉ từ 7.334 tỷ (2022) → 11.770 tỷ (2023) → 10.485 tỷ (2024), thể hiện vị thế nhỏ hơn và phụ thuộc nhiều vào biến động vốn hóa thị trường. So sánh cho thấy EV của Hòa Phát gần gấp 20–25 lần Nam Kim, phản ánh sự chênh lệch rất lớn về giá trị thực tế và sức mạnh tài chính.</w:t>
      </w:r>
    </w:p>
    <w:p w14:paraId="33C5DA0F"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u w:val="single"/>
          <w:lang w:val="zh-CN"/>
        </w:rPr>
        <w:t>Kết luận chung về giá trị doanh nghiệp (EV) của của cả Tập đoàn Hòa Phát và Thép Nam Kim </w:t>
      </w:r>
    </w:p>
    <w:p w14:paraId="484B3885"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giai đoạn 2022–2024, Hòa Phát (HPG) thể hiện đà phục hồi mạnh mẽ và ổn định, với giá trị doanh nghiệp tăng hơn 59%, từ 154,2 nghìn tỷ lên 246,5 nghìn tỷ đồng. Sự tăng trưởng này đến từ quá trình phục hồi của ngành thép, niềm tin trở lại của nhà đầu tư và khả năng mở rộng quy mô sản xuất – hạ tầng của tập đoàn. Dù nợ vay có lãi tăng lên đáng kể (từ 57,9 nghìn tỷ lên 82,96 nghìn tỷ đồng), Hòa Phát vẫn duy trì được thanh khoản và sức khỏe tài chính nhờ dòng tiền ổn định và hiệu quả vận hành tốt. EV tăng liên tục qua ba năm cho thấy Hòa Phát không chỉ dẫn đầu ngành thép Việt Nam mà còn đang củng cố vị thế trong khu vực Đông Nam Á, trở thành doanh nghiệp có sức hấp dẫn cao đối với các nhà đầu tư dài hạn.</w:t>
      </w:r>
    </w:p>
    <w:p w14:paraId="08C417F4"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Ngược lại, Nam Kim (NKG) dù có sự cải thiện trong năm 2023 (EV tăng từ 7.334 tỷ lên 11.770 tỷ đồng), nhưng đến năm 2024 lại giảm nhẹ xuống 10.485 tỷ đồng, cho thấy quy mô tăng trưởng chưa bền vững và chịu tác động lớn từ biến động thị trường. Quy mô EV của Nam Kim chỉ bằng khoảng 4–5% giá trị của Hòa Phát, phản ánh rõ sự khác biệt về năng lực tài chính, khả năng mở rộng sản xuất và vị thế thương hiệu.</w:t>
      </w:r>
    </w:p>
    <w:p w14:paraId="65D7AE66" w14:textId="77777777" w:rsidR="00D978DF" w:rsidRPr="00761336" w:rsidRDefault="00000000">
      <w:pPr>
        <w:widowControl/>
        <w:shd w:val="clear" w:color="auto" w:fill="FFFFFF"/>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Tổng thể, Hòa Phát tiếp tục là doanh nghiệp đầu ngành với nền tảng tài chính vững, quy mô vượt trội và chiến lược tăng trưởng dài hạn hiệu quả, trong khi Nam Kim dù linh hoạt và có khả năng tận dụng chu kỳ phục hồi của ngành, vẫn ở quy mô vừa và cần củng cố năng lực vốn, giảm phụ thuộc vào biến động giá thép và chi phí vay để tăng tính bền vững trong tương lai.</w:t>
      </w:r>
    </w:p>
    <w:p w14:paraId="1E4A7931" w14:textId="77777777" w:rsidR="00D978DF" w:rsidRPr="00761336" w:rsidRDefault="00D978DF">
      <w:pPr>
        <w:widowControl/>
        <w:shd w:val="clear" w:color="auto" w:fill="FFFFFF"/>
        <w:spacing w:line="276" w:lineRule="auto"/>
        <w:rPr>
          <w:rFonts w:ascii="Times New Roman" w:eastAsia="Times New Roman" w:hAnsi="Times New Roman" w:cs="Times New Roman"/>
          <w:sz w:val="26"/>
          <w:szCs w:val="26"/>
          <w:lang w:val="zh-CN"/>
        </w:rPr>
      </w:pPr>
    </w:p>
    <w:p w14:paraId="2A180320" w14:textId="77777777" w:rsidR="00D978DF" w:rsidRPr="00761336" w:rsidRDefault="00000000">
      <w:pPr>
        <w:pStyle w:val="Heading3"/>
        <w:spacing w:line="276" w:lineRule="auto"/>
        <w:rPr>
          <w:rFonts w:ascii="Times New Roman" w:eastAsia="Times New Roman" w:hAnsi="Times New Roman" w:cs="Times New Roman"/>
          <w:sz w:val="26"/>
          <w:szCs w:val="26"/>
          <w:lang w:val="vi-VN"/>
        </w:rPr>
      </w:pPr>
      <w:bookmarkStart w:id="50" w:name="_Toc211973175"/>
      <w:r w:rsidRPr="00761336">
        <w:rPr>
          <w:rFonts w:ascii="Times New Roman" w:eastAsia="Times New Roman" w:hAnsi="Times New Roman" w:cs="Times New Roman"/>
          <w:b/>
          <w:bCs/>
          <w:color w:val="000000"/>
          <w:sz w:val="26"/>
          <w:szCs w:val="26"/>
          <w:lang w:val="vi-VN"/>
        </w:rPr>
        <w:lastRenderedPageBreak/>
        <w:t>1</w:t>
      </w:r>
      <w:r w:rsidRPr="00761336">
        <w:rPr>
          <w:rFonts w:ascii="Times New Roman" w:eastAsia="Times New Roman" w:hAnsi="Times New Roman" w:cs="Times New Roman"/>
          <w:b/>
          <w:bCs/>
          <w:color w:val="000000"/>
          <w:sz w:val="26"/>
          <w:szCs w:val="26"/>
          <w:lang w:val="zh-CN"/>
        </w:rPr>
        <w:t>.5.5 Bội số giá trị doanh nghiệp (Enterprise Value Multiples)</w:t>
      </w:r>
      <w:bookmarkEnd w:id="50"/>
    </w:p>
    <w:tbl>
      <w:tblPr>
        <w:tblW w:w="0" w:type="auto"/>
        <w:tblCellMar>
          <w:top w:w="15" w:type="dxa"/>
          <w:left w:w="15" w:type="dxa"/>
          <w:bottom w:w="15" w:type="dxa"/>
          <w:right w:w="15" w:type="dxa"/>
        </w:tblCellMar>
        <w:tblLook w:val="04A0" w:firstRow="1" w:lastRow="0" w:firstColumn="1" w:lastColumn="0" w:noHBand="0" w:noVBand="1"/>
      </w:tblPr>
      <w:tblGrid>
        <w:gridCol w:w="2474"/>
        <w:gridCol w:w="2290"/>
        <w:gridCol w:w="2290"/>
        <w:gridCol w:w="2290"/>
      </w:tblGrid>
      <w:tr w:rsidR="00D978DF" w:rsidRPr="00761336" w14:paraId="5A7EB31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63CB08C" w14:textId="77777777" w:rsidR="00D978DF" w:rsidRPr="00761336" w:rsidRDefault="00000000">
            <w:pPr>
              <w:widowControl/>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14DE778"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4B59CC4"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64BF18D"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7736877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9A89553" w14:textId="77777777" w:rsidR="00D978DF" w:rsidRPr="00761336" w:rsidRDefault="00000000">
            <w:pPr>
              <w:widowControl/>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Giá trị doanh nghiệp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3757E8C"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154.241.875.284.646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D84A231"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215.652.261.627.233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4F09C4"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246.535.551.159.703</w:t>
            </w:r>
          </w:p>
        </w:tc>
      </w:tr>
      <w:tr w:rsidR="00D978DF" w:rsidRPr="00761336" w14:paraId="5BA01FB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1F86D61" w14:textId="77777777" w:rsidR="00D978DF" w:rsidRPr="00761336" w:rsidRDefault="00000000">
            <w:pPr>
              <w:widowControl/>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EBIT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288C0BC"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13.006.579.259.102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356C35E"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11.377.806.427.054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291BA2C"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15.980.863.072.058</w:t>
            </w:r>
          </w:p>
        </w:tc>
      </w:tr>
      <w:tr w:rsidR="00D978DF" w:rsidRPr="00761336" w14:paraId="1AF283E9"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8ECD74B" w14:textId="77777777" w:rsidR="00D978DF" w:rsidRPr="00761336" w:rsidRDefault="00000000">
            <w:pPr>
              <w:widowControl/>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Khấu 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0C13BE"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6.759.462.100.582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75E1C0A"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6.761.933.539.397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066986E"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6.915.671.331.197</w:t>
            </w:r>
          </w:p>
        </w:tc>
      </w:tr>
      <w:tr w:rsidR="00D978DF" w:rsidRPr="00761336" w14:paraId="09A753A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4BB5437" w14:textId="77777777" w:rsidR="00D978DF" w:rsidRPr="00761336" w:rsidRDefault="00000000">
            <w:pPr>
              <w:widowControl/>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EBITDA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19AA244"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19.766.041.359.684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44FCDD7"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18.139.739.966.451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498815B"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22.896.534.403.255</w:t>
            </w:r>
          </w:p>
        </w:tc>
      </w:tr>
      <w:tr w:rsidR="00D978DF" w:rsidRPr="00761336" w14:paraId="4D6B793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3409906" w14:textId="77777777" w:rsidR="00D978DF" w:rsidRPr="00761336" w:rsidRDefault="00000000">
            <w:pPr>
              <w:widowControl/>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Bội số giá trị doanh nghiệp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03B6698"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7,80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1DB8433"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11,89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D6B6E18"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color w:val="000000"/>
                <w:sz w:val="26"/>
                <w:szCs w:val="26"/>
                <w:lang w:val="zh-CN"/>
              </w:rPr>
              <w:t>10,77</w:t>
            </w:r>
          </w:p>
        </w:tc>
      </w:tr>
    </w:tbl>
    <w:p w14:paraId="2F152AFD" w14:textId="77777777" w:rsidR="00D978DF" w:rsidRPr="00761336" w:rsidRDefault="00000000">
      <w:pPr>
        <w:widowControl/>
        <w:shd w:val="clear" w:color="auto" w:fill="FFFFFF"/>
        <w:spacing w:before="240"/>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Năm 2022 là giai đoạn nền tảng với giá trị doanh nghiệp đạt 154.241 tỷ đồng, cùng EBIT đạt 13.007 tỷ đồng và khấu hao 6.759 tỷ đồng, tạo ra EBITDA khoảng 19.766 tỷ đồng. Bội số EV/EBITDA ở mức 7,80 cho thấy doanh nghiệp được định giá ở mức hợp lý, phản ánh kỳ vọng thị trường ổn định. Đây là giai đoạn doanh nghiệp hoạt động hiệu quả, khả năng sinh lời cao, và mức định giá tương xứng với hiệu quả kinh doanh thực tế.</w:t>
      </w:r>
    </w:p>
    <w:p w14:paraId="5A1EEBBF" w14:textId="77777777" w:rsidR="00D978DF" w:rsidRPr="00761336" w:rsidRDefault="00000000">
      <w:pPr>
        <w:widowControl/>
        <w:shd w:val="clear" w:color="auto" w:fill="FFFFFF"/>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Sang năm 2023, giá trị doanh nghiệp tăng mạnh lên 215.652 tỷ đồng (tăng hơn 39,8% so với 2022), tuy nhiên EBIT giảm xuống còn 11.378 tỷ đồng, cho thấy biên lợi nhuận hoạt động bị thu hẹp. Mặc dù khấu hao gần như không đổi (6.762 tỷ đồng), tổng EBITDA giảm nhẹ còn 18.140 tỷ đồng. Trong khi đó, bội số EV/EBITDA tăng vọt lên 11,89, phản ánh việc thị trường định giá doanh nghiệp cao hơn nhiều so với khả năng sinh lời thực tế. Điều này có thể đến từ kỳ vọng tăng trưởng tương lai hoặc tác động từ yếu tố đầu cơ, khiến định giá tạm thời vượt xa giá trị nội tại.</w:t>
      </w:r>
    </w:p>
    <w:p w14:paraId="6F46F54C" w14:textId="77777777" w:rsidR="00D978DF" w:rsidRPr="00761336" w:rsidRDefault="00000000">
      <w:pPr>
        <w:widowControl/>
        <w:shd w:val="clear" w:color="auto" w:fill="FFFFFF"/>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Đến năm 2024, giá trị doanh nghiệp tiếp tục tăng lên 246.536 tỷ đồng, tăng thêm 14,3% so với 2023. EBIT phục hồi mạnh mẽ lên 15.981 tỷ đồng, cho thấy doanh nghiệp đã tái lập hiệu quả hoạt động và cải thiện lợi nhuận sau giai đoạn suy giảm. Khấu hao tăng nhẹ lên 6.916 tỷ đồng, kéo EBITDA tăng mạnh lên 22.897 tỷ đồng. Bội số EV/EBITDA giảm còn 10,77, phản ánh sự điều chỉnh hợp lý của định giá thị trường so với kết quả kinh doanh thực tế. Đây là tín hiệu tích cực, cho thấy doanh nghiệp đang bước vào chu kỳ tăng trưởng bền vững hơn với mức định giá tiệm cận giá trị thật.</w:t>
      </w:r>
    </w:p>
    <w:p w14:paraId="103D4891" w14:textId="77777777" w:rsidR="00D978DF" w:rsidRPr="00761336" w:rsidRDefault="00000000">
      <w:pPr>
        <w:widowControl/>
        <w:shd w:val="clear" w:color="auto" w:fill="FFFFFF"/>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Doanh nghiệp thể hiện xu hướng tăng trưởng rõ rệt về quy mô, đi kèm với khả năng phục hồi lợi nhuận sau giai đoạn tạm thời suy giảm. Mặc dù bội số định giá biến động, nhưng đến 2024, các chỉ tiêu tài chính cho thấy sự cân bằng trở lại giữa giá trị thị trường và năng lực sinh lời, phản ánh nền tảng hoạt động vững chắc và niềm tin phục hồi của nhà đầu tư.</w:t>
      </w:r>
    </w:p>
    <w:p w14:paraId="1A15A1FE" w14:textId="77777777" w:rsidR="00D978DF" w:rsidRPr="00761336" w:rsidRDefault="00D978DF">
      <w:pPr>
        <w:widowControl/>
        <w:shd w:val="clear" w:color="auto" w:fill="FFFFFF"/>
        <w:rPr>
          <w:rFonts w:ascii="Times New Roman" w:eastAsia="Times New Roman" w:hAnsi="Times New Roman" w:cs="Times New Roman"/>
          <w:color w:val="000000"/>
          <w:sz w:val="26"/>
          <w:szCs w:val="26"/>
          <w:lang w:val="zh-CN"/>
        </w:rPr>
      </w:pPr>
    </w:p>
    <w:p w14:paraId="4AF45368" w14:textId="77777777" w:rsidR="00D978DF" w:rsidRPr="00761336" w:rsidRDefault="00000000">
      <w:pPr>
        <w:widowControl/>
        <w:shd w:val="clear" w:color="auto" w:fill="FFFFFF"/>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lang w:val="zh-CN"/>
        </w:rPr>
        <w:t>So sánh đối thủ cùng ngành</w:t>
      </w:r>
    </w:p>
    <w:p w14:paraId="1A309739" w14:textId="77777777" w:rsidR="00D978DF" w:rsidRPr="00761336" w:rsidRDefault="00D978DF">
      <w:pPr>
        <w:widowControl/>
        <w:shd w:val="clear" w:color="auto" w:fill="FFFFFF"/>
        <w:rPr>
          <w:rFonts w:ascii="Times New Roman" w:eastAsia="Times New Roman" w:hAnsi="Times New Roman" w:cs="Times New Roman"/>
          <w:sz w:val="26"/>
          <w:szCs w:val="26"/>
          <w:lang w:val="zh-CN"/>
        </w:rPr>
      </w:pPr>
    </w:p>
    <w:tbl>
      <w:tblPr>
        <w:tblW w:w="9026" w:type="dxa"/>
        <w:tblCellMar>
          <w:top w:w="15" w:type="dxa"/>
          <w:left w:w="15" w:type="dxa"/>
          <w:bottom w:w="15" w:type="dxa"/>
          <w:right w:w="15" w:type="dxa"/>
        </w:tblCellMar>
        <w:tblLook w:val="04A0" w:firstRow="1" w:lastRow="0" w:firstColumn="1" w:lastColumn="0" w:noHBand="0" w:noVBand="1"/>
      </w:tblPr>
      <w:tblGrid>
        <w:gridCol w:w="3101"/>
        <w:gridCol w:w="1975"/>
        <w:gridCol w:w="1975"/>
        <w:gridCol w:w="1975"/>
      </w:tblGrid>
      <w:tr w:rsidR="00D978DF" w:rsidRPr="00761336" w14:paraId="4D3841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62266" w14:textId="77777777" w:rsidR="00D978DF" w:rsidRPr="00761336" w:rsidRDefault="00D978DF">
            <w:pPr>
              <w:widowControl/>
              <w:rPr>
                <w:rFonts w:ascii="Times New Roman" w:eastAsia="Times New Roman" w:hAnsi="Times New Roman" w:cs="Times New Roman"/>
                <w:sz w:val="26"/>
                <w:szCs w:val="26"/>
                <w:lang w:val="zh-C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281D7"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BE655"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FFA75"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00E185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40604"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77922"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ED13E"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DF15E"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10,77</w:t>
            </w:r>
          </w:p>
        </w:tc>
      </w:tr>
      <w:tr w:rsidR="00D978DF" w:rsidRPr="00761336" w14:paraId="2D4811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23894"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Nam Kim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173D7"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10,61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5B786"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13,92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E8743" w14:textId="77777777" w:rsidR="00D978DF" w:rsidRPr="00761336" w:rsidRDefault="00000000">
            <w:pPr>
              <w:widowControl/>
              <w:jc w:val="center"/>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9,23</w:t>
            </w:r>
          </w:p>
        </w:tc>
      </w:tr>
    </w:tbl>
    <w:p w14:paraId="40D9CDE5" w14:textId="77777777" w:rsidR="00D978DF" w:rsidRPr="00761336" w:rsidRDefault="00D978DF">
      <w:pPr>
        <w:widowControl/>
        <w:shd w:val="clear" w:color="auto" w:fill="FFFFFF"/>
        <w:rPr>
          <w:rFonts w:ascii="Times New Roman" w:eastAsia="Times New Roman" w:hAnsi="Times New Roman" w:cs="Times New Roman"/>
          <w:sz w:val="26"/>
          <w:szCs w:val="26"/>
          <w:lang w:val="zh-CN"/>
        </w:rPr>
      </w:pPr>
    </w:p>
    <w:p w14:paraId="7EBC93B1" w14:textId="77777777" w:rsidR="00D978DF" w:rsidRPr="00761336" w:rsidRDefault="00000000">
      <w:pPr>
        <w:widowControl/>
        <w:spacing w:before="240" w:after="240"/>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giai đoạn 2022–2024, bội số EV/EBITDA của Hòa Phát (HPG) và Nam Kim (NKG) cho thấy sự khác biệt rõ rệt về mức định giá và độ ổn định tài chính. Năm 2022, Hòa Phát có bội số 7,80 – thấp hơn Nam Kim (10,61), phản ánh mức định giá hấp dẫn hơn nhờ quy mô lớn, chi phí sản xuất thấp và hiệu quả hoạt động ổn định. Sang năm 2023, cả hai doanh nghiệp đều ghi nhận bội số tăng mạnh (HPG: 11,89; NKG: 13,92), cho thấy kỳ vọng thị trường vào sự phục hồi của ngành thép, nhưng Hòa Phát vẫn duy trì định giá hợp lý hơn. Đến năm 2024, bội số của Hòa Phát giảm nhẹ còn 10,77 trong khi Nam Kim giảm mạnh xuống 9,23, phản ánh xu hướng điều chỉnh về giá trị thực và hiệu quả hoạt động cải thiện. Nhìn chung, Hòa Phát duy trì vị thế ổn định với biến động định giá thấp, trong khi Nam Kim thể hiện khả năng phục hồi nhanh hơn nhưng tiềm ẩn rủi ro chu kỳ cao hơn.</w:t>
      </w:r>
    </w:p>
    <w:p w14:paraId="237AF4C6" w14:textId="77777777" w:rsidR="00D978DF" w:rsidRPr="00761336" w:rsidRDefault="00000000">
      <w:pPr>
        <w:widowControl/>
        <w:spacing w:before="240" w:after="240"/>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b/>
          <w:bCs/>
          <w:i/>
          <w:iCs/>
          <w:color w:val="000000"/>
          <w:sz w:val="26"/>
          <w:szCs w:val="26"/>
          <w:u w:val="single"/>
          <w:lang w:val="zh-CN"/>
        </w:rPr>
        <w:t>Kết luận chung về bội số giá trị doanh nghiệp (EV/EBITDA) của của cả Tập đoàn Hòa Phát và Thép Nam Kim </w:t>
      </w:r>
    </w:p>
    <w:p w14:paraId="3F0D12FE" w14:textId="77777777" w:rsidR="00D978DF" w:rsidRPr="00761336" w:rsidRDefault="00000000">
      <w:pPr>
        <w:widowControl/>
        <w:spacing w:before="240" w:after="240"/>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Giai đoạn 2022–2024 cho thấy cả Hòa Phát (HPG) và Nam Kim (NKG) đều trải qua những biến động trong hiệu quả kinh doanh và định giá, nhưng với các đặc trưng khác nhau về quy mô, khả năng sinh lời và mức độ ổn định tài chính.</w:t>
      </w:r>
    </w:p>
    <w:p w14:paraId="739E638D" w14:textId="77777777" w:rsidR="00D978DF" w:rsidRPr="00761336" w:rsidRDefault="00000000">
      <w:pPr>
        <w:widowControl/>
        <w:spacing w:before="240" w:after="240"/>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Hòa Phát bắt đầu năm 2022 với giá trị doanh nghiệp 154.242 tỷ đồng, EBIT đạt 13.007 tỷ đồng, khấu hao 6.759 tỷ đồng và EBITDA khoảng 19.766 tỷ đồng. Bội số EV/EBITDA ở mức 7,80 cho thấy doanh nghiệp được định giá hợp lý, phản ánh kỳ vọng ổn định của thị trường. Năm 2023, giá trị doanh nghiệp tăng mạnh lên 215.652 tỷ đồng (tăng ~39,8%), nhưng EBIT giảm xuống 11.378 tỷ đồng, dẫn đến EBITDA giảm nhẹ còn 18.140 tỷ đồng. Bội số EV/EBITDA tăng vọt lên 11,89, cho thấy thị trường định giá Hòa Phát cao hơn so với khả năng sinh lời thực tế, chủ yếu do kỳ vọng tăng trưởng ngành thép. Đến năm 2024, doanh nghiệp phục hồi mạnh mẽ khi EBIT đạt 15.981 tỷ đồng, EBITDA tăng lên 22.897 tỷ đồng, và bội số EV/EBITDA giảm xuống 10,77, phản ánh sự điều chỉnh hợp lý của định giá thị trường. Tổng thể, Hòa Phát duy trì nền tảng tài chính vững chắc, dòng tiền ổn định và khả năng sinh lời bền vững, đồng thời kiểm soát hiệu quả chi phí và khấu hao, giúp cân bằng giữa tăng trưởng và an toàn tài chính.</w:t>
      </w:r>
    </w:p>
    <w:p w14:paraId="1E5E0ACA" w14:textId="77777777" w:rsidR="00D978DF" w:rsidRPr="00761336" w:rsidRDefault="00000000">
      <w:pPr>
        <w:widowControl/>
        <w:spacing w:before="240" w:after="240"/>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Nam Kim có bội số EV/EBITDA cao hơn Hòa Phát trong năm 2022 và 2023 (10,61 và 13,92), mặc dù quy mô doanh nghiệp nhỏ hơn. Điều này phản ánh thị trường định giá Nam Kim cao hơn so với năng lực tạo lợi nhuận thực tế, có thể đến từ kỳ vọng tăng trưởng ngắn hạn hoặc ảnh hưởng của giá thép cuộn cán nguội biến động mạnh. Năm 2024, bội số của Nam Kim giảm xuống 9,23, cho thấy định giá đang dần phản ánh sát hơn với hiệu quả hoạt động thực, nhưng mức biến động vẫn cao hơn Hòa Phát, phản ánh rủi ro chu kỳ lớn hơn và khả năng chịu áp lực thị trường yếu hơn.</w:t>
      </w:r>
    </w:p>
    <w:p w14:paraId="18D0B6E2" w14:textId="77777777" w:rsidR="00D978DF" w:rsidRPr="00761336" w:rsidRDefault="00000000">
      <w:pPr>
        <w:widowControl/>
        <w:spacing w:before="240" w:after="240"/>
        <w:jc w:val="both"/>
        <w:rPr>
          <w:rFonts w:ascii="Times New Roman" w:eastAsia="Times New Roman" w:hAnsi="Times New Roman" w:cs="Times New Roman"/>
          <w:sz w:val="26"/>
          <w:szCs w:val="26"/>
          <w:lang w:val="vi-VN"/>
        </w:rPr>
      </w:pPr>
      <w:r w:rsidRPr="00761336">
        <w:rPr>
          <w:rFonts w:ascii="Times New Roman" w:eastAsia="Times New Roman" w:hAnsi="Times New Roman" w:cs="Times New Roman"/>
          <w:color w:val="000000"/>
          <w:sz w:val="26"/>
          <w:szCs w:val="26"/>
          <w:lang w:val="zh-CN"/>
        </w:rPr>
        <w:lastRenderedPageBreak/>
        <w:t>So sánh cả hai doanh nghiệp cho thấy Hòa Phát có quy mô lớn, chi phí sản xuất thấp, dòng tiền ổn định, khả năng phục hồi EBIT và EBITDA nhanh sau suy giảm, bội số EV/EBITDA biến động vừa phải, định giá hợp lý và bền vững. Nam Kim có quy mô nhỏ hơn, định giá biến động mạnh, phụ thuộc nhiều vào chu kỳ giá thép, khả năng sinh lời biến động theo ngắn hạn, nhưng có tiềm năng phục hồi nhanh khi thị trường thuận lợi.</w:t>
      </w:r>
    </w:p>
    <w:p w14:paraId="1A04CB3A" w14:textId="77777777" w:rsidR="00D978DF" w:rsidRPr="00761336" w:rsidRDefault="00000000">
      <w:pPr>
        <w:widowControl/>
        <w:spacing w:before="240" w:after="240"/>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Nhìn chung, Hòa Phát duy trì vị thế dẫn đầu, mức định giá ổn định và khả năng sinh lời bền vững, trong khi Nam Kim cho thấy tốc độ phục hồi nhanh hơn nhưng kèm rủi ro chu kỳ cao hơn. Sự khác biệt này nhấn mạnh ưu thế cạnh tranh của Hòa Phát về quy mô, hiệu quả vận hành và quản trị tài chính, đồng thời minh chứng cho niềm tin của nhà đầu tư vào sự ổn định và tăng trưởng dài hạn của doanh nghiệp.</w:t>
      </w:r>
    </w:p>
    <w:p w14:paraId="44F542B7" w14:textId="77777777" w:rsidR="00D978DF" w:rsidRPr="00761336" w:rsidRDefault="00000000">
      <w:pPr>
        <w:pStyle w:val="Heading1"/>
        <w:spacing w:line="276" w:lineRule="auto"/>
        <w:rPr>
          <w:rFonts w:ascii="Times New Roman" w:eastAsia="Times New Roman" w:hAnsi="Times New Roman" w:cs="Times New Roman"/>
          <w:sz w:val="26"/>
          <w:szCs w:val="26"/>
          <w:lang w:val="zh-CN"/>
        </w:rPr>
      </w:pPr>
      <w:bookmarkStart w:id="51" w:name="_Toc211973176"/>
      <w:r w:rsidRPr="00761336">
        <w:rPr>
          <w:rFonts w:ascii="Times New Roman" w:eastAsia="Times New Roman" w:hAnsi="Times New Roman" w:cs="Times New Roman"/>
          <w:b/>
          <w:bCs/>
          <w:color w:val="000000"/>
          <w:sz w:val="26"/>
          <w:szCs w:val="26"/>
          <w:lang w:val="vi-VN"/>
        </w:rPr>
        <w:t>2.</w:t>
      </w:r>
      <w:r w:rsidRPr="00761336">
        <w:rPr>
          <w:rFonts w:ascii="Times New Roman" w:eastAsia="Times New Roman" w:hAnsi="Times New Roman" w:cs="Times New Roman"/>
          <w:b/>
          <w:bCs/>
          <w:color w:val="000000"/>
          <w:sz w:val="26"/>
          <w:szCs w:val="26"/>
          <w:lang w:val="zh-CN"/>
        </w:rPr>
        <w:t xml:space="preserve"> Phân tích Dupont</w:t>
      </w:r>
      <w:bookmarkEnd w:id="51"/>
    </w:p>
    <w:p w14:paraId="100D4DBC"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52" w:name="_Toc211973177"/>
      <w:r w:rsidRPr="00761336">
        <w:rPr>
          <w:rFonts w:ascii="Times New Roman" w:eastAsia="Times New Roman" w:hAnsi="Times New Roman" w:cs="Times New Roman"/>
          <w:b/>
          <w:bCs/>
          <w:color w:val="000000"/>
          <w:sz w:val="26"/>
          <w:szCs w:val="26"/>
          <w:lang w:val="vi-VN"/>
        </w:rPr>
        <w:t>2.1</w:t>
      </w:r>
      <w:r w:rsidRPr="00761336">
        <w:rPr>
          <w:rFonts w:ascii="Times New Roman" w:eastAsia="Times New Roman" w:hAnsi="Times New Roman" w:cs="Times New Roman"/>
          <w:b/>
          <w:bCs/>
          <w:color w:val="000000"/>
          <w:sz w:val="26"/>
          <w:szCs w:val="26"/>
          <w:lang w:val="zh-CN"/>
        </w:rPr>
        <w:t xml:space="preserve"> Chia tách hoạt động RNOA</w:t>
      </w:r>
      <w:bookmarkEnd w:id="52"/>
    </w:p>
    <w:p w14:paraId="696BE44F" w14:textId="77777777" w:rsidR="00D978DF" w:rsidRPr="00761336" w:rsidRDefault="00D978DF">
      <w:pPr>
        <w:widowControl/>
        <w:spacing w:line="276" w:lineRule="auto"/>
        <w:rPr>
          <w:rFonts w:ascii="Times New Roman" w:eastAsia="Times New Roman" w:hAnsi="Times New Roman" w:cs="Times New Roman"/>
          <w:sz w:val="26"/>
          <w:szCs w:val="26"/>
          <w:lang w:val="zh-CN"/>
        </w:rPr>
      </w:pPr>
    </w:p>
    <w:tbl>
      <w:tblPr>
        <w:tblW w:w="0" w:type="auto"/>
        <w:tblCellMar>
          <w:top w:w="15" w:type="dxa"/>
          <w:left w:w="15" w:type="dxa"/>
          <w:bottom w:w="15" w:type="dxa"/>
          <w:right w:w="15" w:type="dxa"/>
        </w:tblCellMar>
        <w:tblLook w:val="04A0" w:firstRow="1" w:lastRow="0" w:firstColumn="1" w:lastColumn="0" w:noHBand="0" w:noVBand="1"/>
      </w:tblPr>
      <w:tblGrid>
        <w:gridCol w:w="2330"/>
        <w:gridCol w:w="872"/>
        <w:gridCol w:w="872"/>
        <w:gridCol w:w="872"/>
      </w:tblGrid>
      <w:tr w:rsidR="00D978DF" w:rsidRPr="00761336" w14:paraId="41C3B5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2A1AF"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Phân tích RNOA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1A180"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D66C5"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C610B"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18265D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1FB93"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NOPAT/Sales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CED2E"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3A8B9"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C7EB9"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9,21%</w:t>
            </w:r>
          </w:p>
        </w:tc>
      </w:tr>
      <w:tr w:rsidR="00D978DF" w:rsidRPr="00761336" w14:paraId="4C80E9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DD618"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Sales/Average NOA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B0267"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7FF48"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97381"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0,94</w:t>
            </w:r>
          </w:p>
        </w:tc>
      </w:tr>
      <w:tr w:rsidR="00D978DF" w:rsidRPr="00761336" w14:paraId="48D145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D2104"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RNOA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858EB"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7E744"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008E0"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7,5%</w:t>
            </w:r>
          </w:p>
        </w:tc>
      </w:tr>
    </w:tbl>
    <w:p w14:paraId="1F728DAD"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ab/>
      </w:r>
    </w:p>
    <w:p w14:paraId="08B1DD86"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NOPAT/Sales: biên lợi nhuận ròng của Hòa Phát thể hiện xu hướng tích cực. Năm 2022, tỷ suất NOPAT trên doanh thu đạt 7,36%, sang năm 2023 tăng nhẹ lên 7,65%, và bước sang năm 2024 ghi nhận mức tăng đáng kể, đạt 9,21%. Điều này cho thấy Hòa Phát đã không ngừng nâng cao hiệu quả hoạt động kinh doanh, kiểm soát chi phí tốt hơn và tối ưu hóa lợi nhuận trên mỗi đồng doanh thu. Đặc biệt, mức tăng mạnh năm 2024 phản ánh sự cải thiện rõ rệt trong quản trị chi phí và khả năng sinh lời từ các sản phẩm kinh doanh chủ lực, góp phần củng cố vị thế tài chính.</w:t>
      </w:r>
    </w:p>
    <w:p w14:paraId="2A8C0F95" w14:textId="77777777" w:rsidR="00D978DF" w:rsidRPr="00761336" w:rsidRDefault="00D978DF">
      <w:pPr>
        <w:widowControl/>
        <w:spacing w:line="276" w:lineRule="auto"/>
        <w:jc w:val="both"/>
        <w:rPr>
          <w:rFonts w:ascii="Times New Roman" w:eastAsia="Times New Roman" w:hAnsi="Times New Roman" w:cs="Times New Roman"/>
          <w:color w:val="000000"/>
          <w:sz w:val="26"/>
          <w:szCs w:val="26"/>
          <w:lang w:val="vi-VN"/>
        </w:rPr>
      </w:pPr>
    </w:p>
    <w:p w14:paraId="5A3E9FEB"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Sales/Average NOA: Khả năng sử dụng tài sản hoạt động để tạo doanh thu của Hòa Phát trong giai đoạn này lại cho thấy xu hướng giảm. Năm 2022, hệ số vòng quay tài sản đạt 1,11; năm 2023 giảm xuống 0,97, và năm 2024 tiếp tục giảm nhẹ còn 0,94. Sự giảm này cho thấy mỗi đồng tài sản hoạt động của Tập đoàn tạo ra doanh thu thấp hơn theo thời gian, phản ánh áp lực từ việc đầu tư mở rộng tài sản hoặc sự thay đổi cơ cấu tài sản không đồng đều. Đây là một tín hiệu cho thấy Hòa Phát cần tiếp tục tối ưu hóa việc sử dụng tài sản, nâng cao hiệu quả khai thác nguồn lực hiện có để đảm bảo tăng trưởng bền vững.</w:t>
      </w:r>
    </w:p>
    <w:p w14:paraId="2F89DD94" w14:textId="77777777" w:rsidR="00D978DF" w:rsidRPr="00761336" w:rsidRDefault="00D978DF">
      <w:pPr>
        <w:widowControl/>
        <w:spacing w:line="276" w:lineRule="auto"/>
        <w:jc w:val="both"/>
        <w:rPr>
          <w:rFonts w:ascii="Times New Roman" w:eastAsia="Times New Roman" w:hAnsi="Times New Roman" w:cs="Times New Roman"/>
          <w:color w:val="000000"/>
          <w:sz w:val="26"/>
          <w:szCs w:val="26"/>
          <w:lang w:val="vi-VN"/>
        </w:rPr>
      </w:pPr>
    </w:p>
    <w:p w14:paraId="57063D1F"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RNOA của Hòa Phát giảm từ 8,71% năm 2022 xuống 7,22% năm 2023, sau đó hồi phục nhẹ lên 7,5% năm 2024. Mức giảm năm 2023 chủ yếu chịu tác động từ vòng quay tài sản giảm, mặc dù biên lợi nhuận NOPAT/Sales có tăng nhẹ. Sự hồi phục năm 2024 nhờ biên lợi nhuận cải thiện đáng kể, phần nào bù đắp hiệu quả sử dụng tài sản thấp hơn. RNOA phản ánh toàn diện khả năng sinh lợi từ hoạt động kinh doanh và hiệu quả sử dụng tài sản, do đó, việc duy trì cân bằng giữa lợi nhuận trên doanh thu và tối ưu hóa tài sản là yếu tố quan trọng để Hòa Phát tiếp tục nâng cao giá trị cho cổ đông.</w:t>
      </w:r>
    </w:p>
    <w:p w14:paraId="2563BD9B" w14:textId="77777777" w:rsidR="00D978DF" w:rsidRPr="00761336" w:rsidRDefault="00000000">
      <w:pPr>
        <w:pStyle w:val="Heading2"/>
        <w:spacing w:line="276" w:lineRule="auto"/>
        <w:rPr>
          <w:rFonts w:ascii="Times New Roman" w:eastAsia="Times New Roman" w:hAnsi="Times New Roman" w:cs="Times New Roman"/>
          <w:sz w:val="26"/>
          <w:szCs w:val="26"/>
          <w:lang w:val="zh-CN"/>
        </w:rPr>
      </w:pPr>
      <w:bookmarkStart w:id="53" w:name="_Toc211973178"/>
      <w:r w:rsidRPr="00761336">
        <w:rPr>
          <w:rFonts w:ascii="Times New Roman" w:eastAsia="Times New Roman" w:hAnsi="Times New Roman" w:cs="Times New Roman"/>
          <w:b/>
          <w:bCs/>
          <w:color w:val="000000"/>
          <w:sz w:val="26"/>
          <w:szCs w:val="26"/>
          <w:lang w:val="vi-VN"/>
        </w:rPr>
        <w:t>2.</w:t>
      </w:r>
      <w:r w:rsidRPr="00761336">
        <w:rPr>
          <w:rFonts w:ascii="Times New Roman" w:eastAsia="Times New Roman" w:hAnsi="Times New Roman" w:cs="Times New Roman"/>
          <w:b/>
          <w:bCs/>
          <w:color w:val="000000"/>
          <w:sz w:val="26"/>
          <w:szCs w:val="26"/>
          <w:lang w:val="zh-CN"/>
        </w:rPr>
        <w:t>2 Chia tách Dupont ba nhân tố (bao gồm chia tách ROE)</w:t>
      </w:r>
      <w:bookmarkEnd w:id="53"/>
    </w:p>
    <w:p w14:paraId="7E6DB9FF" w14:textId="77777777" w:rsidR="00D978DF" w:rsidRPr="00761336" w:rsidRDefault="00D978DF">
      <w:pPr>
        <w:widowControl/>
        <w:spacing w:line="276" w:lineRule="auto"/>
        <w:rPr>
          <w:rFonts w:ascii="Times New Roman" w:eastAsia="Times New Roman" w:hAnsi="Times New Roman" w:cs="Times New Roman"/>
          <w:sz w:val="26"/>
          <w:szCs w:val="26"/>
          <w:lang w:val="zh-CN"/>
        </w:rPr>
      </w:pPr>
    </w:p>
    <w:tbl>
      <w:tblPr>
        <w:tblW w:w="9026" w:type="dxa"/>
        <w:tblCellMar>
          <w:top w:w="15" w:type="dxa"/>
          <w:left w:w="15" w:type="dxa"/>
          <w:bottom w:w="15" w:type="dxa"/>
          <w:right w:w="15" w:type="dxa"/>
        </w:tblCellMar>
        <w:tblLook w:val="04A0" w:firstRow="1" w:lastRow="0" w:firstColumn="1" w:lastColumn="0" w:noHBand="0" w:noVBand="1"/>
      </w:tblPr>
      <w:tblGrid>
        <w:gridCol w:w="4717"/>
        <w:gridCol w:w="1358"/>
        <w:gridCol w:w="1358"/>
        <w:gridCol w:w="1593"/>
      </w:tblGrid>
      <w:tr w:rsidR="00D978DF" w:rsidRPr="00761336" w14:paraId="54E8FF1D" w14:textId="77777777">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528571E8"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Mô hình Dupont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6FBE4D"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2022</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E474D4"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2023</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62AF3A"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2024</w:t>
            </w:r>
          </w:p>
        </w:tc>
      </w:tr>
      <w:tr w:rsidR="00D978DF" w:rsidRPr="00761336" w14:paraId="6C573708" w14:textId="77777777">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098FDA79"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Biên lợi nhuận ròng </w:t>
            </w:r>
          </w:p>
        </w:tc>
        <w:tc>
          <w:tcPr>
            <w:tcW w:w="0" w:type="auto"/>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EBD0CC0"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5,97%</w:t>
            </w:r>
          </w:p>
        </w:tc>
        <w:tc>
          <w:tcPr>
            <w:tcW w:w="0" w:type="auto"/>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59F15D0"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5,72%</w:t>
            </w:r>
          </w:p>
        </w:tc>
        <w:tc>
          <w:tcPr>
            <w:tcW w:w="0" w:type="auto"/>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314B457"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8,66%</w:t>
            </w:r>
          </w:p>
        </w:tc>
      </w:tr>
      <w:tr w:rsidR="00D978DF" w:rsidRPr="00761336" w14:paraId="57EDE53C" w14:textId="77777777">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68E72E68"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Vòng quay tổng tài sản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EC3968"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0,81</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C62F44C"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0,66</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42ACD9"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0,67</w:t>
            </w:r>
          </w:p>
        </w:tc>
      </w:tr>
      <w:tr w:rsidR="00D978DF" w:rsidRPr="00761336" w14:paraId="1E6090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017EB"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Đòn bẩy tài chính</w:t>
            </w:r>
          </w:p>
        </w:tc>
        <w:tc>
          <w:tcPr>
            <w:tcW w:w="0" w:type="auto"/>
            <w:tcBorders>
              <w:top w:val="single" w:sz="4" w:space="0" w:color="auto"/>
              <w:left w:val="single" w:sz="8" w:space="0" w:color="000000"/>
              <w:bottom w:val="single" w:sz="6" w:space="0" w:color="000000"/>
              <w:right w:val="single" w:sz="8" w:space="0" w:color="000000"/>
            </w:tcBorders>
            <w:tcMar>
              <w:top w:w="100" w:type="dxa"/>
              <w:left w:w="100" w:type="dxa"/>
              <w:bottom w:w="100" w:type="dxa"/>
              <w:right w:w="100" w:type="dxa"/>
            </w:tcMar>
          </w:tcPr>
          <w:p w14:paraId="39228C81"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1,77</w:t>
            </w:r>
          </w:p>
        </w:tc>
        <w:tc>
          <w:tcPr>
            <w:tcW w:w="0" w:type="auto"/>
            <w:tcBorders>
              <w:top w:val="single" w:sz="4" w:space="0" w:color="auto"/>
              <w:left w:val="single" w:sz="8" w:space="0" w:color="000000"/>
              <w:bottom w:val="single" w:sz="6" w:space="0" w:color="000000"/>
              <w:right w:val="single" w:sz="8" w:space="0" w:color="000000"/>
            </w:tcBorders>
            <w:tcMar>
              <w:top w:w="100" w:type="dxa"/>
              <w:left w:w="100" w:type="dxa"/>
              <w:bottom w:w="100" w:type="dxa"/>
              <w:right w:w="100" w:type="dxa"/>
            </w:tcMar>
          </w:tcPr>
          <w:p w14:paraId="7D750D8C"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1,83</w:t>
            </w:r>
          </w:p>
        </w:tc>
        <w:tc>
          <w:tcPr>
            <w:tcW w:w="0" w:type="auto"/>
            <w:tcBorders>
              <w:top w:val="single" w:sz="4" w:space="0" w:color="auto"/>
              <w:left w:val="single" w:sz="8" w:space="0" w:color="000000"/>
              <w:bottom w:val="single" w:sz="6" w:space="0" w:color="000000"/>
              <w:right w:val="single" w:sz="8" w:space="0" w:color="000000"/>
            </w:tcBorders>
            <w:tcMar>
              <w:top w:w="100" w:type="dxa"/>
              <w:left w:w="100" w:type="dxa"/>
              <w:bottom w:w="100" w:type="dxa"/>
              <w:right w:w="100" w:type="dxa"/>
            </w:tcMar>
          </w:tcPr>
          <w:p w14:paraId="0E95A827"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1,96</w:t>
            </w:r>
          </w:p>
        </w:tc>
      </w:tr>
      <w:tr w:rsidR="00D978DF" w:rsidRPr="00761336" w14:paraId="0371AF25" w14:textId="77777777">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7982F8D1" w14:textId="77777777" w:rsidR="00D978DF" w:rsidRPr="00761336" w:rsidRDefault="00000000">
            <w:pPr>
              <w:widowControl/>
              <w:spacing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ROE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0906FAD"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9,04%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018FC2B"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6,84%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98EB990" w14:textId="77777777" w:rsidR="00D978DF" w:rsidRPr="00761336" w:rsidRDefault="00000000">
            <w:pPr>
              <w:widowControl/>
              <w:spacing w:line="276" w:lineRule="auto"/>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11,05%</w:t>
            </w:r>
          </w:p>
        </w:tc>
      </w:tr>
    </w:tbl>
    <w:p w14:paraId="3B58CC26"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Trong giai đoạn 2022–2024, hiệu quả sinh lời trên vốn chủ sở hữu (ROE) của Tập đoàn Hòa Phát biến động khá rõ rệt, phản ánh sự thay đổi trong bối cảnh ngành thép và chiến lược quản trị tài chính của doanh nghiệp. Cụ thể, ROE giảm từ 9,04% năm 2022 xuống 6,84% năm 2023, rồi bật tăng mạnh lên 11,05% vào năm 2024. Để hiểu rõ nguyên nhân, có thể phân tích ba cấu phần chính của mô hình DuPont gồm: biên lợi nhuận ròng, vòng quay tổng tài sản và đòn bẩy tài chính.</w:t>
      </w:r>
    </w:p>
    <w:p w14:paraId="589CA000"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Thứ nhất, về biên lợi nhuận ròng, Hòa Phát ghi nhận mức 5,97% năm 2022, giảm nhẹ xuống 5,72% năm 2023 nhưng đã phục hồi ấn tượng lên 8,66% trong năm 2024. Sự sụt giảm năm 2023 chủ yếu đến từ việc giá nguyên liệu đầu vào tăng cao, tiêu thụ thép suy yếu do thị trường bất động sản đóng băng và chi phí tài chính gia tăng. Tuy nhiên, bước sang năm 2024, biên lợi nhuận của Hòa Phát cải thiện mạnh mẽ nhờ giá thép phục hồi, nhu cầu trong nước tăng trở lại và doanh nghiệp kiểm soát tốt hơn chi phí sản xuất, đặc biệt là chi phí nguyên liệu. Theo báo cáo thường niên 2024, lợi nhuận ròng của tập đoàn tăng tới gần 77% so với năm trước, cho thấy khả năng thích ứng nhanh với biến động của chu kỳ ngành thép. Dù vậy, cần lưu ý rằng mức lợi nhuận này có thể chịu ảnh hưởng bởi yếu tố thị trường ngắn hạn, do đó cần quan sát thêm để đánh giá tính bền vững.</w:t>
      </w:r>
    </w:p>
    <w:p w14:paraId="0BB303CF"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lastRenderedPageBreak/>
        <w:t>Thứ hai, xét về vòng quay tổng tài sản, chỉ tiêu này giảm từ 0,81 lần năm 2022 xuống còn 0,66 lần năm 2023, rồi tăng nhẹ lên 0,67 lần trong năm 2024. Diễn biến này cho thấy hiệu quả sử dụng tài sản của Hòa Phát giảm trong giai đoạn đầu và chưa được cải thiện đáng kể. Nguyên nhân có thể do tập đoàn tiếp tục mở rộng quy mô đầu tư, đặc biệt vào các dự án công suất lớn như Dung Quất 2, khiến tổng tài sản tăng nhanh trong khi doanh thu chưa tăng tương xứng. Mức hồi phục nhẹ năm 2024 cho thấy doanh nghiệp bắt đầu khai thác hiệu quả hơn các tài sản đã đầu tư, song tốc độ còn chậm, hàm ý rằng công suất mới vẫn đang trong quá trình hoàn thiện và chưa tạo ra dòng doanh thu tương xứng với quy mô tài sản khổng lồ mà Hòa Phát đang nắm giữ.</w:t>
      </w:r>
    </w:p>
    <w:p w14:paraId="6DA5CD93"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Thứ ba, về đòn bẩy tài chính, hệ số này tăng đều qua các năm, từ 1,77 lần (2022) lên 1,83 lần (2023) và 1,96 lần (2024). Sự gia tăng liên tục cho thấy Hòa Phát ngày càng sử dụng nhiều vốn vay hơn trong cấu trúc tài chính để tài trợ cho hoạt động mở rộng sản xuất. Việc sử dụng đòn bẩy cao giúp khuếch đại lợi nhuận trên vốn chủ sở hữu khi lợi nhuận kinh doanh tăng, nhưng đồng thời cũng làm gia tăng rủi ro tài chính nếu thị trường thép suy yếu hoặc chi phí vốn tăng lên. Trong bối cảnh lãi suất trong nước giai đoạn 2023–2024 có xu hướng hạ nhiệt, Hòa Phát đã tận dụng cơ hội này để tăng vay nợ, song cần quản trị tốt dòng tiền để đảm bảo an toàn tài chính trong dài hạn.</w:t>
      </w:r>
    </w:p>
    <w:p w14:paraId="0CCC7525" w14:textId="77777777" w:rsidR="00D978DF" w:rsidRPr="00761336" w:rsidRDefault="00000000">
      <w:pPr>
        <w:widowControl/>
        <w:spacing w:before="240" w:after="240" w:line="276" w:lineRule="auto"/>
        <w:jc w:val="both"/>
        <w:rPr>
          <w:rFonts w:ascii="Times New Roman" w:eastAsia="Times New Roman" w:hAnsi="Times New Roman" w:cs="Times New Roman"/>
          <w:sz w:val="26"/>
          <w:szCs w:val="26"/>
          <w:lang w:val="zh-CN"/>
        </w:rPr>
      </w:pPr>
      <w:r w:rsidRPr="00761336">
        <w:rPr>
          <w:rFonts w:ascii="Times New Roman" w:eastAsia="Times New Roman" w:hAnsi="Times New Roman" w:cs="Times New Roman"/>
          <w:color w:val="000000"/>
          <w:sz w:val="26"/>
          <w:szCs w:val="26"/>
          <w:lang w:val="zh-CN"/>
        </w:rPr>
        <w:t>Kết hợp cả ba yếu tố, có thể thấy sự cải thiện mạnh của ROE năm 2024 chủ yếu nhờ biên lợi nhuận ròng tăng vượt trội và đòn bẩy tài chính cao hơn, trong khi hiệu quả sử dụng tài sản vẫn còn hạn chế. Điều này phản ánh rằng Hòa Phát đã vượt qua giai đoạn suy giảm của ngành, đồng thời cho thấy sức bật mạnh của doanh nghiệp khi điều kiện thị trường thuận lợi. Tuy nhiên, mức ROE 11,05% năm 2024 vẫn thấp hơn giai đoạn đỉnh trước đây (trên 25% giai đoạn 2020–2021), cho thấy dư địa cải thiện còn lớn nếu vòng quay tài sản và hiệu quả đầu tư được nâng cao.</w:t>
      </w:r>
    </w:p>
    <w:p w14:paraId="1AB6BFC5" w14:textId="77777777" w:rsidR="00D978DF" w:rsidRPr="00761336" w:rsidRDefault="00000000">
      <w:pPr>
        <w:widowControl/>
        <w:spacing w:before="240" w:after="240" w:line="276" w:lineRule="auto"/>
        <w:jc w:val="both"/>
        <w:rPr>
          <w:rFonts w:ascii="Times New Roman" w:eastAsia="Times New Roman" w:hAnsi="Times New Roman" w:cs="Times New Roman"/>
          <w:color w:val="000000"/>
          <w:sz w:val="26"/>
          <w:szCs w:val="26"/>
          <w:lang w:val="vi-VN"/>
        </w:rPr>
      </w:pPr>
      <w:r w:rsidRPr="00761336">
        <w:rPr>
          <w:rFonts w:ascii="Times New Roman" w:eastAsia="Times New Roman" w:hAnsi="Times New Roman" w:cs="Times New Roman"/>
          <w:color w:val="000000"/>
          <w:sz w:val="26"/>
          <w:szCs w:val="26"/>
          <w:lang w:val="zh-CN"/>
        </w:rPr>
        <w:t>Tổng thể, mô hình DuPont cho thấy Hòa Phát đang bước vào giai đoạn phục hồi rõ nét sau chu kỳ suy thoái của ngành thép. Doanh nghiệp đã cải thiện lợi nhuận, duy trì vị thế tài chính vững vàng và dần khôi phục hiệu quả hoạt động. Tuy nhiên, để đảm bảo tăng trưởng bền vững, Hòa Phát cần tiếp tục tối ưu hóa việc sử dụng tài sản, khai thác hiệu quả công suất đầu tư mới, đồng thời kiểm soát chặt chẽ nợ vay để giảm thiểu rủi ro tài chính trong các giai đoạn thị trường biến động.</w:t>
      </w:r>
    </w:p>
    <w:p w14:paraId="6FE7AC4D" w14:textId="77777777" w:rsidR="00D978DF" w:rsidRPr="00761336" w:rsidRDefault="00000000">
      <w:pPr>
        <w:pStyle w:val="Heading1"/>
        <w:spacing w:line="276" w:lineRule="auto"/>
        <w:jc w:val="both"/>
        <w:rPr>
          <w:rFonts w:ascii="Times New Roman" w:eastAsia="Times New Roman" w:hAnsi="Times New Roman" w:cs="Times New Roman"/>
          <w:b/>
          <w:bCs/>
          <w:color w:val="000000"/>
          <w:sz w:val="26"/>
          <w:szCs w:val="26"/>
          <w:lang w:val="vi-VN"/>
        </w:rPr>
      </w:pPr>
      <w:bookmarkStart w:id="54" w:name="_Toc211973179"/>
      <w:r w:rsidRPr="00761336">
        <w:rPr>
          <w:rFonts w:ascii="Times New Roman" w:eastAsia="Times New Roman" w:hAnsi="Times New Roman" w:cs="Times New Roman"/>
          <w:b/>
          <w:bCs/>
          <w:color w:val="000000"/>
          <w:sz w:val="26"/>
          <w:szCs w:val="26"/>
          <w:lang w:val="vi-VN"/>
        </w:rPr>
        <w:lastRenderedPageBreak/>
        <w:t>PHẦN 4: PHÂN TÍCH TRIỂN VỌNG</w:t>
      </w:r>
      <w:bookmarkEnd w:id="54"/>
    </w:p>
    <w:p w14:paraId="25C9E79B" w14:textId="77777777" w:rsidR="00D978DF" w:rsidRPr="00761336" w:rsidRDefault="00000000">
      <w:pPr>
        <w:pStyle w:val="Heading1"/>
        <w:spacing w:line="276" w:lineRule="auto"/>
        <w:jc w:val="both"/>
        <w:rPr>
          <w:rFonts w:ascii="Times New Roman" w:hAnsi="Times New Roman" w:cs="Times New Roman"/>
          <w:b/>
          <w:bCs/>
          <w:color w:val="000000" w:themeColor="text1"/>
          <w:sz w:val="26"/>
          <w:szCs w:val="26"/>
          <w:lang w:val="vi-VN"/>
        </w:rPr>
      </w:pPr>
      <w:bookmarkStart w:id="55" w:name="_Toc211973180"/>
      <w:r w:rsidRPr="00761336">
        <w:rPr>
          <w:rFonts w:ascii="Times New Roman" w:hAnsi="Times New Roman" w:cs="Times New Roman"/>
          <w:b/>
          <w:bCs/>
          <w:color w:val="000000" w:themeColor="text1"/>
          <w:sz w:val="26"/>
          <w:szCs w:val="26"/>
          <w:lang w:val="vi-VN"/>
        </w:rPr>
        <w:t>1. Phân tích triển vọng</w:t>
      </w:r>
      <w:bookmarkEnd w:id="55"/>
    </w:p>
    <w:p w14:paraId="4DC6F2DC" w14:textId="77777777" w:rsidR="00D978DF" w:rsidRPr="00761336" w:rsidRDefault="00000000">
      <w:pPr>
        <w:pStyle w:val="Heading2"/>
        <w:spacing w:line="276" w:lineRule="auto"/>
        <w:jc w:val="both"/>
        <w:rPr>
          <w:rFonts w:ascii="Times New Roman" w:hAnsi="Times New Roman" w:cs="Times New Roman"/>
          <w:b/>
          <w:bCs/>
          <w:color w:val="000000" w:themeColor="text1"/>
          <w:sz w:val="26"/>
          <w:szCs w:val="26"/>
          <w:lang w:val="vi-VN"/>
        </w:rPr>
      </w:pPr>
      <w:bookmarkStart w:id="56" w:name="_Toc211973181"/>
      <w:r w:rsidRPr="00761336">
        <w:rPr>
          <w:rFonts w:ascii="Times New Roman" w:hAnsi="Times New Roman" w:cs="Times New Roman"/>
          <w:b/>
          <w:bCs/>
          <w:color w:val="000000" w:themeColor="text1"/>
          <w:sz w:val="26"/>
          <w:szCs w:val="26"/>
          <w:lang w:val="vi-VN"/>
        </w:rPr>
        <w:t>1.1. Bối cảnh kinh tế vĩ mô</w:t>
      </w:r>
      <w:bookmarkEnd w:id="56"/>
      <w:r w:rsidRPr="00761336">
        <w:rPr>
          <w:rFonts w:ascii="Times New Roman" w:hAnsi="Times New Roman" w:cs="Times New Roman"/>
          <w:b/>
          <w:bCs/>
          <w:color w:val="000000" w:themeColor="text1"/>
          <w:sz w:val="26"/>
          <w:szCs w:val="26"/>
          <w:lang w:val="vi-VN"/>
        </w:rPr>
        <w:t xml:space="preserve"> </w:t>
      </w:r>
    </w:p>
    <w:p w14:paraId="645FBBAF" w14:textId="77777777" w:rsidR="00D978DF"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Sự ổn định kinh tế vĩ mô và các chính sách của Chính phủ, đặc biệt là việc đẩy mạnh đầu tư công, luôn là yếu tố then chốt kích thích nhu cầu tiêu thụ thép. Khi các dự án hạ tầng lớn như đường cao tốc, sân bay, và các công trình dân dụng được triển khai mạnh mẽ, Hòa Phát hưởng lợi trực tiếp từ lượng cầu gia tăng đối với thép xây dựng và thép cuộn cán nóng (HRC). Việt Nam hiện là thị trường thép năng động hàng đầu Đông Nam Á, tạo ra một thị trường nội địa khổng lồ mà Hòa Phát đã và đang chiếm lĩnh vị trí số một. Thêm vào đó, việc Chính phủ can thiệp bằng các gói kích cầu trong những giai đoạn kinh tế suy thoái đã giúp các doanh nghiệp sản xuất như Hòa Phát tận dụng cơ hội để củng cố thị phần và duy trì hoạt động sản xuất quy mô lớn.</w:t>
      </w:r>
    </w:p>
    <w:p w14:paraId="597FEA8F" w14:textId="77777777" w:rsidR="00906976" w:rsidRPr="00761336" w:rsidRDefault="00906976">
      <w:pPr>
        <w:spacing w:line="276" w:lineRule="auto"/>
        <w:jc w:val="both"/>
        <w:rPr>
          <w:rFonts w:ascii="Times New Roman" w:hAnsi="Times New Roman" w:cs="Times New Roman"/>
          <w:sz w:val="26"/>
          <w:szCs w:val="26"/>
          <w:lang w:val="vi-VN"/>
        </w:rPr>
      </w:pPr>
    </w:p>
    <w:p w14:paraId="47B019A4"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Tuy nhiên, Tập đoàn cũng phải đối mặt với những rủi ro vĩ mô không nhỏ. Do chuỗi sản xuất khép kín sử dụng công nghệ lò cao, Hòa Phát phụ thuộc vào việc nhập khẩu các nguyên liệu đầu vào chính như quặng sắt và than cốc. Điều này khiến chi phí sản xuất chịu ảnh hưởng lớn từ biến động giá cả hàng hóa toàn cầu và sự thay đổi của tỷ giá hối đoái (USD/VND). Khi tỷ giá tăng cao hoặc giá nguyên liệu leo thang, lợi nhuận của Tập đoàn bị bào mòn đáng kể. Ngoài ra, chu kỳ của thị trường bất động sản luôn là gánh nặng tiềm ẩn. Mọi sự suy yếu của thị trường nhà đất đều dẫn đến việc giảm nhu cầu thép, tạo ra áp lực tồn kho và giảm giá bán, buộc Ban lãnh đạo phải có những điều chỉnh chiến lược kịp thời để vượt qua các giai đoạn khó khăn.</w:t>
      </w:r>
    </w:p>
    <w:p w14:paraId="49D48617" w14:textId="77777777" w:rsidR="00D978DF" w:rsidRPr="00761336" w:rsidRDefault="00000000">
      <w:pPr>
        <w:pStyle w:val="Heading2"/>
        <w:spacing w:line="276" w:lineRule="auto"/>
        <w:jc w:val="both"/>
        <w:rPr>
          <w:rFonts w:ascii="Times New Roman" w:hAnsi="Times New Roman" w:cs="Times New Roman"/>
          <w:b/>
          <w:bCs/>
          <w:color w:val="000000" w:themeColor="text1"/>
          <w:sz w:val="26"/>
          <w:szCs w:val="26"/>
          <w:lang w:val="vi-VN"/>
        </w:rPr>
      </w:pPr>
      <w:bookmarkStart w:id="57" w:name="_Toc211973182"/>
      <w:r w:rsidRPr="00761336">
        <w:rPr>
          <w:rFonts w:ascii="Times New Roman" w:hAnsi="Times New Roman" w:cs="Times New Roman"/>
          <w:b/>
          <w:bCs/>
          <w:color w:val="000000" w:themeColor="text1"/>
          <w:sz w:val="26"/>
          <w:szCs w:val="26"/>
          <w:lang w:val="vi-VN"/>
        </w:rPr>
        <w:t>1.2 Bối cảnh cạnh tranh</w:t>
      </w:r>
      <w:bookmarkEnd w:id="57"/>
      <w:r w:rsidRPr="00761336">
        <w:rPr>
          <w:rFonts w:ascii="Times New Roman" w:hAnsi="Times New Roman" w:cs="Times New Roman"/>
          <w:b/>
          <w:bCs/>
          <w:color w:val="000000" w:themeColor="text1"/>
          <w:sz w:val="26"/>
          <w:szCs w:val="26"/>
          <w:lang w:val="vi-VN"/>
        </w:rPr>
        <w:t xml:space="preserve"> </w:t>
      </w:r>
    </w:p>
    <w:p w14:paraId="7928EE34"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Trong môi trường cạnh tranh khắc nghiệt của ngành thép, Hòa Phát đã xây dựng được một hàng rào phòng thủ vững chắc nhờ chiến lược đầu tư mang tính dài hạn và quy mô tuyệt đối.</w:t>
      </w:r>
    </w:p>
    <w:p w14:paraId="32473687"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Lợi thế cạnh tranh nổi bật nhất của Hòa Phát là chuỗi giá trị sản xuất khép kín từ thượng nguồn (quặng sắt, than cốc) đến sản phẩm cuối cùng (thép xây dựng, HRC, ống thép). Mô hình này giúp Tập đoàn tự chủ nguồn cung, tối ưu hóa chi phí sản xuất thông qua việc tận dụng nhiệt dư và công nghệ hiện đại, từ đó đạt được giá thành cạnh tranh vượt trội so với các đối thủ phải nhập khẩu phôi thép. Sự khác biệt về chi phí này giúp Hòa Phát dễ dàng vượt qua các đối thủ nội địa và cạnh tranh sòng phẳng với thép giá rẻ từ nước ngoài.</w:t>
      </w:r>
    </w:p>
    <w:p w14:paraId="7103B99F"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 xml:space="preserve">Về quy mô, Hòa Phát đã trở thành nhà sản xuất thép lớn nhất Việt Nam và là một trong những tập đoàn dẫn đầu khu vực Đông Nam Á. Sự đầu tư quy mô lớn vào các Khu Liên hợp sản xuất Gang thép Hải Dương và đặc biệt là Dung Quất đã tạo ra lợi thế kinh tế theo </w:t>
      </w:r>
      <w:r w:rsidRPr="00761336">
        <w:rPr>
          <w:rFonts w:ascii="Times New Roman" w:hAnsi="Times New Roman" w:cs="Times New Roman"/>
          <w:sz w:val="26"/>
          <w:szCs w:val="26"/>
          <w:lang w:val="vi-VN"/>
        </w:rPr>
        <w:lastRenderedPageBreak/>
        <w:t>quy mô (Economies of Scale) khổng lồ. Quy mô này không chỉ giúp Hòa Phát chi phối thị trường nội địa mà còn nâng cao vị thế đàm phán trên thị trường quốc tế, đặc biệt trong bối cảnh các biện pháp phòng vệ thương mại và chống bán phá giá đang được áp dụng, tạo ra lợi thế cạnh tranh về giá so với các sản phẩm thép nhập khẩu.</w:t>
      </w:r>
    </w:p>
    <w:p w14:paraId="36F50E23" w14:textId="77777777" w:rsidR="00D978DF" w:rsidRPr="00761336" w:rsidRDefault="00000000">
      <w:pPr>
        <w:pStyle w:val="Heading2"/>
        <w:spacing w:line="276" w:lineRule="auto"/>
        <w:jc w:val="both"/>
        <w:rPr>
          <w:rFonts w:ascii="Times New Roman" w:hAnsi="Times New Roman" w:cs="Times New Roman"/>
          <w:b/>
          <w:bCs/>
          <w:color w:val="000000" w:themeColor="text1"/>
          <w:sz w:val="26"/>
          <w:szCs w:val="26"/>
          <w:lang w:val="vi-VN"/>
        </w:rPr>
      </w:pPr>
      <w:bookmarkStart w:id="58" w:name="_Toc211973183"/>
      <w:r w:rsidRPr="00761336">
        <w:rPr>
          <w:rFonts w:ascii="Times New Roman" w:hAnsi="Times New Roman" w:cs="Times New Roman"/>
          <w:b/>
          <w:bCs/>
          <w:color w:val="000000" w:themeColor="text1"/>
          <w:sz w:val="26"/>
          <w:szCs w:val="26"/>
          <w:lang w:val="vi-VN"/>
        </w:rPr>
        <w:t>1.3 Hoạt động trong quá khứ:</w:t>
      </w:r>
      <w:bookmarkEnd w:id="58"/>
      <w:r w:rsidRPr="00761336">
        <w:rPr>
          <w:rFonts w:ascii="Times New Roman" w:hAnsi="Times New Roman" w:cs="Times New Roman"/>
          <w:b/>
          <w:bCs/>
          <w:color w:val="000000" w:themeColor="text1"/>
          <w:sz w:val="26"/>
          <w:szCs w:val="26"/>
          <w:lang w:val="vi-VN"/>
        </w:rPr>
        <w:t xml:space="preserve"> </w:t>
      </w:r>
    </w:p>
    <w:p w14:paraId="722C147A"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Lịch sử phát triển của Hòa Phát là một minh chứng điển hình cho chiến lược phát triển bền bỉ, kiên định với ngành nghề cốt lõi nhưng vẫn đa dạng hóa một cách có chọn lọc.</w:t>
      </w:r>
    </w:p>
    <w:p w14:paraId="201A7C44"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Khởi điểm từ một công ty thương mại nhỏ vào năm 1992, Hòa Phát nhanh chóng mở rộng sang các lĩnh vực phụ trợ như nội thất và ống thép, trước khi tiến vào lĩnh vực sản xuất thép xây dựng vào năm 2000. Giai đoạn này cho thấy tầm nhìn chiến lược ban đầu về việc đa dạng hóa ngành nghề để phân tán rủi ro và tạo ra nguồn lực cho ngành cốt lõi sau này.</w:t>
      </w:r>
    </w:p>
    <w:p w14:paraId="331DFE6B"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Bước ngoặt lớn đến vào năm 2007 khi Tập đoàn thực hiện tái cấu trúc toàn diện theo mô hình công ty mẹ - công ty con và niêm yết cổ phiếu (HPG) trên sàn chứng khoán. Đây là quyết định mang tính lịch sử, thể hiện sự chuyên nghiệp hóa và minh bạch hóa hoạt động quản trị, đồng thời mở ra kênh huy động vốn dồi dào cho các dự án quy mô lớn. Trong những năm tiếp theo, Hòa Phát kiên định đầu tư vào Khu Liên hợp Gang thép Hải Dương, liên tục mở rộng công suất để khẳng định vị thế dẫn đầu thị trường thép xây dựng.</w:t>
      </w:r>
    </w:p>
    <w:p w14:paraId="20B60DD0"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Sự bùng nổ thực sự diễn ra từ năm 2017 với quyết định đầu tư và hoàn thành Khu Liên hợp Gang thép Dung Quất tại Quảng Ngãi. Đây là một bước nhảy vọt, không chỉ nâng tổng công suất thép thô của Tập đoàn lên trên 8,5 triệu tấn/năm mà còn đưa Hòa Phát gia nhập thị trường thép cuộn cán nóng (HRC), một sản phẩm có giá trị gia tăng và biên lợi nhuận cao hơn. Đến năm 2021, Hòa Phát đã chính thức trở thành nhà sản xuất thép lớn nhất Đông Nam Á, khẳng định tầm vóc trên bản đồ thép thế giới.</w:t>
      </w:r>
    </w:p>
    <w:p w14:paraId="033CAE39" w14:textId="11531FFC" w:rsidR="00D978DF" w:rsidRPr="00761336" w:rsidRDefault="00761336" w:rsidP="00761336">
      <w:pPr>
        <w:pStyle w:val="Heading2"/>
        <w:rPr>
          <w:rFonts w:ascii="Times New Roman" w:hAnsi="Times New Roman" w:cs="Times New Roman"/>
          <w:b/>
          <w:bCs/>
          <w:color w:val="000000" w:themeColor="text1"/>
          <w:sz w:val="26"/>
          <w:szCs w:val="26"/>
          <w:lang w:val="vi-VN"/>
        </w:rPr>
      </w:pPr>
      <w:bookmarkStart w:id="59" w:name="_Toc211973184"/>
      <w:r w:rsidRPr="00761336">
        <w:rPr>
          <w:rFonts w:ascii="Times New Roman" w:hAnsi="Times New Roman" w:cs="Times New Roman"/>
          <w:b/>
          <w:bCs/>
          <w:color w:val="000000" w:themeColor="text1"/>
          <w:sz w:val="26"/>
          <w:szCs w:val="26"/>
          <w:lang w:val="en-US"/>
        </w:rPr>
        <w:t>1</w:t>
      </w:r>
      <w:r w:rsidRPr="00761336">
        <w:rPr>
          <w:rFonts w:ascii="Times New Roman" w:hAnsi="Times New Roman" w:cs="Times New Roman"/>
          <w:b/>
          <w:bCs/>
          <w:color w:val="000000" w:themeColor="text1"/>
          <w:sz w:val="26"/>
          <w:szCs w:val="26"/>
          <w:lang w:val="vi-VN"/>
        </w:rPr>
        <w:t>.4 Xu hướng và chiến lược hoạt động của ban quản lý hiện tại</w:t>
      </w:r>
      <w:bookmarkEnd w:id="59"/>
    </w:p>
    <w:p w14:paraId="49F46306"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Ban lãnh đạo Hòa Phát, với triết lý quản trị thận trọng, kiên định và tầm nhìn dài hạn, đang tập trung vào các chiến lược nhằm củng cố vị thế dẫn đầu tuyệt đối và hướng tới mục tiêu phát triển bền vững.</w:t>
      </w:r>
    </w:p>
    <w:p w14:paraId="3F87BE5D"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Chiến lược cốt lõi hiện tại vẫn là "quy mô là sức mạnh" và sự tập trung tuyệt đối vào lĩnh vực thép. Dự án trọng điểm là Khu Liên hợp Dung Quất 2 với tổng vốn đầu tư khổng lồ, được thiết kế để sản xuất chủ yếu HRC. Khi hoàn thành vào cuối năm 2025, tổng công suất thép của Hòa Phát sẽ đạt khoảng 14-15 triệu tấn/năm, đưa Tập đoàn lọt vào Top 30 công ty thép lớn nhất toàn cầu. Mục tiêu này không chỉ về sản lượng mà còn là sự dịch chuyển sang sản phẩm thép chất lượng cao, đáp ứng nhu cầu sản xuất ô tô, cơ khí chế tạo và xuất khẩu.</w:t>
      </w:r>
    </w:p>
    <w:p w14:paraId="559ED6D1"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 xml:space="preserve">Song song với mở rộng quy mô, Ban quản lý đẩy mạnh chiến lược "Thép Xanh" và chuyển đổi số. Công nghệ sản xuất từ quặng khép kín được tối ưu hóa để giảm thiểu tiêu hao năng </w:t>
      </w:r>
      <w:r w:rsidRPr="00761336">
        <w:rPr>
          <w:rFonts w:ascii="Times New Roman" w:hAnsi="Times New Roman" w:cs="Times New Roman"/>
          <w:sz w:val="26"/>
          <w:szCs w:val="26"/>
          <w:lang w:val="vi-VN"/>
        </w:rPr>
        <w:lastRenderedPageBreak/>
        <w:t>lượng và phát thải carbon trên mỗi tấn sản phẩm, phù hợp với xu hướng và tiêu chuẩn phát triển bền vững toàn cầu. Đồng thời, việc áp dụng các hệ thống quản trị hiện đại như LEAN và công nghệ số hóa giúp nâng cao hiệu suất vận hành, giảm lãng phí và tăng năng suất lao động trong các lĩnh vực như sản xuất điện máy gia dụng và logistics.</w:t>
      </w:r>
    </w:p>
    <w:p w14:paraId="31966701" w14:textId="4FD81EDE"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Về thị trường và quản trị rủi ro, Ban lãnh đạo Hòa Phát kiên định với mục tiêu đa dạng hóa thị trường xuất khẩu (hướng đến 30% tổng doanh thu) để giảm phụ thuộc vào thị trường nội địa. Chiến lược này đi kèm với việc duy trì nền tảng tài chính ổn định, hạn chế đòn bẩy tài chính quá mức, và xây dựng một hệ thống phân phối vững chắc cùng với đội ngũ cán bộ công nhân viên trung thành và chuyên nghiệp. Đây chính là thế kiềng ba chân giúp Hòa Phát vững vàng vượt qua mọi cơn bão thị trường và duy trì được sự tin cậy tuyệt đối từ khách hàng và nhà đầu tư.</w:t>
      </w:r>
    </w:p>
    <w:p w14:paraId="71FA5D30" w14:textId="77777777" w:rsidR="00D978DF" w:rsidRPr="00761336" w:rsidRDefault="00000000">
      <w:pPr>
        <w:pStyle w:val="Heading1"/>
        <w:spacing w:line="276" w:lineRule="auto"/>
        <w:jc w:val="both"/>
        <w:rPr>
          <w:rFonts w:ascii="Times New Roman" w:hAnsi="Times New Roman" w:cs="Times New Roman"/>
          <w:b/>
          <w:bCs/>
          <w:color w:val="000000" w:themeColor="text1"/>
          <w:sz w:val="26"/>
          <w:szCs w:val="26"/>
          <w:lang w:val="vi-VN"/>
        </w:rPr>
      </w:pPr>
      <w:bookmarkStart w:id="60" w:name="_Toc211973185"/>
      <w:r w:rsidRPr="00761336">
        <w:rPr>
          <w:rFonts w:ascii="Times New Roman" w:hAnsi="Times New Roman" w:cs="Times New Roman"/>
          <w:b/>
          <w:bCs/>
          <w:color w:val="000000" w:themeColor="text1"/>
          <w:sz w:val="26"/>
          <w:szCs w:val="26"/>
          <w:lang w:val="vi-VN"/>
        </w:rPr>
        <w:t>2. Dự phóng Báo cáo thu nhập</w:t>
      </w:r>
      <w:bookmarkEnd w:id="60"/>
      <w:r w:rsidRPr="00761336">
        <w:rPr>
          <w:rFonts w:ascii="Times New Roman" w:hAnsi="Times New Roman" w:cs="Times New Roman"/>
          <w:b/>
          <w:bCs/>
          <w:color w:val="000000" w:themeColor="text1"/>
          <w:sz w:val="26"/>
          <w:szCs w:val="26"/>
          <w:lang w:val="vi-VN"/>
        </w:rPr>
        <w:t xml:space="preserve"> </w:t>
      </w:r>
    </w:p>
    <w:p w14:paraId="2CD5F3BF" w14:textId="77777777" w:rsidR="00D978DF" w:rsidRPr="00761336" w:rsidRDefault="00000000">
      <w:pPr>
        <w:spacing w:line="276" w:lineRule="auto"/>
        <w:jc w:val="both"/>
        <w:rPr>
          <w:rFonts w:ascii="Times New Roman" w:hAnsi="Times New Roman" w:cs="Times New Roman"/>
          <w:b/>
          <w:bCs/>
          <w:sz w:val="26"/>
          <w:szCs w:val="26"/>
          <w:lang w:val="vi-VN"/>
        </w:rPr>
      </w:pPr>
      <w:r w:rsidRPr="00761336">
        <w:rPr>
          <w:rFonts w:ascii="Times New Roman" w:hAnsi="Times New Roman" w:cs="Times New Roman"/>
          <w:b/>
          <w:bCs/>
          <w:sz w:val="26"/>
          <w:szCs w:val="26"/>
          <w:lang w:val="vi-VN"/>
        </w:rPr>
        <w:t>Các tỷ trọng lựa chọn:</w:t>
      </w:r>
    </w:p>
    <w:p w14:paraId="26F4C33A" w14:textId="77777777" w:rsidR="00D978DF" w:rsidRPr="00761336" w:rsidRDefault="00D978DF">
      <w:pPr>
        <w:spacing w:line="276" w:lineRule="auto"/>
        <w:jc w:val="both"/>
        <w:rPr>
          <w:rFonts w:ascii="Times New Roman" w:hAnsi="Times New Roman" w:cs="Times New Roman"/>
          <w:b/>
          <w:bCs/>
          <w:sz w:val="26"/>
          <w:szCs w:val="26"/>
          <w:lang w:val="vi-VN"/>
        </w:rPr>
      </w:pPr>
    </w:p>
    <w:tbl>
      <w:tblPr>
        <w:tblW w:w="9779" w:type="dxa"/>
        <w:tblCellMar>
          <w:left w:w="0" w:type="dxa"/>
          <w:right w:w="0" w:type="dxa"/>
        </w:tblCellMar>
        <w:tblLook w:val="04A0" w:firstRow="1" w:lastRow="0" w:firstColumn="1" w:lastColumn="0" w:noHBand="0" w:noVBand="1"/>
      </w:tblPr>
      <w:tblGrid>
        <w:gridCol w:w="2969"/>
        <w:gridCol w:w="1134"/>
        <w:gridCol w:w="1134"/>
        <w:gridCol w:w="1134"/>
        <w:gridCol w:w="1134"/>
        <w:gridCol w:w="1134"/>
        <w:gridCol w:w="1140"/>
      </w:tblGrid>
      <w:tr w:rsidR="00D978DF" w:rsidRPr="00761336" w14:paraId="1C22D105" w14:textId="77777777">
        <w:trPr>
          <w:trHeight w:val="321"/>
        </w:trPr>
        <w:tc>
          <w:tcPr>
            <w:tcW w:w="296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6F23D92" w14:textId="77777777" w:rsidR="00D978DF" w:rsidRPr="00761336" w:rsidRDefault="00D978DF">
            <w:pPr>
              <w:widowControl/>
              <w:jc w:val="both"/>
              <w:rPr>
                <w:rFonts w:ascii="Times New Roman" w:eastAsia="Times New Roman" w:hAnsi="Times New Roman" w:cs="Times New Roman"/>
                <w:sz w:val="20"/>
                <w:szCs w:val="20"/>
                <w:lang w:val="zh-CN"/>
              </w:rPr>
            </w:pP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630D80A" w14:textId="77777777" w:rsidR="00D978DF" w:rsidRPr="00761336" w:rsidRDefault="00000000">
            <w:pPr>
              <w:widowControl/>
              <w:jc w:val="center"/>
              <w:rPr>
                <w:rFonts w:ascii="Times New Roman" w:eastAsia="Times New Roman" w:hAnsi="Times New Roman" w:cs="Times New Roman"/>
                <w:b/>
                <w:bCs/>
                <w:sz w:val="24"/>
                <w:szCs w:val="24"/>
                <w:lang w:val="zh-CN"/>
              </w:rPr>
            </w:pPr>
            <w:r w:rsidRPr="00761336">
              <w:rPr>
                <w:rFonts w:ascii="Times New Roman" w:eastAsia="Times New Roman" w:hAnsi="Times New Roman" w:cs="Times New Roman"/>
                <w:b/>
                <w:bCs/>
                <w:sz w:val="24"/>
                <w:szCs w:val="24"/>
                <w:lang w:val="zh-CN"/>
              </w:rPr>
              <w:t>2023</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ADCD4D7" w14:textId="77777777" w:rsidR="00D978DF" w:rsidRPr="00761336" w:rsidRDefault="00000000">
            <w:pPr>
              <w:widowControl/>
              <w:jc w:val="center"/>
              <w:rPr>
                <w:rFonts w:ascii="Times New Roman" w:eastAsia="Times New Roman" w:hAnsi="Times New Roman" w:cs="Times New Roman"/>
                <w:b/>
                <w:bCs/>
                <w:sz w:val="24"/>
                <w:szCs w:val="24"/>
                <w:lang w:val="zh-CN"/>
              </w:rPr>
            </w:pPr>
            <w:r w:rsidRPr="00761336">
              <w:rPr>
                <w:rFonts w:ascii="Times New Roman" w:eastAsia="Times New Roman" w:hAnsi="Times New Roman" w:cs="Times New Roman"/>
                <w:b/>
                <w:bCs/>
                <w:sz w:val="24"/>
                <w:szCs w:val="24"/>
                <w:lang w:val="zh-CN"/>
              </w:rPr>
              <w:t>2024</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4DE3AD0" w14:textId="77777777" w:rsidR="00D978DF" w:rsidRPr="00761336" w:rsidRDefault="00000000">
            <w:pPr>
              <w:widowControl/>
              <w:jc w:val="center"/>
              <w:rPr>
                <w:rFonts w:ascii="Times New Roman" w:eastAsia="Times New Roman" w:hAnsi="Times New Roman" w:cs="Times New Roman"/>
                <w:b/>
                <w:bCs/>
                <w:sz w:val="24"/>
                <w:szCs w:val="24"/>
                <w:lang w:val="zh-CN"/>
              </w:rPr>
            </w:pPr>
            <w:r w:rsidRPr="00761336">
              <w:rPr>
                <w:rFonts w:ascii="Times New Roman" w:eastAsia="Times New Roman" w:hAnsi="Times New Roman" w:cs="Times New Roman"/>
                <w:b/>
                <w:bCs/>
                <w:sz w:val="24"/>
                <w:szCs w:val="24"/>
                <w:lang w:val="zh-CN"/>
              </w:rPr>
              <w:t>2025</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C82F708" w14:textId="77777777" w:rsidR="00D978DF" w:rsidRPr="00761336" w:rsidRDefault="00000000">
            <w:pPr>
              <w:widowControl/>
              <w:jc w:val="center"/>
              <w:rPr>
                <w:rFonts w:ascii="Times New Roman" w:eastAsia="Times New Roman" w:hAnsi="Times New Roman" w:cs="Times New Roman"/>
                <w:b/>
                <w:bCs/>
                <w:sz w:val="24"/>
                <w:szCs w:val="24"/>
                <w:lang w:val="zh-CN"/>
              </w:rPr>
            </w:pPr>
            <w:r w:rsidRPr="00761336">
              <w:rPr>
                <w:rFonts w:ascii="Times New Roman" w:eastAsia="Times New Roman" w:hAnsi="Times New Roman" w:cs="Times New Roman"/>
                <w:b/>
                <w:bCs/>
                <w:sz w:val="24"/>
                <w:szCs w:val="24"/>
                <w:lang w:val="zh-CN"/>
              </w:rPr>
              <w:t>2026</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74BD3F6" w14:textId="77777777" w:rsidR="00D978DF" w:rsidRPr="00761336" w:rsidRDefault="00000000">
            <w:pPr>
              <w:widowControl/>
              <w:jc w:val="center"/>
              <w:rPr>
                <w:rFonts w:ascii="Times New Roman" w:eastAsia="Times New Roman" w:hAnsi="Times New Roman" w:cs="Times New Roman"/>
                <w:b/>
                <w:bCs/>
                <w:sz w:val="24"/>
                <w:szCs w:val="24"/>
                <w:lang w:val="zh-CN"/>
              </w:rPr>
            </w:pPr>
            <w:r w:rsidRPr="00761336">
              <w:rPr>
                <w:rFonts w:ascii="Times New Roman" w:eastAsia="Times New Roman" w:hAnsi="Times New Roman" w:cs="Times New Roman"/>
                <w:b/>
                <w:bCs/>
                <w:sz w:val="24"/>
                <w:szCs w:val="24"/>
                <w:lang w:val="zh-CN"/>
              </w:rPr>
              <w:t>2027</w:t>
            </w:r>
          </w:p>
        </w:tc>
        <w:tc>
          <w:tcPr>
            <w:tcW w:w="11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30F46FB" w14:textId="77777777" w:rsidR="00D978DF" w:rsidRPr="00761336" w:rsidRDefault="00000000">
            <w:pPr>
              <w:widowControl/>
              <w:jc w:val="center"/>
              <w:rPr>
                <w:rFonts w:ascii="Times New Roman" w:eastAsia="Times New Roman" w:hAnsi="Times New Roman" w:cs="Times New Roman"/>
                <w:b/>
                <w:bCs/>
                <w:sz w:val="24"/>
                <w:szCs w:val="24"/>
                <w:lang w:val="zh-CN"/>
              </w:rPr>
            </w:pPr>
            <w:r w:rsidRPr="00761336">
              <w:rPr>
                <w:rFonts w:ascii="Times New Roman" w:eastAsia="Times New Roman" w:hAnsi="Times New Roman" w:cs="Times New Roman"/>
                <w:b/>
                <w:bCs/>
                <w:sz w:val="24"/>
                <w:szCs w:val="24"/>
                <w:lang w:val="zh-CN"/>
              </w:rPr>
              <w:t>2028</w:t>
            </w:r>
          </w:p>
        </w:tc>
      </w:tr>
      <w:tr w:rsidR="00D978DF" w:rsidRPr="00761336" w14:paraId="6FB29B11" w14:textId="77777777">
        <w:trPr>
          <w:trHeight w:val="321"/>
        </w:trPr>
        <w:tc>
          <w:tcPr>
            <w:tcW w:w="296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EB96B61" w14:textId="77777777" w:rsidR="00D978DF" w:rsidRPr="00761336" w:rsidRDefault="00000000">
            <w:pPr>
              <w:widowControl/>
              <w:jc w:val="both"/>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Tốc độ tăng trưởng</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A595BC8"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-15,88%</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122BE94"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16,73%</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CF61312"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16,73%</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7469B8A"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5,86%</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AC9DCAB"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13,11%</w:t>
            </w:r>
          </w:p>
        </w:tc>
        <w:tc>
          <w:tcPr>
            <w:tcW w:w="11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D23564D"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11,90%</w:t>
            </w:r>
          </w:p>
        </w:tc>
      </w:tr>
      <w:tr w:rsidR="00D978DF" w:rsidRPr="00761336" w14:paraId="46913E6F" w14:textId="77777777">
        <w:trPr>
          <w:trHeight w:val="321"/>
        </w:trPr>
        <w:tc>
          <w:tcPr>
            <w:tcW w:w="296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1F3C5E0" w14:textId="77777777" w:rsidR="00D978DF" w:rsidRPr="00761336" w:rsidRDefault="00000000">
            <w:pPr>
              <w:widowControl/>
              <w:jc w:val="both"/>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Tỷ suất lợi nhuận gộp</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FFAEF06"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10,87%</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8B0B26B"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13,32%</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DB9624C"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13,32%</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BFCFCFD"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12,50%</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38247A8"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13,05%</w:t>
            </w:r>
          </w:p>
        </w:tc>
        <w:tc>
          <w:tcPr>
            <w:tcW w:w="11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803D863"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12,96%</w:t>
            </w:r>
          </w:p>
        </w:tc>
      </w:tr>
      <w:tr w:rsidR="00D978DF" w:rsidRPr="00761336" w14:paraId="1A2F60D9" w14:textId="77777777">
        <w:trPr>
          <w:trHeight w:val="321"/>
        </w:trPr>
        <w:tc>
          <w:tcPr>
            <w:tcW w:w="296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D14F487" w14:textId="77777777" w:rsidR="00D978DF" w:rsidRPr="00761336" w:rsidRDefault="00000000">
            <w:pPr>
              <w:widowControl/>
              <w:jc w:val="both"/>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Tỷ lệ khấu hao/tài sản cố định hữu hình gộp năm trước</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7F5AE78"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6,83%</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732F9BF"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6,47%</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9A41185"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6,47%</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640DBD5"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6,59%</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13E3CEA"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6,51%</w:t>
            </w:r>
          </w:p>
        </w:tc>
        <w:tc>
          <w:tcPr>
            <w:tcW w:w="11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BB3C23C"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6,52%</w:t>
            </w:r>
          </w:p>
        </w:tc>
      </w:tr>
      <w:tr w:rsidR="00D978DF" w:rsidRPr="00761336" w14:paraId="4303DCE5" w14:textId="77777777">
        <w:trPr>
          <w:trHeight w:val="321"/>
        </w:trPr>
        <w:tc>
          <w:tcPr>
            <w:tcW w:w="296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6A331A3" w14:textId="77777777" w:rsidR="00D978DF" w:rsidRPr="00761336" w:rsidRDefault="00000000">
            <w:pPr>
              <w:widowControl/>
              <w:jc w:val="both"/>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Tỷ lệ chi phí bán hàng</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DB3F4A8"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1,65%</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BBDC4F2"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1,68%</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A3951AE"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1,68%</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3FF4AEB"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1,67%</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3E9D085"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1,68%</w:t>
            </w:r>
          </w:p>
        </w:tc>
        <w:tc>
          <w:tcPr>
            <w:tcW w:w="11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BF14C2C"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1,68%</w:t>
            </w:r>
          </w:p>
        </w:tc>
      </w:tr>
      <w:tr w:rsidR="00D978DF" w:rsidRPr="00761336" w14:paraId="23ECBE09" w14:textId="77777777">
        <w:trPr>
          <w:trHeight w:val="321"/>
        </w:trPr>
        <w:tc>
          <w:tcPr>
            <w:tcW w:w="296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63E1DC7" w14:textId="77777777" w:rsidR="00D978DF" w:rsidRPr="00761336" w:rsidRDefault="00000000">
            <w:pPr>
              <w:widowControl/>
              <w:jc w:val="both"/>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Tỷ lệ chi phí QLDN</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80913F1"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1,10%</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F4EC451"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1,11%</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BCE2101"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1,11%</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DD50B71"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1,11%</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124AD10"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1,11%</w:t>
            </w:r>
          </w:p>
        </w:tc>
        <w:tc>
          <w:tcPr>
            <w:tcW w:w="11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71035CC"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1,11%</w:t>
            </w:r>
          </w:p>
        </w:tc>
      </w:tr>
      <w:tr w:rsidR="00D978DF" w:rsidRPr="00761336" w14:paraId="78083B26" w14:textId="77777777">
        <w:trPr>
          <w:trHeight w:val="321"/>
        </w:trPr>
        <w:tc>
          <w:tcPr>
            <w:tcW w:w="296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C431A76" w14:textId="77777777" w:rsidR="00D978DF" w:rsidRPr="00761336" w:rsidRDefault="00000000">
            <w:pPr>
              <w:widowControl/>
              <w:jc w:val="both"/>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Chi phí lãi vay/ NDH năm trước</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55B0DBD"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30,29%</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12AE294"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17,03%</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5431636"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17,03%</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9B81CA4"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21,45%</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72F7F32"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18,50%</w:t>
            </w:r>
          </w:p>
        </w:tc>
        <w:tc>
          <w:tcPr>
            <w:tcW w:w="11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42F5CCF"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18,99%</w:t>
            </w:r>
          </w:p>
        </w:tc>
      </w:tr>
      <w:tr w:rsidR="00D978DF" w:rsidRPr="00761336" w14:paraId="52845B7B" w14:textId="77777777">
        <w:trPr>
          <w:trHeight w:val="321"/>
        </w:trPr>
        <w:tc>
          <w:tcPr>
            <w:tcW w:w="296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ED22BB8" w14:textId="77777777" w:rsidR="00D978DF" w:rsidRPr="00761336" w:rsidRDefault="00000000">
            <w:pPr>
              <w:widowControl/>
              <w:jc w:val="both"/>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Chi tiêu thuế TN/ Thu nhập trước thuế</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FE428E8"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13,78%</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F0217E2"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12,90%</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E5B1D81"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12,90%</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887C6FE"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13,19%</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BE9ABAE"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12,99%</w:t>
            </w:r>
          </w:p>
        </w:tc>
        <w:tc>
          <w:tcPr>
            <w:tcW w:w="11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E6C0EE6" w14:textId="77777777" w:rsidR="00D978DF" w:rsidRPr="00761336" w:rsidRDefault="00000000">
            <w:pPr>
              <w:widowControl/>
              <w:jc w:val="center"/>
              <w:rPr>
                <w:rFonts w:ascii="Times New Roman" w:eastAsia="Times New Roman" w:hAnsi="Times New Roman" w:cs="Times New Roman"/>
                <w:sz w:val="24"/>
                <w:szCs w:val="24"/>
                <w:lang w:val="zh-CN"/>
              </w:rPr>
            </w:pPr>
            <w:r w:rsidRPr="00761336">
              <w:rPr>
                <w:rFonts w:ascii="Times New Roman" w:eastAsia="Times New Roman" w:hAnsi="Times New Roman" w:cs="Times New Roman"/>
                <w:sz w:val="24"/>
                <w:szCs w:val="24"/>
                <w:lang w:val="zh-CN"/>
              </w:rPr>
              <w:t>13,03%</w:t>
            </w:r>
          </w:p>
        </w:tc>
      </w:tr>
    </w:tbl>
    <w:p w14:paraId="3AB653ED" w14:textId="77777777" w:rsidR="00D978DF" w:rsidRPr="00761336" w:rsidRDefault="00D978DF">
      <w:pPr>
        <w:spacing w:line="276" w:lineRule="auto"/>
        <w:jc w:val="both"/>
        <w:rPr>
          <w:rFonts w:ascii="Times New Roman" w:hAnsi="Times New Roman" w:cs="Times New Roman"/>
          <w:sz w:val="26"/>
          <w:szCs w:val="26"/>
          <w:lang w:val="vi-VN"/>
        </w:rPr>
      </w:pPr>
    </w:p>
    <w:p w14:paraId="4B635855" w14:textId="334B47AE" w:rsidR="00D978DF" w:rsidRPr="00761336" w:rsidRDefault="00355A09">
      <w:pPr>
        <w:spacing w:line="276" w:lineRule="auto"/>
        <w:jc w:val="both"/>
        <w:rPr>
          <w:rFonts w:ascii="Times New Roman" w:hAnsi="Times New Roman" w:cs="Times New Roman"/>
          <w:sz w:val="26"/>
          <w:szCs w:val="26"/>
          <w:lang w:val="vi-VN"/>
        </w:rPr>
      </w:pPr>
      <w:r w:rsidRPr="00761336">
        <w:rPr>
          <w:rFonts w:ascii="Times New Roman" w:hAnsi="Times New Roman" w:cs="Times New Roman"/>
          <w:noProof/>
          <w:sz w:val="26"/>
          <w:szCs w:val="26"/>
          <w:lang w:val="vi-VN"/>
        </w:rPr>
        <w:drawing>
          <wp:inline distT="0" distB="0" distL="0" distR="0" wp14:anchorId="6A09AA09" wp14:editId="7194F8B7">
            <wp:extent cx="6682703" cy="1313793"/>
            <wp:effectExtent l="0" t="0" r="0" b="0"/>
            <wp:docPr id="1914680027"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80027" name="Picture 1" descr="A table with numbers and numbers&#10;&#10;AI-generated content may be incorrect."/>
                    <pic:cNvPicPr/>
                  </pic:nvPicPr>
                  <pic:blipFill>
                    <a:blip r:embed="rId26"/>
                    <a:stretch>
                      <a:fillRect/>
                    </a:stretch>
                  </pic:blipFill>
                  <pic:spPr>
                    <a:xfrm>
                      <a:off x="0" y="0"/>
                      <a:ext cx="6732290" cy="1323542"/>
                    </a:xfrm>
                    <a:prstGeom prst="rect">
                      <a:avLst/>
                    </a:prstGeom>
                  </pic:spPr>
                </pic:pic>
              </a:graphicData>
            </a:graphic>
          </wp:inline>
        </w:drawing>
      </w:r>
    </w:p>
    <w:p w14:paraId="3C313CDD" w14:textId="77777777" w:rsidR="006C4001" w:rsidRPr="006C4001" w:rsidRDefault="006C4001" w:rsidP="006C4001">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t>Dựa trên kết quả kinh doanh từ năm 2022 đến 2029, có thể đưa ra nhận xét như sau:</w:t>
      </w:r>
    </w:p>
    <w:p w14:paraId="47F8C21A" w14:textId="77777777" w:rsidR="006C4001" w:rsidRPr="006C4001" w:rsidRDefault="006C4001" w:rsidP="006C4001">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t xml:space="preserve">Doanh thu thuần của doanh nghiệp có xu hướng tăng trưởng mạnh sau năm 2023, từ 118,95 nghìn tỷ lên 239,52 nghìn tỷ vào năm 2029, cho thấy doanh nghiệp mở rộng thị trường, tăng sản lượng hoặc cải thiện giá bán. Tuy nhiên, năm 2023 doanh thu giảm </w:t>
      </w:r>
      <w:r w:rsidRPr="006C4001">
        <w:rPr>
          <w:rFonts w:ascii="Times New Roman" w:hAnsi="Times New Roman" w:cs="Times New Roman"/>
          <w:sz w:val="26"/>
          <w:szCs w:val="26"/>
          <w:lang w:val="en-VN"/>
        </w:rPr>
        <w:lastRenderedPageBreak/>
        <w:t>15,88% so với năm 2022, chủ yếu do tác động từ thị trường, chi phí nguyên vật liệu hoặc các yếu tố bất lợi bên ngoài. Sau đó, doanh thu phục hồi tích cực với tốc độ tăng trưởng trung bình khoảng 10–16% mỗi năm.</w:t>
      </w:r>
    </w:p>
    <w:p w14:paraId="2D3B34CA" w14:textId="77777777" w:rsidR="006C4001" w:rsidRPr="006C4001" w:rsidRDefault="006C4001" w:rsidP="006C4001">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t>Giá vốn hàng bán tăng tương ứng với doanh thu, nhưng biên lợi nhuận gộp duy trì ổn định, dao động quanh 12–13%, chứng tỏ doanh nghiệp quản lý chi phí sản xuất hiệu quả và giữ được khả năng sinh lời từ hoạt động kinh doanh cốt lõi. Lợi nhuận gộp tăng từ 16,76 nghìn tỷ năm 2022 lên 31,03 nghìn tỷ năm 2029, thể hiện sự mở rộng quy mô sản xuất và doanh thu đi kèm hiệu quả chi phí tương đối ổn định.</w:t>
      </w:r>
    </w:p>
    <w:p w14:paraId="5364FEF3" w14:textId="77777777" w:rsidR="006C4001" w:rsidRPr="006C4001" w:rsidRDefault="006C4001" w:rsidP="006C4001">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t>Các khoản chi phí hoạt động như chi phí bán hàng và chi phí quản lý doanh nghiệp tăng theo doanh thu nhưng tỷ trọng duy trì ổn định (chi phí bán hàng khoảng 1,65–1,68%, chi phí QLDN khoảng 1,1–1,11%), cho thấy doanh nghiệp kiểm soát tốt chi phí vận hành và quản trị. Chi phí khấu hao tăng từ 6,76 nghìn tỷ lên 15,5 nghìn tỷ, phản ánh mở rộng đầu tư vào tài sản cố định. Chi phí lãi vay cũng tăng từ 3,08 nghìn tỷ lên 10,09 nghìn tỷ, tương ứng với tỷ lệ chi phí lãi vay/nguồn vốn huy động năm trước dao động 17–30%, cho thấy doanh nghiệp sử dụng nợ dài hạn để tài trợ cho các dự án mở rộng, đồng thời cũng tạo áp lực tài chính cần kiểm soát.</w:t>
      </w:r>
    </w:p>
    <w:p w14:paraId="594D776D" w14:textId="77777777" w:rsidR="006C4001" w:rsidRPr="006C4001" w:rsidRDefault="006C4001" w:rsidP="006C4001">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t>Lợi nhuận trước thuế biến động, từ 9,92 nghìn tỷ năm 2022 xuống 7,79 nghìn tỷ năm 2023, sau đó tăng trở lại 13,69 nghìn tỷ năm 2024 và duy trì quanh 12–15 nghìn tỷ các năm tiếp theo. Lợi nhuận sau thuế có xu hướng tương tự, từ 8,44 nghìn tỷ năm 2022 giảm còn 6,8 nghìn tỷ năm 2023, sau đó tăng và duy trì quanh 10–13 nghìn tỷ. Tốc độ tăng trưởng lợi nhuận sau thuế cũng biến động, cao nhất 16,73% và thấp hơn ở các năm khác, cho thấy áp lực chi phí tài chính, thuế và chi phí hoạt động ảnh hưởng đến lợi nhuận cuối cùng. Tỷ lệ thuế thu nhập doanh nghiệp ổn định khoảng 13%, chứng tỏ quản lý nghĩa vụ thuế hiệu quả.</w:t>
      </w:r>
    </w:p>
    <w:p w14:paraId="0BEB7AA0" w14:textId="77777777" w:rsidR="006C4001" w:rsidRPr="006C4001" w:rsidRDefault="006C4001" w:rsidP="006C4001">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t>Nhìn chung, doanh nghiệp có doanh thu tăng trưởng mạnh, biên lợi nhuận gộp ổn định, chi phí hoạt động được kiểm soát hiệu quả, đồng thời tăng trưởng lợi nhuận sau thuế khả quan. Tuy nhiên, chi phí lãi vay tăng đáng kể và sự biến động lợi nhuận năm 2023 cho thấy doanh nghiệp cần cân nhắc chiến lược tài chính, quản lý nợ vay và đầu tư dài hạn để duy trì khả năng sinh lời bền vững và đảm bảo thanh khoản trong dài hạn. Tổng thể, kết quả kinh doanh phản ánh sự tăng trưởng bền vững nhưng vẫn tồn tại áp lực tài chính từ nợ vay và chi phí đầu tư.</w:t>
      </w:r>
    </w:p>
    <w:p w14:paraId="63CC006C" w14:textId="77777777" w:rsidR="006C4001" w:rsidRPr="006C4001" w:rsidRDefault="006C4001" w:rsidP="006C4001">
      <w:pPr>
        <w:widowControl/>
        <w:spacing w:before="240" w:after="240"/>
        <w:rPr>
          <w:rFonts w:ascii="Times New Roman" w:hAnsi="Times New Roman" w:cs="Times New Roman"/>
          <w:b/>
          <w:bCs/>
          <w:i/>
          <w:iCs/>
          <w:sz w:val="26"/>
          <w:szCs w:val="26"/>
          <w:lang w:val="en-VN"/>
        </w:rPr>
      </w:pPr>
      <w:r w:rsidRPr="006C4001">
        <w:rPr>
          <w:rFonts w:ascii="Times New Roman" w:hAnsi="Times New Roman" w:cs="Times New Roman"/>
          <w:b/>
          <w:bCs/>
          <w:i/>
          <w:iCs/>
          <w:sz w:val="26"/>
          <w:szCs w:val="26"/>
          <w:lang w:val="en-VN"/>
        </w:rPr>
        <w:t>Kết luận chung về dự phóng báo cáo thu nhập </w:t>
      </w:r>
    </w:p>
    <w:p w14:paraId="24392732" w14:textId="77777777" w:rsidR="006C4001" w:rsidRPr="006C4001" w:rsidRDefault="006C4001" w:rsidP="006C4001">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t>Tổng kết lại, doanh nghiệp trong giai đoạn 2022–2029 thể hiện sức tăng trưởng bền vững, với doanh thu thuần tăng mạnh và lợi nhuận gộp duy trì ổn định ở mức 12–13%, cho thấy khả năng kiểm soát chi phí sản xuất và sinh lời từ hoạt động cốt lõi tốt. Chi phí hoạt động được quản lý hiệu quả, tỷ trọng chi phí bán hàng và chi phí quản lý doanh nghiệp duy trì ổn định, trong khi chi phí khấu hao và lãi vay tăng phản ánh mở rộng đầu tư tài sản cố định và sử dụng nợ dài hạn.</w:t>
      </w:r>
    </w:p>
    <w:p w14:paraId="3FA17B96" w14:textId="77777777" w:rsidR="006C4001" w:rsidRPr="006C4001" w:rsidRDefault="006C4001" w:rsidP="006C4001">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lastRenderedPageBreak/>
        <w:t>Lợi nhuận sau thuế biến động, đặc biệt giảm năm 2023, nhưng về tổng thể vẫn duy trì mức khả quan, cho thấy doanh nghiệp có khả năng sinh lời bền vững. Tuy nhiên, áp lực từ chi phí lãi vay tăng và dòng tiền từ nợ vay – đầu tư lớn vẫn là yếu tố cần lưu ý để đảm bảo thanh khoản và cân đối tài chính.</w:t>
      </w:r>
    </w:p>
    <w:p w14:paraId="1A8ADC6C" w14:textId="63D67E83" w:rsidR="00DA2452" w:rsidRPr="00DA2452" w:rsidRDefault="006C4001" w:rsidP="006C4001">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t>Như vậy, doanh nghiệp có nền tảng hoạt động kinh doanh vững chắc và tăng trưởng ổn định, nhưng cần theo dõi chặt chẽ chiến lược tài chính, quản lý nợ và đầu tư dài hạn để duy trì hiệu quả kinh doanh và đảm bảo khả năng sinh lời bền vững trong các năm tiếp theo.</w:t>
      </w:r>
    </w:p>
    <w:p w14:paraId="7FDFDE42" w14:textId="77777777" w:rsidR="00D978DF" w:rsidRPr="00761336" w:rsidRDefault="00000000">
      <w:pPr>
        <w:pStyle w:val="Heading1"/>
        <w:spacing w:line="276" w:lineRule="auto"/>
        <w:rPr>
          <w:rFonts w:ascii="Times New Roman" w:hAnsi="Times New Roman" w:cs="Times New Roman"/>
          <w:b/>
          <w:bCs/>
          <w:color w:val="000000" w:themeColor="text1"/>
          <w:sz w:val="26"/>
          <w:szCs w:val="26"/>
          <w:lang w:val="vi-VN"/>
        </w:rPr>
      </w:pPr>
      <w:bookmarkStart w:id="61" w:name="_Toc211973186"/>
      <w:r w:rsidRPr="00761336">
        <w:rPr>
          <w:rFonts w:ascii="Times New Roman" w:hAnsi="Times New Roman" w:cs="Times New Roman"/>
          <w:b/>
          <w:bCs/>
          <w:color w:val="000000" w:themeColor="text1"/>
          <w:sz w:val="26"/>
          <w:szCs w:val="26"/>
          <w:lang w:val="vi-VN"/>
        </w:rPr>
        <w:t>3. Dự phóng Bảng cân đối kế toán</w:t>
      </w:r>
      <w:bookmarkEnd w:id="61"/>
    </w:p>
    <w:p w14:paraId="4A5E762C" w14:textId="77777777" w:rsidR="00D978DF" w:rsidRPr="00761336" w:rsidRDefault="00000000">
      <w:pPr>
        <w:rPr>
          <w:rFonts w:ascii="Times New Roman" w:hAnsi="Times New Roman" w:cs="Times New Roman"/>
          <w:b/>
          <w:bCs/>
          <w:sz w:val="26"/>
          <w:szCs w:val="26"/>
          <w:lang w:val="vi-VN"/>
        </w:rPr>
      </w:pPr>
      <w:r w:rsidRPr="00761336">
        <w:rPr>
          <w:rFonts w:ascii="Times New Roman" w:hAnsi="Times New Roman" w:cs="Times New Roman"/>
          <w:b/>
          <w:bCs/>
          <w:sz w:val="26"/>
          <w:szCs w:val="26"/>
          <w:lang w:val="vi-VN"/>
        </w:rPr>
        <w:t>Các tỷ số lựa chọn:</w:t>
      </w:r>
    </w:p>
    <w:p w14:paraId="24E85AEA" w14:textId="77777777" w:rsidR="00D978DF" w:rsidRPr="00761336" w:rsidRDefault="00D978DF">
      <w:pPr>
        <w:rPr>
          <w:rFonts w:ascii="Times New Roman" w:hAnsi="Times New Roman" w:cs="Times New Roman"/>
          <w:lang w:val="vi-VN"/>
        </w:rPr>
      </w:pPr>
    </w:p>
    <w:p w14:paraId="00F49030" w14:textId="77777777" w:rsidR="00D978DF" w:rsidRPr="00761336" w:rsidRDefault="00000000">
      <w:pPr>
        <w:rPr>
          <w:rFonts w:ascii="Times New Roman" w:hAnsi="Times New Roman" w:cs="Times New Roman"/>
          <w:lang w:val="vi-VN"/>
        </w:rPr>
      </w:pPr>
      <w:r w:rsidRPr="00761336">
        <w:rPr>
          <w:rFonts w:ascii="Times New Roman" w:hAnsi="Times New Roman" w:cs="Times New Roman"/>
          <w:noProof/>
          <w:lang w:val="vi-VN"/>
        </w:rPr>
        <w:drawing>
          <wp:inline distT="0" distB="0" distL="0" distR="0" wp14:anchorId="27306211" wp14:editId="35361320">
            <wp:extent cx="6807835" cy="1248646"/>
            <wp:effectExtent l="0" t="0" r="0" b="0"/>
            <wp:docPr id="657326373"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26373" name="Picture 1" descr="A table with numbers and a number of objects&#10;&#10;AI-generated content may be incorrect."/>
                    <pic:cNvPicPr>
                      <a:picLocks noChangeAspect="1"/>
                    </pic:cNvPicPr>
                  </pic:nvPicPr>
                  <pic:blipFill>
                    <a:blip r:embed="rId27"/>
                    <a:stretch>
                      <a:fillRect/>
                    </a:stretch>
                  </pic:blipFill>
                  <pic:spPr>
                    <a:xfrm>
                      <a:off x="0" y="0"/>
                      <a:ext cx="6952841" cy="1275242"/>
                    </a:xfrm>
                    <a:prstGeom prst="rect">
                      <a:avLst/>
                    </a:prstGeom>
                  </pic:spPr>
                </pic:pic>
              </a:graphicData>
            </a:graphic>
          </wp:inline>
        </w:drawing>
      </w:r>
      <w:r w:rsidRPr="00761336">
        <w:rPr>
          <w:rFonts w:ascii="Times New Roman" w:hAnsi="Times New Roman" w:cs="Times New Roman"/>
          <w:lang w:val="vi-VN"/>
        </w:rPr>
        <w:t xml:space="preserve"> </w:t>
      </w:r>
    </w:p>
    <w:p w14:paraId="2591B180" w14:textId="77777777" w:rsidR="00355A09" w:rsidRPr="00761336" w:rsidRDefault="00355A09">
      <w:pPr>
        <w:rPr>
          <w:rFonts w:ascii="Times New Roman" w:hAnsi="Times New Roman" w:cs="Times New Roman"/>
          <w:lang w:val="vi-VN"/>
        </w:rPr>
      </w:pPr>
    </w:p>
    <w:p w14:paraId="414C385C" w14:textId="11D8552A" w:rsidR="00D978DF" w:rsidRPr="00761336" w:rsidRDefault="00355A09">
      <w:pPr>
        <w:rPr>
          <w:rFonts w:ascii="Times New Roman" w:hAnsi="Times New Roman" w:cs="Times New Roman"/>
          <w:lang w:val="vi-VN"/>
        </w:rPr>
      </w:pPr>
      <w:r w:rsidRPr="00761336">
        <w:rPr>
          <w:rFonts w:ascii="Times New Roman" w:hAnsi="Times New Roman" w:cs="Times New Roman"/>
          <w:noProof/>
          <w:lang w:val="vi-VN"/>
        </w:rPr>
        <w:drawing>
          <wp:inline distT="0" distB="0" distL="0" distR="0" wp14:anchorId="55656F25" wp14:editId="093AB77E">
            <wp:extent cx="6808336" cy="3951890"/>
            <wp:effectExtent l="0" t="0" r="0" b="0"/>
            <wp:docPr id="1031095938" name="Picture 1"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5938" name="Picture 1" descr="A table of numbers and numbers&#10;&#10;AI-generated content may be incorrect."/>
                    <pic:cNvPicPr/>
                  </pic:nvPicPr>
                  <pic:blipFill>
                    <a:blip r:embed="rId28"/>
                    <a:stretch>
                      <a:fillRect/>
                    </a:stretch>
                  </pic:blipFill>
                  <pic:spPr>
                    <a:xfrm>
                      <a:off x="0" y="0"/>
                      <a:ext cx="6850759" cy="3976514"/>
                    </a:xfrm>
                    <a:prstGeom prst="rect">
                      <a:avLst/>
                    </a:prstGeom>
                  </pic:spPr>
                </pic:pic>
              </a:graphicData>
            </a:graphic>
          </wp:inline>
        </w:drawing>
      </w:r>
      <w:r w:rsidRPr="00761336">
        <w:rPr>
          <w:rFonts w:ascii="Times New Roman" w:hAnsi="Times New Roman" w:cs="Times New Roman"/>
          <w:lang w:val="vi-VN"/>
        </w:rPr>
        <w:t xml:space="preserve"> </w:t>
      </w:r>
    </w:p>
    <w:p w14:paraId="3D91C421" w14:textId="77777777" w:rsidR="008E0C8B" w:rsidRPr="00761336" w:rsidRDefault="008E0C8B" w:rsidP="00DA2452">
      <w:pPr>
        <w:widowControl/>
        <w:spacing w:before="240" w:after="240"/>
        <w:rPr>
          <w:rFonts w:ascii="Times New Roman" w:hAnsi="Times New Roman" w:cs="Times New Roman"/>
          <w:sz w:val="26"/>
          <w:szCs w:val="26"/>
          <w:lang w:val="en-VN"/>
        </w:rPr>
      </w:pPr>
      <w:r w:rsidRPr="00761336">
        <w:rPr>
          <w:rFonts w:ascii="Times New Roman" w:hAnsi="Times New Roman" w:cs="Times New Roman"/>
          <w:sz w:val="26"/>
          <w:szCs w:val="26"/>
          <w:lang w:val="en-VN"/>
        </w:rPr>
        <w:lastRenderedPageBreak/>
        <w:t xml:space="preserve">Giai đoạn 2022–2029, các chỉ số tài chính của doanh nghiệp phản ánh xu hướng hoạt động ổn định nhưng đồng thời có sự điều chỉnh rõ rệt trong cấu trúc tài sản và chính sách tài chính nhằm phục vụ chiến lược mở rộng và phát triển dài hạn. Về vòng quay các khoản mục: vòng quay khoản phải thu giảm từ 16,11 lần năm 2022 xuống còn khoảng 14 lần các năm sau, cho thấy doanh nghiệp thu hồi công nợ chậm hơn, nhưng vẫn duy trì tốc độ tương đối tốt so với quy mô doanh thu. Vòng quay hàng tồn kho duy trì quanh 3 lần/năm, cho thấy hàng tồn kho lưu thông ổn định và không tích trữ quá nhiều, trong khi vòng quay khoản phải trả dao động từ 7–9 lần, phản ánh doanh nghiệp gia hạn nợ nhà cung cấp hợp lý, tối ưu dòng tiền. Vòng quay chi phí phải trả ngắn hạn duy trì cao (khoảng 240 lần), cho thấy quản lý chi phí phải trả hiệu quả, đảm bảo nghĩa vụ ngắn hạn được thực hiện nhanh chóng. </w:t>
      </w:r>
    </w:p>
    <w:p w14:paraId="47680B62"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Tỷ lệ thuế phải trả/thuế thu nhập biến động, cao nhất đạt 98,73% năm 2024, sau đó ổn định khoảng 88–90%, cho thấy doanh nghiệp duy trì nghĩa vụ thuế đầy đủ nhưng có thể điều chỉnh thời điểm thanh toán để tối ưu dòng tiền. Cổ tức bằng tiền mặt duy trì 0% từ 2023 trở đi, trong khi cổ tức bằng cổ phiếu duy trì 17–20%, cho thấy doanh nghiệp ưu tiên tái đầu tư lợi nhuận để phục vụ tăng trưởng và mở rộng hoạt động.</w:t>
      </w:r>
    </w:p>
    <w:p w14:paraId="7D897C99"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Về chi tiêu vốn (CAPEX), mức CAPEX dao động lớn, cao nhất 35,5 nghìn tỷ năm 2024, chiếm đến 25,56% doanh thu, phản ánh doanh nghiệp đầu tư mạnh vào TSCĐ, mở rộng sản xuất và năng lực hoạt động, dẫn tới áp lực tiền mặt lớn. Tỷ lệ CAPEX/Doanh thu giảm về mức 11–14% trong các năm sau, cho thấy mức đầu tư trở nên cân đối hơn với doanh thu. Tiền mặt/doanh thu biến động, thấp nhất khoảng 5%, cao nhất 10%, phần lớn do dòng tiền bị chi tiêu lớn cho CAPEX, nhưng vẫn duy trì đủ khả năng thanh toán ngắn hạn.</w:t>
      </w:r>
    </w:p>
    <w:p w14:paraId="1E7DFD29"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Chi tiết các khoản vay giai đoạn 2025–2029 cho thấy doanh nghiệp huy động vốn linh hoạt. Năm 2025, vay 10.000 tỷ đồng kỳ hạn 5 năm để bổ sung vốn lưu động và duy trì thanh khoản ổn định. Và các năm tiếp theo vay đều 15.000 tỷ để hoàn thiện dự án đầu tư và bổ sung CAPEX, tài trợ tiếp tục các dự án mở rộng cơ sở hạ tầng, nâng cấp dây chuyền sản xuất đồng thời dự phòng vốn lưu động, đảm bảo tốc độ tăng trưởng bền vững.</w:t>
      </w:r>
    </w:p>
    <w:p w14:paraId="6265BFDF"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Bảng cân đối kế toán cho thấy tổng tài sản tăng đều từ 224,5 nghìn tỷ năm 2024 lên 322,89 nghìn tỷ năm 2029, chủ yếu nhờ tăng trưởng tài sản cố định hữu hình và hàng tồn kho. Tổng nợ cũng tăng, từ 109,84 nghìn tỷ lên 163,24 nghìn tỷ, trong đó vay ngắn hạn và nợ dài hạn chưa đến hạn chiếm tỷ trọng lớn, phản ánh sử dụng nợ để tài trợ cho mở rộng quy mô. Vốn chủ sở hữu tăng đều, từ 114,65 nghìn tỷ lên 159,64 nghìn tỷ, chủ yếu nhờ lợi nhuận giữ lại, cho thấy doanh nghiệp duy trì nền tảng vốn chủ sở hữu ổn định và khả năng tự tài trợ tăng trưởng.</w:t>
      </w:r>
    </w:p>
    <w:p w14:paraId="3ADD3DA7" w14:textId="202E49C0" w:rsidR="008E0C8B" w:rsidRPr="008E0C8B" w:rsidRDefault="008E0C8B" w:rsidP="008E0C8B">
      <w:pPr>
        <w:widowControl/>
        <w:spacing w:before="240" w:after="240"/>
        <w:rPr>
          <w:rFonts w:ascii="Times New Roman" w:hAnsi="Times New Roman" w:cs="Times New Roman"/>
          <w:sz w:val="26"/>
          <w:szCs w:val="26"/>
          <w:lang w:val="vi-VN"/>
        </w:rPr>
      </w:pPr>
      <w:r w:rsidRPr="008E0C8B">
        <w:rPr>
          <w:rFonts w:ascii="Times New Roman" w:hAnsi="Times New Roman" w:cs="Times New Roman"/>
          <w:sz w:val="26"/>
          <w:szCs w:val="26"/>
          <w:lang w:val="en-VN"/>
        </w:rPr>
        <w:t xml:space="preserve">Nhìn chung, các chỉ số cho thấy doanh nghiệp quản lý tốt các khoản phải thu, tồn kho và nợ phải trả, duy trì dòng tiền ổn định mặc dù CAPEX lớn, và ưu tiên tái đầu tư lợi nhuận thay vì chi trả cổ tức tiền mặt. Tổng thể, bảng cân đối dự phóng và các chỉ số hoạt động tài chính phản ánh doanh nghiệp đang trong giai đoạn mở rộng mạnh mẽ, tăng trưởng bền </w:t>
      </w:r>
      <w:r w:rsidRPr="008E0C8B">
        <w:rPr>
          <w:rFonts w:ascii="Times New Roman" w:hAnsi="Times New Roman" w:cs="Times New Roman"/>
          <w:sz w:val="26"/>
          <w:szCs w:val="26"/>
          <w:lang w:val="en-VN"/>
        </w:rPr>
        <w:lastRenderedPageBreak/>
        <w:t>vững nhưng có áp lực dòng tiền do đầu tư lớn, cần duy trì kiểm soát nợ và quản lý dòng tiền hiệu quả để đảm bảo thanh khoản và khả năng sinh lời lâu dài.</w:t>
      </w:r>
    </w:p>
    <w:p w14:paraId="128BDCC2"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b/>
          <w:bCs/>
          <w:i/>
          <w:iCs/>
          <w:sz w:val="26"/>
          <w:szCs w:val="26"/>
          <w:lang w:val="en-VN"/>
        </w:rPr>
        <w:t>Kết luận chung về dự phóng bảng cân đối kế toán</w:t>
      </w:r>
    </w:p>
    <w:p w14:paraId="1AA0B58D"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Giai đoạn 2022–2029, bức tranh tài chính của doanh nghiệp thể hiện xu hướng hoạt động ổn định và mở rộng có kiểm soát, đồng thời phản ánh sự chuyển dịch chiến lược trong cơ cấu tài sản và chính sách tài chính nhằm phục vụ tăng trưởng dài hạn.</w:t>
      </w:r>
    </w:p>
    <w:p w14:paraId="2261B49C"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Về hiệu quả hoạt động, vòng quay các khoản mục chính duy trì ở mức hợp lý. Khoản phải thu giảm nhẹ tốc độ thu hồi, song vẫn đảm bảo hiệu quả so với quy mô doanh thu; hàng tồn kho luân chuyển ổn định khoảng 3 lần/năm, phản ánh năng lực quản trị chuỗi cung ứng vững vàng; vòng quay khoản phải trả duy trì trong khoảng 7–9 lần, cho thấy doanh nghiệp tận dụng tốt tín dụng thương mại để tối ưu dòng tiền. Vòng quay chi phí phải trả ngắn hạn ở mức cao, khẳng định khả năng thanh toán và điều hành nghĩa vụ tài chính ngắn hạn hiệu quả.</w:t>
      </w:r>
    </w:p>
    <w:p w14:paraId="195A805B"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Về chính sách tài chính, doanh nghiệp duy trì nghĩa vụ thuế đầy đủ và linh hoạt trong quản trị dòng tiền, thể hiện qua tỷ lệ thuế phải trả/thuế thu nhập ổn định quanh mức 88–90% giai đoạn sau 2024. Cổ tức bằng tiền mặt được tạm ngưng từ 2023, trong khi cổ tức bằng cổ phiếu duy trì 17–20%, phản ánh ưu tiên tái đầu tư lợi nhuận nhằm củng cố nội lực và mở rộng quy mô.</w:t>
      </w:r>
    </w:p>
    <w:p w14:paraId="3FFADD51"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Chi tiêu vốn (CAPEX) có biến động mạnh, đạt đỉnh 35,5 nghìn tỷ đồng năm 2024 (chiếm 25,56% doanh thu), thể hiện giai đoạn đầu tư trọng điểm vào tài sản cố định và năng lực sản xuất. Những năm sau, tỷ lệ CAPEX/Doanh thu giảm về 11–14%, cho thấy hoạt động đầu tư được cân đối và duy trì ở mức bền vững hơn. Dòng tiền tiền mặt/doanh thu duy trì 5–10%, phản ánh khả năng thanh khoản ổn định dù chịu áp lực đầu tư lớn.</w:t>
      </w:r>
    </w:p>
    <w:p w14:paraId="16093BBE" w14:textId="77777777" w:rsidR="008E0C8B" w:rsidRPr="008E0C8B"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Cấu trúc tài chính giai đoạn 2025–2029 cho thấy doanh nghiệp tăng cường huy động nợ dài hạn để tài trợ đầu tư và cơ cấu nguồn vốn. Các khoản vay mới được phân bổ hợp lý giữa mục tiêu bổ sung vốn lưu động, tài trợ CAPEX và dự phòng thanh khoản, đảm bảo cân bằng giữa tăng trưởng và an toàn tài chính.</w:t>
      </w:r>
    </w:p>
    <w:p w14:paraId="7B459294" w14:textId="302E5739" w:rsidR="008E0C8B" w:rsidRPr="00761336" w:rsidRDefault="008E0C8B" w:rsidP="008E0C8B">
      <w:pPr>
        <w:widowControl/>
        <w:spacing w:before="240" w:after="240"/>
        <w:rPr>
          <w:rFonts w:ascii="Times New Roman" w:hAnsi="Times New Roman" w:cs="Times New Roman"/>
          <w:sz w:val="26"/>
          <w:szCs w:val="26"/>
          <w:lang w:val="en-VN"/>
        </w:rPr>
      </w:pPr>
      <w:r w:rsidRPr="008E0C8B">
        <w:rPr>
          <w:rFonts w:ascii="Times New Roman" w:hAnsi="Times New Roman" w:cs="Times New Roman"/>
          <w:sz w:val="26"/>
          <w:szCs w:val="26"/>
          <w:lang w:val="en-VN"/>
        </w:rPr>
        <w:t>Bảng cân đối kế toán dự phóng thể hiện quy mô tài sản mở rộng mạnh, từ 224,5 nghìn tỷ năm 2024 lên 322,89 nghìn tỷ năm 2029, chủ yếu nhờ đầu tư tài sản cố định hữu hình và tồn kho. Tổng nợ tăng tương ứng, nhưng vốn chủ sở hữu cũng tăng ổn định nhờ lợi nhuận giữ lại, giúp doanh nghiệp duy trì tỷ lệ đòn bẩy hợp lý và khả năng tự tài trợ tăng trưởng.</w:t>
      </w:r>
    </w:p>
    <w:p w14:paraId="2D4E0CEE" w14:textId="62B3CFE2" w:rsidR="006C4001" w:rsidRPr="008E0C8B" w:rsidRDefault="006C4001" w:rsidP="008E0C8B">
      <w:pPr>
        <w:widowControl/>
        <w:spacing w:before="240" w:after="240"/>
        <w:rPr>
          <w:rFonts w:ascii="Times New Roman" w:hAnsi="Times New Roman" w:cs="Times New Roman"/>
          <w:sz w:val="26"/>
          <w:szCs w:val="26"/>
          <w:lang w:val="en-VN"/>
        </w:rPr>
      </w:pPr>
      <w:r w:rsidRPr="006C4001">
        <w:rPr>
          <w:rFonts w:ascii="Times New Roman" w:hAnsi="Times New Roman" w:cs="Times New Roman"/>
          <w:sz w:val="26"/>
          <w:szCs w:val="26"/>
          <w:lang w:val="en-VN"/>
        </w:rPr>
        <w:t>Tổng thể, doanh nghiệp đang trong giai đoạn tăng trưởng bền vững và mở rộng chiến lược, với hiệu quả quản trị vốn lưu động cao, dòng tiền ổn định và cấu trúc tài chính an toàn. Tuy nhiên, áp lực dòng tiền từ CAPEX lớn đòi hỏi doanh nghiệp phải tiếp tục kiểm soát nợ, tối ưu hiệu quả sử dụng vốn và duy trì tính thanh khoản để đảm bảo năng lực cạnh tranh và khả năng sinh lời dài hạn.</w:t>
      </w:r>
    </w:p>
    <w:p w14:paraId="6752249D" w14:textId="302E5739" w:rsidR="00D978DF" w:rsidRPr="00761336" w:rsidRDefault="00000000">
      <w:pPr>
        <w:pStyle w:val="Heading1"/>
        <w:spacing w:line="276" w:lineRule="auto"/>
        <w:rPr>
          <w:rFonts w:ascii="Times New Roman" w:hAnsi="Times New Roman" w:cs="Times New Roman"/>
          <w:b/>
          <w:bCs/>
          <w:color w:val="000000" w:themeColor="text1"/>
          <w:sz w:val="26"/>
          <w:szCs w:val="26"/>
          <w:lang w:val="vi-VN"/>
        </w:rPr>
      </w:pPr>
      <w:bookmarkStart w:id="62" w:name="_Toc211973187"/>
      <w:r w:rsidRPr="00761336">
        <w:rPr>
          <w:rFonts w:ascii="Times New Roman" w:hAnsi="Times New Roman" w:cs="Times New Roman"/>
          <w:b/>
          <w:bCs/>
          <w:color w:val="000000" w:themeColor="text1"/>
          <w:sz w:val="26"/>
          <w:szCs w:val="26"/>
          <w:lang w:val="vi-VN"/>
        </w:rPr>
        <w:lastRenderedPageBreak/>
        <w:t>4. Dự phóng Báo cáo lưu chuyển tiền tệ</w:t>
      </w:r>
      <w:bookmarkEnd w:id="62"/>
    </w:p>
    <w:p w14:paraId="55539B29" w14:textId="51495AAA" w:rsidR="00D978DF" w:rsidRPr="00761336" w:rsidRDefault="002C58D0">
      <w:pPr>
        <w:spacing w:line="276" w:lineRule="auto"/>
        <w:rPr>
          <w:rFonts w:ascii="Times New Roman" w:hAnsi="Times New Roman" w:cs="Times New Roman"/>
          <w:sz w:val="26"/>
          <w:szCs w:val="26"/>
          <w:lang w:val="vi-VN"/>
        </w:rPr>
      </w:pPr>
      <w:r w:rsidRPr="00761336">
        <w:rPr>
          <w:rFonts w:ascii="Times New Roman" w:hAnsi="Times New Roman" w:cs="Times New Roman"/>
          <w:noProof/>
          <w:sz w:val="26"/>
          <w:szCs w:val="26"/>
          <w:lang w:val="vi-VN"/>
        </w:rPr>
        <w:drawing>
          <wp:inline distT="0" distB="0" distL="0" distR="0" wp14:anchorId="06280F57" wp14:editId="6FD830E9">
            <wp:extent cx="6757670" cy="2102069"/>
            <wp:effectExtent l="0" t="0" r="0" b="6350"/>
            <wp:docPr id="1961608974" name="Picture 1" descr="A table with numbers and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08974" name="Picture 1" descr="A table with numbers and a person's hand&#10;&#10;AI-generated content may be incorrect."/>
                    <pic:cNvPicPr/>
                  </pic:nvPicPr>
                  <pic:blipFill>
                    <a:blip r:embed="rId29"/>
                    <a:stretch>
                      <a:fillRect/>
                    </a:stretch>
                  </pic:blipFill>
                  <pic:spPr>
                    <a:xfrm>
                      <a:off x="0" y="0"/>
                      <a:ext cx="6808951" cy="2118021"/>
                    </a:xfrm>
                    <a:prstGeom prst="rect">
                      <a:avLst/>
                    </a:prstGeom>
                  </pic:spPr>
                </pic:pic>
              </a:graphicData>
            </a:graphic>
          </wp:inline>
        </w:drawing>
      </w:r>
    </w:p>
    <w:p w14:paraId="31ABFC1F" w14:textId="77777777" w:rsidR="00DA2452" w:rsidRPr="00761336" w:rsidRDefault="00DA2452" w:rsidP="00DA2452">
      <w:pPr>
        <w:spacing w:line="276" w:lineRule="auto"/>
        <w:jc w:val="both"/>
        <w:rPr>
          <w:rFonts w:ascii="Times New Roman" w:hAnsi="Times New Roman" w:cs="Times New Roman"/>
          <w:sz w:val="26"/>
          <w:szCs w:val="26"/>
          <w:lang w:val="vi-VN"/>
        </w:rPr>
      </w:pPr>
    </w:p>
    <w:p w14:paraId="69A3DEC9" w14:textId="77777777" w:rsidR="006C4001" w:rsidRPr="00761336" w:rsidRDefault="006C4001" w:rsidP="006C4001">
      <w:pPr>
        <w:spacing w:line="276" w:lineRule="auto"/>
        <w:jc w:val="both"/>
        <w:rPr>
          <w:rFonts w:ascii="Times New Roman" w:hAnsi="Times New Roman" w:cs="Times New Roman"/>
          <w:sz w:val="26"/>
          <w:szCs w:val="26"/>
          <w:lang w:val="en-VN"/>
        </w:rPr>
      </w:pPr>
      <w:r w:rsidRPr="006C4001">
        <w:rPr>
          <w:rFonts w:ascii="Times New Roman" w:hAnsi="Times New Roman" w:cs="Times New Roman"/>
          <w:sz w:val="26"/>
          <w:szCs w:val="26"/>
          <w:lang w:val="en-VN"/>
        </w:rPr>
        <w:t>Giai đoạn 2025–2029, lợi nhuận ròng của doanh nghiệp duy trì ở mức cao và ổn định, dao động từ 10,54 nghìn tỷ đến 13,23 nghìn tỷ đồng. Mặc dù có sự sụt giảm trong năm 2027 do áp lực chi phí đầu tư và chi phí vốn, nhưng lợi nhuận nhanh chóng phục hồi trong giai đoạn 2028–2029, cho thấy khả năng duy trì hiệu quả hoạt động và kiểm soát chi phí tốt.</w:t>
      </w:r>
    </w:p>
    <w:p w14:paraId="2B2DC851" w14:textId="77777777" w:rsidR="006C4001" w:rsidRPr="006C4001" w:rsidRDefault="006C4001" w:rsidP="006C4001">
      <w:pPr>
        <w:spacing w:line="276" w:lineRule="auto"/>
        <w:jc w:val="both"/>
        <w:rPr>
          <w:rFonts w:ascii="Times New Roman" w:hAnsi="Times New Roman" w:cs="Times New Roman"/>
          <w:sz w:val="26"/>
          <w:szCs w:val="26"/>
          <w:lang w:val="en-VN"/>
        </w:rPr>
      </w:pPr>
    </w:p>
    <w:p w14:paraId="4EA6B1AA" w14:textId="77777777" w:rsidR="006C4001" w:rsidRPr="00761336" w:rsidRDefault="006C4001" w:rsidP="006C4001">
      <w:pPr>
        <w:spacing w:line="276" w:lineRule="auto"/>
        <w:jc w:val="both"/>
        <w:rPr>
          <w:rFonts w:ascii="Times New Roman" w:hAnsi="Times New Roman" w:cs="Times New Roman"/>
          <w:sz w:val="26"/>
          <w:szCs w:val="26"/>
          <w:lang w:val="en-VN"/>
        </w:rPr>
      </w:pPr>
      <w:r w:rsidRPr="006C4001">
        <w:rPr>
          <w:rFonts w:ascii="Times New Roman" w:hAnsi="Times New Roman" w:cs="Times New Roman"/>
          <w:sz w:val="26"/>
          <w:szCs w:val="26"/>
          <w:lang w:val="en-VN"/>
        </w:rPr>
        <w:t>Dòng tiền thuần từ hoạt động kinh doanh (CFO) duy trì tích cực, trung bình 17–23 nghìn tỷ đồng/năm, phản ánh dòng tiền nội sinh mạnh mẽ. Sự đóng góp lớn từ khấu hao và hao mòn (8,5–15,5 nghìn tỷ đồng) giúp tăng dòng tiền hoạt động, trong khi biến động hàng tồn kho và khoản phải thu âm lớn cho thấy vốn lưu động bị giam giữ đáng kể, đặc biệt trong các năm mở rộng sản xuất (2027–2028). Tuy nhiên, dòng tiền hoạt động vẫn dương liên tục, thể hiện năng lực tạo tiền từ hoạt động kinh doanh vững chắc.</w:t>
      </w:r>
    </w:p>
    <w:p w14:paraId="2A5E473B" w14:textId="77777777" w:rsidR="006C4001" w:rsidRPr="006C4001" w:rsidRDefault="006C4001" w:rsidP="006C4001">
      <w:pPr>
        <w:spacing w:line="276" w:lineRule="auto"/>
        <w:jc w:val="both"/>
        <w:rPr>
          <w:rFonts w:ascii="Times New Roman" w:hAnsi="Times New Roman" w:cs="Times New Roman"/>
          <w:sz w:val="26"/>
          <w:szCs w:val="26"/>
          <w:lang w:val="en-VN"/>
        </w:rPr>
      </w:pPr>
    </w:p>
    <w:p w14:paraId="6BFAAF21" w14:textId="77777777" w:rsidR="006C4001" w:rsidRPr="00761336" w:rsidRDefault="006C4001" w:rsidP="006C4001">
      <w:pPr>
        <w:spacing w:line="276" w:lineRule="auto"/>
        <w:jc w:val="both"/>
        <w:rPr>
          <w:rFonts w:ascii="Times New Roman" w:hAnsi="Times New Roman" w:cs="Times New Roman"/>
          <w:sz w:val="26"/>
          <w:szCs w:val="26"/>
          <w:lang w:val="en-VN"/>
        </w:rPr>
      </w:pPr>
      <w:r w:rsidRPr="006C4001">
        <w:rPr>
          <w:rFonts w:ascii="Times New Roman" w:hAnsi="Times New Roman" w:cs="Times New Roman"/>
          <w:sz w:val="26"/>
          <w:szCs w:val="26"/>
          <w:lang w:val="en-VN"/>
        </w:rPr>
        <w:t>Dòng tiền đầu tư (CFI) liên tục âm sâu, trung bình -26 nghìn tỷ đồng/năm, do doanh nghiệp đẩy mạnh chi tiêu vốn (CAPEX) cho đầu tư tài sản cố định và nâng cấp năng lực sản xuất. Năm 2027 ghi nhận mức âm cao nhất (-28,19 nghìn tỷ đồng), phản ánh giai đoạn đầu tư trọng điểm vào hạ tầng và mở rộng quy mô.</w:t>
      </w:r>
    </w:p>
    <w:p w14:paraId="7EBFACEB" w14:textId="77777777" w:rsidR="006C4001" w:rsidRPr="006C4001" w:rsidRDefault="006C4001" w:rsidP="006C4001">
      <w:pPr>
        <w:spacing w:line="276" w:lineRule="auto"/>
        <w:jc w:val="both"/>
        <w:rPr>
          <w:rFonts w:ascii="Times New Roman" w:hAnsi="Times New Roman" w:cs="Times New Roman"/>
          <w:sz w:val="26"/>
          <w:szCs w:val="26"/>
          <w:lang w:val="en-VN"/>
        </w:rPr>
      </w:pPr>
    </w:p>
    <w:p w14:paraId="0B1D862B" w14:textId="77777777" w:rsidR="006C4001" w:rsidRPr="00761336" w:rsidRDefault="006C4001" w:rsidP="006C4001">
      <w:pPr>
        <w:spacing w:line="276" w:lineRule="auto"/>
        <w:jc w:val="both"/>
        <w:rPr>
          <w:rFonts w:ascii="Times New Roman" w:hAnsi="Times New Roman" w:cs="Times New Roman"/>
          <w:sz w:val="26"/>
          <w:szCs w:val="26"/>
          <w:lang w:val="en-VN"/>
        </w:rPr>
      </w:pPr>
      <w:r w:rsidRPr="006C4001">
        <w:rPr>
          <w:rFonts w:ascii="Times New Roman" w:hAnsi="Times New Roman" w:cs="Times New Roman"/>
          <w:sz w:val="26"/>
          <w:szCs w:val="26"/>
          <w:lang w:val="en-VN"/>
        </w:rPr>
        <w:t>Dòng tiền tài chính (CFF) duy trì âm qua các năm, từ -3,3 nghìn tỷ đồng năm 2025 lên đến -12,47 nghìn tỷ đồng năm 2029, chủ yếu do doanh nghiệp hoàn trả nợ dài hạn lớn trong khi hầu như không chi trả cổ tức tiền mặt. Chính sách này thể hiện định hướng giảm dần đòn bẩy tài chính và tái đầu tư lợi nhuận cho tăng trưởng.</w:t>
      </w:r>
    </w:p>
    <w:p w14:paraId="7BDDFC15" w14:textId="77777777" w:rsidR="006C4001" w:rsidRPr="006C4001" w:rsidRDefault="006C4001" w:rsidP="006C4001">
      <w:pPr>
        <w:spacing w:line="276" w:lineRule="auto"/>
        <w:jc w:val="both"/>
        <w:rPr>
          <w:rFonts w:ascii="Times New Roman" w:hAnsi="Times New Roman" w:cs="Times New Roman"/>
          <w:sz w:val="26"/>
          <w:szCs w:val="26"/>
          <w:lang w:val="en-VN"/>
        </w:rPr>
      </w:pPr>
    </w:p>
    <w:p w14:paraId="380A3341" w14:textId="77777777" w:rsidR="006C4001" w:rsidRPr="00761336" w:rsidRDefault="006C4001" w:rsidP="006C4001">
      <w:pPr>
        <w:spacing w:line="276" w:lineRule="auto"/>
        <w:jc w:val="both"/>
        <w:rPr>
          <w:rFonts w:ascii="Times New Roman" w:hAnsi="Times New Roman" w:cs="Times New Roman"/>
          <w:sz w:val="26"/>
          <w:szCs w:val="26"/>
          <w:lang w:val="en-VN"/>
        </w:rPr>
      </w:pPr>
      <w:r w:rsidRPr="006C4001">
        <w:rPr>
          <w:rFonts w:ascii="Times New Roman" w:hAnsi="Times New Roman" w:cs="Times New Roman"/>
          <w:sz w:val="26"/>
          <w:szCs w:val="26"/>
          <w:lang w:val="en-VN"/>
        </w:rPr>
        <w:t xml:space="preserve">Tiền mặt cuối kỳ biến động đáng kể, tăng mạnh năm 2028 lên 12,1 nghìn tỷ đồng, sau đó giảm còn 4,76 nghìn tỷ đồng năm 2029. Điều này phản ánh doanh </w:t>
      </w:r>
      <w:r w:rsidRPr="00761336">
        <w:rPr>
          <w:rFonts w:ascii="Times New Roman" w:hAnsi="Times New Roman" w:cs="Times New Roman"/>
          <w:sz w:val="26"/>
          <w:szCs w:val="26"/>
          <w:lang w:val="en-VN"/>
        </w:rPr>
        <w:t xml:space="preserve">nghiệp có giai đoạn tích lũy dòng tiền mạnh sau hoạt động đầu tư lớn, sau đó tiếp tục sử dụng tiền cho tái đầu tư và </w:t>
      </w:r>
      <w:r w:rsidRPr="00761336">
        <w:rPr>
          <w:rFonts w:ascii="Times New Roman" w:hAnsi="Times New Roman" w:cs="Times New Roman"/>
          <w:sz w:val="26"/>
          <w:szCs w:val="26"/>
          <w:lang w:val="en-VN"/>
        </w:rPr>
        <w:lastRenderedPageBreak/>
        <w:t>trả nợ, đảm bảo cân bằng giữa thanh khoản và tăng trưởng.</w:t>
      </w:r>
    </w:p>
    <w:p w14:paraId="7A445390" w14:textId="77777777" w:rsidR="006C4001" w:rsidRPr="00761336" w:rsidRDefault="006C4001" w:rsidP="006C4001">
      <w:pPr>
        <w:spacing w:line="276" w:lineRule="auto"/>
        <w:jc w:val="both"/>
        <w:rPr>
          <w:rFonts w:ascii="Times New Roman" w:hAnsi="Times New Roman" w:cs="Times New Roman"/>
          <w:sz w:val="26"/>
          <w:szCs w:val="26"/>
          <w:lang w:val="en-VN"/>
        </w:rPr>
      </w:pPr>
    </w:p>
    <w:p w14:paraId="73898BAB" w14:textId="2AD00858" w:rsidR="006C4001" w:rsidRDefault="006C4001" w:rsidP="006C4001">
      <w:pPr>
        <w:spacing w:line="276" w:lineRule="auto"/>
        <w:jc w:val="both"/>
        <w:rPr>
          <w:rFonts w:ascii="Times New Roman" w:hAnsi="Times New Roman" w:cs="Times New Roman"/>
          <w:sz w:val="26"/>
          <w:szCs w:val="26"/>
          <w:lang w:val="vi-VN"/>
        </w:rPr>
      </w:pPr>
      <w:r w:rsidRPr="006C4001">
        <w:rPr>
          <w:rFonts w:ascii="Times New Roman" w:hAnsi="Times New Roman" w:cs="Times New Roman"/>
          <w:sz w:val="26"/>
          <w:szCs w:val="26"/>
          <w:lang w:val="en-VN"/>
        </w:rPr>
        <w:t>Tổng thể, doanh nghiệp duy trì khả năng sinh lời ổn định, dòng tiền hoạt động dồi dào, và chính sách đầu tư – tài chính chặt chẽ hướng đến mở rộng dài hạn. Tuy nhiên, áp lực dòng tiền do CAPEX lớn và biến động vốn lưu động cần được quản trị cẩn trọng để tránh rủi ro thanh khoản trong các năm cuối chu kỳ đầu tư.</w:t>
      </w:r>
    </w:p>
    <w:p w14:paraId="783BD1A6" w14:textId="77777777" w:rsidR="00F45D7C" w:rsidRPr="006C4001" w:rsidRDefault="00F45D7C" w:rsidP="006C4001">
      <w:pPr>
        <w:spacing w:line="276" w:lineRule="auto"/>
        <w:jc w:val="both"/>
        <w:rPr>
          <w:rFonts w:ascii="Times New Roman" w:hAnsi="Times New Roman" w:cs="Times New Roman"/>
          <w:sz w:val="26"/>
          <w:szCs w:val="26"/>
          <w:lang w:val="vi-VN"/>
        </w:rPr>
      </w:pPr>
    </w:p>
    <w:p w14:paraId="60E79F80" w14:textId="77777777" w:rsidR="006C4001" w:rsidRPr="006C4001" w:rsidRDefault="006C4001" w:rsidP="006C4001">
      <w:pPr>
        <w:spacing w:line="276" w:lineRule="auto"/>
        <w:jc w:val="both"/>
        <w:rPr>
          <w:rFonts w:ascii="Times New Roman" w:hAnsi="Times New Roman" w:cs="Times New Roman"/>
          <w:b/>
          <w:bCs/>
          <w:i/>
          <w:iCs/>
          <w:sz w:val="26"/>
          <w:szCs w:val="26"/>
          <w:lang w:val="en-VN"/>
        </w:rPr>
      </w:pPr>
      <w:r w:rsidRPr="006C4001">
        <w:rPr>
          <w:rFonts w:ascii="Times New Roman" w:hAnsi="Times New Roman" w:cs="Times New Roman"/>
          <w:b/>
          <w:bCs/>
          <w:i/>
          <w:iCs/>
          <w:sz w:val="26"/>
          <w:szCs w:val="26"/>
          <w:lang w:val="en-VN"/>
        </w:rPr>
        <w:t>Kết luận chung về dự phóng dòng tiền</w:t>
      </w:r>
    </w:p>
    <w:p w14:paraId="30DEE6C4" w14:textId="77777777" w:rsidR="006C4001" w:rsidRPr="00761336" w:rsidRDefault="006C4001" w:rsidP="006C4001">
      <w:pPr>
        <w:spacing w:line="276" w:lineRule="auto"/>
        <w:jc w:val="both"/>
        <w:rPr>
          <w:rFonts w:ascii="Times New Roman" w:hAnsi="Times New Roman" w:cs="Times New Roman"/>
          <w:sz w:val="26"/>
          <w:szCs w:val="26"/>
          <w:lang w:val="en-VN"/>
        </w:rPr>
      </w:pPr>
      <w:r w:rsidRPr="006C4001">
        <w:rPr>
          <w:rFonts w:ascii="Times New Roman" w:hAnsi="Times New Roman" w:cs="Times New Roman"/>
          <w:sz w:val="26"/>
          <w:szCs w:val="26"/>
          <w:lang w:val="en-VN"/>
        </w:rPr>
        <w:t>Giai đoạn 2025–2029 cho thấy tình hình tài chính của doanh nghiệp phát triển theo hướng ổn định và mở rộng dài hạn. Lợi nhuận ròng duy trì ở mức cao, dao động từ 7,6 đến hơn 10,7 nghìn tỷ đồng mỗi năm, thể hiện năng lực sinh lời bền vững dù chịu ảnh hưởng từ biến động chi phí và các khoản đầu tư lớn. Dòng tiền từ hoạt động kinh doanh duy trì dương trong suốt giai đoạn, đạt bình quân hơn 18 nghìn tỷ đồng/năm, phản ánh khả năng tạo ra dòng tiền thực tế mạnh mẽ từ hoạt động cốt lõi. Tuy nhiên, biến động âm đáng kể ở khoản phải thu và hàng tồn kho cho thấy một phần vốn bị “giam” trong chu kỳ sản xuất – kinh doanh, đòi hỏi doanh nghiệp phải tối ưu hơn trong công tác quản lý vốn lưu động và dự báo nhu cầu sản xuất.</w:t>
      </w:r>
    </w:p>
    <w:p w14:paraId="65879926" w14:textId="77777777" w:rsidR="006C4001" w:rsidRPr="006C4001" w:rsidRDefault="006C4001" w:rsidP="006C4001">
      <w:pPr>
        <w:spacing w:line="276" w:lineRule="auto"/>
        <w:jc w:val="both"/>
        <w:rPr>
          <w:rFonts w:ascii="Times New Roman" w:hAnsi="Times New Roman" w:cs="Times New Roman"/>
          <w:sz w:val="26"/>
          <w:szCs w:val="26"/>
          <w:lang w:val="en-VN"/>
        </w:rPr>
      </w:pPr>
    </w:p>
    <w:p w14:paraId="7247AAF1" w14:textId="77777777" w:rsidR="006C4001" w:rsidRPr="00761336" w:rsidRDefault="006C4001" w:rsidP="006C4001">
      <w:pPr>
        <w:spacing w:line="276" w:lineRule="auto"/>
        <w:jc w:val="both"/>
        <w:rPr>
          <w:rFonts w:ascii="Times New Roman" w:hAnsi="Times New Roman" w:cs="Times New Roman"/>
          <w:sz w:val="26"/>
          <w:szCs w:val="26"/>
          <w:lang w:val="en-VN"/>
        </w:rPr>
      </w:pPr>
      <w:r w:rsidRPr="006C4001">
        <w:rPr>
          <w:rFonts w:ascii="Times New Roman" w:hAnsi="Times New Roman" w:cs="Times New Roman"/>
          <w:sz w:val="26"/>
          <w:szCs w:val="26"/>
          <w:lang w:val="en-VN"/>
        </w:rPr>
        <w:t>Bên cạnh đó, chi tiêu vốn (CAPEX) ở mức rất cao, trung bình khoảng 25–26 nghìn tỷ đồng/năm, thể hiện chiến lược đầu tư mạnh mẽ vào mở rộng hạ tầng, máy móc và tài sản dài hạn nhằm củng cố vị thế cạnh tranh. Tuy nhiên, quy mô đầu tư lớn này cũng tạo áp lực không nhỏ lên dòng tiền ngắn hạn và yêu cầu doanh nghiệp phải có kế hoạch huy động vốn hợp lý. Dòng tiền từ hoạt động tài chính liên tục âm, chủ yếu do chi trả nợ dài hạn tăng mạnh qua các năm, phản ánh chính sách giảm đòn bẩy và hướng tới cơ cấu tài chính an toàn, trong khi cổ tức tiền mặt chi trả ở mức rất thấp, cho thấy doanh nghiệp ưu tiên tái đầu tư lợi nhuận cho tăng trưởng thay vì phân phối cho cổ đông.</w:t>
      </w:r>
    </w:p>
    <w:p w14:paraId="2F5FCF81" w14:textId="77777777" w:rsidR="006C4001" w:rsidRPr="006C4001" w:rsidRDefault="006C4001" w:rsidP="006C4001">
      <w:pPr>
        <w:spacing w:line="276" w:lineRule="auto"/>
        <w:jc w:val="both"/>
        <w:rPr>
          <w:rFonts w:ascii="Times New Roman" w:hAnsi="Times New Roman" w:cs="Times New Roman"/>
          <w:sz w:val="26"/>
          <w:szCs w:val="26"/>
          <w:lang w:val="en-VN"/>
        </w:rPr>
      </w:pPr>
    </w:p>
    <w:p w14:paraId="4275D32A" w14:textId="547A4002" w:rsidR="006C4001" w:rsidRPr="006C4001" w:rsidRDefault="006C4001" w:rsidP="006C4001">
      <w:pPr>
        <w:spacing w:line="276" w:lineRule="auto"/>
        <w:jc w:val="both"/>
        <w:rPr>
          <w:rFonts w:ascii="Times New Roman" w:hAnsi="Times New Roman" w:cs="Times New Roman"/>
          <w:sz w:val="26"/>
          <w:szCs w:val="26"/>
          <w:lang w:val="en-VN"/>
        </w:rPr>
      </w:pPr>
      <w:r w:rsidRPr="006C4001">
        <w:rPr>
          <w:rFonts w:ascii="Times New Roman" w:hAnsi="Times New Roman" w:cs="Times New Roman"/>
          <w:sz w:val="26"/>
          <w:szCs w:val="26"/>
          <w:lang w:val="en-VN"/>
        </w:rPr>
        <w:t xml:space="preserve">Mặc dù dòng tiền thuần từng năm có biến động mạnh, đặc biệt vào năm 2028 với dòng tiền dương đột biến do hoạt động kinh doanh hiệu quả, lượng tiền mặt cuối kỳ vẫn được duy trì ở mức an toàn (dao động từ 4 đến 12 nghìn tỷ đồng). Điều này giúp doanh nghiệp đảm bảo khả năng thanh khoản, đáp ứng tốt các nghĩa vụ tài chính ngắn hạn. Tổng thể, doanh nghiệp đang trong giai đoạn tăng trưởng mở rộng bền vững với nền tảng tài chính vững chắc, khả năng sinh lời ổn định và dòng tiền hoạt động mạnh. Tuy nhiên, để duy trì sức khỏe tài chính </w:t>
      </w:r>
      <w:r w:rsidRPr="00761336">
        <w:rPr>
          <w:rFonts w:ascii="Times New Roman" w:hAnsi="Times New Roman" w:cs="Times New Roman"/>
          <w:sz w:val="26"/>
          <w:szCs w:val="26"/>
        </w:rPr>
        <w:t>lâu dài, doanh nghiệp cần tiếp tục kiểm soát chi tiêu đầu tư, tối ưu quản trị vốn lưu động và duy trì cân đối giữa tăng trưởng cùng hiệu quả sử dụng vốn.</w:t>
      </w:r>
    </w:p>
    <w:p w14:paraId="3D32D696" w14:textId="77777777" w:rsidR="006C4001" w:rsidRPr="006C4001" w:rsidRDefault="006C4001" w:rsidP="006C4001">
      <w:pPr>
        <w:spacing w:line="276" w:lineRule="auto"/>
        <w:jc w:val="both"/>
        <w:rPr>
          <w:rFonts w:ascii="Times New Roman" w:hAnsi="Times New Roman" w:cs="Times New Roman"/>
          <w:sz w:val="26"/>
          <w:szCs w:val="26"/>
          <w:lang w:val="en-VN"/>
        </w:rPr>
      </w:pPr>
    </w:p>
    <w:p w14:paraId="06B0D8CC" w14:textId="625F1AA5" w:rsidR="006C4001" w:rsidRPr="006C4001" w:rsidRDefault="006C4001" w:rsidP="006C4001">
      <w:pPr>
        <w:spacing w:line="276" w:lineRule="auto"/>
        <w:jc w:val="both"/>
        <w:rPr>
          <w:rFonts w:ascii="Times New Roman" w:hAnsi="Times New Roman" w:cs="Times New Roman"/>
          <w:sz w:val="26"/>
          <w:szCs w:val="26"/>
          <w:lang w:val="en-VN"/>
        </w:rPr>
      </w:pPr>
    </w:p>
    <w:p w14:paraId="4979ADED" w14:textId="77777777" w:rsidR="006C4001" w:rsidRPr="006C4001" w:rsidRDefault="006C4001" w:rsidP="006C4001">
      <w:pPr>
        <w:spacing w:line="276" w:lineRule="auto"/>
        <w:jc w:val="both"/>
        <w:rPr>
          <w:rFonts w:ascii="Times New Roman" w:hAnsi="Times New Roman" w:cs="Times New Roman"/>
          <w:sz w:val="26"/>
          <w:szCs w:val="26"/>
          <w:lang w:val="en-VN"/>
        </w:rPr>
      </w:pPr>
    </w:p>
    <w:p w14:paraId="1DA5E6B2" w14:textId="577975AA" w:rsidR="00DA2452" w:rsidRPr="00DA2452" w:rsidRDefault="00DA2452" w:rsidP="00DA2452">
      <w:pPr>
        <w:spacing w:line="276" w:lineRule="auto"/>
        <w:jc w:val="both"/>
        <w:rPr>
          <w:rFonts w:ascii="Times New Roman" w:hAnsi="Times New Roman" w:cs="Times New Roman"/>
          <w:sz w:val="26"/>
          <w:szCs w:val="26"/>
          <w:lang w:val="en-VN"/>
        </w:rPr>
      </w:pPr>
      <w:r w:rsidRPr="00DA2452">
        <w:rPr>
          <w:rFonts w:ascii="Times New Roman" w:hAnsi="Times New Roman" w:cs="Times New Roman"/>
          <w:sz w:val="26"/>
          <w:szCs w:val="26"/>
          <w:lang w:val="en-VN"/>
        </w:rPr>
        <w:t>chính sách đầu tư – tài chính chặt chẽ hướng đến mở rộng dài hạn. Tuy nhiên, áp lực dòng tiền do CAPEX lớn và biến động vốn lưu động cần được quản trị cẩn trọng để tránh rủi ro thanh khoản trong các năm cuối chu kỳ đầu tư.</w:t>
      </w:r>
    </w:p>
    <w:p w14:paraId="30EE68DA" w14:textId="518DB623" w:rsidR="00D978DF" w:rsidRPr="00761336" w:rsidRDefault="00DA2452" w:rsidP="00DA2452">
      <w:pPr>
        <w:pStyle w:val="Heading1"/>
        <w:rPr>
          <w:rFonts w:ascii="Times New Roman" w:hAnsi="Times New Roman" w:cs="Times New Roman"/>
          <w:b/>
          <w:bCs/>
          <w:color w:val="000000" w:themeColor="text1"/>
          <w:sz w:val="26"/>
          <w:szCs w:val="26"/>
          <w:lang w:val="vi-VN"/>
        </w:rPr>
      </w:pPr>
      <w:bookmarkStart w:id="63" w:name="_Toc211973188"/>
      <w:r w:rsidRPr="00761336">
        <w:rPr>
          <w:rFonts w:ascii="Times New Roman" w:hAnsi="Times New Roman" w:cs="Times New Roman"/>
          <w:b/>
          <w:bCs/>
          <w:color w:val="000000" w:themeColor="text1"/>
          <w:sz w:val="26"/>
          <w:szCs w:val="26"/>
          <w:lang w:val="vi-VN"/>
        </w:rPr>
        <w:t>5. Hạng mục cân đối và tính linh hoạt của báo cáo dự phóng</w:t>
      </w:r>
      <w:bookmarkEnd w:id="63"/>
    </w:p>
    <w:p w14:paraId="45393BE0" w14:textId="6F250A95"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Trong giai đoạn 2024–2029, cơ cấu cân đối tài chính của doanh nghiệp thể hiện rõ định hướng mở rộng đầu tư đi đôi với kiểm soát rủi ro tài chính, với trọng tâm là duy trì thanh khoản, vốn lưu động và đòn bẩy hợp lý. Tiền mặt và các khoản tương đương tiền được duy trì ổn định quanh mức 6–7% doanh thu, bảo đảm khả năng thanh toán ngắn hạn và tạo vùng đệm an toàn trong bối cảnh chi tiêu vốn (CAPEX) tăng cao, đặc biệt vào năm 2024 (25,56% doanh thu). Các chỉ số vòng quay khoản phải thu, hàng tồn kho và khoản phải trả đều giữ ở mức ổn định (lần lượt khoảng 14,3 và 8 lần), phản ánh hiệu quả quản trị vốn lưu động và khả năng thu hồi công nợ tốt. Tuy nhiên, áp lực tài chính bắt đầu gia tăng khi tổng nợ phải trả tăng mạnh từ 109,8 nghìn tỷ lên hơn 1</w:t>
      </w:r>
      <w:r w:rsidR="006C4001" w:rsidRPr="00761336">
        <w:rPr>
          <w:rFonts w:ascii="Times New Roman" w:hAnsi="Times New Roman" w:cs="Times New Roman"/>
          <w:sz w:val="26"/>
          <w:szCs w:val="26"/>
          <w:lang w:val="en-US"/>
        </w:rPr>
        <w:t>63</w:t>
      </w:r>
      <w:r w:rsidRPr="00761336">
        <w:rPr>
          <w:rFonts w:ascii="Times New Roman" w:hAnsi="Times New Roman" w:cs="Times New Roman"/>
          <w:sz w:val="26"/>
          <w:szCs w:val="26"/>
          <w:lang w:val="vi-VN"/>
        </w:rPr>
        <w:t xml:space="preserve"> nghìn tỷ đồng vào năm 2028, chủ yếu do vay dài hạn phục vụ đầu tư tài sản cố định, kéo theo chi phí lãi vay có xu hướng tăng. Dù vậy, vốn chủ sở hữu cũng tăng đều nhờ lợi nhuận giữ lại và cổ tức bằng cổ phiếu, giúp doanh nghiệp duy trì tỷ lệ an toàn vốn và hạn chế rủi ro đòn bẩy. Nhìn chung, cấu trúc tài chính giai đoạn này vẫn cân bằng và linh hoạt, cho phép doanh nghiệp vừa đảm bảo dòng tiền hoạt động, vừa mở rộng quy mô đầu tư mà không đánh mất sự ổn định tài chính dài hạn.</w:t>
      </w:r>
    </w:p>
    <w:p w14:paraId="3FBAE18F" w14:textId="77777777" w:rsidR="00D978DF" w:rsidRPr="00761336" w:rsidRDefault="00000000">
      <w:pPr>
        <w:spacing w:line="276" w:lineRule="auto"/>
        <w:jc w:val="both"/>
        <w:rPr>
          <w:rFonts w:ascii="Times New Roman" w:hAnsi="Times New Roman" w:cs="Times New Roman"/>
          <w:sz w:val="26"/>
          <w:szCs w:val="26"/>
          <w:lang w:val="vi-VN"/>
        </w:rPr>
      </w:pPr>
      <w:r w:rsidRPr="00761336">
        <w:rPr>
          <w:rFonts w:ascii="Times New Roman" w:hAnsi="Times New Roman" w:cs="Times New Roman"/>
          <w:sz w:val="26"/>
          <w:szCs w:val="26"/>
          <w:lang w:val="vi-VN"/>
        </w:rPr>
        <w:t>Bên cạnh đó, báo cáo dự phóng được xây dựng trên mô hình tài chính linh hoạt, cho phép thay đổi nhanh các giả định đầu vào như tăng trưởng doanh thu, chi phí, lãi vay hay kế hoạch đầu tư mà không làm gián đoạn hệ thống liên kết giữa ba báo cáo tài chính. Mỗi biến động trong doanh thu, chi phí hay CAPEX đều tự động phản ánh lên lợi nhuận, dòng tiền và bảng cân đối kế toán, giúp đánh giá tức thời tác động của các kịch bản khác nhau đến tình hình tài chính. Nhờ đó, mô hình dự phóng không chỉ hỗ trợ phân tích nhạy cảm và quản trị rủi ro, mà còn giúp doanh nghiệp điều chỉnh chiến lược tài chính linh hoạt theo từng giai đoạn phát triển. Mô hình được đánh giá có tính linh hoạt cao, đảm bảo khả năng cập nhật dữ liệu thực tế và phục vụ hiệu quả cho công tác phân tích, định giá và hoạch định tài chính dài hạn của HPG.</w:t>
      </w:r>
    </w:p>
    <w:p w14:paraId="7F6BF4FA" w14:textId="77777777" w:rsidR="00D978DF" w:rsidRPr="00761336" w:rsidRDefault="00000000">
      <w:pPr>
        <w:pStyle w:val="Heading1"/>
        <w:spacing w:line="276" w:lineRule="auto"/>
        <w:rPr>
          <w:rFonts w:ascii="Times New Roman" w:hAnsi="Times New Roman" w:cs="Times New Roman"/>
          <w:b/>
          <w:bCs/>
          <w:color w:val="000000" w:themeColor="text1"/>
          <w:sz w:val="26"/>
          <w:szCs w:val="26"/>
          <w:lang w:val="vi-VN"/>
        </w:rPr>
      </w:pPr>
      <w:bookmarkStart w:id="64" w:name="_Toc211973189"/>
      <w:r w:rsidRPr="00761336">
        <w:rPr>
          <w:rFonts w:ascii="Times New Roman" w:hAnsi="Times New Roman" w:cs="Times New Roman"/>
          <w:b/>
          <w:bCs/>
          <w:color w:val="000000" w:themeColor="text1"/>
          <w:sz w:val="26"/>
          <w:szCs w:val="26"/>
          <w:lang w:val="vi-VN"/>
        </w:rPr>
        <w:t>PHẦN 5: ƯỚC LƯỢNG CHI PHÍ SỬ DỤNG VỐN, ĐỊNH GIÁ</w:t>
      </w:r>
      <w:bookmarkEnd w:id="64"/>
    </w:p>
    <w:p w14:paraId="6BA20657" w14:textId="77777777" w:rsidR="00D978DF" w:rsidRPr="00761336" w:rsidRDefault="00000000">
      <w:pPr>
        <w:pStyle w:val="Heading1"/>
        <w:rPr>
          <w:rFonts w:ascii="Times New Roman" w:eastAsia="Times New Roman" w:hAnsi="Times New Roman" w:cs="Times New Roman"/>
          <w:b/>
          <w:bCs/>
          <w:color w:val="000000"/>
          <w:sz w:val="26"/>
          <w:szCs w:val="26"/>
          <w:lang w:val="vi-VN"/>
        </w:rPr>
      </w:pPr>
      <w:bookmarkStart w:id="65" w:name="_Toc211973190"/>
      <w:r w:rsidRPr="00761336">
        <w:rPr>
          <w:rFonts w:ascii="Times New Roman" w:eastAsia="Times New Roman" w:hAnsi="Times New Roman" w:cs="Times New Roman"/>
          <w:b/>
          <w:bCs/>
          <w:color w:val="000000"/>
          <w:sz w:val="26"/>
          <w:szCs w:val="26"/>
          <w:lang w:val="vi-VN"/>
        </w:rPr>
        <w:t xml:space="preserve">1. </w:t>
      </w:r>
      <w:r w:rsidRPr="00761336">
        <w:rPr>
          <w:rFonts w:ascii="Times New Roman" w:eastAsia="Times New Roman" w:hAnsi="Times New Roman" w:cs="Times New Roman"/>
          <w:b/>
          <w:bCs/>
          <w:color w:val="000000"/>
          <w:sz w:val="26"/>
          <w:szCs w:val="26"/>
          <w:lang w:val="zh-CN"/>
        </w:rPr>
        <w:t>Chi phí sử dụng vốn</w:t>
      </w:r>
      <w:bookmarkEnd w:id="65"/>
    </w:p>
    <w:p w14:paraId="41DA2A9F" w14:textId="77777777" w:rsidR="00D978DF" w:rsidRPr="00761336" w:rsidRDefault="00000000">
      <w:pPr>
        <w:widowControl/>
        <w:rPr>
          <w:rFonts w:ascii="Times New Roman" w:eastAsia="Times New Roman" w:hAnsi="Times New Roman" w:cs="Times New Roman"/>
          <w:sz w:val="24"/>
          <w:szCs w:val="24"/>
          <w:lang w:val="zh-CN"/>
        </w:rPr>
      </w:pPr>
      <w:r w:rsidRPr="00761336">
        <w:rPr>
          <w:rFonts w:ascii="Times New Roman" w:eastAsia="Times New Roman" w:hAnsi="Times New Roman" w:cs="Times New Roman"/>
          <w:color w:val="000000"/>
          <w:sz w:val="26"/>
          <w:szCs w:val="26"/>
          <w:lang w:val="zh-CN"/>
        </w:rPr>
        <w:t>- Chi phí sử dụng vốn: </w:t>
      </w:r>
    </w:p>
    <w:p w14:paraId="69A1E8B5" w14:textId="77777777" w:rsidR="00D978DF" w:rsidRPr="00761336" w:rsidRDefault="00000000">
      <w:pPr>
        <w:widowControl/>
        <w:rPr>
          <w:rFonts w:ascii="Times New Roman" w:eastAsia="Times New Roman" w:hAnsi="Times New Roman" w:cs="Times New Roman"/>
          <w:sz w:val="24"/>
          <w:szCs w:val="24"/>
          <w:lang w:val="zh-CN"/>
        </w:rPr>
      </w:pPr>
      <w:r w:rsidRPr="00761336">
        <w:rPr>
          <w:rFonts w:ascii="Times New Roman" w:eastAsia="Times New Roman" w:hAnsi="Times New Roman" w:cs="Times New Roman"/>
          <w:color w:val="000000"/>
          <w:sz w:val="26"/>
          <w:szCs w:val="26"/>
          <w:lang w:val="zh-CN"/>
        </w:rPr>
        <w:t>Rs​ = Rf​ + β( Rm​−Rf ​) = 3,5% + 1,4.( 12,2% - 3,5%) = 15,68%</w:t>
      </w:r>
    </w:p>
    <w:p w14:paraId="03694485" w14:textId="77777777" w:rsidR="00D978DF" w:rsidRPr="00761336" w:rsidRDefault="00000000">
      <w:pPr>
        <w:widowControl/>
        <w:rPr>
          <w:rFonts w:ascii="Times New Roman" w:eastAsia="Times New Roman" w:hAnsi="Times New Roman" w:cs="Times New Roman"/>
          <w:sz w:val="24"/>
          <w:szCs w:val="24"/>
          <w:lang w:val="zh-CN"/>
        </w:rPr>
      </w:pPr>
      <w:r w:rsidRPr="00761336">
        <w:rPr>
          <w:rFonts w:ascii="Times New Roman" w:eastAsia="Times New Roman" w:hAnsi="Times New Roman" w:cs="Times New Roman"/>
          <w:color w:val="000000"/>
          <w:sz w:val="26"/>
          <w:szCs w:val="26"/>
          <w:lang w:val="zh-CN"/>
        </w:rPr>
        <w:t>Giả định</w:t>
      </w:r>
    </w:p>
    <w:p w14:paraId="787650D8" w14:textId="77777777" w:rsidR="00D978DF" w:rsidRPr="00761336" w:rsidRDefault="00000000">
      <w:pPr>
        <w:widowControl/>
        <w:numPr>
          <w:ilvl w:val="0"/>
          <w:numId w:val="4"/>
        </w:numPr>
        <w:textAlignment w:val="baseline"/>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lastRenderedPageBreak/>
        <w:t>Rf = 3,5%</w:t>
      </w:r>
    </w:p>
    <w:p w14:paraId="6E0866F3" w14:textId="77777777" w:rsidR="00D978DF" w:rsidRPr="00761336" w:rsidRDefault="00000000">
      <w:pPr>
        <w:widowControl/>
        <w:numPr>
          <w:ilvl w:val="0"/>
          <w:numId w:val="4"/>
        </w:numPr>
        <w:textAlignment w:val="baseline"/>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Rm = 12,2%</w:t>
      </w:r>
    </w:p>
    <w:p w14:paraId="53627B7A" w14:textId="77777777" w:rsidR="00D978DF" w:rsidRPr="00761336" w:rsidRDefault="00000000">
      <w:pPr>
        <w:widowControl/>
        <w:numPr>
          <w:ilvl w:val="0"/>
          <w:numId w:val="4"/>
        </w:numPr>
        <w:textAlignment w:val="baseline"/>
        <w:rPr>
          <w:rFonts w:ascii="Times New Roman" w:eastAsia="Times New Roman" w:hAnsi="Times New Roman" w:cs="Times New Roman"/>
          <w:color w:val="000000"/>
          <w:sz w:val="26"/>
          <w:szCs w:val="26"/>
          <w:lang w:val="zh-CN"/>
        </w:rPr>
      </w:pPr>
      <w:r w:rsidRPr="00761336">
        <w:rPr>
          <w:rFonts w:ascii="Times New Roman" w:eastAsia="Times New Roman" w:hAnsi="Times New Roman" w:cs="Times New Roman"/>
          <w:color w:val="000000"/>
          <w:sz w:val="26"/>
          <w:szCs w:val="26"/>
          <w:lang w:val="zh-CN"/>
        </w:rPr>
        <w:t>β = 1,4</w:t>
      </w:r>
    </w:p>
    <w:p w14:paraId="0427D343" w14:textId="77777777" w:rsidR="00D978DF" w:rsidRPr="00761336" w:rsidRDefault="00000000">
      <w:pPr>
        <w:widowControl/>
        <w:rPr>
          <w:rFonts w:ascii="Times New Roman" w:eastAsia="Times New Roman" w:hAnsi="Times New Roman" w:cs="Times New Roman"/>
          <w:sz w:val="24"/>
          <w:szCs w:val="24"/>
          <w:lang w:val="zh-CN"/>
        </w:rPr>
      </w:pPr>
      <w:r w:rsidRPr="00761336">
        <w:rPr>
          <w:rFonts w:ascii="Times New Roman" w:eastAsia="Times New Roman" w:hAnsi="Times New Roman" w:cs="Times New Roman"/>
          <w:color w:val="000000"/>
          <w:sz w:val="26"/>
          <w:szCs w:val="26"/>
          <w:lang w:val="zh-CN"/>
        </w:rPr>
        <w:t>- Lãi suất dài hạn bình quân: 8,0%</w:t>
      </w:r>
    </w:p>
    <w:p w14:paraId="06E05FF3" w14:textId="77777777" w:rsidR="00D978DF" w:rsidRPr="00761336" w:rsidRDefault="00000000">
      <w:pPr>
        <w:widowControl/>
        <w:rPr>
          <w:rFonts w:ascii="Times New Roman" w:eastAsia="Times New Roman" w:hAnsi="Times New Roman" w:cs="Times New Roman"/>
          <w:sz w:val="24"/>
          <w:szCs w:val="24"/>
          <w:lang w:val="zh-CN"/>
        </w:rPr>
      </w:pPr>
      <w:r w:rsidRPr="00761336">
        <w:rPr>
          <w:rFonts w:ascii="Times New Roman" w:eastAsia="Times New Roman" w:hAnsi="Times New Roman" w:cs="Times New Roman"/>
          <w:color w:val="000000"/>
          <w:sz w:val="26"/>
          <w:szCs w:val="26"/>
          <w:lang w:val="zh-CN"/>
        </w:rPr>
        <w:t>- Tỷ trọng nợ vay trên tổng vốn: 38,9%</w:t>
      </w:r>
    </w:p>
    <w:p w14:paraId="68CDA000" w14:textId="77777777" w:rsidR="00D978DF" w:rsidRPr="00761336" w:rsidRDefault="00000000">
      <w:pPr>
        <w:widowControl/>
        <w:rPr>
          <w:rFonts w:ascii="Times New Roman" w:eastAsia="Times New Roman" w:hAnsi="Times New Roman" w:cs="Times New Roman"/>
          <w:sz w:val="24"/>
          <w:szCs w:val="24"/>
          <w:lang w:val="zh-CN"/>
        </w:rPr>
      </w:pPr>
      <w:r w:rsidRPr="00761336">
        <w:rPr>
          <w:rFonts w:ascii="Times New Roman" w:eastAsia="Times New Roman" w:hAnsi="Times New Roman" w:cs="Times New Roman"/>
          <w:color w:val="000000"/>
          <w:sz w:val="26"/>
          <w:szCs w:val="26"/>
          <w:lang w:val="zh-CN"/>
        </w:rPr>
        <w:t>- Chi phí sử dụng vốn bình quân:</w:t>
      </w:r>
    </w:p>
    <w:p w14:paraId="33801F14" w14:textId="77777777" w:rsidR="00D978DF" w:rsidRPr="00761336" w:rsidRDefault="00D978DF">
      <w:pPr>
        <w:widowControl/>
        <w:rPr>
          <w:rFonts w:ascii="Times New Roman" w:eastAsia="Times New Roman" w:hAnsi="Times New Roman" w:cs="Times New Roman"/>
          <w:sz w:val="24"/>
          <w:szCs w:val="24"/>
          <w:lang w:val="zh-CN"/>
        </w:rPr>
      </w:pPr>
    </w:p>
    <w:p w14:paraId="55351E80" w14:textId="77777777" w:rsidR="00D978DF" w:rsidRPr="00761336" w:rsidRDefault="00000000">
      <w:pPr>
        <w:widowControl/>
        <w:rPr>
          <w:rFonts w:ascii="Times New Roman" w:eastAsia="Times New Roman" w:hAnsi="Times New Roman" w:cs="Times New Roman"/>
          <w:sz w:val="24"/>
          <w:szCs w:val="24"/>
          <w:lang w:val="zh-CN"/>
        </w:rPr>
      </w:pPr>
      <w:r w:rsidRPr="00761336">
        <w:rPr>
          <w:rFonts w:ascii="Times New Roman" w:eastAsia="Times New Roman" w:hAnsi="Times New Roman" w:cs="Times New Roman"/>
          <w:noProof/>
          <w:color w:val="000000"/>
          <w:sz w:val="26"/>
          <w:szCs w:val="26"/>
          <w:lang w:val="zh-CN"/>
        </w:rPr>
        <w:drawing>
          <wp:inline distT="0" distB="0" distL="0" distR="0" wp14:anchorId="3752D7EE" wp14:editId="0032859B">
            <wp:extent cx="2703195" cy="397510"/>
            <wp:effectExtent l="0" t="0" r="1905" b="0"/>
            <wp:docPr id="475722256" name="Picture 7" descr="A mathematical equation with a plus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22256" name="Picture 7" descr="A mathematical equation with a plus sig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703195" cy="397510"/>
                    </a:xfrm>
                    <a:prstGeom prst="rect">
                      <a:avLst/>
                    </a:prstGeom>
                    <a:noFill/>
                    <a:ln>
                      <a:noFill/>
                    </a:ln>
                  </pic:spPr>
                </pic:pic>
              </a:graphicData>
            </a:graphic>
          </wp:inline>
        </w:drawing>
      </w:r>
    </w:p>
    <w:p w14:paraId="71E00557" w14:textId="77777777" w:rsidR="00D978DF" w:rsidRPr="00761336" w:rsidRDefault="00000000">
      <w:pPr>
        <w:widowControl/>
        <w:rPr>
          <w:rFonts w:ascii="Times New Roman" w:eastAsia="Times New Roman" w:hAnsi="Times New Roman" w:cs="Times New Roman"/>
          <w:sz w:val="24"/>
          <w:szCs w:val="24"/>
          <w:lang w:val="zh-CN"/>
        </w:rPr>
      </w:pPr>
      <w:r w:rsidRPr="00761336">
        <w:rPr>
          <w:rFonts w:ascii="Times New Roman" w:eastAsia="Times New Roman" w:hAnsi="Times New Roman" w:cs="Times New Roman"/>
          <w:color w:val="000000"/>
          <w:sz w:val="26"/>
          <w:szCs w:val="26"/>
          <w:lang w:val="zh-CN"/>
        </w:rPr>
        <w:t>≈  12,23%</w:t>
      </w:r>
    </w:p>
    <w:p w14:paraId="3A39C993" w14:textId="77777777" w:rsidR="00D978DF" w:rsidRPr="00761336" w:rsidRDefault="00D978DF">
      <w:pPr>
        <w:widowControl/>
        <w:rPr>
          <w:rFonts w:ascii="Times New Roman" w:eastAsia="Times New Roman" w:hAnsi="Times New Roman" w:cs="Times New Roman"/>
          <w:sz w:val="24"/>
          <w:szCs w:val="24"/>
          <w:lang w:val="zh-CN"/>
        </w:rPr>
      </w:pPr>
    </w:p>
    <w:p w14:paraId="55F6E6B1" w14:textId="77777777" w:rsidR="00D978DF" w:rsidRPr="00761336" w:rsidRDefault="00000000">
      <w:pPr>
        <w:widowControl/>
        <w:jc w:val="both"/>
        <w:rPr>
          <w:rFonts w:ascii="Times New Roman" w:eastAsia="Times New Roman" w:hAnsi="Times New Roman" w:cs="Times New Roman"/>
          <w:sz w:val="24"/>
          <w:szCs w:val="24"/>
          <w:lang w:val="zh-CN"/>
        </w:rPr>
      </w:pPr>
      <w:r w:rsidRPr="00761336">
        <w:rPr>
          <w:rFonts w:ascii="Times New Roman" w:eastAsia="Times New Roman" w:hAnsi="Times New Roman" w:cs="Times New Roman"/>
          <w:color w:val="000000"/>
          <w:sz w:val="26"/>
          <w:szCs w:val="26"/>
          <w:lang w:val="zh-CN"/>
        </w:rPr>
        <w:t>Ta có thể thấy một bức tranh toàn diện về chi phí sử dụng vốn của HPG, một yếu tố then chốt trong việc định giá cổ phiếu. Chi phí sử dụng vốn chủ sở hữu (Rs​) được tính toán là 15,68%, dựa trên các giả định hợp lý về lãi suất phi rủi ro (3,5%) và lãi suất thị trường (12,2%). Điểm đáng chú ý là hệ số Beta (β) của HPG là 1,4, cao hơn 1, cho thấy cổ phiếu này có mức độ rủi ro và biến động cao hơn so với thị trường chung, nhưng đồng thời cũng mang lại tiềm năng sinh lời lớn hơn khi thị trường tăng trưởng.</w:t>
      </w:r>
    </w:p>
    <w:p w14:paraId="7BFCE96A" w14:textId="77777777" w:rsidR="00D978DF" w:rsidRPr="00761336" w:rsidRDefault="00D978DF">
      <w:pPr>
        <w:widowControl/>
        <w:rPr>
          <w:rFonts w:ascii="Times New Roman" w:eastAsia="Times New Roman" w:hAnsi="Times New Roman" w:cs="Times New Roman"/>
          <w:sz w:val="24"/>
          <w:szCs w:val="24"/>
          <w:lang w:val="zh-CN"/>
        </w:rPr>
      </w:pPr>
    </w:p>
    <w:p w14:paraId="309394E6" w14:textId="77777777" w:rsidR="00D978DF" w:rsidRPr="00761336" w:rsidRDefault="00000000">
      <w:pPr>
        <w:widowControl/>
        <w:jc w:val="both"/>
        <w:rPr>
          <w:rFonts w:ascii="Times New Roman" w:eastAsia="Times New Roman" w:hAnsi="Times New Roman" w:cs="Times New Roman"/>
          <w:sz w:val="24"/>
          <w:szCs w:val="24"/>
          <w:lang w:val="zh-CN"/>
        </w:rPr>
      </w:pPr>
      <w:r w:rsidRPr="00761336">
        <w:rPr>
          <w:rFonts w:ascii="Times New Roman" w:eastAsia="Times New Roman" w:hAnsi="Times New Roman" w:cs="Times New Roman"/>
          <w:color w:val="000000"/>
          <w:sz w:val="26"/>
          <w:szCs w:val="26"/>
          <w:lang w:val="zh-CN"/>
        </w:rPr>
        <w:t>Với tỷ trọng nợ trên tổng vốn là 38,9%, cơ cấu tài chính của công ty được đánh giá là khá cân bằng, không quá phụ thuộc vào nợ vay, giúp giảm thiểu rủi ro tài chính. Từ những con số này, chi phí sử dụng vốn bình quân (WACC) của HPG được xác định là 12,23%. Mức WACC này đóng vai trò là tỷ lệ chiết khấu quan trọng được sử dụng trong các mô hình định giá FCFF để tính toán giá trị nội tại của HPG, giúp nhà đầu tư và chuyên gia phân tích có cơ sở vững chắc để đánh giá liệu cổ phiếu HPG đang được định giá đúng, cao hay thấp hơn so với giá trị thực của nó.</w:t>
      </w:r>
    </w:p>
    <w:p w14:paraId="28C40C1B" w14:textId="77777777" w:rsidR="00D978DF" w:rsidRPr="00761336" w:rsidRDefault="00000000">
      <w:pPr>
        <w:pStyle w:val="Heading1"/>
        <w:rPr>
          <w:rFonts w:ascii="Times New Roman" w:eastAsia="Times New Roman" w:hAnsi="Times New Roman" w:cs="Times New Roman"/>
          <w:b/>
          <w:bCs/>
          <w:color w:val="000000"/>
          <w:sz w:val="26"/>
          <w:szCs w:val="26"/>
          <w:lang w:val="vi-VN"/>
        </w:rPr>
      </w:pPr>
      <w:bookmarkStart w:id="66" w:name="_Toc211973191"/>
      <w:r w:rsidRPr="00761336">
        <w:rPr>
          <w:rFonts w:ascii="Times New Roman" w:eastAsia="Times New Roman" w:hAnsi="Times New Roman" w:cs="Times New Roman"/>
          <w:b/>
          <w:bCs/>
          <w:color w:val="000000"/>
          <w:sz w:val="26"/>
          <w:szCs w:val="26"/>
          <w:lang w:val="vi-VN"/>
        </w:rPr>
        <w:t xml:space="preserve">2. </w:t>
      </w:r>
      <w:r w:rsidRPr="00761336">
        <w:rPr>
          <w:rFonts w:ascii="Times New Roman" w:eastAsia="Times New Roman" w:hAnsi="Times New Roman" w:cs="Times New Roman"/>
          <w:b/>
          <w:bCs/>
          <w:color w:val="000000"/>
          <w:sz w:val="26"/>
          <w:szCs w:val="26"/>
          <w:lang w:val="zh-CN"/>
        </w:rPr>
        <w:t>Định giá</w:t>
      </w:r>
      <w:bookmarkEnd w:id="66"/>
    </w:p>
    <w:p w14:paraId="0661CC13"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 Định giá theo phương pháp FCFF:</w:t>
      </w:r>
    </w:p>
    <w:p w14:paraId="70DE9964"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p>
    <w:tbl>
      <w:tblPr>
        <w:tblW w:w="9026" w:type="dxa"/>
        <w:tblCellMar>
          <w:top w:w="15" w:type="dxa"/>
          <w:left w:w="15" w:type="dxa"/>
          <w:bottom w:w="15" w:type="dxa"/>
          <w:right w:w="15" w:type="dxa"/>
        </w:tblCellMar>
        <w:tblLook w:val="04A0" w:firstRow="1" w:lastRow="0" w:firstColumn="1" w:lastColumn="0" w:noHBand="0" w:noVBand="1"/>
      </w:tblPr>
      <w:tblGrid>
        <w:gridCol w:w="5080"/>
        <w:gridCol w:w="3946"/>
      </w:tblGrid>
      <w:tr w:rsidR="00C033A8" w:rsidRPr="00C033A8" w14:paraId="3E66A4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F7CC7"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Tăng trưởng dài hạn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A3E7"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10,12%</w:t>
            </w:r>
          </w:p>
        </w:tc>
      </w:tr>
      <w:tr w:rsidR="00C033A8" w:rsidRPr="00C033A8" w14:paraId="388F2A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28B18"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WACC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ECD84"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12,23%</w:t>
            </w:r>
          </w:p>
        </w:tc>
      </w:tr>
      <w:tr w:rsidR="00C033A8" w:rsidRPr="00C033A8" w14:paraId="577461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AEABE"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Giá trị doanh nghiệp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C722A"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159.982.881.309.066</w:t>
            </w:r>
          </w:p>
        </w:tc>
      </w:tr>
      <w:tr w:rsidR="00C033A8" w:rsidRPr="00C033A8" w14:paraId="5D0373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912A5"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 Tiền và đầu tư ngắn hạn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D0B34"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25.862.362.870.757</w:t>
            </w:r>
          </w:p>
        </w:tc>
      </w:tr>
      <w:tr w:rsidR="00C033A8" w:rsidRPr="00C033A8" w14:paraId="670473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F0205"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 Nợ vay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D5E39"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82.963.129.469.555</w:t>
            </w:r>
          </w:p>
        </w:tc>
      </w:tr>
      <w:tr w:rsidR="00C033A8" w:rsidRPr="00C033A8" w14:paraId="2F14D1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E965D"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Giá trị vốn chủ sở hữu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B4A7A"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102.882.114.710.268</w:t>
            </w:r>
          </w:p>
        </w:tc>
      </w:tr>
      <w:tr w:rsidR="00C033A8" w:rsidRPr="00C033A8" w14:paraId="63545C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4A158"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Số lượng cổ phiếu lưu 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E94EF"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6.396.250.200</w:t>
            </w:r>
          </w:p>
        </w:tc>
      </w:tr>
      <w:tr w:rsidR="00C033A8" w:rsidRPr="00C033A8" w14:paraId="4D4263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EA0BA"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Giá mục tiêu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8D8CF"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16.084,75 VND/cp</w:t>
            </w:r>
          </w:p>
        </w:tc>
      </w:tr>
    </w:tbl>
    <w:p w14:paraId="06FD7632"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p>
    <w:p w14:paraId="44AC0107" w14:textId="77777777" w:rsidR="00C033A8" w:rsidRDefault="00C033A8" w:rsidP="00C033A8">
      <w:pPr>
        <w:widowControl/>
        <w:jc w:val="both"/>
        <w:rPr>
          <w:rFonts w:ascii="Times New Roman" w:eastAsia="Times New Roman" w:hAnsi="Times New Roman" w:cs="Times New Roman"/>
          <w:color w:val="000000"/>
          <w:sz w:val="26"/>
          <w:szCs w:val="26"/>
          <w:lang w:val="vi-VN"/>
        </w:rPr>
      </w:pPr>
      <w:r w:rsidRPr="00C033A8">
        <w:rPr>
          <w:rFonts w:ascii="Times New Roman" w:eastAsia="Times New Roman" w:hAnsi="Times New Roman" w:cs="Times New Roman"/>
          <w:color w:val="000000"/>
          <w:sz w:val="26"/>
          <w:szCs w:val="26"/>
          <w:lang w:val="en-VN"/>
        </w:rPr>
        <w:t>- Định giá theo phương pháp P/E:</w:t>
      </w:r>
    </w:p>
    <w:p w14:paraId="376D18EE" w14:textId="77777777" w:rsidR="00DE383E" w:rsidRPr="00C033A8" w:rsidRDefault="00DE383E" w:rsidP="00C033A8">
      <w:pPr>
        <w:widowControl/>
        <w:jc w:val="both"/>
        <w:rPr>
          <w:rFonts w:ascii="Times New Roman" w:eastAsia="Times New Roman" w:hAnsi="Times New Roman" w:cs="Times New Roman"/>
          <w:color w:val="000000"/>
          <w:sz w:val="26"/>
          <w:szCs w:val="26"/>
          <w:lang w:val="vi-VN"/>
        </w:rPr>
      </w:pPr>
    </w:p>
    <w:tbl>
      <w:tblPr>
        <w:tblW w:w="9026" w:type="dxa"/>
        <w:tblCellMar>
          <w:top w:w="15" w:type="dxa"/>
          <w:left w:w="15" w:type="dxa"/>
          <w:bottom w:w="15" w:type="dxa"/>
          <w:right w:w="15" w:type="dxa"/>
        </w:tblCellMar>
        <w:tblLook w:val="04A0" w:firstRow="1" w:lastRow="0" w:firstColumn="1" w:lastColumn="0" w:noHBand="0" w:noVBand="1"/>
      </w:tblPr>
      <w:tblGrid>
        <w:gridCol w:w="4426"/>
        <w:gridCol w:w="4600"/>
      </w:tblGrid>
      <w:tr w:rsidR="00C033A8" w:rsidRPr="00C033A8" w14:paraId="2ACC92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05179"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23FF6"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2025F</w:t>
            </w:r>
          </w:p>
        </w:tc>
      </w:tr>
      <w:tr w:rsidR="00C033A8" w:rsidRPr="00C033A8" w14:paraId="3CBB71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402A3"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Lợi nhuận sau thuế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5E913"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10.541.832.494.542</w:t>
            </w:r>
          </w:p>
        </w:tc>
      </w:tr>
      <w:tr w:rsidR="00C033A8" w:rsidRPr="00C033A8" w14:paraId="7A0A97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059DA"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Số CP lưu 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3EFFE"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6.396.250.200</w:t>
            </w:r>
          </w:p>
        </w:tc>
      </w:tr>
      <w:tr w:rsidR="00C033A8" w:rsidRPr="00C033A8" w14:paraId="4B996E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194E9"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EPS dự phóng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A512F"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1648,13</w:t>
            </w:r>
          </w:p>
        </w:tc>
      </w:tr>
      <w:tr w:rsidR="00C033A8" w:rsidRPr="00C033A8" w14:paraId="3F9554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415DA"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P/E mục tiêu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728CE"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15.0x</w:t>
            </w:r>
          </w:p>
        </w:tc>
      </w:tr>
      <w:tr w:rsidR="00C033A8" w:rsidRPr="00C033A8" w14:paraId="60FD85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A5CF8"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Giá mục tiêu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D7927"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24.721,90 VND/cp</w:t>
            </w:r>
          </w:p>
        </w:tc>
      </w:tr>
    </w:tbl>
    <w:p w14:paraId="78FAC313"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p>
    <w:p w14:paraId="471AAC35" w14:textId="77777777" w:rsidR="00C033A8" w:rsidRDefault="00C033A8" w:rsidP="00C033A8">
      <w:pPr>
        <w:widowControl/>
        <w:jc w:val="both"/>
        <w:rPr>
          <w:rFonts w:ascii="Times New Roman" w:eastAsia="Times New Roman" w:hAnsi="Times New Roman" w:cs="Times New Roman"/>
          <w:color w:val="000000"/>
          <w:sz w:val="26"/>
          <w:szCs w:val="26"/>
          <w:lang w:val="vi-VN"/>
        </w:rPr>
      </w:pPr>
      <w:r w:rsidRPr="00C033A8">
        <w:rPr>
          <w:rFonts w:ascii="Times New Roman" w:eastAsia="Times New Roman" w:hAnsi="Times New Roman" w:cs="Times New Roman"/>
          <w:color w:val="000000"/>
          <w:sz w:val="26"/>
          <w:szCs w:val="26"/>
          <w:lang w:val="en-VN"/>
        </w:rPr>
        <w:t>Kết hợp phương pháp dòng tiền (FCFF) kết hợp với phương pháp so sánh (P/E), xác định giá mục tiêu của HPG ở mức:</w:t>
      </w:r>
    </w:p>
    <w:p w14:paraId="6EF8CB31" w14:textId="77777777" w:rsidR="00DE383E" w:rsidRPr="00C033A8" w:rsidRDefault="00DE383E" w:rsidP="00C033A8">
      <w:pPr>
        <w:widowControl/>
        <w:jc w:val="both"/>
        <w:rPr>
          <w:rFonts w:ascii="Times New Roman" w:eastAsia="Times New Roman" w:hAnsi="Times New Roman" w:cs="Times New Roman"/>
          <w:color w:val="000000"/>
          <w:sz w:val="26"/>
          <w:szCs w:val="26"/>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707"/>
        <w:gridCol w:w="2078"/>
        <w:gridCol w:w="1175"/>
        <w:gridCol w:w="2396"/>
      </w:tblGrid>
      <w:tr w:rsidR="00C033A8" w:rsidRPr="00C033A8" w14:paraId="299A123D" w14:textId="77777777" w:rsidTr="00DE383E">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D5447"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Phương pháp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71EA1"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Giá trị (VNĐ/cp)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EE379"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Tỷ trọng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982C2"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Đóng góp (VNĐ/cp)</w:t>
            </w:r>
          </w:p>
        </w:tc>
      </w:tr>
      <w:tr w:rsidR="00C033A8" w:rsidRPr="00C033A8" w14:paraId="6634DF11" w14:textId="77777777" w:rsidTr="00DE383E">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A65C3"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FCFF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E94C7"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16.084,75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E4CD8"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6B6F0"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4.825,425</w:t>
            </w:r>
          </w:p>
        </w:tc>
      </w:tr>
      <w:tr w:rsidR="00C033A8" w:rsidRPr="00C033A8" w14:paraId="52B36EDE" w14:textId="77777777" w:rsidTr="00DE383E">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E783A"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715DF"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24.721,90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EECD2"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001D7"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color w:val="000000"/>
                <w:sz w:val="26"/>
                <w:szCs w:val="26"/>
                <w:lang w:val="en-VN"/>
              </w:rPr>
              <w:t>17.305,33</w:t>
            </w:r>
          </w:p>
        </w:tc>
      </w:tr>
      <w:tr w:rsidR="00C033A8" w:rsidRPr="00C033A8" w14:paraId="6885261F" w14:textId="77777777" w:rsidTr="00DE383E">
        <w:trPr>
          <w:trHeight w:val="46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12BB7"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Giá mục tiêu</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6E8FE"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r w:rsidRPr="00C033A8">
              <w:rPr>
                <w:rFonts w:ascii="Times New Roman" w:eastAsia="Times New Roman" w:hAnsi="Times New Roman" w:cs="Times New Roman"/>
                <w:b/>
                <w:bCs/>
                <w:color w:val="000000"/>
                <w:sz w:val="26"/>
                <w:szCs w:val="26"/>
                <w:lang w:val="en-VN"/>
              </w:rPr>
              <w:t>22.130,755 (VNĐ/cp)</w:t>
            </w:r>
          </w:p>
        </w:tc>
      </w:tr>
    </w:tbl>
    <w:p w14:paraId="571468E6" w14:textId="77777777" w:rsidR="00C033A8" w:rsidRPr="00C033A8" w:rsidRDefault="00C033A8" w:rsidP="00C033A8">
      <w:pPr>
        <w:widowControl/>
        <w:jc w:val="both"/>
        <w:rPr>
          <w:rFonts w:ascii="Times New Roman" w:eastAsia="Times New Roman" w:hAnsi="Times New Roman" w:cs="Times New Roman"/>
          <w:color w:val="000000"/>
          <w:sz w:val="26"/>
          <w:szCs w:val="26"/>
          <w:lang w:val="en-VN"/>
        </w:rPr>
      </w:pPr>
    </w:p>
    <w:p w14:paraId="0C9EE710" w14:textId="77777777" w:rsidR="00C033A8" w:rsidRPr="001F53B7" w:rsidRDefault="00C033A8" w:rsidP="00C033A8">
      <w:pPr>
        <w:rPr>
          <w:rFonts w:ascii="Times New Roman" w:hAnsi="Times New Roman" w:cs="Times New Roman"/>
          <w:sz w:val="26"/>
          <w:szCs w:val="26"/>
          <w:lang w:val="vi-VN"/>
        </w:rPr>
      </w:pPr>
      <w:r w:rsidRPr="001F53B7">
        <w:rPr>
          <w:rFonts w:ascii="Times New Roman" w:hAnsi="Times New Roman" w:cs="Times New Roman"/>
          <w:sz w:val="26"/>
          <w:szCs w:val="26"/>
          <w:lang w:val="vi-VN"/>
        </w:rPr>
        <w:t>Cổ phiếu Hòa Phát (HPG) với mức giá mục tiêu 22.130,755 VND/cp được xác định thông qua mô hình trên thấp hơn 21,1% so với mức giá đóng cửa ngày 21/10/2025. Khoảng chênh lệch này cho thấy thị trường hiện tại đang định giá HPG cao hơn so với giá trị nội tại, đồng thời hàm ý tiềm năng giảm giá trong tương lai. Kết quả này phản ánh quan điểm rằng nếu doanh nghiệp không cải thiện được tốc độ tăng trưởng doanh thu, biên lợi nhuận bất ổn định và kiểm soát kém chi phí vốn, thì giá cổ phiếu Hòa Phát (HPG) có thể chịu áp lực điều chỉnh giảm để tiến gần hơn đến giá trị nội tại.</w:t>
      </w:r>
    </w:p>
    <w:p w14:paraId="0A22BDBA" w14:textId="77777777" w:rsidR="00C033A8" w:rsidRPr="00C033A8" w:rsidRDefault="00C033A8" w:rsidP="00C033A8">
      <w:pPr>
        <w:widowControl/>
        <w:jc w:val="both"/>
        <w:rPr>
          <w:rFonts w:ascii="Times New Roman" w:eastAsia="Times New Roman" w:hAnsi="Times New Roman" w:cs="Times New Roman"/>
          <w:color w:val="000000"/>
          <w:sz w:val="26"/>
          <w:szCs w:val="26"/>
          <w:lang w:val="vi-VN"/>
        </w:rPr>
      </w:pPr>
    </w:p>
    <w:p w14:paraId="1A92EFCB" w14:textId="77777777" w:rsidR="00D978DF" w:rsidRPr="00761336" w:rsidRDefault="00000000">
      <w:pPr>
        <w:widowControl/>
        <w:jc w:val="both"/>
        <w:rPr>
          <w:rFonts w:ascii="Times New Roman" w:eastAsia="Times New Roman" w:hAnsi="Times New Roman" w:cs="Times New Roman"/>
          <w:sz w:val="24"/>
          <w:szCs w:val="24"/>
          <w:lang w:val="vi-VN"/>
        </w:rPr>
      </w:pPr>
      <w:r w:rsidRPr="00761336">
        <w:rPr>
          <w:rFonts w:ascii="Times New Roman" w:eastAsia="Times New Roman" w:hAnsi="Times New Roman" w:cs="Times New Roman"/>
          <w:color w:val="000000"/>
          <w:sz w:val="26"/>
          <w:szCs w:val="26"/>
          <w:lang w:val="zh-CN"/>
        </w:rPr>
        <w:t>Tuy nhiên, nhà đầu tư cũng cần lưu ý rằng giá mục tiêu chỉ là một ước tính dựa trên các giả định. Giá cổ phiếu thực tế có thể biến động, nguyên nhân có thể đến từ sự biến động mạnh của chu kỳ ngành thép, trong đó nhu cầu trong và ngoài nước chịu ảnh hưởng lớn từ tốc độ phục hồi kinh tế, giá nguyên liệu đầu vào (như quặng sắt, than cốc), cũng như chính sách thương mại quốc tế. Bên cạnh đó, chi phí lãi vay và lãi suất điều hành vẫn là yếu tố tác động đến chi phí tài chính, làm giảm bớt kỳ vọng lợi nhuận ròng trong ngắn hạn. Ngoài ra, triển vọng bất động sản và đầu tư công trong nước cũng là biến số quan trọng quyết định sức cầu thép, từ đó ảnh hưởng trực tiếp đến doanh thu và lợi nhuận của Hòa Phát.</w:t>
      </w:r>
    </w:p>
    <w:sectPr w:rsidR="00D978DF" w:rsidRPr="00761336">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20BC6" w14:textId="77777777" w:rsidR="00381D98" w:rsidRDefault="00381D98">
      <w:r>
        <w:separator/>
      </w:r>
    </w:p>
  </w:endnote>
  <w:endnote w:type="continuationSeparator" w:id="0">
    <w:p w14:paraId="6BB120A6" w14:textId="77777777" w:rsidR="00381D98" w:rsidRDefault="00381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A6B8" w14:textId="77777777" w:rsidR="00D978DF" w:rsidRDefault="00000000">
    <w:pPr>
      <w:pStyle w:val="Footer"/>
    </w:pPr>
    <w:r>
      <w:rPr>
        <w:noProof/>
      </w:rPr>
      <mc:AlternateContent>
        <mc:Choice Requires="wps">
          <w:drawing>
            <wp:anchor distT="0" distB="0" distL="114300" distR="114300" simplePos="0" relativeHeight="251659264" behindDoc="0" locked="0" layoutInCell="1" allowOverlap="1" wp14:anchorId="0BF2362C" wp14:editId="6614F632">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E6A122" w14:textId="77777777" w:rsidR="00D978DF"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F2362C" id="_x0000_t202" coordsize="21600,21600" o:spt="202" path="m,l,21600r21600,l21600,xe">
              <v:stroke joinstyle="miter"/>
              <v:path gradientshapeok="t" o:connecttype="rect"/>
            </v:shapetype>
            <v:shape id="Text Box 20" o:spid="_x0000_s1028"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67E6A122" w14:textId="77777777" w:rsidR="00D978DF"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B97C" w14:textId="77777777" w:rsidR="00381D98" w:rsidRDefault="00381D98">
      <w:r>
        <w:separator/>
      </w:r>
    </w:p>
  </w:footnote>
  <w:footnote w:type="continuationSeparator" w:id="0">
    <w:p w14:paraId="53C4718D" w14:textId="77777777" w:rsidR="00381D98" w:rsidRDefault="00381D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51CD"/>
    <w:multiLevelType w:val="multilevel"/>
    <w:tmpl w:val="0A3C51CD"/>
    <w:lvl w:ilvl="0">
      <w:start w:val="1"/>
      <w:numFmt w:val="bullet"/>
      <w:lvlText w:val="·"/>
      <w:lvlJc w:val="left"/>
      <w:pPr>
        <w:ind w:left="709" w:hanging="360"/>
      </w:pPr>
      <w:rPr>
        <w:rFonts w:ascii="Symbol" w:eastAsia="Symbol" w:hAnsi="Symbol" w:cs="Symbol" w:hint="default"/>
        <w:color w:val="333333"/>
        <w:sz w:val="26"/>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14DE4E13"/>
    <w:multiLevelType w:val="multilevel"/>
    <w:tmpl w:val="14DE4E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1A56ED3"/>
    <w:multiLevelType w:val="multilevel"/>
    <w:tmpl w:val="21A56ED3"/>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3A57552E"/>
    <w:multiLevelType w:val="multilevel"/>
    <w:tmpl w:val="3A5755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33002328">
    <w:abstractNumId w:val="2"/>
  </w:num>
  <w:num w:numId="2" w16cid:durableId="2143841689">
    <w:abstractNumId w:val="0"/>
  </w:num>
  <w:num w:numId="3" w16cid:durableId="8913101">
    <w:abstractNumId w:val="1"/>
  </w:num>
  <w:num w:numId="4" w16cid:durableId="1112093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F62"/>
    <w:rsid w:val="00093D93"/>
    <w:rsid w:val="000D6E09"/>
    <w:rsid w:val="001401B9"/>
    <w:rsid w:val="0016196C"/>
    <w:rsid w:val="001D038B"/>
    <w:rsid w:val="001D5647"/>
    <w:rsid w:val="001F53B7"/>
    <w:rsid w:val="002955A2"/>
    <w:rsid w:val="002A7C7E"/>
    <w:rsid w:val="002C58D0"/>
    <w:rsid w:val="002D33E6"/>
    <w:rsid w:val="00355A09"/>
    <w:rsid w:val="003654EF"/>
    <w:rsid w:val="00381D98"/>
    <w:rsid w:val="00485281"/>
    <w:rsid w:val="004F4B32"/>
    <w:rsid w:val="005510B6"/>
    <w:rsid w:val="0056057D"/>
    <w:rsid w:val="005E4F29"/>
    <w:rsid w:val="00622297"/>
    <w:rsid w:val="00642307"/>
    <w:rsid w:val="006C4001"/>
    <w:rsid w:val="007072FF"/>
    <w:rsid w:val="00744414"/>
    <w:rsid w:val="00761336"/>
    <w:rsid w:val="007667F4"/>
    <w:rsid w:val="007737D3"/>
    <w:rsid w:val="00797523"/>
    <w:rsid w:val="007C24A7"/>
    <w:rsid w:val="007D61EA"/>
    <w:rsid w:val="00851C78"/>
    <w:rsid w:val="008B3480"/>
    <w:rsid w:val="008D5021"/>
    <w:rsid w:val="008D79A9"/>
    <w:rsid w:val="008E0C8B"/>
    <w:rsid w:val="00906976"/>
    <w:rsid w:val="00906AE7"/>
    <w:rsid w:val="00980015"/>
    <w:rsid w:val="00A42A28"/>
    <w:rsid w:val="00A629F0"/>
    <w:rsid w:val="00A84537"/>
    <w:rsid w:val="00AC1626"/>
    <w:rsid w:val="00AF2BED"/>
    <w:rsid w:val="00B121D9"/>
    <w:rsid w:val="00B73F62"/>
    <w:rsid w:val="00C033A8"/>
    <w:rsid w:val="00D062C5"/>
    <w:rsid w:val="00D675DF"/>
    <w:rsid w:val="00D978DF"/>
    <w:rsid w:val="00DA2452"/>
    <w:rsid w:val="00DD255D"/>
    <w:rsid w:val="00DE383E"/>
    <w:rsid w:val="00E85425"/>
    <w:rsid w:val="00F3541C"/>
    <w:rsid w:val="00F44AF6"/>
    <w:rsid w:val="00F45D7C"/>
    <w:rsid w:val="020B5EE9"/>
    <w:rsid w:val="038B3DDC"/>
    <w:rsid w:val="03AD5615"/>
    <w:rsid w:val="064170B1"/>
    <w:rsid w:val="07A50719"/>
    <w:rsid w:val="0EB74D33"/>
    <w:rsid w:val="0F2B146F"/>
    <w:rsid w:val="0FD9610F"/>
    <w:rsid w:val="11096801"/>
    <w:rsid w:val="11853BCD"/>
    <w:rsid w:val="1CF94F18"/>
    <w:rsid w:val="1D60233E"/>
    <w:rsid w:val="242A6565"/>
    <w:rsid w:val="266A2317"/>
    <w:rsid w:val="26E431C8"/>
    <w:rsid w:val="2A7478B3"/>
    <w:rsid w:val="2ACE6CC8"/>
    <w:rsid w:val="2B417007"/>
    <w:rsid w:val="2BA45A27"/>
    <w:rsid w:val="2BCC6238"/>
    <w:rsid w:val="2D11636C"/>
    <w:rsid w:val="2E117B35"/>
    <w:rsid w:val="33196863"/>
    <w:rsid w:val="34276A20"/>
    <w:rsid w:val="365E1EC3"/>
    <w:rsid w:val="3764396F"/>
    <w:rsid w:val="3B751B9A"/>
    <w:rsid w:val="3C5E539B"/>
    <w:rsid w:val="3C7E7E4E"/>
    <w:rsid w:val="3D8418FA"/>
    <w:rsid w:val="431D1F2C"/>
    <w:rsid w:val="432263B4"/>
    <w:rsid w:val="46513FED"/>
    <w:rsid w:val="48547F3A"/>
    <w:rsid w:val="48EF6AB4"/>
    <w:rsid w:val="4A2D77C0"/>
    <w:rsid w:val="4B94000C"/>
    <w:rsid w:val="4F547732"/>
    <w:rsid w:val="4F586138"/>
    <w:rsid w:val="4FE4651D"/>
    <w:rsid w:val="55583B90"/>
    <w:rsid w:val="59070E1D"/>
    <w:rsid w:val="5D657148"/>
    <w:rsid w:val="62420146"/>
    <w:rsid w:val="63B24C9F"/>
    <w:rsid w:val="65067B4F"/>
    <w:rsid w:val="66595E77"/>
    <w:rsid w:val="67367DE4"/>
    <w:rsid w:val="67BB151A"/>
    <w:rsid w:val="6DCC7033"/>
    <w:rsid w:val="6DE568D8"/>
    <w:rsid w:val="6E9F158A"/>
    <w:rsid w:val="6F345300"/>
    <w:rsid w:val="6F7F1EFD"/>
    <w:rsid w:val="72563C24"/>
    <w:rsid w:val="74383DB9"/>
    <w:rsid w:val="758075D4"/>
    <w:rsid w:val="77543C13"/>
    <w:rsid w:val="799A7DA0"/>
    <w:rsid w:val="7AE14228"/>
    <w:rsid w:val="7BA774D1"/>
    <w:rsid w:val="7C902C69"/>
    <w:rsid w:val="7F743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9AF897"/>
  <w15:docId w15:val="{4E12E03D-566A-A145-80EA-D169BD019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w:eastAsia="Arial" w:hAnsi="Arial" w:cs="Arial"/>
      <w:sz w:val="22"/>
      <w:szCs w:val="22"/>
      <w:lang w:val="vi"/>
    </w:rPr>
  </w:style>
  <w:style w:type="paragraph" w:styleId="Heading1">
    <w:name w:val="heading 1"/>
    <w:basedOn w:val="Normal"/>
    <w:next w:val="Normal"/>
    <w:link w:val="Heading1Char"/>
    <w:uiPriority w:val="9"/>
    <w:qFormat/>
    <w:pPr>
      <w:keepNext/>
      <w:keepLines/>
      <w:spacing w:before="360" w:after="80"/>
      <w:outlineLvl w:val="0"/>
    </w:pPr>
    <w:rPr>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62626" w:themeColor="text1" w:themeTint="D9"/>
    </w:rPr>
  </w:style>
  <w:style w:type="paragraph" w:styleId="Heading9">
    <w:name w:val="heading 9"/>
    <w:basedOn w:val="Normal"/>
    <w:next w:val="Normal"/>
    <w:link w:val="Heading9Char"/>
    <w:uiPriority w:val="9"/>
    <w:unhideWhenUsed/>
    <w:qFormat/>
    <w:pPr>
      <w:keepNext/>
      <w:keepLines/>
      <w:outlineLvl w:val="8"/>
    </w:pPr>
    <w:rPr>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844"/>
        <w:tab w:val="right" w:pos="9689"/>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844"/>
        <w:tab w:val="right" w:pos="9689"/>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widowControl/>
      <w:spacing w:before="100" w:beforeAutospacing="1" w:after="100" w:afterAutospacing="1"/>
    </w:pPr>
    <w:rPr>
      <w:rFonts w:ascii="Times New Roman" w:eastAsia="Times New Roman" w:hAnsi="Times New Roman" w:cs="Times New Roman"/>
      <w:sz w:val="24"/>
      <w:szCs w:val="24"/>
      <w:lang w:val="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themeColor="text1" w:themeTint="A6"/>
      <w:spacing w:val="15"/>
      <w:sz w:val="28"/>
      <w:szCs w:val="28"/>
    </w:rPr>
  </w:style>
  <w:style w:type="table" w:styleId="TableGrid">
    <w:name w:val="Table Grid"/>
    <w:basedOn w:val="TableNormal"/>
    <w:uiPriority w:val="39"/>
    <w:qFormat/>
    <w:rPr>
      <w:rFonts w:ascii="Times New Roman" w:eastAsia="SimSu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contextualSpacing/>
    </w:pPr>
    <w:rPr>
      <w:spacing w:val="-10"/>
      <w:sz w:val="56"/>
      <w:szCs w:val="56"/>
    </w:rPr>
  </w:style>
  <w:style w:type="paragraph" w:styleId="TOC1">
    <w:name w:val="toc 1"/>
    <w:basedOn w:val="Normal"/>
    <w:next w:val="Normal"/>
    <w:uiPriority w:val="39"/>
    <w:unhideWhenUsed/>
    <w:qFormat/>
    <w:pPr>
      <w:spacing w:before="120"/>
    </w:pPr>
    <w:rPr>
      <w:rFonts w:asciiTheme="minorHAnsi" w:hAnsiTheme="minorHAnsi" w:cstheme="minorHAnsi"/>
      <w:b/>
      <w:bCs/>
      <w:i/>
      <w:iCs/>
      <w:sz w:val="24"/>
      <w:szCs w:val="24"/>
    </w:rPr>
  </w:style>
  <w:style w:type="paragraph" w:styleId="TOC2">
    <w:name w:val="toc 2"/>
    <w:basedOn w:val="Normal"/>
    <w:next w:val="Normal"/>
    <w:uiPriority w:val="39"/>
    <w:unhideWhenUsed/>
    <w:qFormat/>
    <w:pPr>
      <w:spacing w:before="120"/>
      <w:ind w:left="220"/>
    </w:pPr>
    <w:rPr>
      <w:rFonts w:asciiTheme="minorHAnsi" w:hAnsiTheme="minorHAnsi" w:cstheme="minorHAnsi"/>
      <w:b/>
      <w:bCs/>
    </w:rPr>
  </w:style>
  <w:style w:type="paragraph" w:styleId="TOC3">
    <w:name w:val="toc 3"/>
    <w:basedOn w:val="Normal"/>
    <w:next w:val="Normal"/>
    <w:uiPriority w:val="39"/>
    <w:unhideWhenUsed/>
    <w:qFormat/>
    <w:pPr>
      <w:ind w:left="440"/>
    </w:pPr>
    <w:rPr>
      <w:rFonts w:asciiTheme="minorHAnsi" w:hAnsiTheme="minorHAnsi" w:cstheme="minorHAnsi"/>
      <w:sz w:val="20"/>
      <w:szCs w:val="20"/>
    </w:rPr>
  </w:style>
  <w:style w:type="paragraph" w:styleId="TOC4">
    <w:name w:val="toc 4"/>
    <w:basedOn w:val="Normal"/>
    <w:next w:val="Normal"/>
    <w:uiPriority w:val="39"/>
    <w:unhideWhenUsed/>
    <w:qFormat/>
    <w:pPr>
      <w:ind w:left="660"/>
    </w:pPr>
    <w:rPr>
      <w:rFonts w:asciiTheme="minorHAnsi" w:hAnsiTheme="minorHAnsi" w:cstheme="minorHAnsi"/>
      <w:sz w:val="20"/>
      <w:szCs w:val="20"/>
    </w:rPr>
  </w:style>
  <w:style w:type="paragraph" w:styleId="TOC5">
    <w:name w:val="toc 5"/>
    <w:basedOn w:val="Normal"/>
    <w:next w:val="Normal"/>
    <w:uiPriority w:val="39"/>
    <w:unhideWhenUsed/>
    <w:qFormat/>
    <w:pPr>
      <w:ind w:left="880"/>
    </w:pPr>
    <w:rPr>
      <w:rFonts w:asciiTheme="minorHAnsi" w:hAnsiTheme="minorHAnsi" w:cstheme="minorHAnsi"/>
      <w:sz w:val="20"/>
      <w:szCs w:val="20"/>
    </w:rPr>
  </w:style>
  <w:style w:type="paragraph" w:styleId="TOC6">
    <w:name w:val="toc 6"/>
    <w:basedOn w:val="Normal"/>
    <w:next w:val="Normal"/>
    <w:uiPriority w:val="39"/>
    <w:unhideWhenUsed/>
    <w:qFormat/>
    <w:pPr>
      <w:ind w:left="1100"/>
    </w:pPr>
    <w:rPr>
      <w:rFonts w:asciiTheme="minorHAnsi" w:hAnsiTheme="minorHAnsi" w:cstheme="minorHAnsi"/>
      <w:sz w:val="20"/>
      <w:szCs w:val="20"/>
    </w:rPr>
  </w:style>
  <w:style w:type="paragraph" w:styleId="TOC7">
    <w:name w:val="toc 7"/>
    <w:basedOn w:val="Normal"/>
    <w:next w:val="Normal"/>
    <w:uiPriority w:val="39"/>
    <w:unhideWhenUsed/>
    <w:qFormat/>
    <w:pPr>
      <w:ind w:left="1320"/>
    </w:pPr>
    <w:rPr>
      <w:rFonts w:asciiTheme="minorHAnsi" w:hAnsiTheme="minorHAnsi" w:cstheme="minorHAnsi"/>
      <w:sz w:val="20"/>
      <w:szCs w:val="20"/>
    </w:rPr>
  </w:style>
  <w:style w:type="paragraph" w:styleId="TOC8">
    <w:name w:val="toc 8"/>
    <w:basedOn w:val="Normal"/>
    <w:next w:val="Normal"/>
    <w:uiPriority w:val="39"/>
    <w:unhideWhenUsed/>
    <w:qFormat/>
    <w:pPr>
      <w:ind w:left="1540"/>
    </w:pPr>
    <w:rPr>
      <w:rFonts w:asciiTheme="minorHAnsi" w:hAnsiTheme="minorHAnsi" w:cstheme="minorHAnsi"/>
      <w:sz w:val="20"/>
      <w:szCs w:val="20"/>
    </w:rPr>
  </w:style>
  <w:style w:type="paragraph" w:styleId="TOC9">
    <w:name w:val="toc 9"/>
    <w:basedOn w:val="Normal"/>
    <w:next w:val="Normal"/>
    <w:uiPriority w:val="39"/>
    <w:unhideWhenUsed/>
    <w:qFormat/>
    <w:pPr>
      <w:ind w:left="1760"/>
    </w:pPr>
    <w:rPr>
      <w:rFonts w:asciiTheme="minorHAnsi" w:hAnsiTheme="minorHAnsi" w:cstheme="minorHAnsi"/>
      <w:sz w:val="20"/>
      <w:szCs w:val="20"/>
    </w:r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qFormat/>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1">
    <w:name w:val="Grid Table 6 Colorful - Accent 21"/>
    <w:basedOn w:val="Table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1">
    <w:name w:val="Grid Table 6 Colorful - Accent 61"/>
    <w:basedOn w:val="TableNormal"/>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GridTable7Colorful1">
    <w:name w:val="Grid Table 7 Colorful1"/>
    <w:basedOn w:val="Table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1">
    <w:name w:val="Grid Table 7 Colorful - Accent 21"/>
    <w:basedOn w:val="TableNormal"/>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1">
    <w:name w:val="Grid Table 7 Colorful - Accent 61"/>
    <w:basedOn w:val="TableNormal"/>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ListTable1Light1">
    <w:name w:val="List Table 1 Light1"/>
    <w:basedOn w:val="TableNormal"/>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1">
    <w:name w:val="List Table 6 Colorful - Accent 21"/>
    <w:basedOn w:val="TableNormal"/>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1">
    <w:name w:val="List Table 6 Colorful - Accent 61"/>
    <w:basedOn w:val="TableNormal"/>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stTable7Colorful1">
    <w:name w:val="List Table 7 Colorful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1">
    <w:name w:val="List Table 7 Colorful - Accent 21"/>
    <w:basedOn w:val="TableNormal"/>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1">
    <w:name w:val="List Table 7 Colorful - Accent 61"/>
    <w:basedOn w:val="TableNormal"/>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eNormal"/>
    <w:uiPriority w:val="99"/>
    <w:rPr>
      <w:color w:val="404040"/>
      <w:lang w:val="zh-CN"/>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zh-CN"/>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lang w:val="zh-CN"/>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zh-CN"/>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zh-CN"/>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zh-CN"/>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lang w:val="zh-CN"/>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zh-CN"/>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zh-CN"/>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lang w:val="zh-CN"/>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zh-CN"/>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zh-CN"/>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zh-CN"/>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lang w:val="zh-CN"/>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qFormat/>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rPr>
      <w:rFonts w:ascii="Arial" w:eastAsia="Arial" w:hAnsi="Arial" w:cs="Arial"/>
      <w:i/>
      <w:iCs/>
      <w:color w:val="262626" w:themeColor="text1" w:themeTint="D9"/>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customStyle="1" w:styleId="SubtleEmphasis1">
    <w:name w:val="Subtle Emphasis1"/>
    <w:basedOn w:val="DefaultParagraphFont"/>
    <w:uiPriority w:val="19"/>
    <w:qFormat/>
    <w:rPr>
      <w:i/>
      <w:iCs/>
      <w:color w:val="404040" w:themeColor="text1" w:themeTint="BF"/>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EndnoteTextChar">
    <w:name w:val="Endnote Text Char"/>
    <w:basedOn w:val="DefaultParagraphFont"/>
    <w:link w:val="EndnoteText"/>
    <w:uiPriority w:val="99"/>
    <w:semiHidden/>
    <w:qFormat/>
    <w:rPr>
      <w:sz w:val="20"/>
      <w:szCs w:val="20"/>
    </w:rPr>
  </w:style>
  <w:style w:type="character" w:styleId="PlaceholderText">
    <w:name w:val="Placeholder Text"/>
    <w:basedOn w:val="DefaultParagraphFont"/>
    <w:uiPriority w:val="99"/>
    <w:semiHidden/>
    <w:qFormat/>
    <w:rPr>
      <w:color w:val="666666"/>
    </w:rPr>
  </w:style>
  <w:style w:type="paragraph" w:customStyle="1" w:styleId="TOCHeading1">
    <w:name w:val="TOC Heading1"/>
    <w:uiPriority w:val="39"/>
    <w:unhideWhenUsed/>
    <w:qFormat/>
    <w:rPr>
      <w:sz w:val="24"/>
      <w:szCs w:val="24"/>
      <w:lang w:val="en-US"/>
      <w14:ligatures w14:val="standardContextual"/>
    </w:rPr>
  </w:style>
  <w:style w:type="character" w:customStyle="1" w:styleId="BodyTextChar">
    <w:name w:val="Body Text Char"/>
    <w:basedOn w:val="DefaultParagraphFont"/>
    <w:link w:val="BodyText"/>
    <w:uiPriority w:val="1"/>
    <w:qFormat/>
    <w:rPr>
      <w:rFonts w:ascii="Arial" w:eastAsia="Arial" w:hAnsi="Arial" w:cs="Arial"/>
      <w:sz w:val="16"/>
      <w:szCs w:val="16"/>
      <w:lang w:val="vi"/>
      <w14:ligatures w14:val="none"/>
    </w:rPr>
  </w:style>
  <w:style w:type="character" w:customStyle="1" w:styleId="apple-tab-span">
    <w:name w:val="apple-tab-span"/>
    <w:basedOn w:val="DefaultParagraphFont"/>
    <w:qFormat/>
  </w:style>
  <w:style w:type="paragraph" w:customStyle="1" w:styleId="msonormal0">
    <w:name w:val="msonormal"/>
    <w:basedOn w:val="Normal"/>
    <w:qFormat/>
    <w:pPr>
      <w:widowControl/>
      <w:spacing w:before="100" w:beforeAutospacing="1" w:after="100" w:afterAutospacing="1"/>
    </w:pPr>
    <w:rPr>
      <w:rFonts w:ascii="Times New Roman" w:eastAsia="Times New Roman" w:hAnsi="Times New Roman" w:cs="Times New Roman"/>
      <w:sz w:val="24"/>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nhandan.vn/ong-nghiem-xuan-da-tiep-tuc-duoc-tin-nhiem-bau-lam-chu-tich-hiep-hoi-thep-viet-nam-post883641.html" TargetMode="External"/><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yperlink" Target="https://nhandan.vn/nganh-thep-viet-nam-tag81322.html" TargetMode="Externa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165187-ACFF-264E-90AD-6DA244FF7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76</Pages>
  <Words>36658</Words>
  <Characters>128304</Characters>
  <Application>Microsoft Office Word</Application>
  <DocSecurity>0</DocSecurity>
  <Lines>2376</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SCB2509 - BÙI HẠNH DUNG</dc:creator>
  <cp:lastModifiedBy>Ánh Dương .</cp:lastModifiedBy>
  <cp:revision>27</cp:revision>
  <cp:lastPrinted>2025-10-13T02:59:00Z</cp:lastPrinted>
  <dcterms:created xsi:type="dcterms:W3CDTF">2024-09-30T10:06:00Z</dcterms:created>
  <dcterms:modified xsi:type="dcterms:W3CDTF">2025-10-27T07:28:00Z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24559DD2E7CC4560AD1CD32962E10866_12</vt:lpwstr>
  </property>
</Properties>
</file>