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80"/>
        <w:gridCol w:w="2592"/>
      </w:tblGrid>
      <w:tr>
        <w:trPr>
          <w:trHeight w:val="360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Panel A: Educational Outcomes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Enrolled in school (1=Yes, 0=No)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 (0.31)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2.49 (2.62)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Panel B: Treatment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has electricity (1=Yes, 0=No)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(0.45)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Panel C: Instrumental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hypothetical network - least-cost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82.53 (120.92)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hypothetical network - Euclidean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93.86 (121.48)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Panel D: Geographic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Elevation (meters)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1270.09 (707.56)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Slope (degrees)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3.31 (4.13)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major road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6.13 (12.32)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major river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14.60 (10.58)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nearest 1989 city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109.21 (122.36)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 of nearest 1989 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202549.22 (258029.24)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Panel E: Individual Characteristics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9.51 (2.86)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(1=Yes, 0=No)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 (0.50)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 residence (1=Yes, 0=No)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(0.45)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6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The sample includes children aged 5–14 from Kenya DHS 2014 and 2022 (N = 90,080). Standard deviations in parentheses. All distance variables measured in kilometers. Population refers to 1989 urban center population from official Kenya census records. Binary variables take values 0 or 1. Instrumental Variables: Distance to hypothetical 1990 electricity network constructed by connecting pre-existing power generation facilities (Olkaria Geothermal, Masinga Dam, Kiambere Dam, Gitaru Dam, Kindaruma Dam) to major urban centers from the 1989 Population Census using minimum spanning tree algorithms. Least-cost distance accounts for terrain and river crossings; Euclidean distance is straight-line. Geographic Controls: Elevation and slope from NASA SRTM (~90m resolution via AWS). Distances to major roads are sourced from OpenStreetMap (Geofabrik Kenya, 2024). Distances to major rivers are sourced from HydroRIVERS v1.0 (Strahler order ≥4). Distances to 1989 cities and populations from Kenya Population and Housing Census 1989. Outcome Variables: School enrollment and years of education from DHS. Treatment variable: Household electricity access from DHS. Individual characteristics: Age is complete years, gender is binary where 1=Female and 0=Male and urban is a binary where 1=urban and 0 otherwise.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2026-06-21T12:40:55Z</dcterms:modified>
  <cp:category/>
</cp:coreProperties>
</file>