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Effect of Household Electrification on Educational Outcomes (OLS)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85"/>
        <w:gridCol w:w="1665"/>
        <w:gridCol w:w="2521"/>
      </w:tblGrid>
      <w:tr>
        <w:trPr>
          <w:trHeight w:val="634" w:hRule="auto"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 of Education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Electricity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0.395***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</w:tr>
      <w:tr>
        <w:trPr>
          <w:trHeight w:val="63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0.000***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 (degrees)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-0.005*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(0.003)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Semi-Arid Agro-Ecological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(0.076)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Sub-Humid Agro-Ecological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(0.090)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 Agro-Ecological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(0.095)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Distance to Major Roads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-0.091***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Distance to Major Rivers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</w:tr>
      <w:tr>
        <w:trPr>
          <w:trHeight w:val="63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0.312***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(0.020)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0.683***</w:t>
            </w:r>
          </w:p>
        </w:tc>
      </w:tr>
      <w:tr>
        <w:trPr>
          <w:trHeight w:val="6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</w:tr>
      <w:tr>
        <w:trPr>
          <w:trHeight w:val="63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0.148***</w:t>
            </w:r>
          </w:p>
        </w:tc>
      </w:tr>
      <w:tr>
        <w:trPr>
          <w:trHeight w:val="6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</w:tr>
      <w:tr>
        <w:trPr>
          <w:trHeight w:val="63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89969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89910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</w:p>
        </w:tc>
      </w:tr>
      <w:tr>
        <w:trPr>
          <w:trHeight w:val="63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County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2.486</w:t>
            </w:r>
          </w:p>
        </w:tc>
      </w:tr>
      <w:tr>
        <w:trPr>
          <w:trHeight w:val="67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of Dependent Variable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2.622</w:t>
            </w:r>
          </w:p>
        </w:tc>
      </w:tr>
      <w:tr>
        <w:trPr>
          <w:trHeight w:val="677" w:hRule="auto"/>
        </w:trPr>
        <w:tc>
          <w:tcPr>
            <w:gridSpan w:val="3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Notes. Individual-level regressions for children aged 5-14 in Kenya, using DHS data from 2014 and 2022. Dependent variables: Enrollment is a binary indicator for school attendance; Years of Education is cumulative years completed. Key Cluster Level Control Variables: Elevation = meters above sea level; Slope (degrees) = terrain slope in degrees; Agro-Ecological Zones: Semi-Arid, Sub-Humid, Humid; Log Distance to Major Roads = natural logarithm of distance to nearest major road (km); Log Distance to Major Rivers = natural logarithm of distance to nearest river (km); Key Child Level Control Variables: Age = child age in completed years; Female = 1 if female, 0 if male. All specifications include county fixed effects and control for child age and sex. Standard errors clustered at the cluster level are shown in parentheses. *** p&lt;0.01, ** p&lt;0.05, * p&lt;0.10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2026-02-25T22:44:26Z</dcterms:modified>
  <cp:category/>
</cp:coreProperties>
</file>