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First Stage - Log Distance to Network → Household Electricity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0"/>
        <w:gridCol w:w="1409"/>
        <w:gridCol w:w="1409"/>
        <w:gridCol w:w="1409"/>
      </w:tblGrid>
      <w:tr>
        <w:trPr>
          <w:trHeight w:val="642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Log(Distance Euclidean)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Log(Distance Euclidean) ×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-0.034***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89979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</w:tr>
      <w:tr>
        <w:trPr>
          <w:trHeight w:val="65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First-Stage F-Statistic (minimum)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20.72</w:t>
            </w:r>
          </w:p>
        </w:tc>
      </w:tr>
      <w:tr>
        <w:trPr>
          <w:trHeight w:val="658" w:hRule="auto"/>
        </w:trPr>
        <w:tc>
          <w:tcPr>
            <w:gridSpan w:val="4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Individual-level regressions for children aged 5-14 in Kenya, using DHS data from 2014 and 2022. Dependent variable: Household has electricity (binary indicator). Log(Distance Euclidean) is the natural logarithm of Euclidean distance to the hypothetical pre-1989 electricity transmission network. Log(Distance Euclidean) × 2022 is the interaction of log distance with a 2022 year indicator, with 2014 as the base year. The baseline coefficient captures the cross-sectional relationship in 2014, while the interaction term captures the additional differential effect of network proximity during the LMCP expansion period. The reported first-stage F-statistic is the minimum across both instruments; the lower value corresponds to the 2022 interaction term (F = 20.72 in the preferred specification), reflecting the more demanding test of differential expansion. Child controls include age and gender (female indicator). Geographic controls include elevation (meters), slope (degrees), agro-ecological zone indicators, log distance to major roads, and log distance to major rivers. Progressive controls: (1) County FE + Year FE; (2) adds child controls; (3) adds geographic and infrastructure controls. All specifications include county and year fixed effects. Standard errors clustered at the DHS cluster level are shown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2026-03-30T13:50:31Z</dcterms:modified>
  <cp:category/>
</cp:coreProperties>
</file>