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First Stage - Log Distance to Network → Household Electricity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0"/>
        <w:gridCol w:w="1409"/>
        <w:gridCol w:w="1409"/>
        <w:gridCol w:w="1409"/>
      </w:tblGrid>
      <w:tr>
        <w:trPr>
          <w:trHeight w:val="642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Log(Distance Euclidean)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Log(Distance Euclidean) ×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-0.034***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89979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</w:t>
            </w:r>
          </w:p>
        </w:tc>
      </w:tr>
      <w:tr>
        <w:trPr>
          <w:trHeight w:val="65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First-Stage F-Statistic (minimum)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20.72</w:t>
            </w:r>
          </w:p>
        </w:tc>
      </w:tr>
      <w:tr>
        <w:trPr>
          <w:trHeight w:val="658" w:hRule="auto"/>
        </w:trPr>
        <w:tc>
          <w:tcPr>
            <w:gridSpan w:val="4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Individual-level regressions for children aged 5-14 in Kenya, using DHS data from 2014 and 2022. Dependent variable: Household has electricity (binary indicator). Log(Distance Euclidean) is the natural logarithm of Euclidean distance to the hypothetical pre-1989 electricity transmission network. Log(Distance Euclidean) × 2022 is the interaction of log distance with a 2022 year indicator, with 2014 as the base year. The baseline coefficient captures the cross-sectional relationship in 2014, while the interaction term captures the additional differential effect of network proximity during the LMCP expansion period. The reported first-stage F-statistic is the minimum across both instruments; the lower value corresponds to the 2022 interaction term (F = 20.72 in the preferred specification), reflecting the more demanding test of differential expansion. Child controls include age and gender (female indicator). Geographic controls include elevation (meters), slope (degrees), agro-ecological zone indicators, log distance to major roads, and log distance to major rivers. Progressive controls: (1) County FE + Year FE; (2) adds child controls; (3) adds geographic and infrastructure controls. All specifications include county and year fixed effects. Standard errors clustered at the DHS cluster level are shown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2026-06-21T12:17:37Z</dcterms:modified>
  <cp:category/>
</cp:coreProperties>
</file>