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Performance Review Standard Operating Procedure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HR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1.3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2026-01-15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Performance Review Standard Operating Procedure</w:t>
      </w:r>
    </w:p>
    <w:p>
      <w:pPr>
        <w:pStyle w:val="Heading1"/>
      </w:pPr>
      <w:r>
        <w:rPr>
          <w:color w:val="1F4E79"/>
          <w:sz w:val="28"/>
        </w:rPr>
        <w:t>1. Purpose</w:t>
      </w:r>
    </w:p>
    <w:p>
      <w:pPr>
        <w:spacing w:after="160"/>
      </w:pPr>
      <w:r>
        <w:rPr>
          <w:color w:val="222222"/>
          <w:sz w:val="21"/>
        </w:rPr>
        <w:t>Defines the annual and mid-year performance review cycle.</w:t>
      </w:r>
    </w:p>
    <w:p>
      <w:pPr>
        <w:pStyle w:val="Heading1"/>
      </w:pPr>
      <w:r>
        <w:rPr>
          <w:color w:val="1F4E79"/>
          <w:sz w:val="28"/>
        </w:rPr>
        <w:t>2. Cycle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A5C"/>
          </w:tcPr>
          <w:p>
            <w:r/>
            <w:r>
              <w:rPr>
                <w:b/>
                <w:color w:val="FFFFFF"/>
                <w:sz w:val="18"/>
              </w:rPr>
              <w:t>Cycle</w:t>
            </w:r>
          </w:p>
        </w:tc>
        <w:tc>
          <w:tcPr>
            <w:tcW w:type="dxa" w:w="2412"/>
            <w:shd w:fill="1B3A5C"/>
          </w:tcPr>
          <w:p>
            <w:r/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2412"/>
            <w:shd w:fill="1B3A5C"/>
          </w:tcPr>
          <w:p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412"/>
            <w:shd w:fill="1B3A5C"/>
          </w:tcPr>
          <w:p>
            <w:r/>
            <w:r>
              <w:rPr>
                <w:b/>
                <w:color w:val="FFFFFF"/>
                <w:sz w:val="18"/>
              </w:rPr>
              <w:t>Rating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Mid-Year Check-in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June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Informal, goal-progress focused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No rating</w:t>
            </w:r>
          </w:p>
        </w:tc>
      </w:tr>
      <w:tr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Annual Review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December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Formal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5-point scale (1=Needs Improvement, 5=Outstanding)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3. Process Steps</w:t>
      </w:r>
    </w:p>
    <w:p>
      <w:pPr>
        <w:pStyle w:val="ListBullet"/>
      </w:pPr>
      <w:r>
        <w:rPr>
          <w:color w:val="222222"/>
          <w:sz w:val="21"/>
        </w:rPr>
        <w:t>Self-assessment submitted by employee (due 2 weeks before cycle close).</w:t>
      </w:r>
    </w:p>
    <w:p>
      <w:pPr>
        <w:pStyle w:val="ListBullet"/>
      </w:pPr>
      <w:r>
        <w:rPr>
          <w:color w:val="222222"/>
          <w:sz w:val="21"/>
        </w:rPr>
        <w:t>Manager assessment and draft rating submitted.</w:t>
      </w:r>
    </w:p>
    <w:p>
      <w:pPr>
        <w:pStyle w:val="ListBullet"/>
      </w:pPr>
      <w:r>
        <w:rPr>
          <w:color w:val="222222"/>
          <w:sz w:val="21"/>
        </w:rPr>
        <w:t>Calibration session across the department to ensure rating consistency.</w:t>
      </w:r>
    </w:p>
    <w:p>
      <w:pPr>
        <w:pStyle w:val="ListBullet"/>
      </w:pPr>
      <w:r>
        <w:rPr>
          <w:color w:val="222222"/>
          <w:sz w:val="21"/>
        </w:rPr>
        <w:t>Final rating and written feedback shared with employee in a 1:1.</w:t>
      </w:r>
    </w:p>
    <w:p>
      <w:pPr>
        <w:pStyle w:val="ListBullet"/>
      </w:pPr>
      <w:r>
        <w:rPr>
          <w:color w:val="222222"/>
          <w:sz w:val="21"/>
        </w:rPr>
        <w:t>Ratings feed into the compensation review process (separate cycle, typically 4-6 weeks after performance ratings are finalized).</w:t>
      </w:r>
    </w:p>
    <w:p>
      <w:pPr>
        <w:pStyle w:val="Heading1"/>
      </w:pPr>
      <w:r>
        <w:rPr>
          <w:color w:val="1F4E79"/>
          <w:sz w:val="28"/>
        </w:rPr>
        <w:t>4. Dispute Process</w:t>
      </w:r>
    </w:p>
    <w:p>
      <w:pPr>
        <w:spacing w:after="160"/>
      </w:pPr>
      <w:r>
        <w:rPr>
          <w:color w:val="222222"/>
          <w:sz w:val="21"/>
        </w:rPr>
        <w:t>Employees who disagree with their rating may request a review by HR Business Partner within 10 business days of receiving the rating.</w:t>
      </w:r>
    </w:p>
    <w:p>
      <w:pPr>
        <w:pStyle w:val="Heading1"/>
      </w:pPr>
      <w:r>
        <w:rPr>
          <w:color w:val="1F4E79"/>
          <w:sz w:val="28"/>
        </w:rPr>
        <w:t>5. Contact</w:t>
      </w:r>
    </w:p>
    <w:p>
      <w:pPr>
        <w:spacing w:after="160"/>
      </w:pPr>
      <w:r>
        <w:rPr>
          <w:color w:val="222222"/>
          <w:sz w:val="21"/>
        </w:rPr>
        <w:t>performance-reviews@company.com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