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480"/>
        <w:gridCol w:w="2880"/>
      </w:tblGrid>
      <w:tr>
        <w:tc>
          <w:tcPr>
            <w:tcW w:type="dxa" w:w="4824"/>
          </w:tcPr>
          <w:p>
            <w:r/>
          </w:p>
        </w:tc>
        <w:tc>
          <w:tcPr>
            <w:tcW w:type="dxa" w:w="482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54480" cy="3098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098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after="20"/>
      </w:pPr>
      <w:r>
        <w:rPr>
          <w:b/>
          <w:color w:val="6B7280"/>
          <w:sz w:val="17"/>
        </w:rPr>
        <w:t xml:space="preserve">TITLE: </w:t>
      </w:r>
      <w:r>
        <w:rPr>
          <w:color w:val="6B7280"/>
          <w:sz w:val="17"/>
        </w:rPr>
        <w:t>Remote Work Policy</w:t>
      </w:r>
    </w:p>
    <w:p>
      <w:pPr>
        <w:spacing w:after="20"/>
      </w:pPr>
      <w:r>
        <w:rPr>
          <w:b/>
          <w:color w:val="6B7280"/>
          <w:sz w:val="17"/>
        </w:rPr>
        <w:t xml:space="preserve">ORGANIZATION: </w:t>
      </w:r>
      <w:r>
        <w:rPr>
          <w:color w:val="6B7280"/>
          <w:sz w:val="17"/>
        </w:rPr>
        <w:t>Northwind Analytics, Inc.</w:t>
      </w:r>
    </w:p>
    <w:p>
      <w:pPr>
        <w:spacing w:after="20"/>
      </w:pPr>
      <w:r>
        <w:rPr>
          <w:b/>
          <w:color w:val="6B7280"/>
          <w:sz w:val="17"/>
        </w:rPr>
        <w:t xml:space="preserve">DEPARTMENT: </w:t>
      </w:r>
      <w:r>
        <w:rPr>
          <w:color w:val="6B7280"/>
          <w:sz w:val="17"/>
        </w:rPr>
        <w:t>HR</w:t>
      </w:r>
    </w:p>
    <w:p>
      <w:pPr>
        <w:spacing w:after="20"/>
      </w:pPr>
      <w:r>
        <w:rPr>
          <w:b/>
          <w:color w:val="6B7280"/>
          <w:sz w:val="17"/>
        </w:rPr>
        <w:t xml:space="preserve">SENSITIVITY: </w:t>
      </w:r>
      <w:r>
        <w:rPr>
          <w:color w:val="6B7280"/>
          <w:sz w:val="17"/>
        </w:rPr>
        <w:t>Internal</w:t>
      </w:r>
    </w:p>
    <w:p>
      <w:pPr>
        <w:spacing w:after="20"/>
      </w:pPr>
      <w:r>
        <w:rPr>
          <w:b/>
          <w:color w:val="6B7280"/>
          <w:sz w:val="17"/>
        </w:rPr>
        <w:t xml:space="preserve">VERSION: </w:t>
      </w:r>
      <w:r>
        <w:rPr>
          <w:color w:val="6B7280"/>
          <w:sz w:val="17"/>
        </w:rPr>
        <w:t>2.0</w:t>
      </w:r>
    </w:p>
    <w:p>
      <w:pPr>
        <w:spacing w:after="20"/>
      </w:pPr>
      <w:r>
        <w:rPr>
          <w:b/>
          <w:color w:val="6B7280"/>
          <w:sz w:val="17"/>
        </w:rPr>
        <w:t xml:space="preserve">EFFECTIVE_DATE: </w:t>
      </w:r>
      <w:r>
        <w:rPr>
          <w:color w:val="6B7280"/>
          <w:sz w:val="17"/>
        </w:rPr>
        <w:t>2026-04-01</w:t>
      </w:r>
    </w:p>
    <w:p>
      <w:r>
        <w:rPr>
          <w:color w:val="CCCCCC"/>
          <w:sz w:val="16"/>
        </w:rPr>
        <w:t>_______________________________________________________________________________________________</w:t>
      </w:r>
    </w:p>
    <w:p>
      <w:pPr>
        <w:pStyle w:val="Title"/>
      </w:pPr>
      <w:r>
        <w:rPr>
          <w:color w:val="1F4E79"/>
          <w:sz w:val="44"/>
        </w:rPr>
        <w:t>Remote Work Policy</w:t>
      </w:r>
    </w:p>
    <w:p>
      <w:pPr>
        <w:pStyle w:val="Heading1"/>
      </w:pPr>
      <w:r>
        <w:rPr>
          <w:color w:val="1F4E79"/>
          <w:sz w:val="28"/>
        </w:rPr>
        <w:t>1. Purpose</w:t>
      </w:r>
    </w:p>
    <w:p>
      <w:pPr>
        <w:spacing w:after="160"/>
      </w:pPr>
      <w:r>
        <w:rPr>
          <w:color w:val="222222"/>
          <w:sz w:val="21"/>
        </w:rPr>
        <w:t>This policy supersedes Remote Work Policy v1.0 and reflects the company's shift to a flexible-first working model.</w:t>
      </w:r>
    </w:p>
    <w:p>
      <w:pPr>
        <w:pStyle w:val="Heading1"/>
      </w:pPr>
      <w:r>
        <w:rPr>
          <w:color w:val="1F4E79"/>
          <w:sz w:val="28"/>
        </w:rPr>
        <w:t>2. Eligibility</w:t>
      </w:r>
    </w:p>
    <w:p>
      <w:pPr>
        <w:spacing w:after="160"/>
      </w:pPr>
      <w:r>
        <w:rPr>
          <w:color w:val="222222"/>
          <w:sz w:val="21"/>
        </w:rPr>
        <w:t>All employees are eligible for remote work from their first day of employment, unless their role is explicitly designated "on-site required" (e.g., facilities, lab operations, front-desk reception).</w:t>
      </w:r>
    </w:p>
    <w:p>
      <w:pPr>
        <w:pStyle w:val="Heading1"/>
      </w:pPr>
      <w:r>
        <w:rPr>
          <w:color w:val="1F4E79"/>
          <w:sz w:val="28"/>
        </w:rPr>
        <w:t>3. Remote Work Allowance</w:t>
      </w:r>
    </w:p>
    <w:p>
      <w:pPr>
        <w:spacing w:after="160"/>
      </w:pPr>
      <w:r>
        <w:rPr>
          <w:color w:val="222222"/>
          <w:sz w:val="21"/>
        </w:rPr>
        <w:t>Employees in eligible roles may work fully remotely, including 5 days per week, at their discretion. Teams may set local norms for in-person collaboration days, but there is no company-wide cap on remote days. Core collaboration hours are reduced to 11 AM - 3 PM local time to support global team distribution.</w:t>
      </w:r>
    </w:p>
    <w:p>
      <w:pPr>
        <w:pStyle w:val="Heading1"/>
      </w:pPr>
      <w:r>
        <w:rPr>
          <w:color w:val="1F4E79"/>
          <w:sz w:val="28"/>
        </w:rPr>
        <w:t>4.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824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Laptop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Provided by the company</w:t>
            </w:r>
          </w:p>
        </w:tc>
      </w:tr>
      <w:tr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Home office stipend</w:t>
            </w:r>
          </w:p>
        </w:tc>
        <w:tc>
          <w:tcPr>
            <w:tcW w:type="dxa" w:w="4824"/>
            <w:shd w:fill="F4F7FA"/>
          </w:tcPr>
          <w:p>
            <w:r/>
            <w:r>
              <w:rPr>
                <w:color w:val="222222"/>
                <w:sz w:val="18"/>
              </w:rPr>
              <w:t>One-time $500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Internet reimbursement</w:t>
            </w:r>
          </w:p>
        </w:tc>
        <w:tc>
          <w:tcPr>
            <w:tcW w:type="dxa" w:w="4824"/>
          </w:tcPr>
          <w:p>
            <w:r/>
            <w:r>
              <w:rPr>
                <w:color w:val="222222"/>
                <w:sz w:val="18"/>
              </w:rPr>
              <w:t>$50/month for fully remote employees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5. Review</w:t>
      </w:r>
    </w:p>
    <w:p>
      <w:pPr>
        <w:spacing w:after="160"/>
      </w:pPr>
      <w:r>
        <w:rPr>
          <w:color w:val="222222"/>
          <w:sz w:val="21"/>
        </w:rPr>
        <w:t>Remote work arrangements are no longer subject to mandatory quarterly review; managers may address performance concerns through the standard performance management process instead.</w:t>
      </w:r>
    </w:p>
    <w:p>
      <w:pPr>
        <w:pStyle w:val="Heading1"/>
      </w:pPr>
      <w:r>
        <w:rPr>
          <w:color w:val="1F4E79"/>
          <w:sz w:val="28"/>
        </w:rPr>
        <w:t>6. Contact</w:t>
      </w:r>
    </w:p>
    <w:p>
      <w:pPr>
        <w:spacing w:after="160"/>
      </w:pPr>
      <w:r>
        <w:rPr>
          <w:color w:val="222222"/>
          <w:sz w:val="21"/>
        </w:rPr>
        <w:t>Questions: hr-helpdesk@company.com</w:t>
      </w:r>
    </w:p>
    <w:p>
      <w:pPr>
        <w:pStyle w:val="Heading2"/>
      </w:pPr>
      <w:r>
        <w:rPr>
          <w:color w:val="2E5C8A"/>
          <w:sz w:val="24"/>
        </w:rPr>
        <w:t>Note on Prior Version</w:t>
      </w:r>
    </w:p>
    <w:p>
      <w:pPr>
        <w:spacing w:after="160"/>
      </w:pPr>
      <w:r>
        <w:rPr>
          <w:color w:val="222222"/>
          <w:sz w:val="21"/>
        </w:rPr>
        <w:t>This version reflects the updated 2026 flexible work model. Managers and employees should disregard the 2-day/week cap referenced in the 2024 version of this policy, which is no longer in effect.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Northwind Analytics, Inc.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