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80"/>
        <w:gridCol w:w="2880"/>
      </w:tblGrid>
      <w:tr>
        <w:tc>
          <w:tcPr>
            <w:tcW w:type="dxa" w:w="4824"/>
          </w:tcPr>
          <w:p>
            <w:r/>
          </w:p>
        </w:tc>
        <w:tc>
          <w:tcPr>
            <w:tcW w:type="dxa" w:w="482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54480" cy="3098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09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after="20"/>
      </w:pPr>
      <w:r>
        <w:rPr>
          <w:b/>
          <w:color w:val="6B7280"/>
          <w:sz w:val="17"/>
        </w:rPr>
        <w:t xml:space="preserve">TITLE: </w:t>
      </w:r>
      <w:r>
        <w:rPr>
          <w:color w:val="6B7280"/>
          <w:sz w:val="17"/>
        </w:rPr>
        <w:t>Security Incident Response Runbook</w:t>
      </w:r>
    </w:p>
    <w:p>
      <w:pPr>
        <w:spacing w:after="20"/>
      </w:pPr>
      <w:r>
        <w:rPr>
          <w:b/>
          <w:color w:val="6B7280"/>
          <w:sz w:val="17"/>
        </w:rPr>
        <w:t xml:space="preserve">ORGANIZATION: </w:t>
      </w:r>
      <w:r>
        <w:rPr>
          <w:color w:val="6B7280"/>
          <w:sz w:val="17"/>
        </w:rPr>
        <w:t>Northwind Analytics, Inc.</w:t>
      </w:r>
    </w:p>
    <w:p>
      <w:pPr>
        <w:spacing w:after="20"/>
      </w:pPr>
      <w:r>
        <w:rPr>
          <w:b/>
          <w:color w:val="6B7280"/>
          <w:sz w:val="17"/>
        </w:rPr>
        <w:t xml:space="preserve">DEPARTMENT: </w:t>
      </w:r>
      <w:r>
        <w:rPr>
          <w:color w:val="6B7280"/>
          <w:sz w:val="17"/>
        </w:rPr>
        <w:t>IT</w:t>
      </w:r>
    </w:p>
    <w:p>
      <w:pPr>
        <w:spacing w:after="20"/>
      </w:pPr>
      <w:r>
        <w:rPr>
          <w:b/>
          <w:color w:val="6B7280"/>
          <w:sz w:val="17"/>
        </w:rPr>
        <w:t xml:space="preserve">SENSITIVITY: </w:t>
      </w:r>
      <w:r>
        <w:rPr>
          <w:color w:val="6B7280"/>
          <w:sz w:val="17"/>
        </w:rPr>
        <w:t>Confidential</w:t>
      </w:r>
    </w:p>
    <w:p>
      <w:pPr>
        <w:spacing w:after="20"/>
      </w:pPr>
      <w:r>
        <w:rPr>
          <w:b/>
          <w:color w:val="6B7280"/>
          <w:sz w:val="17"/>
        </w:rPr>
        <w:t xml:space="preserve">VERSION: </w:t>
      </w:r>
      <w:r>
        <w:rPr>
          <w:color w:val="6B7280"/>
          <w:sz w:val="17"/>
        </w:rPr>
        <w:t>1.4</w:t>
      </w:r>
    </w:p>
    <w:p>
      <w:pPr>
        <w:spacing w:after="20"/>
      </w:pPr>
      <w:r>
        <w:rPr>
          <w:b/>
          <w:color w:val="6B7280"/>
          <w:sz w:val="17"/>
        </w:rPr>
        <w:t xml:space="preserve">EFFECTIVE_DATE: </w:t>
      </w:r>
      <w:r>
        <w:rPr>
          <w:color w:val="6B7280"/>
          <w:sz w:val="17"/>
        </w:rPr>
        <w:t>2026-03-01</w:t>
      </w:r>
    </w:p>
    <w:p>
      <w:r>
        <w:rPr>
          <w:color w:val="CCCCCC"/>
          <w:sz w:val="16"/>
        </w:rPr>
        <w:t>_______________________________________________________________________________________________</w:t>
      </w:r>
    </w:p>
    <w:p>
      <w:pPr>
        <w:pStyle w:val="Title"/>
      </w:pPr>
      <w:r>
        <w:rPr>
          <w:color w:val="1F4E79"/>
          <w:sz w:val="44"/>
        </w:rPr>
        <w:t>Security Incident Response Runbook</w:t>
      </w:r>
    </w:p>
    <w:p>
      <w:pPr>
        <w:pStyle w:val="Heading1"/>
      </w:pPr>
      <w:r>
        <w:rPr>
          <w:color w:val="1F4E79"/>
          <w:sz w:val="28"/>
        </w:rPr>
        <w:t>1. Severity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A5C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216"/>
            <w:shd w:fill="1B3A5C"/>
          </w:tcPr>
          <w:p>
            <w:r/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216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Response Time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SEV1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Active data breach or system-wide outage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Immediate, 24/7; incident commander assigned within 15 minutes</w:t>
            </w:r>
          </w:p>
        </w:tc>
      </w:tr>
      <w:tr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SEV2</w:t>
            </w:r>
          </w:p>
        </w:tc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Suspected compromise of a single system/account</w:t>
            </w:r>
          </w:p>
        </w:tc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1 hour during business hours, 4 hours off-hours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SEV3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Policy violation or low-risk anomaly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Within 1 business day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41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respons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1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Figure 1: SEV1 incident response flow</w:t>
      </w:r>
    </w:p>
    <w:p>
      <w:pPr>
        <w:pStyle w:val="Heading1"/>
      </w:pPr>
      <w:r>
        <w:rPr>
          <w:color w:val="1F4E79"/>
          <w:sz w:val="28"/>
        </w:rPr>
        <w:t>2. Immediate Actions (SEV1)</w:t>
      </w:r>
    </w:p>
    <w:p>
      <w:pPr>
        <w:pStyle w:val="ListBullet"/>
      </w:pPr>
      <w:r>
        <w:rPr>
          <w:color w:val="222222"/>
          <w:sz w:val="21"/>
        </w:rPr>
        <w:t>Isolate affected systems from the network (do not power off, to preserve forensic evidence).</w:t>
      </w:r>
    </w:p>
    <w:p>
      <w:pPr>
        <w:pStyle w:val="ListBullet"/>
      </w:pPr>
      <w:r>
        <w:rPr>
          <w:color w:val="222222"/>
          <w:sz w:val="21"/>
        </w:rPr>
        <w:t>Notify the Security on-call lead and CISO immediately.</w:t>
      </w:r>
    </w:p>
    <w:p>
      <w:pPr>
        <w:pStyle w:val="ListBullet"/>
      </w:pPr>
      <w:r>
        <w:rPr>
          <w:color w:val="222222"/>
          <w:sz w:val="21"/>
        </w:rPr>
        <w:t>Open an incident channel and war room bridge.</w:t>
      </w:r>
    </w:p>
    <w:p>
      <w:pPr>
        <w:pStyle w:val="ListBullet"/>
      </w:pPr>
      <w:r>
        <w:rPr>
          <w:color w:val="222222"/>
          <w:sz w:val="21"/>
        </w:rPr>
        <w:t>Begin the incident log (timeline of actions taken).</w:t>
      </w:r>
    </w:p>
    <w:p>
      <w:pPr>
        <w:pStyle w:val="Heading1"/>
      </w:pPr>
      <w:r>
        <w:rPr>
          <w:color w:val="1F4E79"/>
          <w:sz w:val="28"/>
        </w:rPr>
        <w:t>3. Communication</w:t>
      </w:r>
    </w:p>
    <w:p>
      <w:pPr>
        <w:pStyle w:val="ListBullet"/>
      </w:pPr>
      <w:r>
        <w:rPr>
          <w:color w:val="222222"/>
          <w:sz w:val="21"/>
        </w:rPr>
        <w:t>Internal stakeholders notified within 30 minutes of SEV1 declaration.</w:t>
      </w:r>
    </w:p>
    <w:p>
      <w:pPr>
        <w:pStyle w:val="ListBullet"/>
      </w:pPr>
      <w:r>
        <w:rPr>
          <w:color w:val="222222"/>
          <w:sz w:val="21"/>
        </w:rPr>
        <w:t>Legal and Compliance loop in immediately if customer data may be involved (potential breach notification obligations).</w:t>
      </w:r>
    </w:p>
    <w:p>
      <w:pPr>
        <w:pStyle w:val="ListBullet"/>
      </w:pPr>
      <w:r>
        <w:rPr>
          <w:color w:val="222222"/>
          <w:sz w:val="21"/>
        </w:rPr>
        <w:t>Do not communicate externally without Legal/Comms sign-off.</w:t>
      </w:r>
    </w:p>
    <w:p>
      <w:pPr>
        <w:pStyle w:val="Heading1"/>
      </w:pPr>
      <w:r>
        <w:rPr>
          <w:color w:val="1F4E79"/>
          <w:sz w:val="28"/>
        </w:rPr>
        <w:t>4. Post-Incident</w:t>
      </w:r>
    </w:p>
    <w:p>
      <w:pPr>
        <w:spacing w:after="160"/>
      </w:pPr>
      <w:r>
        <w:rPr>
          <w:color w:val="222222"/>
          <w:sz w:val="21"/>
        </w:rPr>
        <w:t>A post-incident review (blameless retrospective) is required within 5 business days of SEV1/SEV2 resolution, documenting root cause, timeline, and remediation action items with owners and due dates.</w:t>
      </w:r>
    </w:p>
    <w:p>
      <w:pPr>
        <w:pStyle w:val="Heading1"/>
      </w:pPr>
      <w:r>
        <w:rPr>
          <w:color w:val="1F4E79"/>
          <w:sz w:val="28"/>
        </w:rPr>
        <w:t>5. Frequently Asked Questions</w:t>
      </w:r>
    </w:p>
    <w:p>
      <w:pPr>
        <w:pStyle w:val="Heading2"/>
      </w:pPr>
      <w:r>
        <w:rPr>
          <w:color w:val="2E5C8A"/>
          <w:sz w:val="24"/>
        </w:rPr>
        <w:t>Who has authority to declare a SEV1 incident?</w:t>
      </w:r>
    </w:p>
    <w:p>
      <w:pPr>
        <w:spacing w:after="160"/>
      </w:pPr>
      <w:r>
        <w:rPr>
          <w:color w:val="222222"/>
          <w:sz w:val="21"/>
        </w:rPr>
        <w:t>Any employee who identifies a credible active data breach or system-wide outage should immediately notify the Security on-call lead, who confirms severity classification and assigns an incident commander.</w:t>
      </w:r>
    </w:p>
    <w:p>
      <w:pPr>
        <w:pStyle w:val="Heading2"/>
      </w:pPr>
      <w:r>
        <w:rPr>
          <w:color w:val="2E5C8A"/>
          <w:sz w:val="24"/>
        </w:rPr>
        <w:t>What if I'm unsure whether something is a SEV1 or SEV2?</w:t>
      </w:r>
    </w:p>
    <w:p>
      <w:pPr>
        <w:spacing w:after="160"/>
      </w:pPr>
      <w:r>
        <w:rPr>
          <w:color w:val="222222"/>
          <w:sz w:val="21"/>
        </w:rPr>
        <w:t>When in doubt, escalate as the higher severity (SEV1) -- it is far easier to de-escalate a confirmed lower-severity issue than to recover time lost from an under-classified active breach.</w:t>
      </w:r>
    </w:p>
    <w:p>
      <w:pPr>
        <w:pStyle w:val="Heading1"/>
      </w:pPr>
      <w:r>
        <w:rPr>
          <w:color w:val="1F4E79"/>
          <w:sz w:val="28"/>
        </w:rPr>
        <w:t>6. Contact</w:t>
      </w:r>
    </w:p>
    <w:p>
      <w:pPr>
        <w:spacing w:after="160"/>
      </w:pPr>
      <w:r>
        <w:rPr>
          <w:color w:val="222222"/>
          <w:sz w:val="21"/>
        </w:rPr>
        <w:t>security-oncall@company.com</w:t>
      </w:r>
    </w:p>
    <w:sectPr w:rsidR="00FC693F" w:rsidRPr="0006063C" w:rsidSect="00034616"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>Northwind Analytics, Inc.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