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2880"/>
      </w:tblGrid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54480" cy="309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9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20"/>
      </w:pPr>
      <w:r>
        <w:rPr>
          <w:b/>
          <w:color w:val="6B7280"/>
          <w:sz w:val="17"/>
        </w:rPr>
        <w:t xml:space="preserve">TITLE: </w:t>
      </w:r>
      <w:r>
        <w:rPr>
          <w:color w:val="6B7280"/>
          <w:sz w:val="17"/>
        </w:rPr>
        <w:t>Business Continuity Plan</w:t>
      </w:r>
    </w:p>
    <w:p>
      <w:pPr>
        <w:spacing w:after="20"/>
      </w:pPr>
      <w:r>
        <w:rPr>
          <w:b/>
          <w:color w:val="6B7280"/>
          <w:sz w:val="17"/>
        </w:rPr>
        <w:t xml:space="preserve">ORGANIZATION: </w:t>
      </w:r>
      <w:r>
        <w:rPr>
          <w:color w:val="6B7280"/>
          <w:sz w:val="17"/>
        </w:rPr>
        <w:t>Northwind Analytics, Inc.</w:t>
      </w:r>
    </w:p>
    <w:p>
      <w:pPr>
        <w:spacing w:after="20"/>
      </w:pPr>
      <w:r>
        <w:rPr>
          <w:b/>
          <w:color w:val="6B7280"/>
          <w:sz w:val="17"/>
        </w:rPr>
        <w:t xml:space="preserve">DEPARTMENT: </w:t>
      </w:r>
      <w:r>
        <w:rPr>
          <w:color w:val="6B7280"/>
          <w:sz w:val="17"/>
        </w:rPr>
        <w:t>Operations</w:t>
      </w:r>
    </w:p>
    <w:p>
      <w:pPr>
        <w:spacing w:after="20"/>
      </w:pPr>
      <w:r>
        <w:rPr>
          <w:b/>
          <w:color w:val="6B7280"/>
          <w:sz w:val="17"/>
        </w:rPr>
        <w:t xml:space="preserve">SENSITIVITY: </w:t>
      </w:r>
      <w:r>
        <w:rPr>
          <w:color w:val="6B7280"/>
          <w:sz w:val="17"/>
        </w:rPr>
        <w:t>Confidential</w:t>
      </w:r>
    </w:p>
    <w:p>
      <w:pPr>
        <w:spacing w:after="20"/>
      </w:pPr>
      <w:r>
        <w:rPr>
          <w:b/>
          <w:color w:val="6B7280"/>
          <w:sz w:val="17"/>
        </w:rPr>
        <w:t xml:space="preserve">VERSION: </w:t>
      </w:r>
      <w:r>
        <w:rPr>
          <w:color w:val="6B7280"/>
          <w:sz w:val="17"/>
        </w:rPr>
        <w:t>2.1</w:t>
      </w:r>
    </w:p>
    <w:p>
      <w:pPr>
        <w:spacing w:after="20"/>
      </w:pPr>
      <w:r>
        <w:rPr>
          <w:b/>
          <w:color w:val="6B7280"/>
          <w:sz w:val="17"/>
        </w:rPr>
        <w:t xml:space="preserve">EFFECTIVE_DATE: </w:t>
      </w:r>
      <w:r>
        <w:rPr>
          <w:color w:val="6B7280"/>
          <w:sz w:val="17"/>
        </w:rPr>
        <w:t>2026-01-01</w:t>
      </w:r>
    </w:p>
    <w:p>
      <w:r>
        <w:rPr>
          <w:color w:val="CCCCCC"/>
          <w:sz w:val="16"/>
        </w:rPr>
        <w:t>_______________________________________________________________________________________________</w:t>
      </w:r>
    </w:p>
    <w:p>
      <w:pPr>
        <w:pStyle w:val="Title"/>
      </w:pPr>
      <w:r>
        <w:rPr>
          <w:color w:val="1F4E79"/>
          <w:sz w:val="44"/>
        </w:rPr>
        <w:t>Business Continuity Plan</w:t>
      </w:r>
    </w:p>
    <w:p>
      <w:pPr>
        <w:pStyle w:val="Heading1"/>
      </w:pPr>
      <w:r>
        <w:rPr>
          <w:color w:val="1F4E79"/>
          <w:sz w:val="28"/>
        </w:rPr>
        <w:t>1. Purpose</w:t>
      </w:r>
    </w:p>
    <w:p>
      <w:pPr>
        <w:spacing w:after="160"/>
      </w:pPr>
      <w:r>
        <w:rPr>
          <w:color w:val="222222"/>
          <w:sz w:val="21"/>
        </w:rPr>
        <w:t>Defines how the company maintains critical operations during a disruption (natural disaster, major outage, pandemic, facility loss).</w:t>
      </w:r>
    </w:p>
    <w:p>
      <w:pPr>
        <w:pStyle w:val="Heading1"/>
      </w:pPr>
      <w:r>
        <w:rPr>
          <w:color w:val="1F4E79"/>
          <w:sz w:val="28"/>
        </w:rPr>
        <w:t>2. Critical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A5C"/>
          </w:tcPr>
          <w:p>
            <w:r/>
            <w:r>
              <w:rPr>
                <w:b/>
                <w:color w:val="FFFFFF"/>
                <w:sz w:val="18"/>
              </w:rPr>
              <w:t>Critical Function</w:t>
            </w:r>
          </w:p>
        </w:tc>
        <w:tc>
          <w:tcPr>
            <w:tcW w:type="dxa" w:w="4824"/>
            <w:shd w:fill="1B3A5C"/>
          </w:tcPr>
          <w:p>
            <w:r/>
            <w:r>
              <w:rPr>
                <w:b/>
                <w:color w:val="FFFFFF"/>
                <w:sz w:val="18"/>
              </w:rPr>
              <w:t>Maximum Tolerable Downtime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Payroll processing</w:t>
            </w:r>
          </w:p>
        </w:tc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24 hours</w:t>
            </w:r>
          </w:p>
        </w:tc>
      </w:tr>
      <w:tr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Customer support</w:t>
            </w:r>
          </w:p>
        </w:tc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24 hours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Core product infrastructure</w:t>
            </w:r>
          </w:p>
        </w:tc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24 hours</w:t>
            </w:r>
          </w:p>
        </w:tc>
      </w:tr>
      <w:tr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Executive communication</w:t>
            </w:r>
          </w:p>
        </w:tc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24 hours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41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p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Figure 1: Business continuity activation flow</w:t>
      </w:r>
    </w:p>
    <w:p>
      <w:pPr>
        <w:pStyle w:val="Heading1"/>
      </w:pPr>
      <w:r>
        <w:rPr>
          <w:color w:val="1F4E79"/>
          <w:sz w:val="28"/>
        </w:rPr>
        <w:t>3. Response Structure</w:t>
      </w:r>
    </w:p>
    <w:p>
      <w:pPr>
        <w:spacing w:after="160"/>
      </w:pPr>
      <w:r>
        <w:rPr>
          <w:color w:val="222222"/>
          <w:sz w:val="21"/>
        </w:rPr>
        <w:t>A Crisis Management Team (CMT), led by the COO, is activated for any disruption expected to last more than 4 hours. The CMT includes leads from IT, HR, Facilities, and Communications.</w:t>
      </w:r>
    </w:p>
    <w:p>
      <w:pPr>
        <w:pStyle w:val="Heading1"/>
      </w:pPr>
      <w:r>
        <w:rPr>
          <w:color w:val="1F4E79"/>
          <w:sz w:val="28"/>
        </w:rPr>
        <w:t>4. Remote Operations</w:t>
      </w:r>
    </w:p>
    <w:p>
      <w:pPr>
        <w:spacing w:after="160"/>
      </w:pPr>
      <w:r>
        <w:rPr>
          <w:color w:val="222222"/>
          <w:sz w:val="21"/>
        </w:rPr>
        <w:t>Given the company's flexible-first remote work model, most functions can continue via remote work during a facility disruption. Facilities-dependent functions (e.g., hardware lab work) have a designated backup site in a separate region.</w:t>
      </w:r>
    </w:p>
    <w:p>
      <w:pPr>
        <w:pStyle w:val="Heading1"/>
      </w:pPr>
      <w:r>
        <w:rPr>
          <w:color w:val="1F4E79"/>
          <w:sz w:val="28"/>
        </w:rPr>
        <w:t>5. Testing</w:t>
      </w:r>
    </w:p>
    <w:p>
      <w:pPr>
        <w:spacing w:after="160"/>
      </w:pPr>
      <w:r>
        <w:rPr>
          <w:color w:val="222222"/>
          <w:sz w:val="21"/>
        </w:rPr>
        <w:t>The BCP is tested via a tabletop exercise twice per year (typically March and September) with results and gaps documented and remediated within 60 days.</w:t>
      </w:r>
    </w:p>
    <w:p>
      <w:pPr>
        <w:pStyle w:val="Heading1"/>
      </w:pPr>
      <w:r>
        <w:rPr>
          <w:color w:val="1F4E79"/>
          <w:sz w:val="28"/>
        </w:rPr>
        <w:t>6. Frequently Asked Questions</w:t>
      </w:r>
    </w:p>
    <w:p>
      <w:pPr>
        <w:pStyle w:val="Heading2"/>
      </w:pPr>
      <w:r>
        <w:rPr>
          <w:color w:val="2E5C8A"/>
          <w:sz w:val="24"/>
        </w:rPr>
        <w:t>Who decides when to activate the Crisis Management Team?</w:t>
      </w:r>
    </w:p>
    <w:p>
      <w:pPr>
        <w:spacing w:after="160"/>
      </w:pPr>
      <w:r>
        <w:rPr>
          <w:color w:val="222222"/>
          <w:sz w:val="21"/>
        </w:rPr>
        <w:t>Any leader who identifies a disruption likely to exceed 4 hours should notify the COO or their designated backup, who makes the activation decision.</w:t>
      </w:r>
    </w:p>
    <w:p>
      <w:pPr>
        <w:pStyle w:val="Heading2"/>
      </w:pPr>
      <w:r>
        <w:rPr>
          <w:color w:val="2E5C8A"/>
          <w:sz w:val="24"/>
        </w:rPr>
        <w:t>What if a disruption affects a function not listed as "critical"?</w:t>
      </w:r>
    </w:p>
    <w:p>
      <w:pPr>
        <w:spacing w:after="160"/>
      </w:pPr>
      <w:r>
        <w:rPr>
          <w:color w:val="222222"/>
          <w:sz w:val="21"/>
        </w:rPr>
        <w:t>Non-critical functions are addressed after critical functions are stabilized; the CMT prioritizes based on the critical functions table above during any active response.</w:t>
      </w:r>
    </w:p>
    <w:p>
      <w:pPr>
        <w:pStyle w:val="Heading1"/>
      </w:pPr>
      <w:r>
        <w:rPr>
          <w:color w:val="1F4E79"/>
          <w:sz w:val="28"/>
        </w:rPr>
        <w:t>7. Contact</w:t>
      </w:r>
    </w:p>
    <w:p>
      <w:pPr>
        <w:spacing w:after="160"/>
      </w:pPr>
      <w:r>
        <w:rPr>
          <w:color w:val="222222"/>
          <w:sz w:val="21"/>
        </w:rPr>
        <w:t>business-continuity@company.com</w:t>
      </w:r>
    </w:p>
    <w:sectPr w:rsidR="00FC693F" w:rsidRPr="0006063C" w:rsidSect="00034616"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>Northwind Analytics, Inc.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