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W w:type="auto" w:w="0"/>
        <w:tblLayout w:type="autofit"/>
        <w:tblLook w:firstColumn="1" w:firstRow="1" w:lastColumn="0" w:lastRow="0" w:noHBand="0" w:noVBand="1" w:val="04A0"/>
        <w:tblBorders>
          <w:top w:val="none"/>
          <w:left w:val="none"/>
          <w:bottom w:val="none"/>
          <w:right w:val="none"/>
          <w:insideH w:val="none"/>
          <w:insideV w:val="none"/>
        </w:tblBorders>
      </w:tblPr>
      <w:tblGrid>
        <w:gridCol w:w="6480"/>
        <w:gridCol w:w="2880"/>
      </w:tblGrid>
      <w:tr>
        <w:tc>
          <w:tcPr>
            <w:tcW w:type="dxa" w:w="4824"/>
          </w:tcPr>
          <w:p>
            <w:r/>
          </w:p>
        </w:tc>
        <w:tc>
          <w:tcPr>
            <w:tcW w:type="dxa" w:w="4824"/>
          </w:tcPr>
          <w:p>
            <w:pPr>
              <w:jc w:val="right"/>
            </w:pPr>
            <w:r>
              <w:drawing>
                <wp:inline xmlns:a="http://schemas.openxmlformats.org/drawingml/2006/main" xmlns:pic="http://schemas.openxmlformats.org/drawingml/2006/picture">
                  <wp:extent cx="1554480" cy="309805"/>
                  <wp:docPr id="1" name="Picture 1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logo.png"/>
                          <pic:cNvPicPr/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554480" cy="309805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/>
    <w:p>
      <w:pPr>
        <w:spacing w:after="20"/>
      </w:pPr>
      <w:r>
        <w:rPr>
          <w:b/>
          <w:color w:val="6B7280"/>
          <w:sz w:val="17"/>
        </w:rPr>
        <w:t xml:space="preserve">TITLE: </w:t>
      </w:r>
      <w:r>
        <w:rPr>
          <w:color w:val="6B7280"/>
          <w:sz w:val="17"/>
        </w:rPr>
        <w:t>Facilities Access Policy</w:t>
      </w:r>
    </w:p>
    <w:p>
      <w:pPr>
        <w:spacing w:after="20"/>
      </w:pPr>
      <w:r>
        <w:rPr>
          <w:b/>
          <w:color w:val="6B7280"/>
          <w:sz w:val="17"/>
        </w:rPr>
        <w:t xml:space="preserve">ORGANIZATION: </w:t>
      </w:r>
      <w:r>
        <w:rPr>
          <w:color w:val="6B7280"/>
          <w:sz w:val="17"/>
        </w:rPr>
        <w:t>Northwind Analytics, Inc.</w:t>
      </w:r>
    </w:p>
    <w:p>
      <w:pPr>
        <w:spacing w:after="20"/>
      </w:pPr>
      <w:r>
        <w:rPr>
          <w:b/>
          <w:color w:val="6B7280"/>
          <w:sz w:val="17"/>
        </w:rPr>
        <w:t xml:space="preserve">DEPARTMENT: </w:t>
      </w:r>
      <w:r>
        <w:rPr>
          <w:color w:val="6B7280"/>
          <w:sz w:val="17"/>
        </w:rPr>
        <w:t>Operations</w:t>
      </w:r>
    </w:p>
    <w:p>
      <w:pPr>
        <w:spacing w:after="20"/>
      </w:pPr>
      <w:r>
        <w:rPr>
          <w:b/>
          <w:color w:val="6B7280"/>
          <w:sz w:val="17"/>
        </w:rPr>
        <w:t xml:space="preserve">SENSITIVITY: </w:t>
      </w:r>
      <w:r>
        <w:rPr>
          <w:color w:val="6B7280"/>
          <w:sz w:val="17"/>
        </w:rPr>
        <w:t>Internal</w:t>
      </w:r>
    </w:p>
    <w:p>
      <w:pPr>
        <w:spacing w:after="20"/>
      </w:pPr>
      <w:r>
        <w:rPr>
          <w:b/>
          <w:color w:val="6B7280"/>
          <w:sz w:val="17"/>
        </w:rPr>
        <w:t xml:space="preserve">VERSION: </w:t>
      </w:r>
      <w:r>
        <w:rPr>
          <w:color w:val="6B7280"/>
          <w:sz w:val="17"/>
        </w:rPr>
        <w:t>1.0</w:t>
      </w:r>
    </w:p>
    <w:p>
      <w:pPr>
        <w:spacing w:after="20"/>
      </w:pPr>
      <w:r>
        <w:rPr>
          <w:b/>
          <w:color w:val="6B7280"/>
          <w:sz w:val="17"/>
        </w:rPr>
        <w:t xml:space="preserve">EFFECTIVE_DATE: </w:t>
      </w:r>
      <w:r>
        <w:rPr>
          <w:color w:val="6B7280"/>
          <w:sz w:val="17"/>
        </w:rPr>
        <w:t>2025-04-01</w:t>
      </w:r>
    </w:p>
    <w:p>
      <w:r>
        <w:rPr>
          <w:color w:val="CCCCCC"/>
          <w:sz w:val="16"/>
        </w:rPr>
        <w:t>_______________________________________________________________________________________________</w:t>
      </w:r>
    </w:p>
    <w:p>
      <w:pPr>
        <w:pStyle w:val="Title"/>
      </w:pPr>
      <w:r>
        <w:rPr>
          <w:color w:val="1F4E79"/>
          <w:sz w:val="44"/>
        </w:rPr>
        <w:t>Facilities Access Policy</w:t>
      </w:r>
    </w:p>
    <w:p>
      <w:pPr>
        <w:pStyle w:val="Heading1"/>
      </w:pPr>
      <w:r>
        <w:rPr>
          <w:color w:val="1F4E79"/>
          <w:sz w:val="28"/>
        </w:rPr>
        <w:t>1. Badge Access</w:t>
      </w:r>
    </w:p>
    <w:p>
      <w:pPr>
        <w:spacing w:after="160"/>
      </w:pPr>
      <w:r>
        <w:rPr>
          <w:color w:val="222222"/>
          <w:sz w:val="21"/>
        </w:rPr>
        <w:t>All employees and long-term contractors receive a building badge upon Day 1 onboarding, provisioned by Facilities in coordination with IT. Badges grant access to general office areas during standard hours (7 AM - 8 PM, Monday-Saturday).</w:t>
      </w:r>
    </w:p>
    <w:p>
      <w:pPr>
        <w:pStyle w:val="Heading1"/>
      </w:pPr>
      <w:r>
        <w:rPr>
          <w:color w:val="1F4E79"/>
          <w:sz w:val="28"/>
        </w:rPr>
        <w:t>2. After-Hours Access</w:t>
      </w:r>
    </w:p>
    <w:p>
      <w:pPr>
        <w:spacing w:after="160"/>
      </w:pPr>
      <w:r>
        <w:rPr>
          <w:color w:val="222222"/>
          <w:sz w:val="21"/>
        </w:rPr>
        <w:t>After-hours or weekend access requires manager approval submitted via the Facilities Portal at least 24 hours in advance.</w:t>
      </w:r>
    </w:p>
    <w:p>
      <w:pPr>
        <w:pStyle w:val="Heading1"/>
      </w:pPr>
      <w:r>
        <w:rPr>
          <w:color w:val="1F4E79"/>
          <w:sz w:val="28"/>
        </w:rPr>
        <w:t>3. Visitor Policy</w:t>
      </w:r>
    </w:p>
    <w:p>
      <w:pPr>
        <w:spacing w:after="160"/>
      </w:pPr>
      <w:r>
        <w:rPr>
          <w:color w:val="222222"/>
          <w:sz w:val="21"/>
        </w:rPr>
        <w:t>All visitors must be pre-registered by their host at least 2 hours before arrival, sign in at reception, and be escorted at all times in non-public areas.</w:t>
      </w:r>
    </w:p>
    <w:p>
      <w:pPr>
        <w:pStyle w:val="Heading1"/>
      </w:pPr>
      <w:r>
        <w:rPr>
          <w:color w:val="1F4E79"/>
          <w:sz w:val="28"/>
        </w:rPr>
        <w:t>4. Restricted Areas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824"/>
        <w:gridCol w:w="4824"/>
      </w:tblGrid>
      <w:tr>
        <w:tc>
          <w:tcPr>
            <w:tcW w:type="dxa" w:w="4824"/>
            <w:shd w:fill="1B3A5C"/>
          </w:tcPr>
          <w:p>
            <w:r/>
            <w:r>
              <w:rPr>
                <w:b/>
                <w:color w:val="FFFFFF"/>
                <w:sz w:val="18"/>
              </w:rPr>
              <w:t>Area</w:t>
            </w:r>
          </w:p>
        </w:tc>
        <w:tc>
          <w:tcPr>
            <w:tcW w:type="dxa" w:w="4824"/>
            <w:shd w:fill="1B3A5C"/>
          </w:tcPr>
          <w:p>
            <w:r/>
            <w:r>
              <w:rPr>
                <w:b/>
                <w:color w:val="FFFFFF"/>
                <w:sz w:val="18"/>
              </w:rPr>
              <w:t>Access Requirement</w:t>
            </w:r>
          </w:p>
        </w:tc>
      </w:tr>
      <w:tr>
        <w:tc>
          <w:tcPr>
            <w:tcW w:type="dxa" w:w="4824"/>
          </w:tcPr>
          <w:p>
            <w:r/>
            <w:r>
              <w:rPr>
                <w:color w:val="222222"/>
                <w:sz w:val="18"/>
              </w:rPr>
              <w:t>General office areas</w:t>
            </w:r>
          </w:p>
        </w:tc>
        <w:tc>
          <w:tcPr>
            <w:tcW w:type="dxa" w:w="4824"/>
          </w:tcPr>
          <w:p>
            <w:r/>
            <w:r>
              <w:rPr>
                <w:color w:val="222222"/>
                <w:sz w:val="18"/>
              </w:rPr>
              <w:t>Standard badge (Day 1 onboarding)</w:t>
            </w:r>
          </w:p>
        </w:tc>
      </w:tr>
      <w:tr>
        <w:tc>
          <w:tcPr>
            <w:tcW w:type="dxa" w:w="4824"/>
            <w:shd w:fill="F4F7FA"/>
          </w:tcPr>
          <w:p>
            <w:r/>
            <w:r>
              <w:rPr>
                <w:color w:val="222222"/>
                <w:sz w:val="18"/>
              </w:rPr>
              <w:t>Server rooms</w:t>
            </w:r>
          </w:p>
        </w:tc>
        <w:tc>
          <w:tcPr>
            <w:tcW w:type="dxa" w:w="4824"/>
            <w:shd w:fill="F4F7FA"/>
          </w:tcPr>
          <w:p>
            <w:r/>
            <w:r>
              <w:rPr>
                <w:color w:val="222222"/>
                <w:sz w:val="18"/>
              </w:rPr>
              <w:t>Additional permission + Department Head approval, logged for audit</w:t>
            </w:r>
          </w:p>
        </w:tc>
      </w:tr>
      <w:tr>
        <w:tc>
          <w:tcPr>
            <w:tcW w:type="dxa" w:w="4824"/>
          </w:tcPr>
          <w:p>
            <w:r/>
            <w:r>
              <w:rPr>
                <w:color w:val="222222"/>
                <w:sz w:val="18"/>
              </w:rPr>
              <w:t>Hardware labs</w:t>
            </w:r>
          </w:p>
        </w:tc>
        <w:tc>
          <w:tcPr>
            <w:tcW w:type="dxa" w:w="4824"/>
          </w:tcPr>
          <w:p>
            <w:r/>
            <w:r>
              <w:rPr>
                <w:color w:val="222222"/>
                <w:sz w:val="18"/>
              </w:rPr>
              <w:t>Additional permission + Department Head approval, logged for audit</w:t>
            </w:r>
          </w:p>
        </w:tc>
      </w:tr>
      <w:tr>
        <w:tc>
          <w:tcPr>
            <w:tcW w:type="dxa" w:w="4824"/>
            <w:shd w:fill="F4F7FA"/>
          </w:tcPr>
          <w:p>
            <w:r/>
            <w:r>
              <w:rPr>
                <w:color w:val="222222"/>
                <w:sz w:val="18"/>
              </w:rPr>
              <w:t>Executive floors</w:t>
            </w:r>
          </w:p>
        </w:tc>
        <w:tc>
          <w:tcPr>
            <w:tcW w:type="dxa" w:w="4824"/>
            <w:shd w:fill="F4F7FA"/>
          </w:tcPr>
          <w:p>
            <w:r/>
            <w:r>
              <w:rPr>
                <w:color w:val="222222"/>
                <w:sz w:val="18"/>
              </w:rPr>
              <w:t>Additional permission + Department Head approval, logged for audit</w:t>
            </w:r>
          </w:p>
        </w:tc>
      </w:tr>
    </w:tbl>
    <w:p/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486400" cy="3872753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evac_map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3872753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  <w:color w:val="6B7280"/>
          <w:sz w:val="17"/>
        </w:rPr>
        <w:t>Figure 1: Example floor evacuation and access zone map (illustrative)</w:t>
      </w:r>
    </w:p>
    <w:p>
      <w:pPr>
        <w:pStyle w:val="Heading1"/>
      </w:pPr>
      <w:r>
        <w:rPr>
          <w:color w:val="1F4E79"/>
          <w:sz w:val="28"/>
        </w:rPr>
        <w:t>5. Lost Badge</w:t>
      </w:r>
    </w:p>
    <w:p>
      <w:pPr>
        <w:spacing w:after="160"/>
      </w:pPr>
      <w:r>
        <w:rPr>
          <w:color w:val="222222"/>
          <w:sz w:val="21"/>
        </w:rPr>
        <w:t>Lost or stolen badges must be reported to Facilities and IT Security within 1 hour of discovery; the badge is deactivated immediately.</w:t>
      </w:r>
    </w:p>
    <w:p>
      <w:pPr>
        <w:pStyle w:val="Heading1"/>
      </w:pPr>
      <w:r>
        <w:rPr>
          <w:color w:val="1F4E79"/>
          <w:sz w:val="28"/>
        </w:rPr>
        <w:t>6. Frequently Asked Questions</w:t>
      </w:r>
    </w:p>
    <w:p>
      <w:pPr>
        <w:pStyle w:val="Heading2"/>
      </w:pPr>
      <w:r>
        <w:rPr>
          <w:color w:val="2E5C8A"/>
          <w:sz w:val="24"/>
        </w:rPr>
        <w:t>What happens if I forget my badge at home?</w:t>
      </w:r>
    </w:p>
    <w:p>
      <w:pPr>
        <w:spacing w:after="160"/>
      </w:pPr>
      <w:r>
        <w:rPr>
          <w:color w:val="222222"/>
          <w:sz w:val="21"/>
        </w:rPr>
        <w:t>Reception can issue a temporary day pass after verifying your identity; report to Facilities to have a permanent replacement badge issued if the original is not located.</w:t>
      </w:r>
    </w:p>
    <w:p>
      <w:pPr>
        <w:pStyle w:val="Heading2"/>
      </w:pPr>
      <w:r>
        <w:rPr>
          <w:color w:val="2E5C8A"/>
          <w:sz w:val="24"/>
        </w:rPr>
        <w:t>Can visitors access restricted areas like server rooms?</w:t>
      </w:r>
    </w:p>
    <w:p>
      <w:pPr>
        <w:spacing w:after="160"/>
      </w:pPr>
      <w:r>
        <w:rPr>
          <w:color w:val="222222"/>
          <w:sz w:val="21"/>
        </w:rPr>
        <w:t>No -- restricted areas require Department Head approval for any access, including visitor access, and all such access is logged for audit purposes regardless of visitor or employee status.</w:t>
      </w:r>
    </w:p>
    <w:p>
      <w:pPr>
        <w:pStyle w:val="Heading1"/>
      </w:pPr>
      <w:r>
        <w:rPr>
          <w:color w:val="1F4E79"/>
          <w:sz w:val="28"/>
        </w:rPr>
        <w:t>7. Contact</w:t>
      </w:r>
    </w:p>
    <w:p>
      <w:pPr>
        <w:spacing w:after="160"/>
      </w:pPr>
      <w:r>
        <w:rPr>
          <w:color w:val="222222"/>
          <w:sz w:val="21"/>
        </w:rPr>
        <w:t>facilities@company.com</w:t>
      </w:r>
    </w:p>
    <w:sectPr w:rsidR="00FC693F" w:rsidRPr="0006063C" w:rsidSect="00034616">
      <w:footerReference w:type="default" r:id="rId11"/>
      <w:pgSz w:w="12240" w:h="15840"/>
      <w:pgMar w:top="1152" w:right="1296" w:bottom="1152" w:left="1296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>
      <w:rPr>
        <w:color w:val="6B7280"/>
        <w:sz w:val="15"/>
      </w:rPr>
      <w:t>Northwind Analytics, Inc. — Internal Use Only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image" Target="media/image2.png"/><Relationship Id="rId11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