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Vendor Management Standard Operating Procedure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Operations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2025-11-01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Vendor Management Standard Operating Procedure</w:t>
      </w:r>
    </w:p>
    <w:p>
      <w:pPr>
        <w:pStyle w:val="Heading1"/>
      </w:pPr>
      <w:r>
        <w:rPr>
          <w:color w:val="1F4E79"/>
          <w:sz w:val="28"/>
        </w:rPr>
        <w:t>1. Vendor Tiering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Tier 1 (Critical)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Vendors whose failure would halt business operations (e.g., cloud infrastructure, payroll processor)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Quarterly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Tier 2 (Important)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Significant but not business-critical (e.g., travel booking, catering)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Semi-annually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Tier 3 (Standard)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Low-impact vendors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Annually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or_lifecyc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Vendor lifecycle from registration through offboarding</w:t>
      </w:r>
    </w:p>
    <w:p>
      <w:pPr>
        <w:pStyle w:val="Heading1"/>
      </w:pPr>
      <w:r>
        <w:rPr>
          <w:color w:val="1F4E79"/>
          <w:sz w:val="28"/>
        </w:rPr>
        <w:t>2. Vendor Review Checklist</w:t>
      </w:r>
    </w:p>
    <w:p>
      <w:pPr>
        <w:spacing w:after="160"/>
      </w:pPr>
      <w:r>
        <w:rPr>
          <w:color w:val="222222"/>
          <w:sz w:val="21"/>
        </w:rPr>
        <w:t>Each review covers: service performance against SLA, security/compliance posture (for Tier 1/2), contract renewal terms, and cost trend.</w:t>
      </w:r>
    </w:p>
    <w:p>
      <w:pPr>
        <w:pStyle w:val="Heading1"/>
      </w:pPr>
      <w:r>
        <w:rPr>
          <w:color w:val="1F4E79"/>
          <w:sz w:val="28"/>
        </w:rPr>
        <w:t>3. Offboarding</w:t>
      </w:r>
    </w:p>
    <w:p>
      <w:pPr>
        <w:spacing w:after="160"/>
      </w:pPr>
      <w:r>
        <w:rPr>
          <w:color w:val="222222"/>
          <w:sz w:val="21"/>
        </w:rPr>
        <w:t>When a vendor relationship ends, Operations must confirm data deletion/return within 30 days and revoke all associated system access within 5 business days of contract end date.</w:t>
      </w:r>
    </w:p>
    <w:p>
      <w:pPr>
        <w:pStyle w:val="Heading1"/>
      </w:pPr>
      <w:r>
        <w:rPr>
          <w:color w:val="1F4E79"/>
          <w:sz w:val="28"/>
        </w:rPr>
        <w:t>4. Escalation</w:t>
      </w:r>
    </w:p>
    <w:p>
      <w:pPr>
        <w:spacing w:after="160"/>
      </w:pPr>
      <w:r>
        <w:rPr>
          <w:color w:val="222222"/>
          <w:sz w:val="21"/>
        </w:rPr>
        <w:t>Vendor service failures affecting Tier 1 vendors must be escalated to the Operations Director within 2 hours of detection.</w:t>
      </w:r>
    </w:p>
    <w:p>
      <w:pPr>
        <w:pStyle w:val="Heading1"/>
      </w:pPr>
      <w:r>
        <w:rPr>
          <w:color w:val="1F4E79"/>
          <w:sz w:val="28"/>
        </w:rPr>
        <w:t>5. Frequently Asked Questions</w:t>
      </w:r>
    </w:p>
    <w:p>
      <w:pPr>
        <w:pStyle w:val="Heading2"/>
      </w:pPr>
      <w:r>
        <w:rPr>
          <w:color w:val="2E5C8A"/>
          <w:sz w:val="24"/>
        </w:rPr>
        <w:t>How is a vendor's tier determined at onboarding?</w:t>
      </w:r>
    </w:p>
    <w:p>
      <w:pPr>
        <w:spacing w:after="160"/>
      </w:pPr>
      <w:r>
        <w:rPr>
          <w:color w:val="222222"/>
          <w:sz w:val="21"/>
        </w:rPr>
        <w:t>Operations assesses business impact of vendor failure during onboarding -- vendors supporting critical infrastructure or payroll-adjacent functions default to Tier 1, with the assignment reviewed at each subsequent review cycle.</w:t>
      </w:r>
    </w:p>
    <w:p>
      <w:pPr>
        <w:pStyle w:val="Heading2"/>
      </w:pPr>
      <w:r>
        <w:rPr>
          <w:color w:val="2E5C8A"/>
          <w:sz w:val="24"/>
        </w:rPr>
        <w:t>Can a vendor's tier change over time?</w:t>
      </w:r>
    </w:p>
    <w:p>
      <w:pPr>
        <w:spacing w:after="160"/>
      </w:pPr>
      <w:r>
        <w:rPr>
          <w:color w:val="222222"/>
          <w:sz w:val="21"/>
        </w:rPr>
        <w:t>Yes -- tier reassessment happens as part of the standard review cycle, or immediately if the scope of the vendor relationship changes materially.</w:t>
      </w:r>
    </w:p>
    <w:p>
      <w:pPr>
        <w:pStyle w:val="Heading1"/>
      </w:pPr>
      <w:r>
        <w:rPr>
          <w:color w:val="1F4E79"/>
          <w:sz w:val="28"/>
        </w:rPr>
        <w:t>6. Contact</w:t>
      </w:r>
    </w:p>
    <w:p>
      <w:pPr>
        <w:spacing w:after="160"/>
      </w:pPr>
      <w:r>
        <w:rPr>
          <w:color w:val="222222"/>
          <w:sz w:val="21"/>
        </w:rPr>
        <w:t>vendor-management@company.com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