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Post-Implementation Review — Meridian Logistics ERP Rollout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IT Services Delivery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Confidential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2026-05-20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Post-Implementation Review — Meridian Logistics ERP Rollout</w:t>
      </w:r>
    </w:p>
    <w:p>
      <w:pPr>
        <w:spacing w:after="160"/>
      </w:pPr>
      <w:r>
        <w:rPr>
          <w:color w:val="222222"/>
          <w:sz w:val="21"/>
        </w:rPr>
        <w:t>This Post-Implementation Review (PIR) covers the ERP rollout delivered for client Meridian Logistics (a sample client engagement), a 14-week engagement completed April 2026 by the IT Services delivery team.</w:t>
      </w:r>
    </w:p>
    <w:p>
      <w:pPr>
        <w:pStyle w:val="Heading1"/>
      </w:pPr>
      <w:r>
        <w:rPr>
          <w:color w:val="1F4E79"/>
          <w:sz w:val="28"/>
        </w:rP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Planned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Duration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12 weeks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14 weeks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Budget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$285,000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$312,000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Go-live defects (Sev 1/2)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&lt; 5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8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User adoption at 30 days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80%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74%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2. What Went Well</w:t>
      </w:r>
    </w:p>
    <w:p>
      <w:pPr>
        <w:pStyle w:val="ListBullet"/>
      </w:pPr>
      <w:r>
        <w:rPr>
          <w:color w:val="222222"/>
          <w:sz w:val="21"/>
        </w:rPr>
        <w:t>Core finance and procurement modules went live on schedule with no critical defects.</w:t>
      </w:r>
    </w:p>
    <w:p>
      <w:pPr>
        <w:pStyle w:val="ListBullet"/>
      </w:pPr>
      <w:r>
        <w:rPr>
          <w:color w:val="222222"/>
          <w:sz w:val="21"/>
        </w:rPr>
        <w:t>Client stakeholder engagement was strong throughout, with weekly steering committee attendance above 90%.</w:t>
      </w:r>
    </w:p>
    <w:p>
      <w:pPr>
        <w:pStyle w:val="ListBullet"/>
      </w:pPr>
      <w:r>
        <w:rPr>
          <w:color w:val="222222"/>
          <w:sz w:val="21"/>
        </w:rPr>
        <w:t>The data migration dry-run process (introduced mid-project) caught several data quality issues before go-live that would otherwise have caused production defects.</w:t>
      </w:r>
    </w:p>
    <w:p>
      <w:pPr>
        <w:pStyle w:val="Heading1"/>
      </w:pPr>
      <w:r>
        <w:rPr>
          <w:color w:val="1F4E79"/>
          <w:sz w:val="28"/>
        </w:rPr>
        <w:t>3. What Didn't Go Well</w:t>
      </w:r>
    </w:p>
    <w:p>
      <w:pPr>
        <w:pStyle w:val="ListBullet"/>
      </w:pPr>
      <w:r>
        <w:rPr>
          <w:color w:val="222222"/>
          <w:sz w:val="21"/>
        </w:rPr>
        <w:t>Scope for the inventory module expanded significantly after contract signature, driving the 2-week schedule slip and $27,000 budget overrun.</w:t>
      </w:r>
    </w:p>
    <w:p>
      <w:pPr>
        <w:pStyle w:val="ListBullet"/>
      </w:pPr>
      <w:r>
        <w:rPr>
          <w:color w:val="222222"/>
          <w:sz w:val="21"/>
        </w:rPr>
        <w:t>User adoption at 30 days (74%) fell short of the 80% target, concentrated in the warehouse operations user group, who received less hands-on training time than office-based users.</w:t>
      </w:r>
    </w:p>
    <w:p>
      <w:pPr>
        <w:pStyle w:val="ListBullet"/>
      </w:pPr>
      <w:r>
        <w:rPr>
          <w:color w:val="222222"/>
          <w:sz w:val="21"/>
        </w:rPr>
        <w:t>Two Sev-1 defects post-go-live were traced to environment configuration differences between UAT and Production that were not caught during testing.</w:t>
      </w:r>
    </w:p>
    <w:p>
      <w:pPr>
        <w:pStyle w:val="Heading1"/>
      </w:pPr>
      <w:r>
        <w:rPr>
          <w:color w:val="1F4E79"/>
          <w:sz w:val="28"/>
        </w:rPr>
        <w:t>4. Root Causes</w:t>
      </w:r>
    </w:p>
    <w:p>
      <w:pPr>
        <w:spacing w:after="160"/>
      </w:pPr>
      <w:r>
        <w:rPr>
          <w:color w:val="222222"/>
          <w:sz w:val="21"/>
        </w:rPr>
        <w:t>The scope expansion stemmed from an incomplete requirements workshop for the inventory module during the sales/pre-sales phase, which did not surface warehouse-specific workflow requirements until deep into delivery. The UAT/Production environment mismatch was traced to a manual environment setup process rather than automated provisioning.</w:t>
      </w:r>
    </w:p>
    <w:p>
      <w:pPr>
        <w:pStyle w:val="Heading1"/>
      </w:pPr>
      <w:r>
        <w:rPr>
          <w:color w:val="1F4E79"/>
          <w:sz w:val="28"/>
        </w:rPr>
        <w:t>5. Recommendations</w:t>
      </w:r>
    </w:p>
    <w:p>
      <w:pPr>
        <w:pStyle w:val="ListBullet"/>
      </w:pPr>
      <w:r>
        <w:rPr>
          <w:color w:val="222222"/>
          <w:sz w:val="21"/>
        </w:rPr>
        <w:t>Delivery to require a dedicated requirements workshop with warehouse/operations stakeholders for any future engagement involving inventory or warehouse modules, before SOW finalization.</w:t>
      </w:r>
    </w:p>
    <w:p>
      <w:pPr>
        <w:pStyle w:val="ListBullet"/>
      </w:pPr>
      <w:r>
        <w:rPr>
          <w:color w:val="222222"/>
          <w:sz w:val="21"/>
        </w:rPr>
        <w:t>Adopt automated environment provisioning (infrastructure-as-code) for UAT/Production parity on all engagements above $200K, starting Q3 2026.</w:t>
      </w:r>
    </w:p>
    <w:p>
      <w:pPr>
        <w:pStyle w:val="ListBullet"/>
      </w:pPr>
      <w:r>
        <w:rPr>
          <w:color w:val="222222"/>
          <w:sz w:val="21"/>
        </w:rPr>
        <w:t>Extend hands-on training allocation for non-office-based user groups by 50% on similar future engagements.</w:t>
      </w:r>
    </w:p>
    <w:p>
      <w:pPr>
        <w:pStyle w:val="Heading1"/>
      </w:pPr>
      <w:r>
        <w:rPr>
          <w:color w:val="1F4E79"/>
          <w:sz w:val="28"/>
        </w:rPr>
        <w:t>6. Sign-off</w:t>
      </w:r>
    </w:p>
    <w:p>
      <w:pPr>
        <w:spacing w:after="160"/>
      </w:pPr>
      <w:r>
        <w:rPr>
          <w:color w:val="222222"/>
          <w:sz w:val="21"/>
        </w:rPr>
        <w:t>Reviewed and approved by the Delivery Director and Client Success Manager. Action items assigned above are tracked in the Delivery Excellence backlog with a target close date of end of Q3 2026.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