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480"/>
        <w:gridCol w:w="2880"/>
      </w:tblGrid>
      <w:tr>
        <w:tc>
          <w:tcPr>
            <w:tcW w:type="dxa" w:w="4824"/>
          </w:tcPr>
          <w:p>
            <w:r/>
          </w:p>
        </w:tc>
        <w:tc>
          <w:tcPr>
            <w:tcW w:type="dxa" w:w="4824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554480" cy="30980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3098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spacing w:after="20"/>
      </w:pPr>
      <w:r>
        <w:rPr>
          <w:b/>
          <w:color w:val="6B7280"/>
          <w:sz w:val="17"/>
        </w:rPr>
        <w:t xml:space="preserve">TITLE: </w:t>
      </w:r>
      <w:r>
        <w:rPr>
          <w:color w:val="6B7280"/>
          <w:sz w:val="17"/>
        </w:rPr>
        <w:t>Technical Architecture Document — Nova CRM v2</w:t>
      </w:r>
    </w:p>
    <w:p>
      <w:pPr>
        <w:spacing w:after="20"/>
      </w:pPr>
      <w:r>
        <w:rPr>
          <w:b/>
          <w:color w:val="6B7280"/>
          <w:sz w:val="17"/>
        </w:rPr>
        <w:t xml:space="preserve">ORGANIZATION: </w:t>
      </w:r>
      <w:r>
        <w:rPr>
          <w:color w:val="6B7280"/>
          <w:sz w:val="17"/>
        </w:rPr>
        <w:t>Northwind Analytics, Inc.</w:t>
      </w:r>
    </w:p>
    <w:p>
      <w:pPr>
        <w:spacing w:after="20"/>
      </w:pPr>
      <w:r>
        <w:rPr>
          <w:b/>
          <w:color w:val="6B7280"/>
          <w:sz w:val="17"/>
        </w:rPr>
        <w:t xml:space="preserve">DEPARTMENT: </w:t>
      </w:r>
      <w:r>
        <w:rPr>
          <w:color w:val="6B7280"/>
          <w:sz w:val="17"/>
        </w:rPr>
        <w:t>Engineering</w:t>
      </w:r>
    </w:p>
    <w:p>
      <w:pPr>
        <w:spacing w:after="20"/>
      </w:pPr>
      <w:r>
        <w:rPr>
          <w:b/>
          <w:color w:val="6B7280"/>
          <w:sz w:val="17"/>
        </w:rPr>
        <w:t xml:space="preserve">SENSITIVITY: </w:t>
      </w:r>
      <w:r>
        <w:rPr>
          <w:color w:val="6B7280"/>
          <w:sz w:val="17"/>
        </w:rPr>
        <w:t>Confidential</w:t>
      </w:r>
    </w:p>
    <w:p>
      <w:pPr>
        <w:spacing w:after="20"/>
      </w:pPr>
      <w:r>
        <w:rPr>
          <w:b/>
          <w:color w:val="6B7280"/>
          <w:sz w:val="17"/>
        </w:rPr>
        <w:t xml:space="preserve">VERSION: </w:t>
      </w:r>
      <w:r>
        <w:rPr>
          <w:color w:val="6B7280"/>
          <w:sz w:val="17"/>
        </w:rPr>
        <w:t>2.1</w:t>
      </w:r>
    </w:p>
    <w:p>
      <w:pPr>
        <w:spacing w:after="20"/>
      </w:pPr>
      <w:r>
        <w:rPr>
          <w:b/>
          <w:color w:val="6B7280"/>
          <w:sz w:val="17"/>
        </w:rPr>
        <w:t xml:space="preserve">EFFECTIVE_DATE: </w:t>
      </w:r>
      <w:r>
        <w:rPr>
          <w:color w:val="6B7280"/>
          <w:sz w:val="17"/>
        </w:rPr>
        <w:t>2026-04-01</w:t>
      </w:r>
    </w:p>
    <w:p>
      <w:r>
        <w:rPr>
          <w:color w:val="CCCCCC"/>
          <w:sz w:val="16"/>
        </w:rPr>
        <w:t>_______________________________________________________________________________________________</w:t>
      </w:r>
    </w:p>
    <w:p>
      <w:pPr>
        <w:pStyle w:val="Title"/>
      </w:pPr>
      <w:r>
        <w:rPr>
          <w:color w:val="1F4E79"/>
          <w:sz w:val="44"/>
        </w:rPr>
        <w:t>Technical Architecture Document — Nova CRM v2</w:t>
      </w:r>
    </w:p>
    <w:p>
      <w:pPr>
        <w:spacing w:after="160"/>
      </w:pPr>
      <w:r>
        <w:rPr>
          <w:color w:val="222222"/>
          <w:sz w:val="21"/>
        </w:rPr>
        <w:t>This document describes the technical architecture of Nova CRM v2, the internal customer relationship management platform used by Sales, Customer Success, and IT Services delivery teams.</w:t>
      </w:r>
    </w:p>
    <w:p>
      <w:pPr>
        <w:pStyle w:val="Heading1"/>
      </w:pPr>
      <w:r>
        <w:rPr>
          <w:color w:val="1F4E79"/>
          <w:sz w:val="28"/>
        </w:rPr>
        <w:t>1. Overview</w:t>
      </w:r>
    </w:p>
    <w:p>
      <w:pPr>
        <w:spacing w:after="160"/>
      </w:pPr>
      <w:r>
        <w:rPr>
          <w:color w:val="222222"/>
          <w:sz w:val="21"/>
        </w:rPr>
        <w:t>Nova CRM v2 is a cloud-hosted, multi-tenant-internal application replacing the legacy on-premise Nova CRM v1. It supports lead-to-cash workflows for the IT Services division and order tracking integration for Manufacturing key accounts.</w:t>
      </w:r>
    </w:p>
    <w:p>
      <w:pPr>
        <w:pStyle w:val="Heading1"/>
      </w:pPr>
      <w:r>
        <w:rPr>
          <w:color w:val="1F4E79"/>
          <w:sz w:val="28"/>
        </w:rPr>
        <w:t>2. High-Level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B3A5C"/>
          </w:tcPr>
          <w:p>
            <w:r/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216"/>
            <w:shd w:fill="1B3A5C"/>
          </w:tcPr>
          <w:p>
            <w:r/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3216"/>
            <w:shd w:fill="1B3A5C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color w:val="222222"/>
                <w:sz w:val="18"/>
              </w:rPr>
              <w:t>Web Frontend</w:t>
            </w:r>
          </w:p>
        </w:tc>
        <w:tc>
          <w:tcPr>
            <w:tcW w:type="dxa" w:w="3216"/>
          </w:tcPr>
          <w:p>
            <w:r/>
            <w:r>
              <w:rPr>
                <w:color w:val="222222"/>
                <w:sz w:val="18"/>
              </w:rPr>
              <w:t>React, TypeScript</w:t>
            </w:r>
          </w:p>
        </w:tc>
        <w:tc>
          <w:tcPr>
            <w:tcW w:type="dxa" w:w="3216"/>
          </w:tcPr>
          <w:p>
            <w:r/>
            <w:r>
              <w:rPr>
                <w:color w:val="222222"/>
                <w:sz w:val="18"/>
              </w:rPr>
              <w:t>Sales and CS user interface</w:t>
            </w:r>
          </w:p>
        </w:tc>
      </w:tr>
      <w:tr>
        <w:tc>
          <w:tcPr>
            <w:tcW w:type="dxa" w:w="3216"/>
            <w:shd w:fill="F4F7FA"/>
          </w:tcPr>
          <w:p>
            <w:r/>
            <w:r>
              <w:rPr>
                <w:color w:val="222222"/>
                <w:sz w:val="18"/>
              </w:rPr>
              <w:t>API Gateway</w:t>
            </w:r>
          </w:p>
        </w:tc>
        <w:tc>
          <w:tcPr>
            <w:tcW w:type="dxa" w:w="3216"/>
            <w:shd w:fill="F4F7FA"/>
          </w:tcPr>
          <w:p>
            <w:r/>
            <w:r>
              <w:rPr>
                <w:color w:val="222222"/>
                <w:sz w:val="18"/>
              </w:rPr>
              <w:t>Kong</w:t>
            </w:r>
          </w:p>
        </w:tc>
        <w:tc>
          <w:tcPr>
            <w:tcW w:type="dxa" w:w="3216"/>
            <w:shd w:fill="F4F7FA"/>
          </w:tcPr>
          <w:p>
            <w:r/>
            <w:r>
              <w:rPr>
                <w:color w:val="222222"/>
                <w:sz w:val="18"/>
              </w:rPr>
              <w:t>Request routing, rate limiting, auth</w:t>
            </w:r>
          </w:p>
        </w:tc>
      </w:tr>
      <w:tr>
        <w:tc>
          <w:tcPr>
            <w:tcW w:type="dxa" w:w="3216"/>
          </w:tcPr>
          <w:p>
            <w:r/>
            <w:r>
              <w:rPr>
                <w:color w:val="222222"/>
                <w:sz w:val="18"/>
              </w:rPr>
              <w:t>Core Services</w:t>
            </w:r>
          </w:p>
        </w:tc>
        <w:tc>
          <w:tcPr>
            <w:tcW w:type="dxa" w:w="3216"/>
          </w:tcPr>
          <w:p>
            <w:r/>
            <w:r>
              <w:rPr>
                <w:color w:val="222222"/>
                <w:sz w:val="18"/>
              </w:rPr>
              <w:t>Java (Spring Boot), microservices</w:t>
            </w:r>
          </w:p>
        </w:tc>
        <w:tc>
          <w:tcPr>
            <w:tcW w:type="dxa" w:w="3216"/>
          </w:tcPr>
          <w:p>
            <w:r/>
            <w:r>
              <w:rPr>
                <w:color w:val="222222"/>
                <w:sz w:val="18"/>
              </w:rPr>
              <w:t>Accounts, opportunities, contacts</w:t>
            </w:r>
          </w:p>
        </w:tc>
      </w:tr>
      <w:tr>
        <w:tc>
          <w:tcPr>
            <w:tcW w:type="dxa" w:w="3216"/>
            <w:shd w:fill="F4F7FA"/>
          </w:tcPr>
          <w:p>
            <w:r/>
            <w:r>
              <w:rPr>
                <w:color w:val="222222"/>
                <w:sz w:val="18"/>
              </w:rPr>
              <w:t>Reporting Service</w:t>
            </w:r>
          </w:p>
        </w:tc>
        <w:tc>
          <w:tcPr>
            <w:tcW w:type="dxa" w:w="3216"/>
            <w:shd w:fill="F4F7FA"/>
          </w:tcPr>
          <w:p>
            <w:r/>
            <w:r>
              <w:rPr>
                <w:color w:val="222222"/>
                <w:sz w:val="18"/>
              </w:rPr>
              <w:t>Python, Apache Superset</w:t>
            </w:r>
          </w:p>
        </w:tc>
        <w:tc>
          <w:tcPr>
            <w:tcW w:type="dxa" w:w="3216"/>
            <w:shd w:fill="F4F7FA"/>
          </w:tcPr>
          <w:p>
            <w:r/>
            <w:r>
              <w:rPr>
                <w:color w:val="222222"/>
                <w:sz w:val="18"/>
              </w:rPr>
              <w:t>Dashboards and pipeline reporting</w:t>
            </w:r>
          </w:p>
        </w:tc>
      </w:tr>
      <w:tr>
        <w:tc>
          <w:tcPr>
            <w:tcW w:type="dxa" w:w="3216"/>
          </w:tcPr>
          <w:p>
            <w:r/>
            <w:r>
              <w:rPr>
                <w:color w:val="222222"/>
                <w:sz w:val="18"/>
              </w:rPr>
              <w:t>Primary Database</w:t>
            </w:r>
          </w:p>
        </w:tc>
        <w:tc>
          <w:tcPr>
            <w:tcW w:type="dxa" w:w="3216"/>
          </w:tcPr>
          <w:p>
            <w:r/>
            <w:r>
              <w:rPr>
                <w:color w:val="222222"/>
                <w:sz w:val="18"/>
              </w:rPr>
              <w:t>PostgreSQL (managed)</w:t>
            </w:r>
          </w:p>
        </w:tc>
        <w:tc>
          <w:tcPr>
            <w:tcW w:type="dxa" w:w="3216"/>
          </w:tcPr>
          <w:p>
            <w:r/>
            <w:r>
              <w:rPr>
                <w:color w:val="222222"/>
                <w:sz w:val="18"/>
              </w:rPr>
              <w:t>Transactional data store</w:t>
            </w:r>
          </w:p>
        </w:tc>
      </w:tr>
      <w:tr>
        <w:tc>
          <w:tcPr>
            <w:tcW w:type="dxa" w:w="3216"/>
            <w:shd w:fill="F4F7FA"/>
          </w:tcPr>
          <w:p>
            <w:r/>
            <w:r>
              <w:rPr>
                <w:color w:val="222222"/>
                <w:sz w:val="18"/>
              </w:rPr>
              <w:t>Search Index</w:t>
            </w:r>
          </w:p>
        </w:tc>
        <w:tc>
          <w:tcPr>
            <w:tcW w:type="dxa" w:w="3216"/>
            <w:shd w:fill="F4F7FA"/>
          </w:tcPr>
          <w:p>
            <w:r/>
            <w:r>
              <w:rPr>
                <w:color w:val="222222"/>
                <w:sz w:val="18"/>
              </w:rPr>
              <w:t>Elasticsearch</w:t>
            </w:r>
          </w:p>
        </w:tc>
        <w:tc>
          <w:tcPr>
            <w:tcW w:type="dxa" w:w="3216"/>
            <w:shd w:fill="F4F7FA"/>
          </w:tcPr>
          <w:p>
            <w:r/>
            <w:r>
              <w:rPr>
                <w:color w:val="222222"/>
                <w:sz w:val="18"/>
              </w:rPr>
              <w:t>Account/contact search</w:t>
            </w:r>
          </w:p>
        </w:tc>
      </w:tr>
      <w:tr>
        <w:tc>
          <w:tcPr>
            <w:tcW w:type="dxa" w:w="3216"/>
          </w:tcPr>
          <w:p>
            <w:r/>
            <w:r>
              <w:rPr>
                <w:color w:val="222222"/>
                <w:sz w:val="18"/>
              </w:rPr>
              <w:t>Integration Bus</w:t>
            </w:r>
          </w:p>
        </w:tc>
        <w:tc>
          <w:tcPr>
            <w:tcW w:type="dxa" w:w="3216"/>
          </w:tcPr>
          <w:p>
            <w:r/>
            <w:r>
              <w:rPr>
                <w:color w:val="222222"/>
                <w:sz w:val="18"/>
              </w:rPr>
              <w:t>Kafka</w:t>
            </w:r>
          </w:p>
        </w:tc>
        <w:tc>
          <w:tcPr>
            <w:tcW w:type="dxa" w:w="3216"/>
          </w:tcPr>
          <w:p>
            <w:r/>
            <w:r>
              <w:rPr>
                <w:color w:val="222222"/>
                <w:sz w:val="18"/>
              </w:rPr>
              <w:t>Event streaming to ERP and Manufacturing order systems</w:t>
            </w:r>
          </w:p>
        </w:tc>
      </w:tr>
    </w:tbl>
    <w:p/>
    <w:p>
      <w:pPr>
        <w:pStyle w:val="Heading1"/>
      </w:pPr>
      <w:r>
        <w:rPr>
          <w:color w:val="1F4E79"/>
          <w:sz w:val="28"/>
        </w:rPr>
        <w:t>3. Integration Points</w:t>
      </w:r>
    </w:p>
    <w:p>
      <w:pPr>
        <w:pStyle w:val="ListBullet"/>
      </w:pPr>
      <w:r>
        <w:rPr>
          <w:color w:val="222222"/>
          <w:sz w:val="21"/>
        </w:rPr>
        <w:t>ERP System — bi-directional sync of account and order data via the Integration Bus, near-real-time (target latency under 2 minutes).</w:t>
      </w:r>
    </w:p>
    <w:p>
      <w:pPr>
        <w:pStyle w:val="ListBullet"/>
      </w:pPr>
      <w:r>
        <w:rPr>
          <w:color w:val="222222"/>
          <w:sz w:val="21"/>
        </w:rPr>
        <w:t>Manufacturing Order Tracking — one-way feed of shipment and production status for Manufacturing key accounts, polled every 15 minutes.</w:t>
      </w:r>
    </w:p>
    <w:p>
      <w:pPr>
        <w:pStyle w:val="ListBullet"/>
      </w:pPr>
      <w:r>
        <w:rPr>
          <w:color w:val="222222"/>
          <w:sz w:val="21"/>
        </w:rPr>
        <w:t>Corporate SSO (Okta) — all user authentication; no locally-stored passwords.</w:t>
      </w:r>
    </w:p>
    <w:p>
      <w:pPr>
        <w:pStyle w:val="Heading1"/>
      </w:pPr>
      <w:r>
        <w:rPr>
          <w:color w:val="1F4E79"/>
          <w:sz w:val="28"/>
        </w:rPr>
        <w:t>4. Data Classification</w:t>
      </w:r>
    </w:p>
    <w:p>
      <w:pPr>
        <w:spacing w:after="160"/>
      </w:pPr>
      <w:r>
        <w:rPr>
          <w:color w:val="222222"/>
          <w:sz w:val="21"/>
        </w:rPr>
        <w:t>Nova CRM stores Confidential-classified data (customer contact and commercial data) per the Data Privacy Policy. Database backups are encrypted at rest; access to production data outside the application layer requires a documented, time-boxed break-glass request.</w:t>
      </w:r>
    </w:p>
    <w:p>
      <w:pPr>
        <w:pStyle w:val="Heading1"/>
      </w:pPr>
      <w:r>
        <w:rPr>
          <w:color w:val="1F4E79"/>
          <w:sz w:val="28"/>
        </w:rPr>
        <w:t>5. Scalability and Availability</w:t>
      </w:r>
    </w:p>
    <w:p>
      <w:pPr>
        <w:spacing w:after="160"/>
      </w:pPr>
      <w:r>
        <w:rPr>
          <w:color w:val="222222"/>
          <w:sz w:val="21"/>
        </w:rPr>
        <w:t>Core services run across 3 availability zones with auto-scaling based on CPU/request volume. Target availability SLA is 99.9% (approximately 8.7 hours of allowed downtime per year), monitored via the platform status dashboard.</w:t>
      </w:r>
    </w:p>
    <w:p>
      <w:pPr>
        <w:pStyle w:val="Heading1"/>
      </w:pPr>
      <w:r>
        <w:rPr>
          <w:color w:val="1F4E79"/>
          <w:sz w:val="28"/>
        </w:rPr>
        <w:t>6. Known Limitations</w:t>
      </w:r>
    </w:p>
    <w:p>
      <w:pPr>
        <w:pStyle w:val="ListBullet"/>
      </w:pPr>
      <w:r>
        <w:rPr>
          <w:color w:val="222222"/>
          <w:sz w:val="21"/>
        </w:rPr>
        <w:t>Reporting Service queries against the primary database during peak hours can introduce read replica lag of up to 5 minutes — acceptable for dashboards, not used for any real-time workflow.</w:t>
      </w:r>
    </w:p>
    <w:p>
      <w:pPr>
        <w:pStyle w:val="ListBullet"/>
      </w:pPr>
      <w:r>
        <w:rPr>
          <w:color w:val="222222"/>
          <w:sz w:val="21"/>
        </w:rPr>
        <w:t>Manufacturing order tracking integration is currently one-way (read-only into CRM); a bi-directional integration is planned for v2.2.</w:t>
      </w:r>
    </w:p>
    <w:sectPr w:rsidR="00FC693F" w:rsidRPr="0006063C" w:rsidSect="00034616"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B7280"/>
        <w:sz w:val="15"/>
      </w:rPr>
      <w:t>Northwind Analytics, Inc. — Internal Use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