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0.jpg" ContentType="image/jpeg"/>
  <Override PartName="/word/media/rId24.jpg" ContentType="image/jpeg"/>
  <Override PartName="/word/media/rId29.jpg" ContentType="image/jpeg"/>
  <Override PartName="/word/media/rId33.jpg" ContentType="image/jpeg"/>
  <Override PartName="/word/media/rId58.png" ContentType="image/png"/>
  <Override PartName="/word/media/rId53.png" ContentType="image/png"/>
  <Override PartName="/word/media/rId68.png" ContentType="image/png"/>
  <Override PartName="/word/media/rId40.png" ContentType="image/png"/>
  <Override PartName="/word/media/rId45.png" ContentType="image/png"/>
  <Override PartName="/word/media/rId49.png" ContentType="image/png"/>
  <Override PartName="/word/media/rId63.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INFORME DE CALIDAD DEL AGUA DEL EMBALSE RIO TERCERO (Junio de 2025)</w:t>
      </w:r>
    </w:p>
    <w:p>
      <w:pPr>
        <w:pStyle w:val="Subtitle"/>
      </w:pPr>
      <w:r>
        <w:t xml:space="preserve">Informe I | ANEXO II</w:t>
      </w:r>
    </w:p>
    <w:p>
      <w:pPr>
        <w:pStyle w:val="Author"/>
      </w:pPr>
      <w:r>
        <w:t xml:space="preserve">Dr. Matías BONANSEA, Dra. Anabella FERRAL, Dr. Lucio PINOTTI, Lic. Sofía GUTIERREZ, Geol. Mariana CORREA, Lic. Facundo PARODI, Dra. Rocío GUIDO, MsC. Giuliana BELTRAMONE, Lic. Sofía PANA, Lic. Francisco NEMIÑA, MsC. Víctor GAUTO, MsC. Facundo BONINO, Esp. Joel CARREÑO, Lic. Rossana VILLALBA</w:t>
      </w:r>
    </w:p>
    <w:p>
      <w:pPr>
        <w:pStyle w:val="Date"/>
      </w:pPr>
      <w:r>
        <w:t xml:space="preserve">2025-10-13</w:t>
      </w:r>
    </w:p>
    <w:p>
      <w:pPr>
        <w:pStyle w:val="Abstract"/>
      </w:pPr>
      <w:r>
        <w:t xml:space="preserve">A Solicitud de la Autoridad de Cuencas Julio de 2025</w:t>
      </w:r>
    </w:p>
    <w:bookmarkStart w:id="38" w:name="consideraciones-generales"/>
    <w:p>
      <w:pPr>
        <w:pStyle w:val="Heading1"/>
      </w:pPr>
      <w:r>
        <w:t xml:space="preserve">1. Consideraciones generales</w:t>
      </w:r>
    </w:p>
    <w:p>
      <w:pPr>
        <w:pStyle w:val="FirstParagraph"/>
      </w:pPr>
      <w:r>
        <w:t xml:space="preserve">En el marco del</w:t>
      </w:r>
      <w:r>
        <w:t xml:space="preserve"> </w:t>
      </w:r>
      <w:r>
        <w:rPr>
          <w:rStyle w:val="Rojo"/>
        </w:rPr>
        <w:t xml:space="preserve">Programa</w:t>
      </w:r>
      <w:r>
        <w:t xml:space="preserve"> </w:t>
      </w:r>
      <w:r>
        <w:t xml:space="preserve">de Monitoreo Sistemático de la Calidad del Agua del Embalse Río Tercero, y a solicitud de la</w:t>
      </w:r>
      <w:r>
        <w:t xml:space="preserve"> </w:t>
      </w:r>
      <w:r>
        <w:rPr>
          <w:b/>
          <w:bCs/>
        </w:rPr>
        <w:t xml:space="preserve">Autoridad de Cuencas</w:t>
      </w:r>
      <w:r>
        <w:t xml:space="preserve">, el día</w:t>
      </w:r>
      <w:r>
        <w:t xml:space="preserve"> </w:t>
      </w:r>
      <w:r>
        <w:rPr>
          <w:b/>
          <w:bCs/>
        </w:rPr>
        <w:t xml:space="preserve">19 de junio de 2025</w:t>
      </w:r>
      <w:r>
        <w:t xml:space="preserve"> </w:t>
      </w:r>
      <w:r>
        <w:t xml:space="preserve">se realizó la campaña de muestreo correspondiente a dicho mes, con el fin de monitorear y determinar el estado trófico y la calidad de sus aguas.</w:t>
      </w:r>
    </w:p>
    <w:p>
      <w:pPr>
        <w:pStyle w:val="BodyText"/>
      </w:pPr>
      <w:r>
        <w:t xml:space="preserve">En estas campañas se monitorearon 11 sitios de muestreo predeterminados, en los cuales se evaluaron distintas variables físicas, químicas y biológicas a nivel sub-superficial (</w:t>
      </w:r>
      <w:hyperlink w:anchor="fig-localizacion">
        <w:r>
          <w:rPr>
            <w:rStyle w:val="Hyperlink"/>
          </w:rPr>
          <w:t xml:space="preserve">figura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fig-localizacion"/>
          <w:p>
            <w:pPr>
              <w:pStyle w:val="Compact"/>
              <w:jc w:val="center"/>
            </w:pPr>
            <w:r>
              <w:drawing>
                <wp:inline>
                  <wp:extent cx="3071552" cy="2676698"/>
                  <wp:effectExtent b="0" l="0" r="0" t="0"/>
                  <wp:docPr descr="" title="" id="21" name="Picture"/>
                  <a:graphic>
                    <a:graphicData uri="http://schemas.openxmlformats.org/drawingml/2006/picture">
                      <pic:pic>
                        <pic:nvPicPr>
                          <pic:cNvPr descr="fig/fig1.jpg" id="22" name="Picture"/>
                          <pic:cNvPicPr>
                            <a:picLocks noChangeArrowheads="1" noChangeAspect="1"/>
                          </pic:cNvPicPr>
                        </pic:nvPicPr>
                        <pic:blipFill>
                          <a:blip r:embed="rId20"/>
                          <a:stretch>
                            <a:fillRect/>
                          </a:stretch>
                        </pic:blipFill>
                        <pic:spPr bwMode="auto">
                          <a:xfrm>
                            <a:off x="0" y="0"/>
                            <a:ext cx="3071552" cy="2676698"/>
                          </a:xfrm>
                          <a:prstGeom prst="rect">
                            <a:avLst/>
                          </a:prstGeom>
                          <a:noFill/>
                          <a:ln w="9525">
                            <a:noFill/>
                            <a:headEnd/>
                            <a:tailEnd/>
                          </a:ln>
                        </pic:spPr>
                      </pic:pic>
                    </a:graphicData>
                  </a:graphic>
                </wp:inline>
              </w:drawing>
            </w:r>
          </w:p>
          <w:p>
            <w:pPr>
              <w:jc w:val="center"/>
            </w:pPr>
            <w:pPr>
              <w:jc w:val="left"/>
              <w:spacing w:before="200"/>
              <w:pStyle w:val="ImageCaption"/>
            </w:pPr>
            <w:r>
              <w:t xml:space="preserve">Figura 1.1: Localización de sitios de muestreo</w:t>
            </w:r>
          </w:p>
          <w:bookmarkEnd w:id="23"/>
        </w:tc>
      </w:tr>
    </w:tbl>
    <w:p>
      <w:pPr>
        <w:pStyle w:val="BodyText"/>
      </w:pPr>
      <w:r>
        <w:t xml:space="preserve">Las campañas de muestreo fueron coordinadas por personal del</w:t>
      </w:r>
      <w:r>
        <w:t xml:space="preserve"> </w:t>
      </w:r>
      <w:r>
        <w:rPr>
          <w:b/>
          <w:bCs/>
        </w:rPr>
        <w:t xml:space="preserve">Instituto de Ciencia de la Tierra, Biodiversidad y Ambiente (ICBIA, CONICET-UNRC)</w:t>
      </w:r>
      <w:r>
        <w:t xml:space="preserve"> </w:t>
      </w:r>
      <w:r>
        <w:t xml:space="preserve">y la</w:t>
      </w:r>
      <w:r>
        <w:t xml:space="preserve"> </w:t>
      </w:r>
      <w:r>
        <w:rPr>
          <w:b/>
          <w:bCs/>
        </w:rPr>
        <w:t xml:space="preserve">Facultad de Ciencias Exactas, Físico-Químicas y Naturales, Universidad Nacional de Río Cuarto (FCEFQyN, UNRC)</w:t>
      </w:r>
      <w:r>
        <w:t xml:space="preserve">. Además, se contó con el apoyo del</w:t>
      </w:r>
      <w:r>
        <w:t xml:space="preserve"> </w:t>
      </w:r>
      <w:r>
        <w:rPr>
          <w:b/>
          <w:bCs/>
        </w:rPr>
        <w:t xml:space="preserve">Instituto Gulich (IG, UNC-CONAE)</w:t>
      </w:r>
      <w:r>
        <w:t xml:space="preserve">, el</w:t>
      </w:r>
      <w:r>
        <w:t xml:space="preserve"> </w:t>
      </w:r>
      <w:r>
        <w:rPr>
          <w:b/>
          <w:bCs/>
        </w:rPr>
        <w:t xml:space="preserve">Ministerio de Ambiente y Economía Circular</w:t>
      </w:r>
      <w:r>
        <w:t xml:space="preserve"> </w:t>
      </w:r>
      <w:r>
        <w:t xml:space="preserve">de la Provincia de Córdoba y la</w:t>
      </w:r>
      <w:r>
        <w:t xml:space="preserve"> </w:t>
      </w:r>
      <w:r>
        <w:rPr>
          <w:b/>
          <w:bCs/>
        </w:rPr>
        <w:t xml:space="preserve">Fundación Río Ctalamochita</w:t>
      </w:r>
      <w:r>
        <w:t xml:space="preserve">. La embarcación y personal especializado fue aportado por el</w:t>
      </w:r>
      <w:r>
        <w:t xml:space="preserve"> </w:t>
      </w:r>
      <w:r>
        <w:rPr>
          <w:b/>
          <w:bCs/>
        </w:rPr>
        <w:t xml:space="preserve">Departamento Unidades de Alto Riesgo (DUAR)</w:t>
      </w:r>
      <w:r>
        <w:t xml:space="preserve"> </w:t>
      </w:r>
      <w:r>
        <w:t xml:space="preserve">perteneciente a la Policía de la Provincia de Córdoba y por la</w:t>
      </w:r>
      <w:r>
        <w:t xml:space="preserve"> </w:t>
      </w:r>
      <w:r>
        <w:rPr>
          <w:b/>
          <w:bCs/>
        </w:rPr>
        <w:t xml:space="preserve">Dirección de Seguridad Náutica (DSN)</w:t>
      </w:r>
      <w:r>
        <w:t xml:space="preserve"> </w:t>
      </w:r>
      <w:r>
        <w:t xml:space="preserve">provincial.</w:t>
      </w:r>
    </w:p>
    <w:p>
      <w:pPr>
        <w:pStyle w:val="BodyText"/>
      </w:pPr>
      <w:r>
        <w:t xml:space="preserve">La campaña de muestre comenzó a las 10.00 hs y finalizó a las 13.30 hs. El día presentó condiciones meteorológicas óptimas para la realización del mismo. La temperatura ambiente registrada fue de 6 °C, los vientos de 4 km/h de intensidad, con dirección nor-noroeste (NNO).</w:t>
      </w:r>
    </w:p>
    <w:p>
      <w:pPr>
        <w:pStyle w:val="BodyText"/>
      </w:pPr>
      <w:r>
        <w:t xml:space="preserve">El embalse presentó una coloración del agua clara, sin registrarse la presencia de florecimientos de algas/cianobacterias importantes en su superficie (</w:t>
      </w:r>
      <w:hyperlink w:anchor="fig-condicion-agua">
        <w:r>
          <w:rPr>
            <w:rStyle w:val="Hyperlink"/>
          </w:rPr>
          <w:t xml:space="preserve">figura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fig-condicion-agua"/>
          <w:p>
            <w:pPr>
              <w:pStyle w:val="Compact"/>
              <w:jc w:val="center"/>
            </w:pPr>
            <w:r>
              <w:drawing>
                <wp:inline>
                  <wp:extent cx="2990850" cy="1600200"/>
                  <wp:effectExtent b="0" l="0" r="0" t="0"/>
                  <wp:docPr descr="" title="" id="25" name="Picture"/>
                  <a:graphic>
                    <a:graphicData uri="http://schemas.openxmlformats.org/drawingml/2006/picture">
                      <pic:pic>
                        <pic:nvPicPr>
                          <pic:cNvPr descr="fig/fig2.jpg" id="26" name="Picture"/>
                          <pic:cNvPicPr>
                            <a:picLocks noChangeArrowheads="1" noChangeAspect="1"/>
                          </pic:cNvPicPr>
                        </pic:nvPicPr>
                        <pic:blipFill>
                          <a:blip r:embed="rId24"/>
                          <a:stretch>
                            <a:fillRect/>
                          </a:stretch>
                        </pic:blipFill>
                        <pic:spPr bwMode="auto">
                          <a:xfrm>
                            <a:off x="0" y="0"/>
                            <a:ext cx="2990850" cy="1600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1.2: Condición del agua del embalse</w:t>
            </w:r>
          </w:p>
          <w:bookmarkEnd w:id="27"/>
        </w:tc>
      </w:tr>
    </w:tbl>
    <w:p>
      <w:pPr>
        <w:pStyle w:val="BodyText"/>
      </w:pPr>
      <w:r>
        <w:t xml:space="preserve">A partir de los datos aportados por</w:t>
      </w:r>
      <w:r>
        <w:t xml:space="preserve"> </w:t>
      </w:r>
      <w:hyperlink r:id="rId28">
        <w:r>
          <w:rPr>
            <w:rStyle w:val="Hyperlink"/>
          </w:rPr>
          <w:t xml:space="preserve">https://www.cba.gov.ar/nivel-dediques-y-embalses/</w:t>
        </w:r>
      </w:hyperlink>
      <w:r>
        <w:t xml:space="preserve">, se determinó que en la fecha de muestreo el embalse presentó una cota de 45.8 m, localizándose 0.72 m por debajo de la cota vertedero (</w:t>
      </w:r>
      <w:hyperlink w:anchor="fig-cota-año">
        <w:r>
          <w:rPr>
            <w:rStyle w:val="Hyperlink"/>
          </w:rPr>
          <w:t xml:space="preserve">figura 1.3 (a)</w:t>
        </w:r>
      </w:hyperlink>
      <w:r>
        <w:t xml:space="preserve">). Se estima que, en la fecha monitoreada, el embalse alcanzó una superficie aproximada de 4134 ha, es decir, 366 ha menos que la superficie correspondiente a la cota del vertedero (4500 ha).</w:t>
      </w:r>
      <w:r>
        <w:t xml:space="preserve"> </w:t>
      </w:r>
      <w:r>
        <w:t xml:space="preserve">En base al análisis temporal de la cota del embalse generada para el período comprendido entre los años 2010 a 2025, se observa que el nivel actual es la esperable para la época del año (</w:t>
      </w:r>
      <w:hyperlink w:anchor="fig-cota-tendencia">
        <w:r>
          <w:rPr>
            <w:rStyle w:val="Hyperlink"/>
          </w:rPr>
          <w:t xml:space="preserve">figura 1.3 (b)</w:t>
        </w:r>
      </w:hyperlink>
      <w:r>
        <w:t xml:space="preserve">).</w:t>
      </w:r>
    </w:p>
    <w:bookmarkStart w:id="37" w:name="fig-cota"/>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2" w:name="fig-cota-año"/>
                <w:p>
                  <w:pPr>
                    <w:pStyle w:val="Compact"/>
                    <w:jc w:val="center"/>
                    <w:jc w:val="left"/>
                  </w:pPr>
                  <w:r>
                    <w:drawing>
                      <wp:inline>
                        <wp:extent cx="5600700" cy="2381276"/>
                        <wp:effectExtent b="0" l="0" r="0" t="0"/>
                        <wp:docPr descr="" title="" id="30" name="Picture"/>
                        <a:graphic>
                          <a:graphicData uri="http://schemas.openxmlformats.org/drawingml/2006/picture">
                            <pic:pic>
                              <pic:nvPicPr>
                                <pic:cNvPr descr="fig/fig3a.jpg" id="31" name="Picture"/>
                                <pic:cNvPicPr>
                                  <a:picLocks noChangeArrowheads="1" noChangeAspect="1"/>
                                </pic:cNvPicPr>
                              </pic:nvPicPr>
                              <pic:blipFill>
                                <a:blip r:embed="rId29"/>
                                <a:stretch>
                                  <a:fillRect/>
                                </a:stretch>
                              </pic:blipFill>
                              <pic:spPr bwMode="auto">
                                <a:xfrm>
                                  <a:off x="0" y="0"/>
                                  <a:ext cx="5600700" cy="2381276"/>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Nivel de cota vertedero del último año</w:t>
                  </w:r>
                </w:p>
                <w:bookmarkEnd w:id="32"/>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6" w:name="fig-cota-tendencia"/>
                <w:p>
                  <w:pPr>
                    <w:pStyle w:val="Compact"/>
                    <w:jc w:val="center"/>
                    <w:jc w:val="left"/>
                  </w:pPr>
                  <w:r>
                    <w:drawing>
                      <wp:inline>
                        <wp:extent cx="5600700" cy="2381276"/>
                        <wp:effectExtent b="0" l="0" r="0" t="0"/>
                        <wp:docPr descr="" title="" id="34" name="Picture"/>
                        <a:graphic>
                          <a:graphicData uri="http://schemas.openxmlformats.org/drawingml/2006/picture">
                            <pic:pic>
                              <pic:nvPicPr>
                                <pic:cNvPr descr="fig/fig3b.jpg" id="35" name="Picture"/>
                                <pic:cNvPicPr>
                                  <a:picLocks noChangeArrowheads="1" noChangeAspect="1"/>
                                </pic:cNvPicPr>
                              </pic:nvPicPr>
                              <pic:blipFill>
                                <a:blip r:embed="rId33"/>
                                <a:stretch>
                                  <a:fillRect/>
                                </a:stretch>
                              </pic:blipFill>
                              <pic:spPr bwMode="auto">
                                <a:xfrm>
                                  <a:off x="0" y="0"/>
                                  <a:ext cx="5600700" cy="2381276"/>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Tendencia de cota (2010-2025)</w:t>
                  </w:r>
                </w:p>
                <w:bookmarkEnd w:id="36"/>
              </w:tc>
            </w:tr>
          </w:tbl>
          <w:p/>
        </w:tc>
      </w:tr>
    </w:tbl>
    <w:p>
      <w:pPr>
        <w:pStyle w:val="BodyText"/>
      </w:pPr>
      <w:pPr>
        <w:spacing w:before="200"/>
        <w:pStyle w:val="ImageCaption"/>
      </w:pPr>
      <w:r>
        <w:t xml:space="preserve">Figura 1.3</w:t>
      </w:r>
    </w:p>
    <w:bookmarkEnd w:id="37"/>
    <w:p>
      <w:pPr>
        <w:pStyle w:val="BodyText"/>
      </w:pPr>
      <w:r>
        <w:t xml:space="preserve">Se espera que el nivel de agua continúe descendiendo hasta los meses de octubre-noviembre que es cuando alcanza los valores de cota mínimos, para luego aumentar el nivel embalsado producto de la regulación del mismo y las precipitaciones en la cuenca. Esta tendencia coincide con lo que se registra en los demás embalses de la provincia.</w:t>
      </w:r>
    </w:p>
    <w:bookmarkEnd w:id="38"/>
    <w:bookmarkStart w:id="57" w:name="mediciones-y-observaciones-a-campo"/>
    <w:p>
      <w:pPr>
        <w:pStyle w:val="Heading1"/>
      </w:pPr>
      <w:r>
        <w:t xml:space="preserve">2. Mediciones y observaciones a campo</w:t>
      </w:r>
    </w:p>
    <w:p>
      <w:pPr>
        <w:pStyle w:val="FirstParagraph"/>
      </w:pPr>
      <w:r>
        <w:t xml:space="preserve">La</w:t>
      </w:r>
      <w:r>
        <w:t xml:space="preserve"> </w:t>
      </w:r>
      <w:hyperlink w:anchor="tbl-parametros">
        <w:r>
          <w:rPr>
            <w:rStyle w:val="Hyperlink"/>
          </w:rPr>
          <w:t xml:space="preserve">Tabla 2.1</w:t>
        </w:r>
      </w:hyperlink>
      <w:r>
        <w:t xml:space="preserve"> </w:t>
      </w:r>
      <w:r>
        <w:t xml:space="preserve">muestran los registros de la variables medidas In-situ en el embalse Río Tercero durante la última campañas de muestreo.</w:t>
      </w:r>
    </w:p>
    <w:tbl>
      <w:tblPr>
        <w:tblStyle w:val="Table"/>
        <w:tblW w:type="pct" w:w="5000"/>
        <w:tblLayout w:type="fixed"/>
        <w:tblLook w:firstRow="0" w:lastRow="0" w:firstColumn="0" w:lastColumn="0" w:noHBand="0" w:noVBand="0" w:val="0000"/>
      </w:tblPr>
      <w:tblGrid>
        <w:gridCol w:w="7920"/>
      </w:tblGrid>
      <w:tr>
        <w:tc>
          <w:tcPr/>
          <w:bookmarkStart w:id="39" w:name="tbl-parametros"/>
          <w:p>
            <w:pPr>
              <w:jc w:val="center"/>
            </w:pPr>
            <w:pPr>
              <w:jc w:val="left"/>
              <w:spacing w:before="200"/>
              <w:pStyle w:val="ImageCaption"/>
            </w:pPr>
            <w:r>
              <w:t xml:space="preserve">Tabla 2.1: Determinaciones fisico-químicas básicas obtenidas para el embalse Río Tercero</w:t>
            </w:r>
            <w:r>
              <w:t xml:space="preserve"> </w:t>
            </w:r>
            <w:r>
              <w:rPr>
                <w:b/>
                <w:bCs/>
              </w:rPr>
              <w:t xml:space="preserve">Junio de 2025</w:t>
            </w:r>
            <w:r>
              <w:t xml:space="preserve">.</w:t>
            </w:r>
          </w:p>
          <w:tbl>
            <w:tblPr>
              <w:tblStyle w:val="Table"/>
              <w:tblW w:type="pct" w:w="5000"/>
              <w:tblLayout w:type="fixed"/>
              <w:tblLook w:firstRow="1" w:lastRow="0" w:firstColumn="0" w:lastColumn="0" w:noHBand="0" w:noVBand="0" w:val="0020"/>
            </w:tblPr>
            <w:tblGrid>
              <w:gridCol w:w="2454"/>
              <w:gridCol w:w="557"/>
              <w:gridCol w:w="557"/>
              <w:gridCol w:w="557"/>
              <w:gridCol w:w="446"/>
              <w:gridCol w:w="557"/>
              <w:gridCol w:w="557"/>
              <w:gridCol w:w="669"/>
              <w:gridCol w:w="780"/>
              <w:gridCol w:w="780"/>
            </w:tblGrid>
            <w:tr>
              <w:trPr>
                <w:tblHeader w:val="on"/>
              </w:trPr>
              <w:tc>
                <w:tcPr/>
                <w:p>
                  <w:pPr>
                    <w:pStyle w:val="Compact"/>
                    <w:jc w:val="left"/>
                    <w:jc w:val="center"/>
                  </w:pPr>
                  <w:r>
                    <w:t xml:space="preserve">sitio_etq</w:t>
                  </w:r>
                </w:p>
              </w:tc>
              <w:tc>
                <w:tcPr/>
                <w:p>
                  <w:pPr>
                    <w:pStyle w:val="Compact"/>
                    <w:jc w:val="left"/>
                    <w:jc w:val="center"/>
                  </w:pPr>
                  <w:r>
                    <w:t xml:space="preserve">temp</w:t>
                  </w:r>
                </w:p>
              </w:tc>
              <w:tc>
                <w:tcPr/>
                <w:p>
                  <w:pPr>
                    <w:pStyle w:val="Compact"/>
                    <w:jc w:val="left"/>
                    <w:jc w:val="center"/>
                  </w:pPr>
                  <w:r>
                    <w:t xml:space="preserve">pH</w:t>
                  </w:r>
                </w:p>
              </w:tc>
              <w:tc>
                <w:tcPr/>
                <w:p>
                  <w:pPr>
                    <w:pStyle w:val="Compact"/>
                    <w:jc w:val="left"/>
                    <w:jc w:val="center"/>
                  </w:pPr>
                  <w:r>
                    <w:t xml:space="preserve">od</w:t>
                  </w:r>
                </w:p>
              </w:tc>
              <w:tc>
                <w:tcPr/>
                <w:p>
                  <w:pPr>
                    <w:pStyle w:val="Compact"/>
                    <w:jc w:val="left"/>
                    <w:jc w:val="center"/>
                  </w:pPr>
                  <w:r>
                    <w:t xml:space="preserve">ds</w:t>
                  </w:r>
                </w:p>
              </w:tc>
              <w:tc>
                <w:tcPr/>
                <w:p>
                  <w:pPr>
                    <w:pStyle w:val="Compact"/>
                    <w:jc w:val="left"/>
                    <w:jc w:val="center"/>
                  </w:pPr>
                  <w:r>
                    <w:t xml:space="preserve">sdt</w:t>
                  </w:r>
                </w:p>
              </w:tc>
              <w:tc>
                <w:tcPr/>
                <w:p>
                  <w:pPr>
                    <w:pStyle w:val="Compact"/>
                    <w:jc w:val="left"/>
                    <w:jc w:val="center"/>
                  </w:pPr>
                  <w:r>
                    <w:t xml:space="preserve">turb</w:t>
                  </w:r>
                </w:p>
              </w:tc>
              <w:tc>
                <w:tcPr/>
                <w:p>
                  <w:pPr>
                    <w:pStyle w:val="Compact"/>
                    <w:jc w:val="left"/>
                    <w:jc w:val="center"/>
                  </w:pPr>
                  <w:r>
                    <w:t xml:space="preserve">ce</w:t>
                  </w:r>
                </w:p>
              </w:tc>
              <w:tc>
                <w:tcPr/>
                <w:p>
                  <w:pPr>
                    <w:pStyle w:val="Compact"/>
                    <w:jc w:val="left"/>
                    <w:jc w:val="center"/>
                  </w:pPr>
                  <w:r>
                    <w:t xml:space="preserve">cla</w:t>
                  </w:r>
                </w:p>
              </w:tc>
              <w:tc>
                <w:tcPr/>
                <w:p>
                  <w:pPr>
                    <w:pStyle w:val="Compact"/>
                    <w:jc w:val="left"/>
                    <w:jc w:val="center"/>
                  </w:pPr>
                  <w:r>
                    <w:t xml:space="preserve">cla_c</w:t>
                  </w:r>
                </w:p>
              </w:tc>
            </w:tr>
            <w:tr>
              <w:tc>
                <w:tcPr/>
                <w:p>
                  <w:pPr>
                    <w:pStyle w:val="Compact"/>
                    <w:jc w:val="left"/>
                    <w:jc w:val="center"/>
                  </w:pPr>
                  <w:r>
                    <w:rPr>
                      <w:b/>
                      <w:bCs/>
                    </w:rPr>
                    <w:t xml:space="preserve">Unidades</w:t>
                  </w:r>
                </w:p>
              </w:tc>
              <w:tc>
                <w:tcPr/>
                <w:p>
                  <w:pPr>
                    <w:pStyle w:val="Compact"/>
                    <w:jc w:val="left"/>
                    <w:jc w:val="center"/>
                  </w:pPr>
                  <w:r>
                    <w:t xml:space="preserve">°C</w:t>
                  </w:r>
                </w:p>
              </w:tc>
              <w:tc>
                <w:tcPr/>
                <w:p>
                  <w:pPr>
                    <w:pStyle w:val="Compact"/>
                    <w:jc w:val="left"/>
                    <w:jc w:val="center"/>
                  </w:pPr>
                  <w:r>
                    <w:t xml:space="preserve">-</w:t>
                  </w:r>
                </w:p>
              </w:tc>
              <w:tc>
                <w:tcPr/>
                <w:p>
                  <w:pPr>
                    <w:pStyle w:val="Compact"/>
                    <w:jc w:val="left"/>
                    <w:jc w:val="center"/>
                  </w:pPr>
                  <w:r>
                    <w:t xml:space="preserve">mg/L</w:t>
                  </w:r>
                </w:p>
              </w:tc>
              <w:tc>
                <w:tcPr/>
                <w:p>
                  <w:pPr>
                    <w:pStyle w:val="Compact"/>
                    <w:jc w:val="left"/>
                    <w:jc w:val="center"/>
                  </w:pPr>
                  <w:r>
                    <w:t xml:space="preserve">m</w:t>
                  </w:r>
                </w:p>
              </w:tc>
              <w:tc>
                <w:tcPr/>
                <w:p>
                  <w:pPr>
                    <w:pStyle w:val="Compact"/>
                    <w:jc w:val="left"/>
                    <w:jc w:val="center"/>
                  </w:pPr>
                  <w:r>
                    <w:t xml:space="preserve">ppm</w:t>
                  </w:r>
                </w:p>
              </w:tc>
              <w:tc>
                <w:tcPr/>
                <w:p>
                  <w:pPr>
                    <w:pStyle w:val="Compact"/>
                    <w:jc w:val="left"/>
                    <w:jc w:val="center"/>
                  </w:pPr>
                  <w:r>
                    <w:t xml:space="preserve">UNT</w:t>
                  </w:r>
                </w:p>
              </w:tc>
              <w:tc>
                <w:tcPr/>
                <w:p>
                  <w:pPr>
                    <w:pStyle w:val="Compact"/>
                    <w:jc w:val="left"/>
                    <w:jc w:val="center"/>
                  </w:pPr>
                  <w:r>
                    <w:t xml:space="preserve">µS/cm</w:t>
                  </w:r>
                </w:p>
              </w:tc>
              <w:tc>
                <w:tcPr/>
                <w:p>
                  <w:pPr>
                    <w:pStyle w:val="Compact"/>
                    <w:jc w:val="left"/>
                    <w:jc w:val="center"/>
                  </w:pPr>
                  <w:r>
                    <w:t xml:space="preserve">mg/m^3</w:t>
                  </w:r>
                </w:p>
              </w:tc>
              <w:tc>
                <w:tcPr/>
                <w:p>
                  <w:pPr>
                    <w:pStyle w:val="Compact"/>
                    <w:jc w:val="left"/>
                    <w:jc w:val="center"/>
                  </w:pPr>
                  <w:r>
                    <w:t xml:space="preserve">mg/m^3</w:t>
                  </w:r>
                </w:p>
              </w:tc>
            </w:tr>
            <w:tr>
              <w:tc>
                <w:tcPr/>
                <w:p>
                  <w:pPr>
                    <w:pStyle w:val="Compact"/>
                    <w:jc w:val="left"/>
                    <w:jc w:val="center"/>
                  </w:pPr>
                  <w:r>
                    <w:t xml:space="preserve">Club Almafuerte</w:t>
                  </w:r>
                </w:p>
              </w:tc>
              <w:tc>
                <w:tcPr/>
                <w:p>
                  <w:pPr>
                    <w:pStyle w:val="Compact"/>
                    <w:jc w:val="left"/>
                    <w:jc w:val="center"/>
                  </w:pPr>
                  <w:r>
                    <w:t xml:space="preserve">14</w:t>
                  </w:r>
                </w:p>
              </w:tc>
              <w:tc>
                <w:tcPr/>
                <w:p>
                  <w:pPr>
                    <w:pStyle w:val="Compact"/>
                    <w:jc w:val="left"/>
                    <w:jc w:val="center"/>
                  </w:pPr>
                  <w:r>
                    <w:t xml:space="preserve">7.27</w:t>
                  </w:r>
                </w:p>
              </w:tc>
              <w:tc>
                <w:tcPr/>
                <w:p>
                  <w:pPr>
                    <w:pStyle w:val="Compact"/>
                    <w:jc w:val="left"/>
                    <w:jc w:val="center"/>
                  </w:pPr>
                  <w:r>
                    <w:t xml:space="preserve">7.1</w:t>
                  </w:r>
                </w:p>
              </w:tc>
              <w:tc>
                <w:tcPr/>
                <w:p>
                  <w:pPr>
                    <w:pStyle w:val="Compact"/>
                    <w:jc w:val="left"/>
                    <w:jc w:val="center"/>
                  </w:pPr>
                  <w:r>
                    <w:t xml:space="preserve">5.5</w:t>
                  </w:r>
                </w:p>
              </w:tc>
              <w:tc>
                <w:tcPr/>
                <w:p>
                  <w:pPr>
                    <w:pStyle w:val="Compact"/>
                    <w:jc w:val="left"/>
                    <w:jc w:val="center"/>
                  </w:pPr>
                  <w:r>
                    <w:t xml:space="preserve">80.6</w:t>
                  </w:r>
                </w:p>
              </w:tc>
              <w:tc>
                <w:tcPr/>
                <w:p>
                  <w:pPr>
                    <w:pStyle w:val="Compact"/>
                    <w:jc w:val="left"/>
                    <w:jc w:val="center"/>
                  </w:pPr>
                  <w:r>
                    <w:t xml:space="preserve">0.09</w:t>
                  </w:r>
                </w:p>
              </w:tc>
              <w:tc>
                <w:tcPr/>
                <w:p>
                  <w:pPr>
                    <w:pStyle w:val="Compact"/>
                    <w:jc w:val="left"/>
                    <w:jc w:val="center"/>
                  </w:pPr>
                  <w:r>
                    <w:t xml:space="preserve">118.9</w:t>
                  </w:r>
                </w:p>
              </w:tc>
              <w:tc>
                <w:tcPr/>
                <w:p>
                  <w:pPr>
                    <w:pStyle w:val="Compact"/>
                    <w:jc w:val="left"/>
                    <w:jc w:val="center"/>
                  </w:pPr>
                  <w:r>
                    <w:t xml:space="preserve">5.7</w:t>
                  </w:r>
                </w:p>
              </w:tc>
              <w:tc>
                <w:tcPr/>
                <w:p>
                  <w:pPr>
                    <w:pStyle w:val="Compact"/>
                    <w:jc w:val="left"/>
                    <w:jc w:val="center"/>
                  </w:pPr>
                  <w:r>
                    <w:t xml:space="preserve">1.1</w:t>
                  </w:r>
                </w:p>
              </w:tc>
            </w:tr>
            <w:tr>
              <w:tc>
                <w:tcPr/>
                <w:p>
                  <w:pPr>
                    <w:pStyle w:val="Compact"/>
                    <w:jc w:val="left"/>
                    <w:jc w:val="center"/>
                  </w:pPr>
                  <w:r>
                    <w:t xml:space="preserve">Hoteles</w:t>
                  </w:r>
                </w:p>
              </w:tc>
              <w:tc>
                <w:tcPr/>
                <w:p>
                  <w:pPr>
                    <w:pStyle w:val="Compact"/>
                    <w:jc w:val="left"/>
                    <w:jc w:val="center"/>
                  </w:pPr>
                  <w:r>
                    <w:t xml:space="preserve">14</w:t>
                  </w:r>
                </w:p>
              </w:tc>
              <w:tc>
                <w:tcPr/>
                <w:p>
                  <w:pPr>
                    <w:pStyle w:val="Compact"/>
                    <w:jc w:val="left"/>
                    <w:jc w:val="center"/>
                  </w:pPr>
                  <w:r>
                    <w:t xml:space="preserve">7.74</w:t>
                  </w:r>
                </w:p>
              </w:tc>
              <w:tc>
                <w:tcPr/>
                <w:p>
                  <w:pPr>
                    <w:pStyle w:val="Compact"/>
                    <w:jc w:val="left"/>
                    <w:jc w:val="center"/>
                  </w:pPr>
                  <w:r>
                    <w:t xml:space="preserve">8.21</w:t>
                  </w:r>
                </w:p>
              </w:tc>
              <w:tc>
                <w:tcPr/>
                <w:p>
                  <w:pPr>
                    <w:pStyle w:val="Compact"/>
                    <w:jc w:val="left"/>
                    <w:jc w:val="center"/>
                  </w:pPr>
                  <w:r>
                    <w:t xml:space="preserve">5</w:t>
                  </w:r>
                </w:p>
              </w:tc>
              <w:tc>
                <w:tcPr/>
                <w:p>
                  <w:pPr>
                    <w:pStyle w:val="Compact"/>
                    <w:jc w:val="left"/>
                    <w:jc w:val="center"/>
                  </w:pPr>
                  <w:r>
                    <w:t xml:space="preserve">79</w:t>
                  </w:r>
                </w:p>
              </w:tc>
              <w:tc>
                <w:tcPr/>
                <w:p>
                  <w:pPr>
                    <w:pStyle w:val="Compact"/>
                    <w:jc w:val="left"/>
                    <w:jc w:val="center"/>
                  </w:pPr>
                  <w:r>
                    <w:t xml:space="preserve">0.49</w:t>
                  </w:r>
                </w:p>
              </w:tc>
              <w:tc>
                <w:tcPr/>
                <w:p>
                  <w:pPr>
                    <w:pStyle w:val="Compact"/>
                    <w:jc w:val="left"/>
                    <w:jc w:val="center"/>
                  </w:pPr>
                  <w:r>
                    <w:t xml:space="preserve">118.1</w:t>
                  </w:r>
                </w:p>
              </w:tc>
              <w:tc>
                <w:tcPr/>
                <w:p>
                  <w:pPr>
                    <w:pStyle w:val="Compact"/>
                    <w:jc w:val="left"/>
                    <w:jc w:val="center"/>
                  </w:pPr>
                  <w:r>
                    <w:t xml:space="preserve">6</w:t>
                  </w:r>
                </w:p>
              </w:tc>
              <w:tc>
                <w:tcPr/>
                <w:p>
                  <w:pPr>
                    <w:pStyle w:val="Compact"/>
                    <w:jc w:val="left"/>
                    <w:jc w:val="center"/>
                  </w:pPr>
                  <w:r>
                    <w:t xml:space="preserve">1.5</w:t>
                  </w:r>
                </w:p>
              </w:tc>
            </w:tr>
            <w:tr>
              <w:tc>
                <w:tcPr/>
                <w:p>
                  <w:pPr>
                    <w:pStyle w:val="Compact"/>
                    <w:jc w:val="left"/>
                    <w:jc w:val="center"/>
                  </w:pPr>
                  <w:r>
                    <w:t xml:space="preserve">Garganta</w:t>
                  </w:r>
                </w:p>
              </w:tc>
              <w:tc>
                <w:tcPr/>
                <w:p>
                  <w:pPr>
                    <w:pStyle w:val="Compact"/>
                    <w:jc w:val="left"/>
                    <w:jc w:val="center"/>
                  </w:pPr>
                  <w:r>
                    <w:t xml:space="preserve">14.1</w:t>
                  </w:r>
                </w:p>
              </w:tc>
              <w:tc>
                <w:tcPr/>
                <w:p>
                  <w:pPr>
                    <w:pStyle w:val="Compact"/>
                    <w:jc w:val="left"/>
                    <w:jc w:val="center"/>
                  </w:pPr>
                  <w:r>
                    <w:t xml:space="preserve">7.73</w:t>
                  </w:r>
                </w:p>
              </w:tc>
              <w:tc>
                <w:tcPr/>
                <w:p>
                  <w:pPr>
                    <w:pStyle w:val="Compact"/>
                    <w:jc w:val="left"/>
                    <w:jc w:val="center"/>
                  </w:pPr>
                  <w:r>
                    <w:t xml:space="preserve">7.3</w:t>
                  </w:r>
                </w:p>
              </w:tc>
              <w:tc>
                <w:tcPr/>
                <w:p>
                  <w:pPr>
                    <w:pStyle w:val="Compact"/>
                    <w:jc w:val="left"/>
                    <w:jc w:val="center"/>
                  </w:pPr>
                  <w:r>
                    <w:t xml:space="preserve">4</w:t>
                  </w:r>
                </w:p>
              </w:tc>
              <w:tc>
                <w:tcPr/>
                <w:p>
                  <w:pPr>
                    <w:pStyle w:val="Compact"/>
                    <w:jc w:val="left"/>
                    <w:jc w:val="center"/>
                  </w:pPr>
                  <w:r>
                    <w:t xml:space="preserve">81.8</w:t>
                  </w:r>
                </w:p>
              </w:tc>
              <w:tc>
                <w:tcPr/>
                <w:p>
                  <w:pPr>
                    <w:pStyle w:val="Compact"/>
                    <w:jc w:val="left"/>
                    <w:jc w:val="center"/>
                  </w:pPr>
                  <w:r>
                    <w:t xml:space="preserve">0.18</w:t>
                  </w:r>
                </w:p>
              </w:tc>
              <w:tc>
                <w:tcPr/>
                <w:p>
                  <w:pPr>
                    <w:pStyle w:val="Compact"/>
                    <w:jc w:val="left"/>
                    <w:jc w:val="center"/>
                  </w:pPr>
                  <w:r>
                    <w:t xml:space="preserve">124</w:t>
                  </w:r>
                </w:p>
              </w:tc>
              <w:tc>
                <w:tcPr/>
                <w:p>
                  <w:pPr>
                    <w:pStyle w:val="Compact"/>
                    <w:jc w:val="left"/>
                    <w:jc w:val="center"/>
                  </w:pPr>
                  <w:r>
                    <w:t xml:space="preserve">4.1</w:t>
                  </w:r>
                </w:p>
              </w:tc>
              <w:tc>
                <w:tcPr/>
                <w:p>
                  <w:pPr>
                    <w:pStyle w:val="Compact"/>
                    <w:jc w:val="left"/>
                    <w:jc w:val="center"/>
                  </w:pPr>
                  <w:r>
                    <w:t xml:space="preserve">1.1</w:t>
                  </w:r>
                </w:p>
              </w:tc>
            </w:tr>
            <w:tr>
              <w:tc>
                <w:tcPr/>
                <w:p>
                  <w:pPr>
                    <w:pStyle w:val="Compact"/>
                    <w:jc w:val="left"/>
                    <w:jc w:val="center"/>
                  </w:pPr>
                  <w:r>
                    <w:t xml:space="preserve">Entrada ríos y CNE</w:t>
                  </w:r>
                </w:p>
              </w:tc>
              <w:tc>
                <w:tcPr/>
                <w:p>
                  <w:pPr>
                    <w:pStyle w:val="Compact"/>
                    <w:jc w:val="left"/>
                    <w:jc w:val="center"/>
                  </w:pPr>
                  <w:r>
                    <w:t xml:space="preserve">15.7</w:t>
                  </w:r>
                </w:p>
              </w:tc>
              <w:tc>
                <w:tcPr/>
                <w:p>
                  <w:pPr>
                    <w:pStyle w:val="Compact"/>
                    <w:jc w:val="left"/>
                    <w:jc w:val="center"/>
                  </w:pPr>
                  <w:r>
                    <w:t xml:space="preserve">7.73</w:t>
                  </w:r>
                </w:p>
              </w:tc>
              <w:tc>
                <w:tcPr/>
                <w:p>
                  <w:pPr>
                    <w:pStyle w:val="Compact"/>
                    <w:jc w:val="left"/>
                    <w:jc w:val="center"/>
                  </w:pPr>
                  <w:r>
                    <w:t xml:space="preserve">8.5</w:t>
                  </w:r>
                </w:p>
              </w:tc>
              <w:tc>
                <w:tcPr/>
                <w:p>
                  <w:pPr>
                    <w:pStyle w:val="Compact"/>
                    <w:jc w:val="left"/>
                    <w:jc w:val="center"/>
                  </w:pPr>
                  <w:r>
                    <w:t xml:space="preserve">-</w:t>
                  </w:r>
                </w:p>
              </w:tc>
              <w:tc>
                <w:tcPr/>
                <w:p>
                  <w:pPr>
                    <w:pStyle w:val="Compact"/>
                    <w:jc w:val="left"/>
                    <w:jc w:val="center"/>
                  </w:pPr>
                  <w:r>
                    <w:t xml:space="preserve">83.2</w:t>
                  </w:r>
                </w:p>
              </w:tc>
              <w:tc>
                <w:tcPr/>
                <w:p>
                  <w:pPr>
                    <w:pStyle w:val="Compact"/>
                    <w:jc w:val="left"/>
                    <w:jc w:val="center"/>
                  </w:pPr>
                  <w:r>
                    <w:t xml:space="preserve">0.13</w:t>
                  </w:r>
                </w:p>
              </w:tc>
              <w:tc>
                <w:tcPr/>
                <w:p>
                  <w:pPr>
                    <w:pStyle w:val="Compact"/>
                    <w:jc w:val="left"/>
                    <w:jc w:val="center"/>
                  </w:pPr>
                  <w:r>
                    <w:t xml:space="preserve">125.1</w:t>
                  </w:r>
                </w:p>
              </w:tc>
              <w:tc>
                <w:tcPr/>
                <w:p>
                  <w:pPr>
                    <w:pStyle w:val="Compact"/>
                    <w:jc w:val="left"/>
                    <w:jc w:val="center"/>
                  </w:pPr>
                  <w:r>
                    <w:t xml:space="preserve">2.3</w:t>
                  </w:r>
                </w:p>
              </w:tc>
              <w:tc>
                <w:tcPr/>
                <w:p>
                  <w:pPr>
                    <w:pStyle w:val="Compact"/>
                    <w:jc w:val="left"/>
                    <w:jc w:val="center"/>
                  </w:pPr>
                  <w:r>
                    <w:t xml:space="preserve">0.7</w:t>
                  </w:r>
                </w:p>
              </w:tc>
            </w:tr>
            <w:tr>
              <w:tc>
                <w:tcPr/>
                <w:p>
                  <w:pPr>
                    <w:pStyle w:val="Compact"/>
                    <w:jc w:val="left"/>
                    <w:jc w:val="center"/>
                  </w:pPr>
                  <w:r>
                    <w:t xml:space="preserve">Canal de enfriamiento</w:t>
                  </w:r>
                </w:p>
              </w:tc>
              <w:tc>
                <w:tcPr/>
                <w:p>
                  <w:pPr>
                    <w:pStyle w:val="Compact"/>
                    <w:jc w:val="left"/>
                    <w:jc w:val="center"/>
                  </w:pPr>
                  <w:r>
                    <w:t xml:space="preserve">18.9</w:t>
                  </w:r>
                </w:p>
              </w:tc>
              <w:tc>
                <w:tcPr/>
                <w:p>
                  <w:pPr>
                    <w:pStyle w:val="Compact"/>
                    <w:jc w:val="left"/>
                    <w:jc w:val="center"/>
                  </w:pPr>
                  <w:r>
                    <w:t xml:space="preserve">7.69</w:t>
                  </w:r>
                </w:p>
              </w:tc>
              <w:tc>
                <w:tcPr/>
                <w:p>
                  <w:pPr>
                    <w:pStyle w:val="Compact"/>
                    <w:jc w:val="left"/>
                    <w:jc w:val="center"/>
                  </w:pPr>
                  <w:r>
                    <w:t xml:space="preserve">7.4</w:t>
                  </w:r>
                </w:p>
              </w:tc>
              <w:tc>
                <w:tcPr/>
                <w:p>
                  <w:pPr>
                    <w:pStyle w:val="Compact"/>
                    <w:jc w:val="left"/>
                    <w:jc w:val="center"/>
                  </w:pPr>
                  <w:r>
                    <w:t xml:space="preserve">-</w:t>
                  </w:r>
                </w:p>
              </w:tc>
              <w:tc>
                <w:tcPr/>
                <w:p>
                  <w:pPr>
                    <w:pStyle w:val="Compact"/>
                    <w:jc w:val="left"/>
                    <w:jc w:val="center"/>
                  </w:pPr>
                  <w:r>
                    <w:t xml:space="preserve">79.4</w:t>
                  </w:r>
                </w:p>
              </w:tc>
              <w:tc>
                <w:tcPr/>
                <w:p>
                  <w:pPr>
                    <w:pStyle w:val="Compact"/>
                    <w:jc w:val="left"/>
                    <w:jc w:val="center"/>
                  </w:pPr>
                  <w:r>
                    <w:t xml:space="preserve">0.17</w:t>
                  </w:r>
                </w:p>
              </w:tc>
              <w:tc>
                <w:tcPr/>
                <w:p>
                  <w:pPr>
                    <w:pStyle w:val="Compact"/>
                    <w:jc w:val="left"/>
                    <w:jc w:val="center"/>
                  </w:pPr>
                  <w:r>
                    <w:t xml:space="preserve">119.6</w:t>
                  </w:r>
                </w:p>
              </w:tc>
              <w:tc>
                <w:tcPr/>
                <w:p>
                  <w:pPr>
                    <w:pStyle w:val="Compact"/>
                    <w:jc w:val="left"/>
                    <w:jc w:val="center"/>
                  </w:pPr>
                  <w:r>
                    <w:t xml:space="preserve">2.4</w:t>
                  </w:r>
                </w:p>
              </w:tc>
              <w:tc>
                <w:tcPr/>
                <w:p>
                  <w:pPr>
                    <w:pStyle w:val="Compact"/>
                    <w:jc w:val="left"/>
                    <w:jc w:val="center"/>
                  </w:pPr>
                  <w:r>
                    <w:t xml:space="preserve">0.8</w:t>
                  </w:r>
                </w:p>
              </w:tc>
            </w:tr>
            <w:tr>
              <w:tc>
                <w:tcPr/>
                <w:p>
                  <w:pPr>
                    <w:pStyle w:val="Compact"/>
                    <w:jc w:val="left"/>
                    <w:jc w:val="center"/>
                  </w:pPr>
                  <w:r>
                    <w:t xml:space="preserve">Confluencia ríos</w:t>
                  </w:r>
                </w:p>
              </w:tc>
              <w:tc>
                <w:tcPr/>
                <w:p>
                  <w:pPr>
                    <w:pStyle w:val="Compact"/>
                    <w:jc w:val="left"/>
                    <w:jc w:val="center"/>
                  </w:pPr>
                  <w:r>
                    <w:t xml:space="preserve">17.9</w:t>
                  </w:r>
                </w:p>
              </w:tc>
              <w:tc>
                <w:tcPr/>
                <w:p>
                  <w:pPr>
                    <w:pStyle w:val="Compact"/>
                    <w:jc w:val="left"/>
                    <w:jc w:val="center"/>
                  </w:pPr>
                  <w:r>
                    <w:t xml:space="preserve">7.7</w:t>
                  </w:r>
                </w:p>
              </w:tc>
              <w:tc>
                <w:tcPr/>
                <w:p>
                  <w:pPr>
                    <w:pStyle w:val="Compact"/>
                    <w:jc w:val="left"/>
                    <w:jc w:val="center"/>
                  </w:pPr>
                  <w:r>
                    <w:t xml:space="preserve">7.4</w:t>
                  </w:r>
                </w:p>
              </w:tc>
              <w:tc>
                <w:tcPr/>
                <w:p>
                  <w:pPr>
                    <w:pStyle w:val="Compact"/>
                    <w:jc w:val="left"/>
                    <w:jc w:val="center"/>
                  </w:pPr>
                  <w:r>
                    <w:t xml:space="preserve">-</w:t>
                  </w:r>
                </w:p>
              </w:tc>
              <w:tc>
                <w:tcPr/>
                <w:p>
                  <w:pPr>
                    <w:pStyle w:val="Compact"/>
                    <w:jc w:val="left"/>
                    <w:jc w:val="center"/>
                  </w:pPr>
                  <w:r>
                    <w:t xml:space="preserve">81.8</w:t>
                  </w:r>
                </w:p>
              </w:tc>
              <w:tc>
                <w:tcPr/>
                <w:p>
                  <w:pPr>
                    <w:pStyle w:val="Compact"/>
                    <w:jc w:val="left"/>
                    <w:jc w:val="center"/>
                  </w:pPr>
                  <w:r>
                    <w:t xml:space="preserve">0.2</w:t>
                  </w:r>
                </w:p>
              </w:tc>
              <w:tc>
                <w:tcPr/>
                <w:p>
                  <w:pPr>
                    <w:pStyle w:val="Compact"/>
                    <w:jc w:val="left"/>
                    <w:jc w:val="center"/>
                  </w:pPr>
                  <w:r>
                    <w:t xml:space="preserve">122.7</w:t>
                  </w:r>
                </w:p>
              </w:tc>
              <w:tc>
                <w:tcPr/>
                <w:p>
                  <w:pPr>
                    <w:pStyle w:val="Compact"/>
                    <w:jc w:val="left"/>
                    <w:jc w:val="center"/>
                  </w:pPr>
                  <w:r>
                    <w:t xml:space="preserve">6.1</w:t>
                  </w:r>
                </w:p>
              </w:tc>
              <w:tc>
                <w:tcPr/>
                <w:p>
                  <w:pPr>
                    <w:pStyle w:val="Compact"/>
                    <w:jc w:val="left"/>
                    <w:jc w:val="center"/>
                  </w:pPr>
                  <w:r>
                    <w:t xml:space="preserve">1.1</w:t>
                  </w:r>
                </w:p>
              </w:tc>
            </w:tr>
            <w:tr>
              <w:tc>
                <w:tcPr/>
                <w:p>
                  <w:pPr>
                    <w:pStyle w:val="Compact"/>
                    <w:jc w:val="left"/>
                    <w:jc w:val="center"/>
                  </w:pPr>
                  <w:r>
                    <w:t xml:space="preserve">Ingreso Grande</w:t>
                  </w:r>
                </w:p>
              </w:tc>
              <w:tc>
                <w:tcPr/>
                <w:p>
                  <w:pPr>
                    <w:pStyle w:val="Compact"/>
                    <w:jc w:val="left"/>
                    <w:jc w:val="center"/>
                  </w:pPr>
                  <w:r>
                    <w:t xml:space="preserve">15.2</w:t>
                  </w:r>
                </w:p>
              </w:tc>
              <w:tc>
                <w:tcPr/>
                <w:p>
                  <w:pPr>
                    <w:pStyle w:val="Compact"/>
                    <w:jc w:val="left"/>
                    <w:jc w:val="center"/>
                  </w:pPr>
                  <w:r>
                    <w:t xml:space="preserve">7.76</w:t>
                  </w:r>
                </w:p>
              </w:tc>
              <w:tc>
                <w:tcPr/>
                <w:p>
                  <w:pPr>
                    <w:pStyle w:val="Compact"/>
                    <w:jc w:val="left"/>
                    <w:jc w:val="center"/>
                  </w:pPr>
                  <w:r>
                    <w:t xml:space="preserve">7.6</w:t>
                  </w:r>
                </w:p>
              </w:tc>
              <w:tc>
                <w:tcPr/>
                <w:p>
                  <w:pPr>
                    <w:pStyle w:val="Compact"/>
                    <w:jc w:val="left"/>
                    <w:jc w:val="center"/>
                  </w:pPr>
                  <w:r>
                    <w:t xml:space="preserve">3.8</w:t>
                  </w:r>
                </w:p>
              </w:tc>
              <w:tc>
                <w:tcPr/>
                <w:p>
                  <w:pPr>
                    <w:pStyle w:val="Compact"/>
                    <w:jc w:val="left"/>
                    <w:jc w:val="center"/>
                  </w:pPr>
                  <w:r>
                    <w:t xml:space="preserve">81.6</w:t>
                  </w:r>
                </w:p>
              </w:tc>
              <w:tc>
                <w:tcPr/>
                <w:p>
                  <w:pPr>
                    <w:pStyle w:val="Compact"/>
                    <w:jc w:val="left"/>
                    <w:jc w:val="center"/>
                  </w:pPr>
                  <w:r>
                    <w:t xml:space="preserve">0.34</w:t>
                  </w:r>
                </w:p>
              </w:tc>
              <w:tc>
                <w:tcPr/>
                <w:p>
                  <w:pPr>
                    <w:pStyle w:val="Compact"/>
                    <w:jc w:val="left"/>
                    <w:jc w:val="center"/>
                  </w:pPr>
                  <w:r>
                    <w:t xml:space="preserve">122.5</w:t>
                  </w:r>
                </w:p>
              </w:tc>
              <w:tc>
                <w:tcPr/>
                <w:p>
                  <w:pPr>
                    <w:pStyle w:val="Compact"/>
                    <w:jc w:val="left"/>
                    <w:jc w:val="center"/>
                  </w:pPr>
                  <w:r>
                    <w:t xml:space="preserve">2.7</w:t>
                  </w:r>
                </w:p>
              </w:tc>
              <w:tc>
                <w:tcPr/>
                <w:p>
                  <w:pPr>
                    <w:pStyle w:val="Compact"/>
                    <w:jc w:val="left"/>
                    <w:jc w:val="center"/>
                  </w:pPr>
                  <w:r>
                    <w:t xml:space="preserve">1.1</w:t>
                  </w:r>
                </w:p>
              </w:tc>
            </w:tr>
            <w:tr>
              <w:tc>
                <w:tcPr/>
                <w:p>
                  <w:pPr>
                    <w:pStyle w:val="Compact"/>
                    <w:jc w:val="left"/>
                    <w:jc w:val="center"/>
                  </w:pPr>
                  <w:r>
                    <w:t xml:space="preserve">Ingreso Santa Rosa</w:t>
                  </w:r>
                </w:p>
              </w:tc>
              <w:tc>
                <w:tcPr/>
                <w:p>
                  <w:pPr>
                    <w:pStyle w:val="Compact"/>
                    <w:jc w:val="left"/>
                    <w:jc w:val="center"/>
                  </w:pPr>
                  <w:r>
                    <w:t xml:space="preserve">14.4</w:t>
                  </w:r>
                </w:p>
              </w:tc>
              <w:tc>
                <w:tcPr/>
                <w:p>
                  <w:pPr>
                    <w:pStyle w:val="Compact"/>
                    <w:jc w:val="left"/>
                    <w:jc w:val="center"/>
                  </w:pPr>
                  <w:r>
                    <w:t xml:space="preserve">7.75</w:t>
                  </w:r>
                </w:p>
              </w:tc>
              <w:tc>
                <w:tcPr/>
                <w:p>
                  <w:pPr>
                    <w:pStyle w:val="Compact"/>
                    <w:jc w:val="left"/>
                    <w:jc w:val="center"/>
                  </w:pPr>
                  <w:r>
                    <w:t xml:space="preserve">7.5</w:t>
                  </w:r>
                </w:p>
              </w:tc>
              <w:tc>
                <w:tcPr/>
                <w:p>
                  <w:pPr>
                    <w:pStyle w:val="Compact"/>
                    <w:jc w:val="left"/>
                    <w:jc w:val="center"/>
                  </w:pPr>
                  <w:r>
                    <w:t xml:space="preserve">-</w:t>
                  </w:r>
                </w:p>
              </w:tc>
              <w:tc>
                <w:tcPr/>
                <w:p>
                  <w:pPr>
                    <w:pStyle w:val="Compact"/>
                    <w:jc w:val="left"/>
                    <w:jc w:val="center"/>
                  </w:pPr>
                  <w:r>
                    <w:t xml:space="preserve">83.5</w:t>
                  </w:r>
                </w:p>
              </w:tc>
              <w:tc>
                <w:tcPr/>
                <w:p>
                  <w:pPr>
                    <w:pStyle w:val="Compact"/>
                    <w:jc w:val="left"/>
                    <w:jc w:val="center"/>
                  </w:pPr>
                  <w:r>
                    <w:t xml:space="preserve">0.31</w:t>
                  </w:r>
                </w:p>
              </w:tc>
              <w:tc>
                <w:tcPr/>
                <w:p>
                  <w:pPr>
                    <w:pStyle w:val="Compact"/>
                    <w:jc w:val="left"/>
                    <w:jc w:val="center"/>
                  </w:pPr>
                  <w:r>
                    <w:t xml:space="preserve">122</w:t>
                  </w:r>
                </w:p>
              </w:tc>
              <w:tc>
                <w:tcPr/>
                <w:p>
                  <w:pPr>
                    <w:pStyle w:val="Compact"/>
                    <w:jc w:val="left"/>
                    <w:jc w:val="center"/>
                  </w:pPr>
                  <w:r>
                    <w:t xml:space="preserve">2.6</w:t>
                  </w:r>
                </w:p>
              </w:tc>
              <w:tc>
                <w:tcPr/>
                <w:p>
                  <w:pPr>
                    <w:pStyle w:val="Compact"/>
                    <w:jc w:val="left"/>
                    <w:jc w:val="center"/>
                  </w:pPr>
                  <w:r>
                    <w:t xml:space="preserve">1.5</w:t>
                  </w:r>
                </w:p>
              </w:tc>
            </w:tr>
            <w:tr>
              <w:tc>
                <w:tcPr/>
                <w:p>
                  <w:pPr>
                    <w:pStyle w:val="Compact"/>
                    <w:jc w:val="left"/>
                    <w:jc w:val="center"/>
                  </w:pPr>
                  <w:r>
                    <w:t xml:space="preserve">Centro</w:t>
                  </w:r>
                </w:p>
              </w:tc>
              <w:tc>
                <w:tcPr/>
                <w:p>
                  <w:pPr>
                    <w:pStyle w:val="Compact"/>
                    <w:jc w:val="left"/>
                    <w:jc w:val="center"/>
                  </w:pPr>
                  <w:r>
                    <w:t xml:space="preserve">14.5</w:t>
                  </w:r>
                </w:p>
              </w:tc>
              <w:tc>
                <w:tcPr/>
                <w:p>
                  <w:pPr>
                    <w:pStyle w:val="Compact"/>
                    <w:jc w:val="left"/>
                    <w:jc w:val="center"/>
                  </w:pPr>
                  <w:r>
                    <w:t xml:space="preserve">7.75</w:t>
                  </w:r>
                </w:p>
              </w:tc>
              <w:tc>
                <w:tcPr/>
                <w:p>
                  <w:pPr>
                    <w:pStyle w:val="Compact"/>
                    <w:jc w:val="left"/>
                    <w:jc w:val="center"/>
                  </w:pPr>
                  <w:r>
                    <w:t xml:space="preserve">9.5</w:t>
                  </w:r>
                </w:p>
              </w:tc>
              <w:tc>
                <w:tcPr/>
                <w:p>
                  <w:pPr>
                    <w:pStyle w:val="Compact"/>
                    <w:jc w:val="left"/>
                    <w:jc w:val="center"/>
                  </w:pPr>
                  <w:r>
                    <w:t xml:space="preserve">5.5</w:t>
                  </w:r>
                </w:p>
              </w:tc>
              <w:tc>
                <w:tcPr/>
                <w:p>
                  <w:pPr>
                    <w:pStyle w:val="Compact"/>
                    <w:jc w:val="left"/>
                    <w:jc w:val="center"/>
                  </w:pPr>
                  <w:r>
                    <w:t xml:space="preserve">82.8</w:t>
                  </w:r>
                </w:p>
              </w:tc>
              <w:tc>
                <w:tcPr/>
                <w:p>
                  <w:pPr>
                    <w:pStyle w:val="Compact"/>
                    <w:jc w:val="left"/>
                    <w:jc w:val="center"/>
                  </w:pPr>
                  <w:r>
                    <w:t xml:space="preserve">0.23</w:t>
                  </w:r>
                </w:p>
              </w:tc>
              <w:tc>
                <w:tcPr/>
                <w:p>
                  <w:pPr>
                    <w:pStyle w:val="Compact"/>
                    <w:jc w:val="left"/>
                    <w:jc w:val="center"/>
                  </w:pPr>
                  <w:r>
                    <w:t xml:space="preserve">124.6</w:t>
                  </w:r>
                </w:p>
              </w:tc>
              <w:tc>
                <w:tcPr/>
                <w:p>
                  <w:pPr>
                    <w:pStyle w:val="Compact"/>
                    <w:jc w:val="left"/>
                    <w:jc w:val="center"/>
                  </w:pPr>
                  <w:r>
                    <w:t xml:space="preserve">2.3</w:t>
                  </w:r>
                </w:p>
              </w:tc>
              <w:tc>
                <w:tcPr/>
                <w:p>
                  <w:pPr>
                    <w:pStyle w:val="Compact"/>
                    <w:jc w:val="left"/>
                    <w:jc w:val="center"/>
                  </w:pPr>
                  <w:r>
                    <w:t xml:space="preserve">1.1</w:t>
                  </w:r>
                </w:p>
              </w:tc>
            </w:tr>
            <w:tr>
              <w:tc>
                <w:tcPr/>
                <w:p>
                  <w:pPr>
                    <w:pStyle w:val="Compact"/>
                    <w:jc w:val="left"/>
                    <w:jc w:val="center"/>
                  </w:pPr>
                  <w:r>
                    <w:t xml:space="preserve">Villa del dique</w:t>
                  </w:r>
                </w:p>
              </w:tc>
              <w:tc>
                <w:tcPr/>
                <w:p>
                  <w:pPr>
                    <w:pStyle w:val="Compact"/>
                    <w:jc w:val="left"/>
                    <w:jc w:val="center"/>
                  </w:pPr>
                  <w:r>
                    <w:t xml:space="preserve">14.6</w:t>
                  </w:r>
                </w:p>
              </w:tc>
              <w:tc>
                <w:tcPr/>
                <w:p>
                  <w:pPr>
                    <w:pStyle w:val="Compact"/>
                    <w:jc w:val="left"/>
                    <w:jc w:val="center"/>
                  </w:pPr>
                  <w:r>
                    <w:t xml:space="preserve">7.83</w:t>
                  </w:r>
                </w:p>
              </w:tc>
              <w:tc>
                <w:tcPr/>
                <w:p>
                  <w:pPr>
                    <w:pStyle w:val="Compact"/>
                    <w:jc w:val="left"/>
                    <w:jc w:val="center"/>
                  </w:pPr>
                  <w:r>
                    <w:t xml:space="preserve">8</w:t>
                  </w:r>
                </w:p>
              </w:tc>
              <w:tc>
                <w:tcPr/>
                <w:p>
                  <w:pPr>
                    <w:pStyle w:val="Compact"/>
                    <w:jc w:val="left"/>
                    <w:jc w:val="center"/>
                  </w:pPr>
                  <w:r>
                    <w:t xml:space="preserve">4.5</w:t>
                  </w:r>
                </w:p>
              </w:tc>
              <w:tc>
                <w:tcPr/>
                <w:p>
                  <w:pPr>
                    <w:pStyle w:val="Compact"/>
                    <w:jc w:val="left"/>
                    <w:jc w:val="center"/>
                  </w:pPr>
                  <w:r>
                    <w:t xml:space="preserve">78.9</w:t>
                  </w:r>
                </w:p>
              </w:tc>
              <w:tc>
                <w:tcPr/>
                <w:p>
                  <w:pPr>
                    <w:pStyle w:val="Compact"/>
                    <w:jc w:val="left"/>
                    <w:jc w:val="center"/>
                  </w:pPr>
                  <w:r>
                    <w:t xml:space="preserve">0.25</w:t>
                  </w:r>
                </w:p>
              </w:tc>
              <w:tc>
                <w:tcPr/>
                <w:p>
                  <w:pPr>
                    <w:pStyle w:val="Compact"/>
                    <w:jc w:val="left"/>
                    <w:jc w:val="center"/>
                  </w:pPr>
                  <w:r>
                    <w:t xml:space="preserve">118.7</w:t>
                  </w:r>
                </w:p>
              </w:tc>
              <w:tc>
                <w:tcPr/>
                <w:p>
                  <w:pPr>
                    <w:pStyle w:val="Compact"/>
                    <w:jc w:val="left"/>
                    <w:jc w:val="center"/>
                  </w:pPr>
                  <w:r>
                    <w:t xml:space="preserve">4.9</w:t>
                  </w:r>
                </w:p>
              </w:tc>
              <w:tc>
                <w:tcPr/>
                <w:p>
                  <w:pPr>
                    <w:pStyle w:val="Compact"/>
                    <w:jc w:val="left"/>
                    <w:jc w:val="center"/>
                  </w:pPr>
                  <w:r>
                    <w:t xml:space="preserve">1.1</w:t>
                  </w:r>
                </w:p>
              </w:tc>
            </w:tr>
            <w:tr>
              <w:tc>
                <w:tcPr/>
                <w:p>
                  <w:pPr>
                    <w:pStyle w:val="Compact"/>
                    <w:jc w:val="left"/>
                    <w:jc w:val="center"/>
                  </w:pPr>
                  <w:r>
                    <w:t xml:space="preserve">Prensa</w:t>
                  </w:r>
                </w:p>
              </w:tc>
              <w:tc>
                <w:tcPr/>
                <w:p>
                  <w:pPr>
                    <w:pStyle w:val="Compact"/>
                    <w:jc w:val="left"/>
                    <w:jc w:val="center"/>
                  </w:pPr>
                  <w:r>
                    <w:t xml:space="preserve">14.7</w:t>
                  </w:r>
                </w:p>
              </w:tc>
              <w:tc>
                <w:tcPr/>
                <w:p>
                  <w:pPr>
                    <w:pStyle w:val="Compact"/>
                    <w:jc w:val="left"/>
                    <w:jc w:val="center"/>
                  </w:pPr>
                  <w:r>
                    <w:t xml:space="preserve">7.76</w:t>
                  </w:r>
                </w:p>
              </w:tc>
              <w:tc>
                <w:tcPr/>
                <w:p>
                  <w:pPr>
                    <w:pStyle w:val="Compact"/>
                    <w:jc w:val="left"/>
                    <w:jc w:val="center"/>
                  </w:pPr>
                  <w:r>
                    <w:t xml:space="preserve">8.3</w:t>
                  </w:r>
                </w:p>
              </w:tc>
              <w:tc>
                <w:tcPr/>
                <w:p>
                  <w:pPr>
                    <w:pStyle w:val="Compact"/>
                    <w:jc w:val="left"/>
                    <w:jc w:val="center"/>
                  </w:pPr>
                  <w:r>
                    <w:t xml:space="preserve">5.5</w:t>
                  </w:r>
                </w:p>
              </w:tc>
              <w:tc>
                <w:tcPr/>
                <w:p>
                  <w:pPr>
                    <w:pStyle w:val="Compact"/>
                    <w:jc w:val="left"/>
                    <w:jc w:val="center"/>
                  </w:pPr>
                  <w:r>
                    <w:t xml:space="preserve">76</w:t>
                  </w:r>
                </w:p>
              </w:tc>
              <w:tc>
                <w:tcPr/>
                <w:p>
                  <w:pPr>
                    <w:pStyle w:val="Compact"/>
                    <w:jc w:val="left"/>
                    <w:jc w:val="center"/>
                  </w:pPr>
                  <w:r>
                    <w:t xml:space="preserve">0.2</w:t>
                  </w:r>
                </w:p>
              </w:tc>
              <w:tc>
                <w:tcPr/>
                <w:p>
                  <w:pPr>
                    <w:pStyle w:val="Compact"/>
                    <w:jc w:val="left"/>
                    <w:jc w:val="center"/>
                  </w:pPr>
                  <w:r>
                    <w:t xml:space="preserve">115</w:t>
                  </w:r>
                </w:p>
              </w:tc>
              <w:tc>
                <w:tcPr/>
                <w:p>
                  <w:pPr>
                    <w:pStyle w:val="Compact"/>
                    <w:jc w:val="left"/>
                    <w:jc w:val="center"/>
                  </w:pPr>
                  <w:r>
                    <w:t xml:space="preserve">3.5</w:t>
                  </w:r>
                </w:p>
              </w:tc>
              <w:tc>
                <w:tcPr/>
                <w:p>
                  <w:pPr>
                    <w:pStyle w:val="Compact"/>
                    <w:jc w:val="left"/>
                    <w:jc w:val="center"/>
                  </w:pPr>
                  <w:r>
                    <w:t xml:space="preserve">0.8</w:t>
                  </w:r>
                </w:p>
              </w:tc>
            </w:tr>
            <w:tr>
              <w:tc>
                <w:tcPr/>
                <w:p>
                  <w:pPr>
                    <w:pStyle w:val="Compact"/>
                    <w:jc w:val="left"/>
                    <w:jc w:val="center"/>
                  </w:pPr>
                  <w:r>
                    <w:rPr>
                      <w:b/>
                      <w:bCs/>
                    </w:rPr>
                    <w:t xml:space="preserve">MEDIA</w:t>
                  </w:r>
                </w:p>
              </w:tc>
              <w:tc>
                <w:tcPr/>
                <w:p>
                  <w:pPr>
                    <w:pStyle w:val="Compact"/>
                    <w:jc w:val="left"/>
                    <w:jc w:val="center"/>
                  </w:pPr>
                  <w:r>
                    <w:t xml:space="preserve">15.3</w:t>
                  </w:r>
                </w:p>
              </w:tc>
              <w:tc>
                <w:tcPr/>
                <w:p>
                  <w:pPr>
                    <w:pStyle w:val="Compact"/>
                    <w:jc w:val="left"/>
                    <w:jc w:val="center"/>
                  </w:pPr>
                  <w:r>
                    <w:t xml:space="preserve">7.7</w:t>
                  </w:r>
                </w:p>
              </w:tc>
              <w:tc>
                <w:tcPr/>
                <w:p>
                  <w:pPr>
                    <w:pStyle w:val="Compact"/>
                    <w:jc w:val="left"/>
                    <w:jc w:val="center"/>
                  </w:pPr>
                  <w:r>
                    <w:t xml:space="preserve">7.9</w:t>
                  </w:r>
                </w:p>
              </w:tc>
              <w:tc>
                <w:tcPr/>
                <w:p>
                  <w:pPr>
                    <w:pStyle w:val="Compact"/>
                    <w:jc w:val="left"/>
                    <w:jc w:val="center"/>
                  </w:pPr>
                  <w:r>
                    <w:t xml:space="preserve">4.8</w:t>
                  </w:r>
                </w:p>
              </w:tc>
              <w:tc>
                <w:tcPr/>
                <w:p>
                  <w:pPr>
                    <w:pStyle w:val="Compact"/>
                    <w:jc w:val="left"/>
                    <w:jc w:val="center"/>
                  </w:pPr>
                  <w:r>
                    <w:t xml:space="preserve">80.8</w:t>
                  </w:r>
                </w:p>
              </w:tc>
              <w:tc>
                <w:tcPr/>
                <w:p>
                  <w:pPr>
                    <w:pStyle w:val="Compact"/>
                    <w:jc w:val="left"/>
                    <w:jc w:val="center"/>
                  </w:pPr>
                  <w:r>
                    <w:t xml:space="preserve">0.2</w:t>
                  </w:r>
                </w:p>
              </w:tc>
              <w:tc>
                <w:tcPr/>
                <w:p>
                  <w:pPr>
                    <w:pStyle w:val="Compact"/>
                    <w:jc w:val="left"/>
                    <w:jc w:val="center"/>
                  </w:pPr>
                  <w:r>
                    <w:t xml:space="preserve">121</w:t>
                  </w:r>
                </w:p>
              </w:tc>
              <w:tc>
                <w:tcPr/>
                <w:p>
                  <w:pPr>
                    <w:pStyle w:val="Compact"/>
                    <w:jc w:val="left"/>
                    <w:jc w:val="center"/>
                  </w:pPr>
                  <w:r>
                    <w:t xml:space="preserve">3.9</w:t>
                  </w:r>
                </w:p>
              </w:tc>
              <w:tc>
                <w:tcPr/>
                <w:p>
                  <w:pPr>
                    <w:pStyle w:val="Compact"/>
                    <w:jc w:val="left"/>
                    <w:jc w:val="center"/>
                  </w:pPr>
                  <w:r>
                    <w:t xml:space="preserve">1.1</w:t>
                  </w:r>
                </w:p>
              </w:tc>
            </w:tr>
            <w:tr>
              <w:tc>
                <w:tcPr/>
                <w:p>
                  <w:pPr>
                    <w:pStyle w:val="Compact"/>
                    <w:jc w:val="left"/>
                    <w:jc w:val="center"/>
                  </w:pPr>
                  <w:r>
                    <w:rPr>
                      <w:b/>
                      <w:bCs/>
                    </w:rPr>
                    <w:t xml:space="preserve">DESVÍO ESTÁNDAR</w:t>
                  </w:r>
                </w:p>
              </w:tc>
              <w:tc>
                <w:tcPr/>
                <w:p>
                  <w:pPr>
                    <w:pStyle w:val="Compact"/>
                    <w:jc w:val="left"/>
                    <w:jc w:val="center"/>
                  </w:pPr>
                  <w:r>
                    <w:t xml:space="preserve">1.6</w:t>
                  </w:r>
                </w:p>
              </w:tc>
              <w:tc>
                <w:tcPr/>
                <w:p>
                  <w:pPr>
                    <w:pStyle w:val="Compact"/>
                    <w:jc w:val="left"/>
                    <w:jc w:val="center"/>
                  </w:pPr>
                  <w:r>
                    <w:t xml:space="preserve">0.1</w:t>
                  </w:r>
                </w:p>
              </w:tc>
              <w:tc>
                <w:tcPr/>
                <w:p>
                  <w:pPr>
                    <w:pStyle w:val="Compact"/>
                    <w:jc w:val="left"/>
                    <w:jc w:val="center"/>
                  </w:pPr>
                  <w:r>
                    <w:t xml:space="preserve">0.7</w:t>
                  </w:r>
                </w:p>
              </w:tc>
              <w:tc>
                <w:tcPr/>
                <w:p>
                  <w:pPr>
                    <w:pStyle w:val="Compact"/>
                    <w:jc w:val="left"/>
                    <w:jc w:val="center"/>
                  </w:pPr>
                  <w:r>
                    <w:t xml:space="preserve">0.7</w:t>
                  </w:r>
                </w:p>
              </w:tc>
              <w:tc>
                <w:tcPr/>
                <w:p>
                  <w:pPr>
                    <w:pStyle w:val="Compact"/>
                    <w:jc w:val="left"/>
                    <w:jc w:val="center"/>
                  </w:pPr>
                  <w:r>
                    <w:t xml:space="preserve">2.3</w:t>
                  </w:r>
                </w:p>
              </w:tc>
              <w:tc>
                <w:tcPr/>
                <w:p>
                  <w:pPr>
                    <w:pStyle w:val="Compact"/>
                    <w:jc w:val="left"/>
                    <w:jc w:val="center"/>
                  </w:pPr>
                  <w:r>
                    <w:t xml:space="preserve">0.1</w:t>
                  </w:r>
                </w:p>
              </w:tc>
              <w:tc>
                <w:tcPr/>
                <w:p>
                  <w:pPr>
                    <w:pStyle w:val="Compact"/>
                    <w:jc w:val="left"/>
                    <w:jc w:val="center"/>
                  </w:pPr>
                  <w:r>
                    <w:t xml:space="preserve">3.2</w:t>
                  </w:r>
                </w:p>
              </w:tc>
              <w:tc>
                <w:tcPr/>
                <w:p>
                  <w:pPr>
                    <w:pStyle w:val="Compact"/>
                    <w:jc w:val="left"/>
                    <w:jc w:val="center"/>
                  </w:pPr>
                  <w:r>
                    <w:t xml:space="preserve">1.6</w:t>
                  </w:r>
                </w:p>
              </w:tc>
              <w:tc>
                <w:tcPr/>
                <w:p>
                  <w:pPr>
                    <w:pStyle w:val="Compact"/>
                    <w:jc w:val="left"/>
                    <w:jc w:val="center"/>
                  </w:pPr>
                  <w:r>
                    <w:t xml:space="preserve">0.3</w:t>
                  </w:r>
                </w:p>
              </w:tc>
            </w:tr>
            <w:tr>
              <w:tc>
                <w:tcPr/>
                <w:p>
                  <w:pPr>
                    <w:pStyle w:val="Compact"/>
                    <w:jc w:val="left"/>
                    <w:jc w:val="center"/>
                  </w:pPr>
                  <w:r>
                    <w:rPr>
                      <w:b/>
                      <w:bCs/>
                    </w:rPr>
                    <w:t xml:space="preserve">MÍNIMO</w:t>
                  </w:r>
                </w:p>
              </w:tc>
              <w:tc>
                <w:tcPr/>
                <w:p>
                  <w:pPr>
                    <w:pStyle w:val="Compact"/>
                    <w:jc w:val="left"/>
                    <w:jc w:val="center"/>
                  </w:pPr>
                  <w:r>
                    <w:t xml:space="preserve">14</w:t>
                  </w:r>
                </w:p>
              </w:tc>
              <w:tc>
                <w:tcPr/>
                <w:p>
                  <w:pPr>
                    <w:pStyle w:val="Compact"/>
                    <w:jc w:val="left"/>
                    <w:jc w:val="center"/>
                  </w:pPr>
                  <w:r>
                    <w:t xml:space="preserve">7.3</w:t>
                  </w:r>
                </w:p>
              </w:tc>
              <w:tc>
                <w:tcPr/>
                <w:p>
                  <w:pPr>
                    <w:pStyle w:val="Compact"/>
                    <w:jc w:val="left"/>
                    <w:jc w:val="center"/>
                  </w:pPr>
                  <w:r>
                    <w:t xml:space="preserve">7.1</w:t>
                  </w:r>
                </w:p>
              </w:tc>
              <w:tc>
                <w:tcPr/>
                <w:p>
                  <w:pPr>
                    <w:pStyle w:val="Compact"/>
                    <w:jc w:val="left"/>
                    <w:jc w:val="center"/>
                  </w:pPr>
                  <w:r>
                    <w:t xml:space="preserve">3.8</w:t>
                  </w:r>
                </w:p>
              </w:tc>
              <w:tc>
                <w:tcPr/>
                <w:p>
                  <w:pPr>
                    <w:pStyle w:val="Compact"/>
                    <w:jc w:val="left"/>
                    <w:jc w:val="center"/>
                  </w:pPr>
                  <w:r>
                    <w:t xml:space="preserve">76</w:t>
                  </w:r>
                </w:p>
              </w:tc>
              <w:tc>
                <w:tcPr/>
                <w:p>
                  <w:pPr>
                    <w:pStyle w:val="Compact"/>
                    <w:jc w:val="left"/>
                    <w:jc w:val="center"/>
                  </w:pPr>
                  <w:r>
                    <w:t xml:space="preserve">0.1</w:t>
                  </w:r>
                </w:p>
              </w:tc>
              <w:tc>
                <w:tcPr/>
                <w:p>
                  <w:pPr>
                    <w:pStyle w:val="Compact"/>
                    <w:jc w:val="left"/>
                    <w:jc w:val="center"/>
                  </w:pPr>
                  <w:r>
                    <w:t xml:space="preserve">115</w:t>
                  </w:r>
                </w:p>
              </w:tc>
              <w:tc>
                <w:tcPr/>
                <w:p>
                  <w:pPr>
                    <w:pStyle w:val="Compact"/>
                    <w:jc w:val="left"/>
                    <w:jc w:val="center"/>
                  </w:pPr>
                  <w:r>
                    <w:t xml:space="preserve">2.3</w:t>
                  </w:r>
                </w:p>
              </w:tc>
              <w:tc>
                <w:tcPr/>
                <w:p>
                  <w:pPr>
                    <w:pStyle w:val="Compact"/>
                    <w:jc w:val="left"/>
                    <w:jc w:val="center"/>
                  </w:pPr>
                  <w:r>
                    <w:t xml:space="preserve">0.7</w:t>
                  </w:r>
                </w:p>
              </w:tc>
            </w:tr>
            <w:tr>
              <w:tc>
                <w:tcPr/>
                <w:p>
                  <w:pPr>
                    <w:pStyle w:val="Compact"/>
                    <w:jc w:val="left"/>
                    <w:jc w:val="center"/>
                  </w:pPr>
                  <w:r>
                    <w:rPr>
                      <w:b/>
                      <w:bCs/>
                    </w:rPr>
                    <w:t xml:space="preserve">MÁXIMO</w:t>
                  </w:r>
                </w:p>
              </w:tc>
              <w:tc>
                <w:tcPr/>
                <w:p>
                  <w:pPr>
                    <w:pStyle w:val="Compact"/>
                    <w:jc w:val="left"/>
                    <w:jc w:val="center"/>
                  </w:pPr>
                  <w:r>
                    <w:t xml:space="preserve">18.9</w:t>
                  </w:r>
                </w:p>
              </w:tc>
              <w:tc>
                <w:tcPr/>
                <w:p>
                  <w:pPr>
                    <w:pStyle w:val="Compact"/>
                    <w:jc w:val="left"/>
                    <w:jc w:val="center"/>
                  </w:pPr>
                  <w:r>
                    <w:t xml:space="preserve">7.8</w:t>
                  </w:r>
                </w:p>
              </w:tc>
              <w:tc>
                <w:tcPr/>
                <w:p>
                  <w:pPr>
                    <w:pStyle w:val="Compact"/>
                    <w:jc w:val="left"/>
                    <w:jc w:val="center"/>
                  </w:pPr>
                  <w:r>
                    <w:t xml:space="preserve">9.5</w:t>
                  </w:r>
                </w:p>
              </w:tc>
              <w:tc>
                <w:tcPr/>
                <w:p>
                  <w:pPr>
                    <w:pStyle w:val="Compact"/>
                    <w:jc w:val="left"/>
                    <w:jc w:val="center"/>
                  </w:pPr>
                  <w:r>
                    <w:t xml:space="preserve">5.5</w:t>
                  </w:r>
                </w:p>
              </w:tc>
              <w:tc>
                <w:tcPr/>
                <w:p>
                  <w:pPr>
                    <w:pStyle w:val="Compact"/>
                    <w:jc w:val="left"/>
                    <w:jc w:val="center"/>
                  </w:pPr>
                  <w:r>
                    <w:t xml:space="preserve">83.5</w:t>
                  </w:r>
                </w:p>
              </w:tc>
              <w:tc>
                <w:tcPr/>
                <w:p>
                  <w:pPr>
                    <w:pStyle w:val="Compact"/>
                    <w:jc w:val="left"/>
                    <w:jc w:val="center"/>
                  </w:pPr>
                  <w:r>
                    <w:t xml:space="preserve">0.5</w:t>
                  </w:r>
                </w:p>
              </w:tc>
              <w:tc>
                <w:tcPr/>
                <w:p>
                  <w:pPr>
                    <w:pStyle w:val="Compact"/>
                    <w:jc w:val="left"/>
                    <w:jc w:val="center"/>
                  </w:pPr>
                  <w:r>
                    <w:t xml:space="preserve">125.1</w:t>
                  </w:r>
                </w:p>
              </w:tc>
              <w:tc>
                <w:tcPr/>
                <w:p>
                  <w:pPr>
                    <w:pStyle w:val="Compact"/>
                    <w:jc w:val="left"/>
                    <w:jc w:val="center"/>
                  </w:pPr>
                  <w:r>
                    <w:t xml:space="preserve">6.1</w:t>
                  </w:r>
                </w:p>
              </w:tc>
              <w:tc>
                <w:tcPr/>
                <w:p>
                  <w:pPr>
                    <w:pStyle w:val="Compact"/>
                    <w:jc w:val="left"/>
                    <w:jc w:val="center"/>
                  </w:pPr>
                  <w:r>
                    <w:t xml:space="preserve">1.5</w:t>
                  </w:r>
                </w:p>
              </w:tc>
            </w:tr>
          </w:tbl>
          <w:bookmarkEnd w:id="39"/>
          <w:p/>
        </w:tc>
      </w:tr>
    </w:tbl>
    <w:p>
      <w:pPr>
        <w:pStyle w:val="BodyText"/>
      </w:pPr>
      <w:r>
        <w:t xml:space="preserve">La</w:t>
      </w:r>
      <w:r>
        <w:t xml:space="preserve"> </w:t>
      </w:r>
      <w:hyperlink w:anchor="fig-param-campo">
        <w:r>
          <w:rPr>
            <w:rStyle w:val="Hyperlink"/>
          </w:rPr>
          <w:t xml:space="preserve">figura 2.1</w:t>
        </w:r>
      </w:hyperlink>
      <w:r>
        <w:t xml:space="preserve"> </w:t>
      </w:r>
      <w:r>
        <w:t xml:space="preserve">muestra la dinámica de las principales variables medidas durante esta campaña, su comparación con el mes anterior (Mayo 2025) y el mismo mes del año previo (Junio de 2024).</w:t>
      </w:r>
    </w:p>
    <w:tbl>
      <w:tblPr>
        <w:tblStyle w:val="Table"/>
        <w:tblW w:type="pct" w:w="5000"/>
        <w:tblLayout w:type="fixed"/>
        <w:tblLook w:firstRow="0" w:lastRow="0" w:firstColumn="0" w:lastColumn="0" w:noHBand="0" w:noVBand="0" w:val="0000"/>
      </w:tblPr>
      <w:tblGrid>
        <w:gridCol w:w="7920"/>
      </w:tblGrid>
      <w:tr>
        <w:tc>
          <w:tcPr/>
          <w:bookmarkStart w:id="43" w:name="fig-param-campo"/>
          <w:p>
            <w:pPr>
              <w:pStyle w:val="Compact"/>
              <w:jc w:val="center"/>
            </w:pPr>
            <w:r>
              <w:drawing>
                <wp:inline>
                  <wp:extent cx="4587290" cy="2752374"/>
                  <wp:effectExtent b="0" l="0" r="0" t="0"/>
                  <wp:docPr descr="" title="" id="41" name="Picture"/>
                  <a:graphic>
                    <a:graphicData uri="http://schemas.openxmlformats.org/drawingml/2006/picture">
                      <pic:pic>
                        <pic:nvPicPr>
                          <pic:cNvPr descr="informe_docx_files/figure-docx/fig-param-campo-1.png" id="42" name="Picture"/>
                          <pic:cNvPicPr>
                            <a:picLocks noChangeArrowheads="1" noChangeAspect="1"/>
                          </pic:cNvPicPr>
                        </pic:nvPicPr>
                        <pic:blipFill>
                          <a:blip r:embed="rId40"/>
                          <a:stretch>
                            <a:fillRect/>
                          </a:stretch>
                        </pic:blipFill>
                        <pic:spPr bwMode="auto">
                          <a:xfrm>
                            <a:off x="0" y="0"/>
                            <a:ext cx="4587290" cy="2752374"/>
                          </a:xfrm>
                          <a:prstGeom prst="rect">
                            <a:avLst/>
                          </a:prstGeom>
                          <a:noFill/>
                          <a:ln w="9525">
                            <a:noFill/>
                            <a:headEnd/>
                            <a:tailEnd/>
                          </a:ln>
                        </pic:spPr>
                      </pic:pic>
                    </a:graphicData>
                  </a:graphic>
                </wp:inline>
              </w:drawing>
            </w:r>
          </w:p>
          <w:p>
            <w:pPr>
              <w:jc w:val="center"/>
            </w:pPr>
            <w:pPr>
              <w:jc w:val="left"/>
              <w:spacing w:before="200"/>
              <w:pStyle w:val="ImageCaption"/>
            </w:pPr>
            <w:r>
              <w:t xml:space="preserve">Figura 2.1: Variación temporal de las variables medidas a campo</w:t>
            </w:r>
          </w:p>
          <w:bookmarkEnd w:id="43"/>
        </w:tc>
      </w:tr>
    </w:tbl>
    <w:p>
      <w:pPr>
        <w:pStyle w:val="BodyText"/>
      </w:pPr>
      <w:r>
        <w:t xml:space="preserve">La</w:t>
      </w:r>
      <w:r>
        <w:t xml:space="preserve"> </w:t>
      </w:r>
      <w:hyperlink w:anchor="tbl-calidad-agua">
        <w:r>
          <w:rPr>
            <w:rStyle w:val="Hyperlink"/>
          </w:rPr>
          <w:t xml:space="preserve">Tabla 2.2</w:t>
        </w:r>
      </w:hyperlink>
      <w:r>
        <w:t xml:space="preserve"> </w:t>
      </w:r>
      <w:r>
        <w:t xml:space="preserve">muestra las concentraciones de aniones, cationes y nutrientes más importantes registrados para dicho monitoreo. Para este análisis, se evaluó un sitio representativo de cada Lóbulo del embalse, con el fin de obtener una visión general de la calidad del agua en todo el reservorio.</w:t>
      </w:r>
    </w:p>
    <w:tbl>
      <w:tblPr>
        <w:tblStyle w:val="Table"/>
        <w:tblW w:type="pct" w:w="5000"/>
        <w:tblLayout w:type="fixed"/>
        <w:tblLook w:firstRow="0" w:lastRow="0" w:firstColumn="0" w:lastColumn="0" w:noHBand="0" w:noVBand="0" w:val="0000"/>
      </w:tblPr>
      <w:tblGrid>
        <w:gridCol w:w="7920"/>
      </w:tblGrid>
      <w:tr>
        <w:tc>
          <w:tcPr/>
          <w:bookmarkStart w:id="44" w:name="tbl-calidad-agua"/>
          <w:p>
            <w:pPr>
              <w:jc w:val="center"/>
            </w:pPr>
            <w:pPr>
              <w:jc w:val="left"/>
              <w:spacing w:before="200"/>
              <w:pStyle w:val="ImageCaption"/>
            </w:pPr>
            <w:r>
              <w:t xml:space="preserve">Tabla 2.2: Determinaciones fisico-químicas básicas obtenidas para el embalse Río Tercero</w:t>
            </w:r>
            <w:r>
              <w:t xml:space="preserve"> </w:t>
            </w:r>
            <w:r>
              <w:rPr>
                <w:b/>
                <w:bCs/>
              </w:rPr>
              <w:t xml:space="preserve">Junio de 2025</w:t>
            </w:r>
            <w:r>
              <w:t xml:space="preserve">.</w:t>
            </w:r>
          </w:p>
          <w:tbl>
            <w:tblPr>
              <w:tblStyle w:val="Table"/>
              <w:tblW w:type="pct" w:w="5000"/>
              <w:tblLayout w:type="fixed"/>
              <w:tblLook w:firstRow="1" w:lastRow="0" w:firstColumn="0" w:lastColumn="0" w:noHBand="0" w:noVBand="0" w:val="0020"/>
            </w:tblPr>
            <w:tblGrid>
              <w:gridCol w:w="1957"/>
              <w:gridCol w:w="978"/>
              <w:gridCol w:w="1512"/>
              <w:gridCol w:w="1512"/>
              <w:gridCol w:w="1957"/>
            </w:tblGrid>
            <w:tr>
              <w:trPr>
                <w:tblHeader w:val="on"/>
              </w:trPr>
              <w:tc>
                <w:tcPr/>
                <w:p>
                  <w:pPr>
                    <w:pStyle w:val="Compact"/>
                    <w:jc w:val="left"/>
                    <w:jc w:val="center"/>
                  </w:pPr>
                  <w:r>
                    <w:rPr>
                      <w:b/>
                      <w:bCs/>
                    </w:rPr>
                    <w:t xml:space="preserve">Determinación</w:t>
                  </w:r>
                </w:p>
              </w:tc>
              <w:tc>
                <w:tcPr/>
                <w:p>
                  <w:pPr>
                    <w:pStyle w:val="Compact"/>
                    <w:jc w:val="left"/>
                    <w:jc w:val="center"/>
                  </w:pPr>
                  <w:r>
                    <w:rPr>
                      <w:b/>
                      <w:bCs/>
                    </w:rPr>
                    <w:t xml:space="preserve">Unidad</w:t>
                  </w:r>
                </w:p>
              </w:tc>
              <w:tc>
                <w:tcPr/>
                <w:p>
                  <w:pPr>
                    <w:pStyle w:val="Compact"/>
                    <w:jc w:val="left"/>
                    <w:jc w:val="center"/>
                  </w:pPr>
                  <w:r>
                    <w:rPr>
                      <w:b/>
                      <w:bCs/>
                    </w:rPr>
                    <w:t xml:space="preserve">SM 9: Centro</w:t>
                  </w:r>
                </w:p>
              </w:tc>
              <w:tc>
                <w:tcPr/>
                <w:p>
                  <w:pPr>
                    <w:pStyle w:val="Compact"/>
                    <w:jc w:val="left"/>
                    <w:jc w:val="center"/>
                  </w:pPr>
                  <w:r>
                    <w:rPr>
                      <w:b/>
                      <w:bCs/>
                    </w:rPr>
                    <w:t xml:space="preserve">SM 11: Presa</w:t>
                  </w:r>
                </w:p>
              </w:tc>
              <w:tc>
                <w:tcPr/>
                <w:p>
                  <w:pPr>
                    <w:pStyle w:val="Compact"/>
                    <w:jc w:val="left"/>
                    <w:jc w:val="center"/>
                  </w:pPr>
                  <w:r>
                    <w:rPr>
                      <w:b/>
                      <w:bCs/>
                    </w:rPr>
                    <w:t xml:space="preserve">Límite de aptitud</w:t>
                  </w:r>
                </w:p>
              </w:tc>
            </w:tr>
            <w:tr>
              <w:tc>
                <w:tcPr/>
                <w:p>
                  <w:pPr>
                    <w:pStyle w:val="Compact"/>
                    <w:jc w:val="left"/>
                    <w:jc w:val="center"/>
                  </w:pPr>
                  <w:r>
                    <w:t xml:space="preserve">Color</w:t>
                  </w:r>
                </w:p>
              </w:tc>
              <w:tc>
                <w:tcPr/>
                <w:p>
                  <w:pPr>
                    <w:pStyle w:val="Compact"/>
                    <w:jc w:val="left"/>
                    <w:jc w:val="center"/>
                  </w:pPr>
                  <w:r>
                    <w:t xml:space="preserve">-</w:t>
                  </w:r>
                </w:p>
              </w:tc>
              <w:tc>
                <w:tcPr/>
                <w:p>
                  <w:pPr>
                    <w:pStyle w:val="Compact"/>
                    <w:jc w:val="left"/>
                    <w:jc w:val="center"/>
                  </w:pPr>
                  <w:r>
                    <w:t xml:space="preserve">Incoloro</w:t>
                  </w:r>
                </w:p>
              </w:tc>
              <w:tc>
                <w:tcPr/>
                <w:p>
                  <w:pPr>
                    <w:pStyle w:val="Compact"/>
                    <w:jc w:val="left"/>
                    <w:jc w:val="center"/>
                  </w:pPr>
                  <w:r>
                    <w:t xml:space="preserve">Incoloro</w:t>
                  </w:r>
                </w:p>
              </w:tc>
              <w:tc>
                <w:tcPr/>
                <w:p>
                  <w:pPr>
                    <w:pStyle w:val="Compact"/>
                    <w:jc w:val="left"/>
                    <w:jc w:val="center"/>
                  </w:pPr>
                  <w:r>
                    <w:t xml:space="preserve">Incoloro</w:t>
                  </w:r>
                </w:p>
              </w:tc>
            </w:tr>
            <w:tr>
              <w:tc>
                <w:tcPr/>
                <w:p>
                  <w:pPr>
                    <w:pStyle w:val="Compact"/>
                    <w:jc w:val="left"/>
                    <w:jc w:val="center"/>
                  </w:pPr>
                  <w:r>
                    <w:t xml:space="preserve">Olor</w:t>
                  </w:r>
                </w:p>
              </w:tc>
              <w:tc>
                <w:tcPr/>
                <w:p>
                  <w:pPr>
                    <w:pStyle w:val="Compact"/>
                    <w:jc w:val="left"/>
                    <w:jc w:val="center"/>
                  </w:pPr>
                  <w:r>
                    <w:t xml:space="preserve">-</w:t>
                  </w:r>
                </w:p>
              </w:tc>
              <w:tc>
                <w:tcPr/>
                <w:p>
                  <w:pPr>
                    <w:pStyle w:val="Compact"/>
                    <w:jc w:val="left"/>
                    <w:jc w:val="center"/>
                  </w:pPr>
                  <w:r>
                    <w:t xml:space="preserve">Inodoro</w:t>
                  </w:r>
                </w:p>
              </w:tc>
              <w:tc>
                <w:tcPr/>
                <w:p>
                  <w:pPr>
                    <w:pStyle w:val="Compact"/>
                    <w:jc w:val="left"/>
                    <w:jc w:val="center"/>
                  </w:pPr>
                  <w:r>
                    <w:t xml:space="preserve">Inodoro</w:t>
                  </w:r>
                </w:p>
              </w:tc>
              <w:tc>
                <w:tcPr/>
                <w:p>
                  <w:pPr>
                    <w:pStyle w:val="Compact"/>
                    <w:jc w:val="left"/>
                    <w:jc w:val="center"/>
                  </w:pPr>
                  <w:r>
                    <w:t xml:space="preserve">Inodoro</w:t>
                  </w:r>
                </w:p>
              </w:tc>
            </w:tr>
            <w:tr>
              <w:tc>
                <w:tcPr/>
                <w:p>
                  <w:pPr>
                    <w:pStyle w:val="Compact"/>
                    <w:jc w:val="left"/>
                    <w:jc w:val="center"/>
                  </w:pPr>
                  <w:r>
                    <w:t xml:space="preserve">pH</w:t>
                  </w:r>
                </w:p>
              </w:tc>
              <w:tc>
                <w:tcPr/>
                <w:p>
                  <w:pPr>
                    <w:pStyle w:val="Compact"/>
                    <w:jc w:val="left"/>
                    <w:jc w:val="center"/>
                  </w:pPr>
                  <w:r>
                    <w:t xml:space="preserve">-</w:t>
                  </w:r>
                </w:p>
              </w:tc>
              <w:tc>
                <w:tcPr/>
                <w:p>
                  <w:pPr>
                    <w:pStyle w:val="Compact"/>
                    <w:jc w:val="left"/>
                    <w:jc w:val="center"/>
                  </w:pPr>
                  <w:r>
                    <w:t xml:space="preserve">7,85</w:t>
                  </w:r>
                </w:p>
              </w:tc>
              <w:tc>
                <w:tcPr/>
                <w:p>
                  <w:pPr>
                    <w:pStyle w:val="Compact"/>
                    <w:jc w:val="left"/>
                    <w:jc w:val="center"/>
                  </w:pPr>
                  <w:r>
                    <w:t xml:space="preserve">8,02</w:t>
                  </w:r>
                </w:p>
              </w:tc>
              <w:tc>
                <w:tcPr/>
                <w:p>
                  <w:pPr>
                    <w:pStyle w:val="Compact"/>
                    <w:jc w:val="left"/>
                    <w:jc w:val="center"/>
                  </w:pPr>
                  <w:r>
                    <w:t xml:space="preserve">6,5-8,5</w:t>
                  </w:r>
                </w:p>
              </w:tc>
            </w:tr>
            <w:tr>
              <w:tc>
                <w:tcPr/>
                <w:p>
                  <w:pPr>
                    <w:pStyle w:val="Compact"/>
                    <w:jc w:val="left"/>
                    <w:jc w:val="center"/>
                  </w:pPr>
                  <w:r>
                    <w:t xml:space="preserve">Conductividad a 25 °C</w:t>
                  </w:r>
                </w:p>
              </w:tc>
              <w:tc>
                <w:tcPr/>
                <w:p>
                  <w:pPr>
                    <w:pStyle w:val="Compact"/>
                    <w:jc w:val="left"/>
                    <w:jc w:val="center"/>
                  </w:pPr>
                  <w:r>
                    <w:t xml:space="preserve">μS/cm</w:t>
                  </w:r>
                </w:p>
              </w:tc>
              <w:tc>
                <w:tcPr/>
                <w:p>
                  <w:pPr>
                    <w:pStyle w:val="Compact"/>
                    <w:jc w:val="left"/>
                    <w:jc w:val="center"/>
                  </w:pPr>
                  <w:r>
                    <w:t xml:space="preserve">162,3</w:t>
                  </w:r>
                </w:p>
              </w:tc>
              <w:tc>
                <w:tcPr/>
                <w:p>
                  <w:pPr>
                    <w:pStyle w:val="Compact"/>
                    <w:jc w:val="left"/>
                    <w:jc w:val="center"/>
                  </w:pPr>
                  <w:r>
                    <w:t xml:space="preserve">150,5</w:t>
                  </w:r>
                </w:p>
              </w:tc>
              <w:tc>
                <w:tcPr/>
                <w:p>
                  <w:pPr>
                    <w:pStyle w:val="Compact"/>
                    <w:jc w:val="left"/>
                    <w:jc w:val="center"/>
                  </w:pPr>
                  <w:r>
                    <w:t xml:space="preserve">-</w:t>
                  </w:r>
                </w:p>
              </w:tc>
            </w:tr>
            <w:tr>
              <w:tc>
                <w:tcPr/>
                <w:p>
                  <w:pPr>
                    <w:pStyle w:val="Compact"/>
                    <w:jc w:val="left"/>
                    <w:jc w:val="center"/>
                  </w:pPr>
                  <w:r>
                    <w:t xml:space="preserve">Carbonato</w:t>
                  </w:r>
                </w:p>
              </w:tc>
              <w:tc>
                <w:tcPr/>
                <w:p>
                  <w:pPr>
                    <w:pStyle w:val="Compact"/>
                    <w:jc w:val="left"/>
                    <w:jc w:val="center"/>
                  </w:pPr>
                  <w:r>
                    <w:t xml:space="preserve">mg/L</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w:t>
                  </w:r>
                </w:p>
              </w:tc>
            </w:tr>
            <w:tr>
              <w:tc>
                <w:tcPr/>
                <w:p>
                  <w:pPr>
                    <w:pStyle w:val="Compact"/>
                    <w:jc w:val="left"/>
                    <w:jc w:val="center"/>
                  </w:pPr>
                  <w:r>
                    <w:t xml:space="preserve">Bicarbonato</w:t>
                  </w:r>
                </w:p>
              </w:tc>
              <w:tc>
                <w:tcPr/>
                <w:p>
                  <w:pPr>
                    <w:pStyle w:val="Compact"/>
                    <w:jc w:val="left"/>
                    <w:jc w:val="center"/>
                  </w:pPr>
                  <w:r>
                    <w:t xml:space="preserve">mg/L</w:t>
                  </w:r>
                </w:p>
              </w:tc>
              <w:tc>
                <w:tcPr/>
                <w:p>
                  <w:pPr>
                    <w:pStyle w:val="Compact"/>
                    <w:jc w:val="left"/>
                    <w:jc w:val="center"/>
                  </w:pPr>
                  <w:r>
                    <w:t xml:space="preserve">78,8</w:t>
                  </w:r>
                </w:p>
              </w:tc>
              <w:tc>
                <w:tcPr/>
                <w:p>
                  <w:pPr>
                    <w:pStyle w:val="Compact"/>
                    <w:jc w:val="left"/>
                    <w:jc w:val="center"/>
                  </w:pPr>
                  <w:r>
                    <w:t xml:space="preserve">73,5</w:t>
                  </w:r>
                </w:p>
              </w:tc>
              <w:tc>
                <w:tcPr/>
                <w:p>
                  <w:pPr>
                    <w:pStyle w:val="Compact"/>
                    <w:jc w:val="left"/>
                    <w:jc w:val="center"/>
                  </w:pPr>
                  <w:r>
                    <w:t xml:space="preserve">-</w:t>
                  </w:r>
                </w:p>
              </w:tc>
            </w:tr>
            <w:tr>
              <w:tc>
                <w:tcPr/>
                <w:p>
                  <w:pPr>
                    <w:pStyle w:val="Compact"/>
                    <w:jc w:val="left"/>
                    <w:jc w:val="center"/>
                  </w:pPr>
                  <w:r>
                    <w:t xml:space="preserve">Sulfato</w:t>
                  </w:r>
                </w:p>
              </w:tc>
              <w:tc>
                <w:tcPr/>
                <w:p>
                  <w:pPr>
                    <w:pStyle w:val="Compact"/>
                    <w:jc w:val="left"/>
                    <w:jc w:val="center"/>
                  </w:pPr>
                  <w:r>
                    <w:t xml:space="preserve">mg/L</w:t>
                  </w:r>
                </w:p>
              </w:tc>
              <w:tc>
                <w:tcPr/>
                <w:p>
                  <w:pPr>
                    <w:pStyle w:val="Compact"/>
                    <w:jc w:val="left"/>
                    <w:jc w:val="center"/>
                  </w:pPr>
                  <w:r>
                    <w:t xml:space="preserve">8,0</w:t>
                  </w:r>
                </w:p>
              </w:tc>
              <w:tc>
                <w:tcPr/>
                <w:p>
                  <w:pPr>
                    <w:pStyle w:val="Compact"/>
                    <w:jc w:val="left"/>
                    <w:jc w:val="center"/>
                  </w:pPr>
                  <w:r>
                    <w:t xml:space="preserve">7,4</w:t>
                  </w:r>
                </w:p>
              </w:tc>
              <w:tc>
                <w:tcPr/>
                <w:p>
                  <w:pPr>
                    <w:pStyle w:val="Compact"/>
                    <w:jc w:val="left"/>
                    <w:jc w:val="center"/>
                  </w:pPr>
                  <w:r>
                    <w:t xml:space="preserve">400 mg/L</w:t>
                  </w:r>
                </w:p>
              </w:tc>
            </w:tr>
            <w:tr>
              <w:tc>
                <w:tcPr/>
                <w:p>
                  <w:pPr>
                    <w:pStyle w:val="Compact"/>
                    <w:jc w:val="left"/>
                    <w:jc w:val="center"/>
                  </w:pPr>
                  <w:r>
                    <w:t xml:space="preserve">Cloruro</w:t>
                  </w:r>
                </w:p>
              </w:tc>
              <w:tc>
                <w:tcPr/>
                <w:p>
                  <w:pPr>
                    <w:pStyle w:val="Compact"/>
                    <w:jc w:val="left"/>
                    <w:jc w:val="center"/>
                  </w:pPr>
                  <w:r>
                    <w:t xml:space="preserve">mg/L</w:t>
                  </w:r>
                </w:p>
              </w:tc>
              <w:tc>
                <w:tcPr/>
                <w:p>
                  <w:pPr>
                    <w:pStyle w:val="Compact"/>
                    <w:jc w:val="left"/>
                    <w:jc w:val="center"/>
                  </w:pPr>
                  <w:r>
                    <w:t xml:space="preserve">2,9</w:t>
                  </w:r>
                </w:p>
              </w:tc>
              <w:tc>
                <w:tcPr/>
                <w:p>
                  <w:pPr>
                    <w:pStyle w:val="Compact"/>
                    <w:jc w:val="left"/>
                    <w:jc w:val="center"/>
                  </w:pPr>
                  <w:r>
                    <w:t xml:space="preserve">5,7</w:t>
                  </w:r>
                </w:p>
              </w:tc>
              <w:tc>
                <w:tcPr/>
                <w:p>
                  <w:pPr>
                    <w:pStyle w:val="Compact"/>
                    <w:jc w:val="left"/>
                    <w:jc w:val="center"/>
                  </w:pPr>
                  <w:r>
                    <w:t xml:space="preserve">350 mg/L</w:t>
                  </w:r>
                </w:p>
              </w:tc>
            </w:tr>
            <w:tr>
              <w:tc>
                <w:tcPr/>
                <w:p>
                  <w:pPr>
                    <w:pStyle w:val="Compact"/>
                    <w:jc w:val="left"/>
                    <w:jc w:val="center"/>
                  </w:pPr>
                  <w:r>
                    <w:t xml:space="preserve">Sodio</w:t>
                  </w:r>
                </w:p>
              </w:tc>
              <w:tc>
                <w:tcPr/>
                <w:p>
                  <w:pPr>
                    <w:pStyle w:val="Compact"/>
                    <w:jc w:val="left"/>
                    <w:jc w:val="center"/>
                  </w:pPr>
                  <w:r>
                    <w:t xml:space="preserve">mg/L</w:t>
                  </w:r>
                </w:p>
              </w:tc>
              <w:tc>
                <w:tcPr/>
                <w:p>
                  <w:pPr>
                    <w:pStyle w:val="Compact"/>
                    <w:jc w:val="left"/>
                    <w:jc w:val="center"/>
                  </w:pPr>
                  <w:r>
                    <w:t xml:space="preserve">13,1</w:t>
                  </w:r>
                </w:p>
              </w:tc>
              <w:tc>
                <w:tcPr/>
                <w:p>
                  <w:pPr>
                    <w:pStyle w:val="Compact"/>
                    <w:jc w:val="left"/>
                    <w:jc w:val="center"/>
                  </w:pPr>
                  <w:r>
                    <w:t xml:space="preserve">12,4</w:t>
                  </w:r>
                </w:p>
              </w:tc>
              <w:tc>
                <w:tcPr/>
                <w:p>
                  <w:pPr>
                    <w:pStyle w:val="Compact"/>
                    <w:jc w:val="left"/>
                    <w:jc w:val="center"/>
                  </w:pPr>
                  <w:r>
                    <w:t xml:space="preserve">-</w:t>
                  </w:r>
                </w:p>
              </w:tc>
            </w:tr>
            <w:tr>
              <w:tc>
                <w:tcPr/>
                <w:p>
                  <w:pPr>
                    <w:pStyle w:val="Compact"/>
                    <w:jc w:val="left"/>
                    <w:jc w:val="center"/>
                  </w:pPr>
                  <w:r>
                    <w:t xml:space="preserve">Potasio</w:t>
                  </w:r>
                </w:p>
              </w:tc>
              <w:tc>
                <w:tcPr/>
                <w:p>
                  <w:pPr>
                    <w:pStyle w:val="Compact"/>
                    <w:jc w:val="left"/>
                    <w:jc w:val="center"/>
                  </w:pPr>
                  <w:r>
                    <w:t xml:space="preserve">mg/L</w:t>
                  </w:r>
                </w:p>
              </w:tc>
              <w:tc>
                <w:tcPr/>
                <w:p>
                  <w:pPr>
                    <w:pStyle w:val="Compact"/>
                    <w:jc w:val="left"/>
                    <w:jc w:val="center"/>
                  </w:pPr>
                  <w:r>
                    <w:t xml:space="preserve">4,0</w:t>
                  </w:r>
                </w:p>
              </w:tc>
              <w:tc>
                <w:tcPr/>
                <w:p>
                  <w:pPr>
                    <w:pStyle w:val="Compact"/>
                    <w:jc w:val="left"/>
                    <w:jc w:val="center"/>
                  </w:pPr>
                  <w:r>
                    <w:t xml:space="preserve">4,0</w:t>
                  </w:r>
                </w:p>
              </w:tc>
              <w:tc>
                <w:tcPr/>
                <w:p>
                  <w:pPr>
                    <w:pStyle w:val="Compact"/>
                    <w:jc w:val="left"/>
                    <w:jc w:val="center"/>
                  </w:pPr>
                  <w:r>
                    <w:t xml:space="preserve">-</w:t>
                  </w:r>
                </w:p>
              </w:tc>
            </w:tr>
            <w:tr>
              <w:tc>
                <w:tcPr/>
                <w:p>
                  <w:pPr>
                    <w:pStyle w:val="Compact"/>
                    <w:jc w:val="left"/>
                    <w:jc w:val="center"/>
                  </w:pPr>
                  <w:r>
                    <w:t xml:space="preserve">Calcio</w:t>
                  </w:r>
                </w:p>
              </w:tc>
              <w:tc>
                <w:tcPr/>
                <w:p>
                  <w:pPr>
                    <w:pStyle w:val="Compact"/>
                    <w:jc w:val="left"/>
                    <w:jc w:val="center"/>
                  </w:pPr>
                  <w:r>
                    <w:t xml:space="preserve">mg/L</w:t>
                  </w:r>
                </w:p>
              </w:tc>
              <w:tc>
                <w:tcPr/>
                <w:p>
                  <w:pPr>
                    <w:pStyle w:val="Compact"/>
                    <w:jc w:val="left"/>
                    <w:jc w:val="center"/>
                  </w:pPr>
                  <w:r>
                    <w:t xml:space="preserve">7,2</w:t>
                  </w:r>
                </w:p>
              </w:tc>
              <w:tc>
                <w:tcPr/>
                <w:p>
                  <w:pPr>
                    <w:pStyle w:val="Compact"/>
                    <w:jc w:val="left"/>
                    <w:jc w:val="center"/>
                  </w:pPr>
                  <w:r>
                    <w:t xml:space="preserve">7,2</w:t>
                  </w:r>
                </w:p>
              </w:tc>
              <w:tc>
                <w:tcPr/>
                <w:p>
                  <w:pPr>
                    <w:pStyle w:val="Compact"/>
                    <w:jc w:val="left"/>
                    <w:jc w:val="center"/>
                  </w:pPr>
                  <w:r>
                    <w:t xml:space="preserve">-</w:t>
                  </w:r>
                </w:p>
              </w:tc>
            </w:tr>
            <w:tr>
              <w:tc>
                <w:tcPr/>
                <w:p>
                  <w:pPr>
                    <w:pStyle w:val="Compact"/>
                    <w:jc w:val="left"/>
                    <w:jc w:val="center"/>
                  </w:pPr>
                  <w:r>
                    <w:t xml:space="preserve">Magnesio</w:t>
                  </w:r>
                </w:p>
              </w:tc>
              <w:tc>
                <w:tcPr/>
                <w:p>
                  <w:pPr>
                    <w:pStyle w:val="Compact"/>
                    <w:jc w:val="left"/>
                    <w:jc w:val="center"/>
                  </w:pPr>
                  <w:r>
                    <w:t xml:space="preserve">mg/L</w:t>
                  </w:r>
                </w:p>
              </w:tc>
              <w:tc>
                <w:tcPr/>
                <w:p>
                  <w:pPr>
                    <w:pStyle w:val="Compact"/>
                    <w:jc w:val="left"/>
                    <w:jc w:val="center"/>
                  </w:pPr>
                  <w:r>
                    <w:t xml:space="preserve">3,4</w:t>
                  </w:r>
                </w:p>
              </w:tc>
              <w:tc>
                <w:tcPr/>
                <w:p>
                  <w:pPr>
                    <w:pStyle w:val="Compact"/>
                    <w:jc w:val="left"/>
                    <w:jc w:val="center"/>
                  </w:pPr>
                  <w:r>
                    <w:t xml:space="preserve">2,9</w:t>
                  </w:r>
                </w:p>
              </w:tc>
              <w:tc>
                <w:tcPr/>
                <w:p>
                  <w:pPr>
                    <w:pStyle w:val="Compact"/>
                    <w:jc w:val="left"/>
                    <w:jc w:val="center"/>
                  </w:pPr>
                  <w:r>
                    <w:t xml:space="preserve">-</w:t>
                  </w:r>
                </w:p>
              </w:tc>
            </w:tr>
            <w:tr>
              <w:tc>
                <w:tcPr/>
                <w:p>
                  <w:pPr>
                    <w:pStyle w:val="Compact"/>
                    <w:jc w:val="left"/>
                    <w:jc w:val="center"/>
                  </w:pPr>
                  <w:r>
                    <w:t xml:space="preserve">Nitrato</w:t>
                  </w:r>
                </w:p>
              </w:tc>
              <w:tc>
                <w:tcPr/>
                <w:p>
                  <w:pPr>
                    <w:pStyle w:val="Compact"/>
                    <w:jc w:val="left"/>
                    <w:jc w:val="center"/>
                  </w:pPr>
                  <w:r>
                    <w:t xml:space="preserve">mg/L</w:t>
                  </w:r>
                </w:p>
              </w:tc>
              <w:tc>
                <w:tcPr/>
                <w:p>
                  <w:pPr>
                    <w:pStyle w:val="Compact"/>
                    <w:jc w:val="left"/>
                    <w:jc w:val="center"/>
                  </w:pPr>
                  <w:r>
                    <w:t xml:space="preserve">&lt; 1,0</w:t>
                  </w:r>
                </w:p>
              </w:tc>
              <w:tc>
                <w:tcPr/>
                <w:p>
                  <w:pPr>
                    <w:pStyle w:val="Compact"/>
                    <w:jc w:val="left"/>
                    <w:jc w:val="center"/>
                  </w:pPr>
                  <w:r>
                    <w:t xml:space="preserve">&lt; 1,0</w:t>
                  </w:r>
                </w:p>
              </w:tc>
              <w:tc>
                <w:tcPr/>
                <w:p>
                  <w:pPr>
                    <w:pStyle w:val="Compact"/>
                    <w:jc w:val="left"/>
                    <w:jc w:val="center"/>
                  </w:pPr>
                  <w:r>
                    <w:t xml:space="preserve">45 mg/L</w:t>
                  </w:r>
                </w:p>
              </w:tc>
            </w:tr>
            <w:tr>
              <w:tc>
                <w:tcPr/>
                <w:p>
                  <w:pPr>
                    <w:pStyle w:val="Compact"/>
                    <w:jc w:val="left"/>
                    <w:jc w:val="center"/>
                  </w:pPr>
                  <w:r>
                    <w:t xml:space="preserve">Fluoruro</w:t>
                  </w:r>
                </w:p>
              </w:tc>
              <w:tc>
                <w:tcPr/>
                <w:p>
                  <w:pPr>
                    <w:pStyle w:val="Compact"/>
                    <w:jc w:val="left"/>
                    <w:jc w:val="center"/>
                  </w:pPr>
                  <w:r>
                    <w:t xml:space="preserve">mg/L</w:t>
                  </w:r>
                </w:p>
              </w:tc>
              <w:tc>
                <w:tcPr/>
                <w:p>
                  <w:pPr>
                    <w:pStyle w:val="Compact"/>
                    <w:jc w:val="left"/>
                    <w:jc w:val="center"/>
                  </w:pPr>
                  <w:r>
                    <w:t xml:space="preserve">&lt; 0,1</w:t>
                  </w:r>
                </w:p>
              </w:tc>
              <w:tc>
                <w:tcPr/>
                <w:p>
                  <w:pPr>
                    <w:pStyle w:val="Compact"/>
                    <w:jc w:val="left"/>
                    <w:jc w:val="center"/>
                  </w:pPr>
                  <w:r>
                    <w:t xml:space="preserve">&lt; 0,1</w:t>
                  </w:r>
                </w:p>
              </w:tc>
              <w:tc>
                <w:tcPr/>
                <w:p>
                  <w:pPr>
                    <w:pStyle w:val="Compact"/>
                    <w:jc w:val="left"/>
                    <w:jc w:val="center"/>
                  </w:pPr>
                  <w:r>
                    <w:t xml:space="preserve">1,3 mg/L</w:t>
                  </w:r>
                </w:p>
              </w:tc>
            </w:tr>
            <w:tr>
              <w:tc>
                <w:tcPr/>
                <w:p>
                  <w:pPr>
                    <w:pStyle w:val="Compact"/>
                    <w:jc w:val="left"/>
                    <w:jc w:val="center"/>
                  </w:pPr>
                  <w:r>
                    <w:t xml:space="preserve">Arsénico</w:t>
                  </w:r>
                </w:p>
              </w:tc>
              <w:tc>
                <w:tcPr/>
                <w:p>
                  <w:pPr>
                    <w:pStyle w:val="Compact"/>
                    <w:jc w:val="left"/>
                    <w:jc w:val="center"/>
                  </w:pPr>
                  <w:r>
                    <w:t xml:space="preserve">μg/L</w:t>
                  </w:r>
                </w:p>
              </w:tc>
              <w:tc>
                <w:tcPr/>
                <w:p>
                  <w:pPr>
                    <w:pStyle w:val="Compact"/>
                    <w:jc w:val="left"/>
                    <w:jc w:val="center"/>
                  </w:pPr>
                  <w:r>
                    <w:t xml:space="preserve">4,4</w:t>
                  </w:r>
                </w:p>
              </w:tc>
              <w:tc>
                <w:tcPr/>
                <w:p>
                  <w:pPr>
                    <w:pStyle w:val="Compact"/>
                    <w:jc w:val="left"/>
                    <w:jc w:val="center"/>
                  </w:pPr>
                  <w:r>
                    <w:t xml:space="preserve">6,6</w:t>
                  </w:r>
                </w:p>
              </w:tc>
              <w:tc>
                <w:tcPr/>
                <w:p>
                  <w:pPr>
                    <w:pStyle w:val="Compact"/>
                    <w:jc w:val="left"/>
                    <w:jc w:val="center"/>
                  </w:pPr>
                  <w:r>
                    <w:t xml:space="preserve">10 μg/L</w:t>
                  </w:r>
                </w:p>
              </w:tc>
            </w:tr>
            <w:tr>
              <w:tc>
                <w:tcPr/>
                <w:p>
                  <w:pPr>
                    <w:pStyle w:val="Compact"/>
                    <w:jc w:val="left"/>
                    <w:jc w:val="center"/>
                  </w:pPr>
                  <w:r>
                    <w:t xml:space="preserve">Dureza total</w:t>
                  </w:r>
                </w:p>
              </w:tc>
              <w:tc>
                <w:tcPr/>
                <w:p>
                  <w:pPr>
                    <w:pStyle w:val="Compact"/>
                    <w:jc w:val="left"/>
                    <w:jc w:val="center"/>
                  </w:pPr>
                  <w:r>
                    <w:t xml:space="preserve">meq/L</w:t>
                  </w:r>
                </w:p>
              </w:tc>
              <w:tc>
                <w:tcPr/>
                <w:p>
                  <w:pPr>
                    <w:pStyle w:val="Compact"/>
                    <w:jc w:val="left"/>
                    <w:jc w:val="center"/>
                  </w:pPr>
                  <w:r>
                    <w:t xml:space="preserve">0,6</w:t>
                  </w:r>
                </w:p>
              </w:tc>
              <w:tc>
                <w:tcPr/>
                <w:p>
                  <w:pPr>
                    <w:pStyle w:val="Compact"/>
                    <w:jc w:val="left"/>
                    <w:jc w:val="center"/>
                  </w:pPr>
                  <w:r>
                    <w:t xml:space="preserve">0,6</w:t>
                  </w:r>
                </w:p>
              </w:tc>
              <w:tc>
                <w:tcPr/>
                <w:p>
                  <w:pPr>
                    <w:pStyle w:val="Compact"/>
                    <w:jc w:val="left"/>
                    <w:jc w:val="center"/>
                  </w:pPr>
                  <w:r>
                    <w:t xml:space="preserve">400 ppm</w:t>
                  </w:r>
                </w:p>
              </w:tc>
            </w:tr>
            <w:tr>
              <w:tc>
                <w:tcPr/>
                <w:p>
                  <w:pPr>
                    <w:pStyle w:val="Compact"/>
                    <w:jc w:val="left"/>
                    <w:jc w:val="center"/>
                  </w:pPr>
                  <w:r>
                    <w:t xml:space="preserve">Alcalinidad TA</w:t>
                  </w:r>
                </w:p>
              </w:tc>
              <w:tc>
                <w:tcPr/>
                <w:p>
                  <w:pPr>
                    <w:pStyle w:val="Compact"/>
                    <w:jc w:val="left"/>
                    <w:jc w:val="center"/>
                  </w:pPr>
                  <w:r>
                    <w:t xml:space="preserve">meq/L</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w:t>
                  </w:r>
                </w:p>
              </w:tc>
            </w:tr>
            <w:tr>
              <w:tc>
                <w:tcPr/>
                <w:p>
                  <w:pPr>
                    <w:pStyle w:val="Compact"/>
                    <w:jc w:val="left"/>
                    <w:jc w:val="center"/>
                  </w:pPr>
                  <w:r>
                    <w:t xml:space="preserve">Alcalinidad TAC</w:t>
                  </w:r>
                </w:p>
              </w:tc>
              <w:tc>
                <w:tcPr/>
                <w:p>
                  <w:pPr>
                    <w:pStyle w:val="Compact"/>
                    <w:jc w:val="left"/>
                    <w:jc w:val="center"/>
                  </w:pPr>
                  <w:r>
                    <w:t xml:space="preserve">meq/L</w:t>
                  </w:r>
                </w:p>
              </w:tc>
              <w:tc>
                <w:tcPr/>
                <w:p>
                  <w:pPr>
                    <w:pStyle w:val="Compact"/>
                    <w:jc w:val="left"/>
                    <w:jc w:val="center"/>
                  </w:pPr>
                  <w:r>
                    <w:t xml:space="preserve">1,3</w:t>
                  </w:r>
                </w:p>
              </w:tc>
              <w:tc>
                <w:tcPr/>
                <w:p>
                  <w:pPr>
                    <w:pStyle w:val="Compact"/>
                    <w:jc w:val="left"/>
                    <w:jc w:val="center"/>
                  </w:pPr>
                  <w:r>
                    <w:t xml:space="preserve">1,2</w:t>
                  </w:r>
                </w:p>
              </w:tc>
              <w:tc>
                <w:tcPr/>
                <w:p>
                  <w:pPr>
                    <w:pStyle w:val="Compact"/>
                    <w:jc w:val="left"/>
                    <w:jc w:val="center"/>
                  </w:pPr>
                  <w:r>
                    <w:t xml:space="preserve">-</w:t>
                  </w:r>
                </w:p>
              </w:tc>
            </w:tr>
            <w:tr>
              <w:tc>
                <w:tcPr/>
                <w:p>
                  <w:pPr>
                    <w:pStyle w:val="Compact"/>
                    <w:jc w:val="left"/>
                    <w:jc w:val="center"/>
                  </w:pPr>
                  <w:r>
                    <w:t xml:space="preserve">RAS</w:t>
                  </w:r>
                </w:p>
              </w:tc>
              <w:tc>
                <w:tcPr/>
                <w:p>
                  <w:pPr>
                    <w:pStyle w:val="Compact"/>
                    <w:jc w:val="left"/>
                    <w:jc w:val="center"/>
                  </w:pPr>
                  <w:r>
                    <w:t xml:space="preserve">-</w:t>
                  </w:r>
                </w:p>
              </w:tc>
              <w:tc>
                <w:tcPr/>
                <w:p>
                  <w:pPr>
                    <w:pStyle w:val="Compact"/>
                    <w:jc w:val="left"/>
                    <w:jc w:val="center"/>
                  </w:pPr>
                  <w:r>
                    <w:t xml:space="preserve">1,0</w:t>
                  </w:r>
                </w:p>
              </w:tc>
              <w:tc>
                <w:tcPr/>
                <w:p>
                  <w:pPr>
                    <w:pStyle w:val="Compact"/>
                    <w:jc w:val="left"/>
                    <w:jc w:val="center"/>
                  </w:pPr>
                  <w:r>
                    <w:t xml:space="preserve">1,0</w:t>
                  </w:r>
                </w:p>
              </w:tc>
              <w:tc>
                <w:tcPr/>
                <w:p>
                  <w:pPr>
                    <w:pStyle w:val="Compact"/>
                    <w:jc w:val="left"/>
                    <w:jc w:val="center"/>
                  </w:pPr>
                  <w:r>
                    <w:t xml:space="preserve">-</w:t>
                  </w:r>
                </w:p>
              </w:tc>
            </w:tr>
          </w:tbl>
          <w:bookmarkEnd w:id="44"/>
          <w:p/>
        </w:tc>
      </w:tr>
    </w:tbl>
    <w:p>
      <w:pPr>
        <w:pStyle w:val="BodyText"/>
      </w:pPr>
      <w:r>
        <w:t xml:space="preserve">A partir del análisis estadístico de los datos medidos a campo, se observó una zonificación en la calidad del agua del embalse. En el Lóbulo Oeste se observaron los valores más elevados de CE y SDT (ANOVA, p-test &lt; 0.05). Esta tendencia también se evidenció en las variables Temp, pH y Turb, aunque sin encontrarse diferencias significativas (ANOVA, p-test &gt; 0.05).</w:t>
      </w:r>
    </w:p>
    <w:p>
      <w:pPr>
        <w:pStyle w:val="BodyText"/>
      </w:pPr>
      <w:r>
        <w:t xml:space="preserve">Por el contrario, las variables OD, DS, Cl-a y Cl-aCiano evidenciaron registros más elevados en el Lóbulo Este que en el Oeste, aunque no se registraron diferencias estadísticamente significativas (ANOVA, p-test &gt; 0.05).</w:t>
      </w:r>
    </w:p>
    <w:p>
      <w:pPr>
        <w:pStyle w:val="BodyText"/>
      </w:pPr>
      <w:r>
        <w:t xml:space="preserve">El análisis realizado hace suponer una mayor concentración de sólidos en el Lóbulo Oeste del embalse, probablemente asociado al aporte de sedimentos por parte de los ríos tributarios. En contraste, el Lóbulo Este presentó características ópticas compatibles con una mayor productividad primaria y una coloración verdosa del agua.</w:t>
      </w:r>
    </w:p>
    <w:p>
      <w:pPr>
        <w:pStyle w:val="BodyText"/>
      </w:pPr>
      <w:r>
        <w:t xml:space="preserve">Cabe destacar que se registraron concentraciones inusualmente elevadas de nutrientes. Sin embargo, la fiabilidad de estos datos está siendo sometida a verificación con el laboratorio responsable del análisis, ya que los mismos exceden significativamente los rangos promedio registrados con anterioridad en este reservorio.</w:t>
      </w:r>
    </w:p>
    <w:p>
      <w:pPr>
        <w:pStyle w:val="BodyText"/>
      </w:pPr>
      <w:r>
        <w:t xml:space="preserve">La determinación geo-química del agua evidenció que en todo el embalse la calidad del agua se clasificó como duce, blanda y bicarbonatada sódica-cálcica.</w:t>
      </w:r>
    </w:p>
    <w:p>
      <w:pPr>
        <w:pStyle w:val="BodyText"/>
      </w:pPr>
      <w:r>
        <w:t xml:space="preserve">En cuanto a la clasificación para distintos usos, el agua del embalse se clasificó como deficiente en sales para ganadería (Bavera et al. 2001). Mientras que, para consumo humano, se determinó que los elementos y propiedades analizadas cumplen con los límites recomendados por el Código Alimentario Argentina (CAA) y por la Secretaría de Recursos Hídricos de la Provincia de Córdoba. Sin embargo, para alcanzar la definición de aptitud para consumo humano se debe complementar con el análisis microbiológico correspondiente.</w:t>
      </w:r>
    </w:p>
    <w:p>
      <w:pPr>
        <w:pStyle w:val="BodyText"/>
      </w:pPr>
      <w:r>
        <w:t xml:space="preserve">A continuación se detalla la dinámica de las principales variables medidas:</w:t>
      </w:r>
    </w:p>
    <w:p>
      <w:pPr>
        <w:pStyle w:val="BodyText"/>
      </w:pPr>
      <w:r>
        <w:rPr>
          <w:b/>
          <w:bCs/>
        </w:rPr>
        <w:t xml:space="preserve">- Temperatura del agua (Temp)</w:t>
      </w:r>
      <w:r>
        <w:t xml:space="preserve">: Durante el mes de Junio esta variable presentó una media de 15.3 ± 1.6 °C. Al corresponder a la estación climática de Otoño, la temperatura del agua estuvo por debajo de la temperatura media de referencia del embalse registrada para el período 2015-2024 (19.8 ± 5.5 °C) (</w:t>
      </w:r>
      <w:hyperlink w:anchor="fig-temperatura">
        <w:r>
          <w:rPr>
            <w:rStyle w:val="Hyperlink"/>
          </w:rPr>
          <w:t xml:space="preserve">figura 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fig-temperatura"/>
          <w:p>
            <w:pPr>
              <w:pStyle w:val="Compact"/>
              <w:jc w:val="center"/>
            </w:pPr>
            <w:r>
              <w:drawing>
                <wp:inline>
                  <wp:extent cx="4587290" cy="2752374"/>
                  <wp:effectExtent b="0" l="0" r="0" t="0"/>
                  <wp:docPr descr="" title="" id="46" name="Picture"/>
                  <a:graphic>
                    <a:graphicData uri="http://schemas.openxmlformats.org/drawingml/2006/picture">
                      <pic:pic>
                        <pic:nvPicPr>
                          <pic:cNvPr descr="informe_docx_files/figure-docx/fig-temperatura-1.png" id="47" name="Picture"/>
                          <pic:cNvPicPr>
                            <a:picLocks noChangeArrowheads="1" noChangeAspect="1"/>
                          </pic:cNvPicPr>
                        </pic:nvPicPr>
                        <pic:blipFill>
                          <a:blip r:embed="rId45"/>
                          <a:stretch>
                            <a:fillRect/>
                          </a:stretch>
                        </pic:blipFill>
                        <pic:spPr bwMode="auto">
                          <a:xfrm>
                            <a:off x="0" y="0"/>
                            <a:ext cx="4587290" cy="2752374"/>
                          </a:xfrm>
                          <a:prstGeom prst="rect">
                            <a:avLst/>
                          </a:prstGeom>
                          <a:noFill/>
                          <a:ln w="9525">
                            <a:noFill/>
                            <a:headEnd/>
                            <a:tailEnd/>
                          </a:ln>
                        </pic:spPr>
                      </pic:pic>
                    </a:graphicData>
                  </a:graphic>
                </wp:inline>
              </w:drawing>
            </w:r>
          </w:p>
          <w:p>
            <w:pPr>
              <w:jc w:val="center"/>
            </w:pPr>
            <w:pPr>
              <w:jc w:val="left"/>
              <w:spacing w:before="200"/>
              <w:pStyle w:val="ImageCaption"/>
            </w:pPr>
            <w:r>
              <w:t xml:space="preserve">Figura 2.2: Variación temporal de la temperatura del agua del embalse</w:t>
            </w:r>
          </w:p>
          <w:bookmarkEnd w:id="48"/>
        </w:tc>
      </w:tr>
    </w:tbl>
    <w:p>
      <w:pPr>
        <w:pStyle w:val="BodyText"/>
      </w:pPr>
      <w:r>
        <w:rPr>
          <w:b/>
          <w:bCs/>
        </w:rPr>
        <w:t xml:space="preserve">- Transparencia del agua (DS)</w:t>
      </w:r>
      <w:r>
        <w:t xml:space="preserve">: La transparencia del agua medida con el disco de Secchi, registró un valor medio de (4.8 ± 0.7 m), con un amplio rango comprendido entre los 3.8 m en el Lóbulo Oeste (SM 7) y 5.5 m en el Lóbulo Este (SM 1 y 11).</w:t>
      </w:r>
    </w:p>
    <w:p>
      <w:pPr>
        <w:pStyle w:val="BodyText"/>
      </w:pPr>
      <w:r>
        <w:t xml:space="preserve">Se observa una relación directa entre los valores recolectados a campo con aquellos estimados por teledetección (Figura 8). El Lóbulo Oeste presentó los valores más bajos y heterogéneos de transparencia del agua debido al ingreso de sólidos por parte de los ríos tributarios, lo que genera una disminución de la transparencia del agua. Por su parte, el Lóbulo Este presentó los registros más altos y homogéneos de transparencia, lo que coincide con la dinámica general de este reservorio (Bonansea et al. 2019).</w:t>
      </w:r>
    </w:p>
    <w:p>
      <w:pPr>
        <w:pStyle w:val="BodyText"/>
      </w:pPr>
      <w:r>
        <w:t xml:space="preserve">En cuanto al análisis temporal, durante los últimos meses se está observando un aumento progresivo en la transparencia del agua. Los datos registrados durante el último monitoreo están muy por encima del valor medio de referencia del embalse (1.8 ± 0.9 m), y del valor medio registrado en Junio 2024 el cual fue de 3.0 ± 1.1m (</w:t>
      </w:r>
      <w:hyperlink w:anchor="fig-transparencia">
        <w:r>
          <w:rPr>
            <w:rStyle w:val="Hyperlink"/>
          </w:rPr>
          <w:t xml:space="preserve">figura 2.3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2" w:name="fig-transparencia"/>
          <w:p>
            <w:pPr>
              <w:pStyle w:val="Compact"/>
              <w:jc w:val="center"/>
            </w:pPr>
            <w:r>
              <w:drawing>
                <wp:inline>
                  <wp:extent cx="4587290" cy="2752374"/>
                  <wp:effectExtent b="0" l="0" r="0" t="0"/>
                  <wp:docPr descr="" title="" id="50" name="Picture"/>
                  <a:graphic>
                    <a:graphicData uri="http://schemas.openxmlformats.org/drawingml/2006/picture">
                      <pic:pic>
                        <pic:nvPicPr>
                          <pic:cNvPr descr="informe_docx_files/figure-docx/fig-transparencia-1.png" id="51" name="Picture"/>
                          <pic:cNvPicPr>
                            <a:picLocks noChangeArrowheads="1" noChangeAspect="1"/>
                          </pic:cNvPicPr>
                        </pic:nvPicPr>
                        <pic:blipFill>
                          <a:blip r:embed="rId49"/>
                          <a:stretch>
                            <a:fillRect/>
                          </a:stretch>
                        </pic:blipFill>
                        <pic:spPr bwMode="auto">
                          <a:xfrm>
                            <a:off x="0" y="0"/>
                            <a:ext cx="4587290" cy="2752374"/>
                          </a:xfrm>
                          <a:prstGeom prst="rect">
                            <a:avLst/>
                          </a:prstGeom>
                          <a:noFill/>
                          <a:ln w="9525">
                            <a:noFill/>
                            <a:headEnd/>
                            <a:tailEnd/>
                          </a:ln>
                        </pic:spPr>
                      </pic:pic>
                    </a:graphicData>
                  </a:graphic>
                </wp:inline>
              </w:drawing>
            </w:r>
          </w:p>
          <w:p>
            <w:pPr>
              <w:jc w:val="center"/>
            </w:pPr>
            <w:pPr>
              <w:jc w:val="left"/>
              <w:spacing w:before="200"/>
              <w:pStyle w:val="ImageCaption"/>
            </w:pPr>
            <w:r>
              <w:t xml:space="preserve">Figura 2.3: Variación temporal de la transparencia del agua del embalse</w:t>
            </w:r>
          </w:p>
          <w:bookmarkEnd w:id="52"/>
        </w:tc>
      </w:tr>
    </w:tbl>
    <w:p>
      <w:pPr>
        <w:pStyle w:val="BodyText"/>
      </w:pPr>
      <w:r>
        <w:rPr>
          <w:b/>
          <w:bCs/>
        </w:rPr>
        <w:t xml:space="preserve">- Concentración de Clorofila-a (Cl-a)</w:t>
      </w:r>
      <w:r>
        <w:t xml:space="preserve">: Esta variable registró concentraciones bajas en todo el reservorio, sin encontrarse floraciones de algas/ cianobacterias en la superficie del mismo. La media registrada fue de 3.9 ± 1.6 mg/m</w:t>
      </w:r>
      <w:r>
        <w:t xml:space="preserve">3</w:t>
      </w:r>
      <w:r>
        <w:t xml:space="preserve">, estando por debajo de la media de referencia para este reservorio (11.3 ± 12.4 mg/m3). Las concentraciones más bajas de Cl-a (2.3 mg/m3), se registraron en la zona del Centro (SM 9) y donde confluyen los ríos Quillinzo, La Cruz y el canal de enfriamiento de la Central Nuclear (SM 4). El valor más alto (6.1 mg/m3) se midió en la zona de los ríos tributarios La Cruz y Quillinzo (SM 6).</w:t>
      </w:r>
    </w:p>
    <w:p>
      <w:pPr>
        <w:pStyle w:val="BodyText"/>
      </w:pPr>
      <w:r>
        <w:t xml:space="preserve">El procesamiento satelital confirmó el comportamiento de los datos recolectados a campo (Figura 10). En este sentido, se observó una distribución cuasi-homogenea en toda la superficie del embalse, con concentraciones relativamente bajas para toda la superficie del mismo.</w:t>
      </w:r>
    </w:p>
    <w:p>
      <w:pPr>
        <w:pStyle w:val="BodyText"/>
      </w:pPr>
      <w:r>
        <w:t xml:space="preserve">El análisis satelital además mostró lo que podría ser un florecimiento de cianobacterias en el centro del embalse (SM 9). Sin embargo, el mismo presentó concentraciones bajas y no fue diferenciado durante la campaña de monitoreo.</w:t>
      </w:r>
    </w:p>
    <w:p>
      <w:pPr>
        <w:pStyle w:val="BodyText"/>
      </w:pPr>
      <w:r>
        <w:t xml:space="preserve">La dinámica temporal de esta variable (</w:t>
      </w:r>
      <w:hyperlink w:anchor="fig-clorofila-a">
        <w:r>
          <w:rPr>
            <w:rStyle w:val="Hyperlink"/>
          </w:rPr>
          <w:t xml:space="preserve">figura 2.4</w:t>
        </w:r>
      </w:hyperlink>
      <w:r>
        <w:t xml:space="preserve">), mostró un descenso de la concentración de clorofila-a, lo que puede estar asociado a la época del año. El descenso de esta variable también puede influir en el aumento de la transparencia del agua.</w:t>
      </w:r>
    </w:p>
    <w:tbl>
      <w:tblPr>
        <w:tblStyle w:val="Table"/>
        <w:tblW w:type="pct" w:w="5000"/>
        <w:tblLayout w:type="fixed"/>
        <w:tblLook w:firstRow="0" w:lastRow="0" w:firstColumn="0" w:lastColumn="0" w:noHBand="0" w:noVBand="0" w:val="0000"/>
      </w:tblPr>
      <w:tblGrid>
        <w:gridCol w:w="7920"/>
      </w:tblGrid>
      <w:tr>
        <w:tc>
          <w:tcPr/>
          <w:bookmarkStart w:id="56" w:name="fig-clorofila-a"/>
          <w:p>
            <w:pPr>
              <w:pStyle w:val="Compact"/>
              <w:jc w:val="center"/>
            </w:pPr>
            <w:r>
              <w:drawing>
                <wp:inline>
                  <wp:extent cx="4587290" cy="2752374"/>
                  <wp:effectExtent b="0" l="0" r="0" t="0"/>
                  <wp:docPr descr="" title="" id="54" name="Picture"/>
                  <a:graphic>
                    <a:graphicData uri="http://schemas.openxmlformats.org/drawingml/2006/picture">
                      <pic:pic>
                        <pic:nvPicPr>
                          <pic:cNvPr descr="informe_docx_files/figure-docx/fig-clorofila-a-1.png" id="55" name="Picture"/>
                          <pic:cNvPicPr>
                            <a:picLocks noChangeArrowheads="1" noChangeAspect="1"/>
                          </pic:cNvPicPr>
                        </pic:nvPicPr>
                        <pic:blipFill>
                          <a:blip r:embed="rId53"/>
                          <a:stretch>
                            <a:fillRect/>
                          </a:stretch>
                        </pic:blipFill>
                        <pic:spPr bwMode="auto">
                          <a:xfrm>
                            <a:off x="0" y="0"/>
                            <a:ext cx="4587290" cy="2752374"/>
                          </a:xfrm>
                          <a:prstGeom prst="rect">
                            <a:avLst/>
                          </a:prstGeom>
                          <a:noFill/>
                          <a:ln w="9525">
                            <a:noFill/>
                            <a:headEnd/>
                            <a:tailEnd/>
                          </a:ln>
                        </pic:spPr>
                      </pic:pic>
                    </a:graphicData>
                  </a:graphic>
                </wp:inline>
              </w:drawing>
            </w:r>
          </w:p>
          <w:p>
            <w:pPr>
              <w:jc w:val="center"/>
            </w:pPr>
            <w:pPr>
              <w:jc w:val="left"/>
              <w:spacing w:before="200"/>
              <w:pStyle w:val="ImageCaption"/>
            </w:pPr>
            <w:r>
              <w:t xml:space="preserve">Figura 2.4: Variación temporal de la concentración de clorofila-a en el embalse</w:t>
            </w:r>
          </w:p>
          <w:bookmarkEnd w:id="56"/>
        </w:tc>
      </w:tr>
    </w:tbl>
    <w:p>
      <w:pPr>
        <w:pStyle w:val="BodyText"/>
      </w:pPr>
      <w:r>
        <w:rPr>
          <w:b/>
          <w:bCs/>
        </w:rPr>
        <w:t xml:space="preserve">- Concentración de Clorofila-a de Cianobacetrias (Cl-aCiano)</w:t>
      </w:r>
      <w:r>
        <w:t xml:space="preserve">: Esta variable presentó valores muy bajos para toda la superficie del embalse (1.1 ± 0.3 mg/m3), con valores máximos que solo alcanzaron los 1.5 mg/m3 en la zona de desembocadura del rio tributario Santa Rosa (SM 8) (Figura 12).</w:t>
      </w:r>
    </w:p>
    <w:bookmarkEnd w:id="57"/>
    <w:bookmarkStart w:id="62" w:name="recuento-de-fitoplancton"/>
    <w:p>
      <w:pPr>
        <w:pStyle w:val="Heading1"/>
      </w:pPr>
      <w:r>
        <w:t xml:space="preserve">3. Recuento de fitoplancton</w:t>
      </w:r>
    </w:p>
    <w:p>
      <w:pPr>
        <w:pStyle w:val="FirstParagraph"/>
      </w:pPr>
      <w:r>
        <w:t xml:space="preserve">En base a la evaluación de la abundancia de fitoplancton (</w:t>
      </w:r>
      <w:hyperlink w:anchor="fig-ciano">
        <w:r>
          <w:rPr>
            <w:rStyle w:val="Hyperlink"/>
          </w:rPr>
          <w:t xml:space="preserve">figura 3.1</w:t>
        </w:r>
      </w:hyperlink>
      <w:r>
        <w:t xml:space="preserve">) se observa que, aunque en baja densidad, las cianobacterias (Cyanophytas) son el grupo que más contribuyen a la biomasa total del embalse.</w:t>
      </w:r>
    </w:p>
    <w:tbl>
      <w:tblPr>
        <w:tblStyle w:val="Table"/>
        <w:tblW w:type="pct" w:w="5000"/>
        <w:tblLayout w:type="fixed"/>
        <w:tblLook w:firstRow="0" w:lastRow="0" w:firstColumn="0" w:lastColumn="0" w:noHBand="0" w:noVBand="0" w:val="0000"/>
      </w:tblPr>
      <w:tblGrid>
        <w:gridCol w:w="7920"/>
      </w:tblGrid>
      <w:tr>
        <w:tc>
          <w:tcPr/>
          <w:bookmarkStart w:id="61" w:name="fig-ciano"/>
          <w:p>
            <w:pPr>
              <w:pStyle w:val="Compact"/>
              <w:jc w:val="center"/>
            </w:pPr>
            <w:r>
              <w:drawing>
                <wp:inline>
                  <wp:extent cx="4587290" cy="2752374"/>
                  <wp:effectExtent b="0" l="0" r="0" t="0"/>
                  <wp:docPr descr="" title="" id="59" name="Picture"/>
                  <a:graphic>
                    <a:graphicData uri="http://schemas.openxmlformats.org/drawingml/2006/picture">
                      <pic:pic>
                        <pic:nvPicPr>
                          <pic:cNvPr descr="informe_docx_files/figure-docx/fig-ciano-1.png" id="60" name="Picture"/>
                          <pic:cNvPicPr>
                            <a:picLocks noChangeArrowheads="1" noChangeAspect="1"/>
                          </pic:cNvPicPr>
                        </pic:nvPicPr>
                        <pic:blipFill>
                          <a:blip r:embed="rId58"/>
                          <a:stretch>
                            <a:fillRect/>
                          </a:stretch>
                        </pic:blipFill>
                        <pic:spPr bwMode="auto">
                          <a:xfrm>
                            <a:off x="0" y="0"/>
                            <a:ext cx="4587290" cy="2752374"/>
                          </a:xfrm>
                          <a:prstGeom prst="rect">
                            <a:avLst/>
                          </a:prstGeom>
                          <a:noFill/>
                          <a:ln w="9525">
                            <a:noFill/>
                            <a:headEnd/>
                            <a:tailEnd/>
                          </a:ln>
                        </pic:spPr>
                      </pic:pic>
                    </a:graphicData>
                  </a:graphic>
                </wp:inline>
              </w:drawing>
            </w:r>
          </w:p>
          <w:p>
            <w:pPr>
              <w:jc w:val="center"/>
            </w:pPr>
            <w:pPr>
              <w:jc w:val="left"/>
              <w:spacing w:before="200"/>
              <w:pStyle w:val="ImageCaption"/>
            </w:pPr>
            <w:r>
              <w:t xml:space="preserve">Figura 3.1: Distribución espacial de los principales grupos fitoplanctónicos medidos en el embalse durante la última campaña de monitoreo</w:t>
            </w:r>
          </w:p>
          <w:bookmarkEnd w:id="61"/>
        </w:tc>
      </w:tr>
    </w:tbl>
    <w:p>
      <w:pPr>
        <w:pStyle w:val="BodyText"/>
      </w:pPr>
      <w:r>
        <w:t xml:space="preserve">Coincidiendo con la información satelital, se observó que las concentraciones más importantes de fitoplancton se encontraron en el Lóbulo Este (SM 1 y 2). En estos sitios se encontraron dominancia de cianobacterias (Cyanophytas). Este grupo fitoplanctónico también estuvo presente, aunque en menor proporción, en la zona de ingreso de los ríos tributarios Grande y Santa Rosa (SM 7 y 8).</w:t>
      </w:r>
    </w:p>
    <w:p>
      <w:pPr>
        <w:pStyle w:val="BodyText"/>
      </w:pPr>
      <w:r>
        <w:t xml:space="preserve">Las diatomeas (Chrysophytas) estuvieron presentes en todos los sitios, pero en menor proporción que las cianobacterias. Mientras que los grupos representados por criptófitas (Pyrrophytas) y clorófitas (Chlorophytas) presentaron valores muy bajos en todo el embalse, sin encontrarse diferencias entre los sitios de muestreo y aportando muy poco a la abundancia general del reservorio.</w:t>
      </w:r>
    </w:p>
    <w:bookmarkEnd w:id="62"/>
    <w:bookmarkStart w:id="67" w:name="determinación-del-estado-trófico"/>
    <w:p>
      <w:pPr>
        <w:pStyle w:val="Heading1"/>
      </w:pPr>
      <w:r>
        <w:t xml:space="preserve">4. Determinación del estado trófico</w:t>
      </w:r>
    </w:p>
    <w:p>
      <w:pPr>
        <w:pStyle w:val="FirstParagraph"/>
      </w:pPr>
      <w:r>
        <w:t xml:space="preserve">Si bien la evaluación trófica se realiza como un valor promedio de todo un año monitoreado, al realizar una estimación mensual del Índice de Estado Trófico (TSI, Carlson 1977), se determinó que en los últimos meses el embalse está presentando una disminución en su estado trófico. Cabe mencionar que para este análisis no se consideró la variable fósforo total, ya que la concentración medida es atípica.</w:t>
      </w:r>
    </w:p>
    <w:p>
      <w:pPr>
        <w:pStyle w:val="BodyText"/>
      </w:pPr>
      <w:r>
        <w:t xml:space="preserve">En la actualidad, el embalse se encuentra en una situación mesotrófica baja. Esto, además de estar favorecido por la estación climática de Otoño, está estrechamente relacionado con los altos valores de transparencia del agua y bajas concentraciones de clorofila-a que se vienen registrando en las últimas campañas de monitoreo (</w:t>
      </w:r>
      <w:hyperlink w:anchor="fig-tsi">
        <w:r>
          <w:rPr>
            <w:rStyle w:val="Hyperlink"/>
          </w:rPr>
          <w:t xml:space="preserve">figura 4.1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6" w:name="fig-tsi"/>
          <w:p>
            <w:pPr>
              <w:pStyle w:val="Compact"/>
              <w:jc w:val="center"/>
            </w:pPr>
            <w:r>
              <w:drawing>
                <wp:inline>
                  <wp:extent cx="4587290" cy="2752374"/>
                  <wp:effectExtent b="0" l="0" r="0" t="0"/>
                  <wp:docPr descr="" title="" id="64" name="Picture"/>
                  <a:graphic>
                    <a:graphicData uri="http://schemas.openxmlformats.org/drawingml/2006/picture">
                      <pic:pic>
                        <pic:nvPicPr>
                          <pic:cNvPr descr="informe_docx_files/figure-docx/fig-tsi-1.png" id="65" name="Picture"/>
                          <pic:cNvPicPr>
                            <a:picLocks noChangeArrowheads="1" noChangeAspect="1"/>
                          </pic:cNvPicPr>
                        </pic:nvPicPr>
                        <pic:blipFill>
                          <a:blip r:embed="rId63"/>
                          <a:stretch>
                            <a:fillRect/>
                          </a:stretch>
                        </pic:blipFill>
                        <pic:spPr bwMode="auto">
                          <a:xfrm>
                            <a:off x="0" y="0"/>
                            <a:ext cx="4587290" cy="2752374"/>
                          </a:xfrm>
                          <a:prstGeom prst="rect">
                            <a:avLst/>
                          </a:prstGeom>
                          <a:noFill/>
                          <a:ln w="9525">
                            <a:noFill/>
                            <a:headEnd/>
                            <a:tailEnd/>
                          </a:ln>
                        </pic:spPr>
                      </pic:pic>
                    </a:graphicData>
                  </a:graphic>
                </wp:inline>
              </w:drawing>
            </w:r>
          </w:p>
          <w:p>
            <w:pPr>
              <w:jc w:val="center"/>
            </w:pPr>
            <w:pPr>
              <w:jc w:val="left"/>
              <w:spacing w:before="200"/>
              <w:pStyle w:val="ImageCaption"/>
            </w:pPr>
            <w:r>
              <w:t xml:space="preserve">Figura 4.1: Distribución espacial de los principales grupos fitoplanctónicos medidos en el embalse durante la última campaña de monitoreo</w:t>
            </w:r>
          </w:p>
          <w:bookmarkEnd w:id="66"/>
        </w:tc>
      </w:tr>
    </w:tbl>
    <w:bookmarkEnd w:id="67"/>
    <w:bookmarkStart w:id="72" w:name="consideraciones-finales"/>
    <w:p>
      <w:pPr>
        <w:pStyle w:val="Heading1"/>
      </w:pPr>
      <w:r>
        <w:t xml:space="preserve">Consideraciones finales</w:t>
      </w:r>
    </w:p>
    <w:p>
      <w:pPr>
        <w:pStyle w:val="FirstParagraph"/>
      </w:pPr>
      <w:r>
        <w:t xml:space="preserve">A partir del análisis generado con la información de campo y en base a la información satelital se observó que durante el mes de Junio de 2025 el embalse Río Tercero presentó una buena calidad del agua y una condición de mesotrófía baja. Las variables medidas mostraron un comportamiento normal. Se destaca un aumento en la transparencia del agua progresivo desde los últimos meses. Además, se registró elevadas concentraciones de nutrientes: Sin embargo estas mediciones están siendo evaluadas.</w:t>
      </w:r>
    </w:p>
    <w:p>
      <w:pPr>
        <w:pStyle w:val="BodyText"/>
      </w:pPr>
      <w:r>
        <w:t xml:space="preserve">Este trabajo constituye un estudio sistemático y a largo plazo realizado por el Grupo de Monitoreo de Aguas Superficiales Interiores (GMASI) conformado por investigadores y becarios del Instituto de Ciencias de la Tierra, Biodiversidad y Ambiente (ICBIA, CONICET-UNRC) y del Instituto Gulich (UNC-CONAE), junto a la colaboración de distintas instituciones con el fin de obtener datos adecuados para una correcta evaluación de la calidad del agua del embalse Río Tercero.</w:t>
      </w:r>
    </w:p>
    <w:p>
      <w:pPr>
        <w:pStyle w:val="BodyText"/>
      </w:pPr>
      <w:r>
        <w:t xml:space="preserve">Debido a la importancia social, económica y ecológica de este cuerpo de agua, es importante seguir monitoreando la calidad del agua y estado trófico del mismo, ya sea para obtener un mejor conocimiento del mismo, como así también para detectar o predecir cualquier modificación leve en las variables estudiadas, lo que podría traducirse en un desequilibrio del sistema. Los autores de este informe agradecen la participación de las diferentes instituciones en la realización y logística de los muestreos de rutina.</w:t>
      </w:r>
    </w:p>
    <w:tbl>
      <w:tblPr>
        <w:tblStyle w:val="Table"/>
        <w:tblW w:type="pct" w:w="5000"/>
        <w:tblLayout w:type="fixed"/>
        <w:tblLook w:firstRow="0" w:lastRow="0" w:firstColumn="0" w:lastColumn="0" w:noHBand="0" w:noVBand="0" w:val="0000"/>
      </w:tblPr>
      <w:tblGrid>
        <w:gridCol w:w="7920"/>
      </w:tblGrid>
      <w:tr>
        <w:tc>
          <w:tcPr/>
          <w:bookmarkStart w:id="71" w:name="fig-mapa-temp"/>
          <w:p>
            <w:pPr>
              <w:pStyle w:val="Compact"/>
              <w:jc w:val="center"/>
            </w:pPr>
            <w:r>
              <w:drawing>
                <wp:inline>
                  <wp:extent cx="4587290" cy="4587290"/>
                  <wp:effectExtent b="0" l="0" r="0" t="0"/>
                  <wp:docPr descr="" title="" id="69" name="Picture"/>
                  <a:graphic>
                    <a:graphicData uri="http://schemas.openxmlformats.org/drawingml/2006/picture">
                      <pic:pic>
                        <pic:nvPicPr>
                          <pic:cNvPr descr="informe_docx_files/figure-docx/fig-mapa-temp-1.png" id="70" name="Picture"/>
                          <pic:cNvPicPr>
                            <a:picLocks noChangeArrowheads="1" noChangeAspect="1"/>
                          </pic:cNvPicPr>
                        </pic:nvPicPr>
                        <pic:blipFill>
                          <a:blip r:embed="rId68"/>
                          <a:stretch>
                            <a:fillRect/>
                          </a:stretch>
                        </pic:blipFill>
                        <pic:spPr bwMode="auto">
                          <a:xfrm>
                            <a:off x="0" y="0"/>
                            <a:ext cx="4587290" cy="4587290"/>
                          </a:xfrm>
                          <a:prstGeom prst="rect">
                            <a:avLst/>
                          </a:prstGeom>
                          <a:noFill/>
                          <a:ln w="9525">
                            <a:noFill/>
                            <a:headEnd/>
                            <a:tailEnd/>
                          </a:ln>
                        </pic:spPr>
                      </pic:pic>
                    </a:graphicData>
                  </a:graphic>
                </wp:inline>
              </w:drawing>
            </w:r>
          </w:p>
          <w:p>
            <w:pPr>
              <w:jc w:val="center"/>
            </w:pPr>
            <w:pPr>
              <w:jc w:val="left"/>
              <w:spacing w:before="200"/>
              <w:pStyle w:val="ImageCaption"/>
            </w:pPr>
            <w:r>
              <w:t xml:space="preserve">Figura 4.2: Variación espacial de la temperatura del agua del embalse</w:t>
            </w:r>
          </w:p>
          <w:bookmarkEnd w:id="71"/>
        </w:tc>
      </w:tr>
    </w:tbl>
    <w:bookmarkEnd w:id="72"/>
    <w:bookmarkStart w:id="77" w:name="referencias-bibliográficas"/>
    <w:p>
      <w:pPr>
        <w:pStyle w:val="Heading1"/>
      </w:pPr>
      <w:r>
        <w:t xml:space="preserve">Referencias bibliográficas</w:t>
      </w:r>
    </w:p>
    <w:bookmarkStart w:id="76" w:name="refs"/>
    <w:bookmarkStart w:id="73" w:name="ref-bavera2001manual"/>
    <w:p>
      <w:pPr>
        <w:pStyle w:val="Bibliography"/>
      </w:pPr>
      <w:r>
        <w:t xml:space="preserve">[1]</w:t>
      </w:r>
      <w:r>
        <w:t xml:space="preserve"> </w:t>
      </w:r>
      <w:r>
        <w:t xml:space="preserve">	</w:t>
      </w:r>
      <w:r>
        <w:t xml:space="preserve">G. A. Bavera</w:t>
      </w:r>
      <w:r>
        <w:t xml:space="preserve"> </w:t>
      </w:r>
      <w:r>
        <w:rPr>
          <w:i/>
          <w:iCs/>
        </w:rPr>
        <w:t xml:space="preserve">et al.</w:t>
      </w:r>
      <w:r>
        <w:t xml:space="preserve">,</w:t>
      </w:r>
      <w:r>
        <w:t xml:space="preserve"> </w:t>
      </w:r>
      <w:r>
        <w:t xml:space="preserve">«Manual de aguas y aguadas para el ganado»</w:t>
      </w:r>
      <w:r>
        <w:t xml:space="preserve">, 2001.</w:t>
      </w:r>
    </w:p>
    <w:bookmarkEnd w:id="73"/>
    <w:bookmarkStart w:id="74" w:name="ref-bonansea2019evaluating"/>
    <w:p>
      <w:pPr>
        <w:pStyle w:val="Bibliography"/>
      </w:pPr>
      <w:r>
        <w:t xml:space="preserve">[2]</w:t>
      </w:r>
      <w:r>
        <w:t xml:space="preserve"> </w:t>
      </w:r>
      <w:r>
        <w:t xml:space="preserve">	</w:t>
      </w:r>
      <w:r>
        <w:t xml:space="preserve">M. Bonansea</w:t>
      </w:r>
      <w:r>
        <w:t xml:space="preserve"> </w:t>
      </w:r>
      <w:r>
        <w:rPr>
          <w:i/>
          <w:iCs/>
        </w:rPr>
        <w:t xml:space="preserve">et al.</w:t>
      </w:r>
      <w:r>
        <w:t xml:space="preserve">,</w:t>
      </w:r>
      <w:r>
        <w:t xml:space="preserve"> </w:t>
      </w:r>
      <w:r>
        <w:t xml:space="preserve">«Evaluating the feasibility of using Sentinel-2 imagery for water clarity assessment in a reservoir»</w:t>
      </w:r>
      <w:r>
        <w:t xml:space="preserve">,</w:t>
      </w:r>
      <w:r>
        <w:t xml:space="preserve"> </w:t>
      </w:r>
      <w:r>
        <w:rPr>
          <w:i/>
          <w:iCs/>
        </w:rPr>
        <w:t xml:space="preserve">Journal of South American Earth Sciences</w:t>
      </w:r>
      <w:r>
        <w:t xml:space="preserve">, vol. 95, p. 102265, 2019.</w:t>
      </w:r>
    </w:p>
    <w:bookmarkEnd w:id="74"/>
    <w:bookmarkStart w:id="75" w:name="ref-carlson1977trophic"/>
    <w:p>
      <w:pPr>
        <w:pStyle w:val="Bibliography"/>
      </w:pPr>
      <w:r>
        <w:t xml:space="preserve">[3]</w:t>
      </w:r>
      <w:r>
        <w:t xml:space="preserve"> </w:t>
      </w:r>
      <w:r>
        <w:t xml:space="preserve">	</w:t>
      </w:r>
      <w:r>
        <w:t xml:space="preserve">R. E. Carlson,</w:t>
      </w:r>
      <w:r>
        <w:t xml:space="preserve"> </w:t>
      </w:r>
      <w:r>
        <w:t xml:space="preserve">«A trophic state index for lakes»</w:t>
      </w:r>
      <w:r>
        <w:t xml:space="preserve">,</w:t>
      </w:r>
      <w:r>
        <w:t xml:space="preserve"> </w:t>
      </w:r>
      <w:r>
        <w:rPr>
          <w:i/>
          <w:iCs/>
        </w:rPr>
        <w:t xml:space="preserve">Limnology and oceanography</w:t>
      </w:r>
      <w:r>
        <w:t xml:space="preserve">, vol. 22, n.º 2, pp. 361-369, 1977.</w:t>
      </w:r>
    </w:p>
    <w:bookmarkEnd w:id="75"/>
    <w:bookmarkEnd w:id="76"/>
    <w:bookmarkEnd w:id="77"/>
    <w:sectPr w:rsidR="00133782">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C0DE1" w14:textId="77777777" w:rsidR="0026752D" w:rsidRDefault="002675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123C" w14:textId="77777777" w:rsidR="0026752D" w:rsidRDefault="002675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14DF" w14:textId="77777777" w:rsidR="0026752D" w:rsidRDefault="0026752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3DA4" w14:textId="77777777" w:rsidR="0026752D" w:rsidRDefault="002675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E1D9" w14:textId="44C69911" w:rsidR="009514DF" w:rsidRDefault="006E4345">
    <w:pPr>
      <w:pStyle w:val="Header"/>
    </w:pPr>
    <w:r w:rsidRPr="0011432A">
      <w:rPr>
        <w:rFonts w:ascii="Arial" w:eastAsia="Arial" w:hAnsi="Arial" w:cs="Arial"/>
        <w:b/>
        <w:noProof/>
        <w:sz w:val="21"/>
        <w:szCs w:val="21"/>
      </w:rPr>
      <w:drawing>
        <wp:anchor distT="0" distB="0" distL="114300" distR="114300" simplePos="0" relativeHeight="251658242" behindDoc="0" locked="0" layoutInCell="1" allowOverlap="1" wp14:anchorId="1C4E6B67" wp14:editId="0ACD1BED">
          <wp:simplePos x="0" y="0"/>
          <wp:positionH relativeFrom="margin">
            <wp:posOffset>4030980</wp:posOffset>
          </wp:positionH>
          <wp:positionV relativeFrom="paragraph">
            <wp:posOffset>-178435</wp:posOffset>
          </wp:positionV>
          <wp:extent cx="1584523" cy="4320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1">
                    <a:clrChange>
                      <a:clrFrom>
                        <a:srgbClr val="464646"/>
                      </a:clrFrom>
                      <a:clrTo>
                        <a:srgbClr val="464646">
                          <a:alpha val="0"/>
                        </a:srgbClr>
                      </a:clrTo>
                    </a:clrChange>
                    <a:extLst>
                      <a:ext uri="{28A0092B-C50C-407E-A947-70E740481C1C}">
                        <a14:useLocalDpi xmlns:a14="http://schemas.microsoft.com/office/drawing/2010/main" val="0"/>
                      </a:ext>
                    </a:extLst>
                  </a:blip>
                  <a:stretch>
                    <a:fillRect/>
                  </a:stretch>
                </pic:blipFill>
                <pic:spPr bwMode="auto">
                  <a:xfrm>
                    <a:off x="0" y="0"/>
                    <a:ext cx="1584523" cy="43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432A">
      <w:rPr>
        <w:rFonts w:ascii="Arial" w:eastAsia="Arial" w:hAnsi="Arial" w:cs="Arial"/>
        <w:b/>
        <w:noProof/>
        <w:sz w:val="21"/>
        <w:szCs w:val="21"/>
      </w:rPr>
      <w:drawing>
        <wp:anchor distT="0" distB="0" distL="114300" distR="114300" simplePos="0" relativeHeight="251658243" behindDoc="0" locked="0" layoutInCell="1" allowOverlap="1" wp14:anchorId="16159395" wp14:editId="5919CDB2">
          <wp:simplePos x="0" y="0"/>
          <wp:positionH relativeFrom="column">
            <wp:posOffset>3085465</wp:posOffset>
          </wp:positionH>
          <wp:positionV relativeFrom="paragraph">
            <wp:posOffset>-325120</wp:posOffset>
          </wp:positionV>
          <wp:extent cx="476863" cy="7200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2">
                    <a:clrChange>
                      <a:clrFrom>
                        <a:srgbClr val="464646"/>
                      </a:clrFrom>
                      <a:clrTo>
                        <a:srgbClr val="464646">
                          <a:alpha val="0"/>
                        </a:srgbClr>
                      </a:clrTo>
                    </a:clrChange>
                    <a:extLst>
                      <a:ext uri="{28A0092B-C50C-407E-A947-70E740481C1C}">
                        <a14:useLocalDpi xmlns:a14="http://schemas.microsoft.com/office/drawing/2010/main" val="0"/>
                      </a:ext>
                    </a:extLst>
                  </a:blip>
                  <a:srcRect t="2864" b="2864"/>
                  <a:stretch>
                    <a:fillRect/>
                  </a:stretch>
                </pic:blipFill>
                <pic:spPr bwMode="auto">
                  <a:xfrm>
                    <a:off x="0" y="0"/>
                    <a:ext cx="476863" cy="72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05BE" w:rsidRPr="0011432A">
      <w:rPr>
        <w:rFonts w:ascii="Arial" w:eastAsia="Arial" w:hAnsi="Arial" w:cs="Arial"/>
        <w:b/>
        <w:noProof/>
        <w:sz w:val="21"/>
        <w:szCs w:val="21"/>
      </w:rPr>
      <w:drawing>
        <wp:anchor distT="0" distB="0" distL="114300" distR="114300" simplePos="0" relativeHeight="251658241" behindDoc="0" locked="0" layoutInCell="1" allowOverlap="1" wp14:anchorId="773DF8EE" wp14:editId="3267F474">
          <wp:simplePos x="0" y="0"/>
          <wp:positionH relativeFrom="column">
            <wp:posOffset>1159510</wp:posOffset>
          </wp:positionH>
          <wp:positionV relativeFrom="paragraph">
            <wp:posOffset>-324485</wp:posOffset>
          </wp:positionV>
          <wp:extent cx="1456922" cy="72000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pic:cNvPicPr>
                </pic:nvPicPr>
                <pic:blipFill rotWithShape="1">
                  <a:blip r:embed="rId3">
                    <a:extLst>
                      <a:ext uri="{28A0092B-C50C-407E-A947-70E740481C1C}">
                        <a14:useLocalDpi xmlns:a14="http://schemas.microsoft.com/office/drawing/2010/main" val="0"/>
                      </a:ext>
                    </a:extLst>
                  </a:blip>
                  <a:srcRect l="6953" t="10770" r="7169" b="15749"/>
                  <a:stretch>
                    <a:fillRect/>
                  </a:stretch>
                </pic:blipFill>
                <pic:spPr bwMode="auto">
                  <a:xfrm>
                    <a:off x="0" y="0"/>
                    <a:ext cx="1456922" cy="7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95330" w:rsidRPr="0011432A">
      <w:rPr>
        <w:rFonts w:ascii="Arial" w:eastAsia="Arial" w:hAnsi="Arial" w:cs="Arial"/>
        <w:b/>
        <w:noProof/>
        <w:sz w:val="21"/>
        <w:szCs w:val="21"/>
      </w:rPr>
      <w:drawing>
        <wp:anchor distT="0" distB="0" distL="114300" distR="114300" simplePos="0" relativeHeight="251658240" behindDoc="0" locked="0" layoutInCell="1" allowOverlap="1" wp14:anchorId="7494BEF5" wp14:editId="79B5115C">
          <wp:simplePos x="0" y="0"/>
          <wp:positionH relativeFrom="column">
            <wp:posOffset>0</wp:posOffset>
          </wp:positionH>
          <wp:positionV relativeFrom="paragraph">
            <wp:posOffset>-360680</wp:posOffset>
          </wp:positionV>
          <wp:extent cx="690245" cy="791845"/>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rotWithShape="1">
                  <a:blip r:embed="rId4">
                    <a:extLst>
                      <a:ext uri="{28A0092B-C50C-407E-A947-70E740481C1C}">
                        <a14:useLocalDpi xmlns:a14="http://schemas.microsoft.com/office/drawing/2010/main" val="0"/>
                      </a:ext>
                    </a:extLst>
                  </a:blip>
                  <a:srcRect l="17622" t="16953" r="16087" b="6968"/>
                  <a:stretch>
                    <a:fillRect/>
                  </a:stretch>
                </pic:blipFill>
                <pic:spPr bwMode="auto">
                  <a:xfrm>
                    <a:off x="0" y="0"/>
                    <a:ext cx="690245" cy="791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DAA7F" w14:textId="77777777" w:rsidR="0026752D" w:rsidRDefault="0026752D">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F26EFF5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00826532"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8" w:val="bestFit"/>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E0614"/>
    <w:rsid w:val="00036436"/>
    <w:rsid w:val="000524F0"/>
    <w:rsid w:val="00084741"/>
    <w:rsid w:val="000859E2"/>
    <w:rsid w:val="0009652D"/>
    <w:rsid w:val="000B26CF"/>
    <w:rsid w:val="000E283C"/>
    <w:rsid w:val="000F1688"/>
    <w:rsid w:val="00122BAC"/>
    <w:rsid w:val="001232B1"/>
    <w:rsid w:val="00123760"/>
    <w:rsid w:val="001318ED"/>
    <w:rsid w:val="00133782"/>
    <w:rsid w:val="00196CBD"/>
    <w:rsid w:val="001B7DB5"/>
    <w:rsid w:val="001D4892"/>
    <w:rsid w:val="00256FB2"/>
    <w:rsid w:val="0026752D"/>
    <w:rsid w:val="0027702D"/>
    <w:rsid w:val="002A7F3C"/>
    <w:rsid w:val="002B57C2"/>
    <w:rsid w:val="002C1401"/>
    <w:rsid w:val="002E44EF"/>
    <w:rsid w:val="002F2D9A"/>
    <w:rsid w:val="0030449C"/>
    <w:rsid w:val="003055C0"/>
    <w:rsid w:val="00354A2D"/>
    <w:rsid w:val="003C416E"/>
    <w:rsid w:val="00404169"/>
    <w:rsid w:val="00430129"/>
    <w:rsid w:val="004350C7"/>
    <w:rsid w:val="00446093"/>
    <w:rsid w:val="004523CE"/>
    <w:rsid w:val="00482519"/>
    <w:rsid w:val="00483630"/>
    <w:rsid w:val="004A0090"/>
    <w:rsid w:val="004A0778"/>
    <w:rsid w:val="004C2D6D"/>
    <w:rsid w:val="004D37CF"/>
    <w:rsid w:val="004D4470"/>
    <w:rsid w:val="00534DD7"/>
    <w:rsid w:val="005727D7"/>
    <w:rsid w:val="00581130"/>
    <w:rsid w:val="005A45C6"/>
    <w:rsid w:val="005A74BA"/>
    <w:rsid w:val="005C59E2"/>
    <w:rsid w:val="005D48CC"/>
    <w:rsid w:val="006312E9"/>
    <w:rsid w:val="006362C0"/>
    <w:rsid w:val="006C7946"/>
    <w:rsid w:val="006D259E"/>
    <w:rsid w:val="006D78A4"/>
    <w:rsid w:val="006E4345"/>
    <w:rsid w:val="006F652E"/>
    <w:rsid w:val="00701C27"/>
    <w:rsid w:val="0074034C"/>
    <w:rsid w:val="00761D23"/>
    <w:rsid w:val="00766721"/>
    <w:rsid w:val="007904CE"/>
    <w:rsid w:val="007A41E3"/>
    <w:rsid w:val="007B7F16"/>
    <w:rsid w:val="007C2727"/>
    <w:rsid w:val="007E2167"/>
    <w:rsid w:val="007F07ED"/>
    <w:rsid w:val="00807974"/>
    <w:rsid w:val="00854827"/>
    <w:rsid w:val="00864782"/>
    <w:rsid w:val="0087563F"/>
    <w:rsid w:val="00886DE3"/>
    <w:rsid w:val="008A28D9"/>
    <w:rsid w:val="008A4DC7"/>
    <w:rsid w:val="008D4CAE"/>
    <w:rsid w:val="008F4AB1"/>
    <w:rsid w:val="00913145"/>
    <w:rsid w:val="009203D5"/>
    <w:rsid w:val="009252C6"/>
    <w:rsid w:val="0093440B"/>
    <w:rsid w:val="009514DF"/>
    <w:rsid w:val="009D0FDD"/>
    <w:rsid w:val="009D749C"/>
    <w:rsid w:val="009E3E94"/>
    <w:rsid w:val="009F02BA"/>
    <w:rsid w:val="00A05668"/>
    <w:rsid w:val="00A4095A"/>
    <w:rsid w:val="00A62573"/>
    <w:rsid w:val="00A70A99"/>
    <w:rsid w:val="00A94669"/>
    <w:rsid w:val="00AE0614"/>
    <w:rsid w:val="00B446DC"/>
    <w:rsid w:val="00B61A0E"/>
    <w:rsid w:val="00B96735"/>
    <w:rsid w:val="00BC26D0"/>
    <w:rsid w:val="00BE1CFE"/>
    <w:rsid w:val="00C16166"/>
    <w:rsid w:val="00C33F0D"/>
    <w:rsid w:val="00C462F6"/>
    <w:rsid w:val="00CA3DBA"/>
    <w:rsid w:val="00CB302F"/>
    <w:rsid w:val="00D25A26"/>
    <w:rsid w:val="00D405BE"/>
    <w:rsid w:val="00D46B64"/>
    <w:rsid w:val="00D6037F"/>
    <w:rsid w:val="00D63B4C"/>
    <w:rsid w:val="00D77EDC"/>
    <w:rsid w:val="00D83BFD"/>
    <w:rsid w:val="00D929B3"/>
    <w:rsid w:val="00E13906"/>
    <w:rsid w:val="00E236E6"/>
    <w:rsid w:val="00E26CB9"/>
    <w:rsid w:val="00E56EC0"/>
    <w:rsid w:val="00E95330"/>
    <w:rsid w:val="00F00313"/>
    <w:rsid w:val="00F027CE"/>
    <w:rsid w:val="00F465B7"/>
    <w:rsid w:val="00F54BDA"/>
    <w:rsid w:val="00F80F7F"/>
    <w:rsid w:val="00F966F0"/>
    <w:rsid w:val="00FC6A4F"/>
    <w:rsid w:val="00FD0814"/>
    <w:rsid w:val="00FE6AB5"/>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96CBD"/>
    <w:rPr>
      <w:rFonts w:ascii="Times New Roman" w:hAnsi="Times New Roman"/>
      <w:sz w:val="20"/>
    </w:rPr>
  </w:style>
  <w:style w:styleId="Heading1" w:type="paragraph">
    <w:name w:val="heading 1"/>
    <w:basedOn w:val="Normal"/>
    <w:next w:val="BodyText"/>
    <w:link w:val="Heading1Char"/>
    <w:uiPriority w:val="9"/>
    <w:qFormat/>
    <w:rsid w:val="00A94669"/>
    <w:pPr>
      <w:keepNext/>
      <w:keepLines/>
      <w:spacing w:after="80" w:before="360"/>
      <w:outlineLvl w:val="0"/>
    </w:pPr>
    <w:rPr>
      <w:rFonts w:cstheme="majorBidi" w:eastAsiaTheme="majorEastAsia"/>
      <w:b/>
      <w:sz w:val="28"/>
      <w:szCs w:val="40"/>
    </w:rPr>
  </w:style>
  <w:style w:styleId="Heading2" w:type="paragraph">
    <w:name w:val="heading 2"/>
    <w:basedOn w:val="Normal"/>
    <w:next w:val="BodyText"/>
    <w:link w:val="Heading2Char"/>
    <w:uiPriority w:val="9"/>
    <w:semiHidden/>
    <w:unhideWhenUsed/>
    <w:qFormat/>
    <w:rsid w:val="00A94669"/>
    <w:pPr>
      <w:keepNext/>
      <w:keepLines/>
      <w:spacing w:after="80" w:before="160"/>
      <w:outlineLvl w:val="1"/>
    </w:pPr>
    <w:rPr>
      <w:rFonts w:cstheme="majorBidi" w:eastAsiaTheme="majorEastAsia"/>
      <w:b/>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70A99"/>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rsid w:val="00256FB2"/>
    <w:pPr>
      <w:spacing w:after="36" w:before="36"/>
    </w:pPr>
  </w:style>
  <w:style w:styleId="Title" w:type="paragraph">
    <w:name w:val="Title"/>
    <w:basedOn w:val="Normal"/>
    <w:next w:val="BodyText"/>
    <w:link w:val="TitleChar"/>
    <w:uiPriority w:val="10"/>
    <w:qFormat/>
    <w:rsid w:val="00F027CE"/>
    <w:pPr>
      <w:spacing w:after="1440" w:before="1440"/>
      <w:contextualSpacing/>
      <w:jc w:val="center"/>
    </w:pPr>
    <w:rPr>
      <w:rFonts w:cstheme="majorBidi" w:eastAsiaTheme="majorEastAsia"/>
      <w:b/>
      <w:sz w:val="40"/>
      <w:szCs w:val="56"/>
    </w:rPr>
  </w:style>
  <w:style w:customStyle="1" w:styleId="TitleChar" w:type="character">
    <w:name w:val="Title Char"/>
    <w:basedOn w:val="DefaultParagraphFont"/>
    <w:link w:val="Title"/>
    <w:uiPriority w:val="10"/>
    <w:rsid w:val="00F027CE"/>
    <w:rPr>
      <w:rFonts w:ascii="Times New Roman" w:cstheme="majorBidi" w:eastAsiaTheme="majorEastAsia" w:hAnsi="Times New Roman"/>
      <w:b/>
      <w:sz w:val="40"/>
      <w:szCs w:val="56"/>
    </w:rPr>
  </w:style>
  <w:style w:styleId="Subtitle" w:type="paragraph">
    <w:name w:val="Subtitle"/>
    <w:basedOn w:val="Title"/>
    <w:next w:val="BodyText"/>
    <w:link w:val="SubtitleChar"/>
    <w:uiPriority w:val="11"/>
    <w:qFormat/>
    <w:rsid w:val="00A4095A"/>
    <w:pPr>
      <w:numPr>
        <w:ilvl w:val="1"/>
      </w:numPr>
      <w:pBdr>
        <w:top w:color="156082" w:space="1" w:sz="8" w:themeColor="accent1" w:val="single"/>
        <w:bottom w:color="156082" w:space="1" w:sz="8" w:themeColor="accent1" w:val="single"/>
      </w:pBdr>
    </w:pPr>
    <w:rPr>
      <w:spacing w:val="15"/>
      <w:sz w:val="28"/>
      <w:szCs w:val="28"/>
    </w:rPr>
  </w:style>
  <w:style w:customStyle="1" w:styleId="SubtitleChar" w:type="character">
    <w:name w:val="Subtitle Char"/>
    <w:basedOn w:val="DefaultParagraphFont"/>
    <w:link w:val="Subtitle"/>
    <w:uiPriority w:val="11"/>
    <w:rsid w:val="00A4095A"/>
    <w:rPr>
      <w:rFonts w:ascii="Times New Roman" w:cstheme="majorBidi" w:eastAsiaTheme="majorEastAsia" w:hAnsi="Times New Roman"/>
      <w:b/>
      <w:spacing w:val="15"/>
      <w:sz w:val="28"/>
      <w:szCs w:val="28"/>
    </w:rPr>
  </w:style>
  <w:style w:customStyle="1" w:styleId="Author" w:type="paragraph">
    <w:name w:val="Author"/>
    <w:basedOn w:val="Title"/>
    <w:next w:val="BodyText"/>
    <w:qFormat/>
    <w:rsid w:val="00A62573"/>
    <w:pPr>
      <w:keepNext/>
      <w:keepLines/>
    </w:pPr>
    <w:rPr>
      <w:sz w:val="20"/>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Cs w:val="20"/>
    </w:rPr>
  </w:style>
  <w:style w:customStyle="1" w:styleId="Abstract" w:type="paragraph">
    <w:name w:val="Abstract"/>
    <w:basedOn w:val="FirstParagraph"/>
    <w:next w:val="BodyText"/>
    <w:qFormat/>
    <w:rsid w:val="00F465B7"/>
    <w:pPr>
      <w:keepNext/>
      <w:keepLines/>
      <w:framePr w:hAnchor="text" w:vAnchor="text" w:wrap="notBeside" w:y="1"/>
      <w:spacing w:after="1140" w:before="940"/>
    </w:pPr>
    <w:rPr>
      <w:szCs w:val="20"/>
    </w:rPr>
  </w:style>
  <w:style w:styleId="Bibliography" w:type="paragraph">
    <w:name w:val="Bibliography"/>
    <w:basedOn w:val="Normal"/>
    <w:link w:val="BibliographyChar"/>
    <w:qFormat/>
    <w:rsid w:val="00FC6A4F"/>
  </w:style>
  <w:style w:customStyle="1" w:styleId="Heading1Char" w:type="character">
    <w:name w:val="Heading 1 Char"/>
    <w:basedOn w:val="DefaultParagraphFont"/>
    <w:link w:val="Heading1"/>
    <w:uiPriority w:val="9"/>
    <w:rsid w:val="00A94669"/>
    <w:rPr>
      <w:rFonts w:ascii="Times New Roman" w:cstheme="majorBidi" w:eastAsiaTheme="majorEastAsia" w:hAnsi="Times New Roman"/>
      <w:b/>
      <w:sz w:val="28"/>
      <w:szCs w:val="40"/>
    </w:rPr>
  </w:style>
  <w:style w:customStyle="1" w:styleId="Heading2Char" w:type="character">
    <w:name w:val="Heading 2 Char"/>
    <w:basedOn w:val="DefaultParagraphFont"/>
    <w:link w:val="Heading2"/>
    <w:uiPriority w:val="9"/>
    <w:semiHidden/>
    <w:rsid w:val="00A94669"/>
    <w:rPr>
      <w:rFonts w:ascii="Times New Roman" w:cstheme="majorBidi" w:eastAsiaTheme="majorEastAsia" w:hAnsi="Times New Roman"/>
      <w:b/>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link w:val="DefinitionChar"/>
  </w:style>
  <w:style w:styleId="Caption" w:type="paragraph">
    <w:name w:val="caption"/>
    <w:basedOn w:val="Normal"/>
    <w:link w:val="CaptionChar"/>
    <w:pPr>
      <w:spacing w:after="120"/>
    </w:pPr>
    <w:rPr>
      <w:i/>
    </w:rPr>
  </w:style>
  <w:style w:customStyle="1" w:styleId="TableCaption" w:type="paragraph">
    <w:name w:val="Table Caption"/>
    <w:basedOn w:val="Caption"/>
    <w:rsid w:val="00BC26D0"/>
    <w:pPr>
      <w:keepNext/>
    </w:pPr>
  </w:style>
  <w:style w:customStyle="1" w:styleId="ImageCaption" w:type="paragraph">
    <w:name w:val="Image Caption"/>
    <w:basedOn w:val="Caption"/>
    <w:rsid w:val="00BC26D0"/>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9514DF"/>
    <w:pPr>
      <w:tabs>
        <w:tab w:pos="4419" w:val="center"/>
        <w:tab w:pos="8838" w:val="right"/>
      </w:tabs>
      <w:spacing w:after="0"/>
    </w:pPr>
  </w:style>
  <w:style w:customStyle="1" w:styleId="HeaderChar" w:type="character">
    <w:name w:val="Header Char"/>
    <w:basedOn w:val="DefaultParagraphFont"/>
    <w:link w:val="Header"/>
    <w:rsid w:val="009514DF"/>
  </w:style>
  <w:style w:styleId="Footer" w:type="paragraph">
    <w:name w:val="footer"/>
    <w:basedOn w:val="Normal"/>
    <w:link w:val="FooterChar"/>
    <w:rsid w:val="009514DF"/>
    <w:pPr>
      <w:tabs>
        <w:tab w:pos="4419" w:val="center"/>
        <w:tab w:pos="8838" w:val="right"/>
      </w:tabs>
      <w:spacing w:after="0"/>
    </w:pPr>
  </w:style>
  <w:style w:customStyle="1" w:styleId="FooterChar" w:type="character">
    <w:name w:val="Footer Char"/>
    <w:basedOn w:val="DefaultParagraphFont"/>
    <w:link w:val="Footer"/>
    <w:rsid w:val="009514DF"/>
  </w:style>
  <w:style w:customStyle="1" w:styleId="Rojo" w:type="paragraph">
    <w:name w:val="Rojo"/>
    <w:basedOn w:val="Definition"/>
    <w:link w:val="RojoChar"/>
    <w:rsid w:val="00D6037F"/>
    <w:rPr>
      <w:b/>
      <w:i/>
      <w:color w:val="EE0000"/>
      <w:u w:val="single"/>
    </w:rPr>
  </w:style>
  <w:style w:customStyle="1" w:styleId="DefinitionChar" w:type="character">
    <w:name w:val="Definition Char"/>
    <w:basedOn w:val="DefaultParagraphFont"/>
    <w:link w:val="Definition"/>
    <w:rsid w:val="00D25A26"/>
  </w:style>
  <w:style w:customStyle="1" w:styleId="RojoChar" w:type="character">
    <w:name w:val="Rojo Char"/>
    <w:basedOn w:val="DefinitionChar"/>
    <w:link w:val="Rojo"/>
    <w:rsid w:val="00D6037F"/>
    <w:rPr>
      <w:rFonts w:ascii="Times New Roman" w:hAnsi="Times New Roman"/>
      <w:b/>
      <w:i/>
      <w:color w:val="EE0000"/>
      <w:sz w:val="20"/>
      <w:u w:val="single"/>
    </w:rPr>
  </w:style>
  <w:style w:customStyle="1" w:styleId="Tabla" w:type="paragraph">
    <w:name w:val="Tabla"/>
    <w:basedOn w:val="Bibliography"/>
    <w:link w:val="TablaChar"/>
    <w:qFormat/>
    <w:rsid w:val="007B7F16"/>
    <w:rPr>
      <w:color w:val="00B050"/>
      <w:sz w:val="16"/>
    </w:rPr>
  </w:style>
  <w:style w:customStyle="1" w:styleId="BibliographyChar" w:type="character">
    <w:name w:val="Bibliography Char"/>
    <w:basedOn w:val="DefaultParagraphFont"/>
    <w:link w:val="Bibliography"/>
    <w:rsid w:val="004D37CF"/>
    <w:rPr>
      <w:rFonts w:ascii="Times New Roman" w:hAnsi="Times New Roman"/>
      <w:sz w:val="20"/>
    </w:rPr>
  </w:style>
  <w:style w:customStyle="1" w:styleId="TablaChar" w:type="character">
    <w:name w:val="Tabla Char"/>
    <w:basedOn w:val="BibliographyChar"/>
    <w:link w:val="Tabla"/>
    <w:rsid w:val="007B7F16"/>
    <w:rPr>
      <w:rFonts w:ascii="Times New Roman" w:hAnsi="Times New Roman"/>
      <w:color w:val="00B050"/>
      <w:sz w:val="16"/>
    </w:rPr>
  </w:style>
  <w:style w:customStyle="1" w:styleId="Super" w:type="paragraph">
    <w:name w:val="Super"/>
    <w:basedOn w:val="Normal"/>
    <w:link w:val="SuperChar"/>
    <w:qFormat/>
    <w:rsid w:val="00E26CB9"/>
  </w:style>
  <w:style w:customStyle="1" w:styleId="SuperChar" w:type="character">
    <w:name w:val="Super Char"/>
    <w:basedOn w:val="DefaultParagraphFont"/>
    <w:link w:val="Super"/>
    <w:rsid w:val="00E26CB9"/>
    <w:rPr>
      <w:rFonts w:ascii="Times New Roman" w:hAnsi="Times New Roman"/>
      <w:sz w:val="20"/>
    </w:rPr>
  </w:style>
  <w:style w:type="character" w:customStyle="1" w:styleId="Rojo">
    <w:name w:val="Rojo"/>
    <w:basedOn w:val="BodyTextCha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0" Target="media/rId20.jpg" /><Relationship Type="http://schemas.openxmlformats.org/officeDocument/2006/relationships/image" Id="rId24" Target="media/rId24.jpg" /><Relationship Type="http://schemas.openxmlformats.org/officeDocument/2006/relationships/image" Id="rId29" Target="media/rId29.jpg" /><Relationship Type="http://schemas.openxmlformats.org/officeDocument/2006/relationships/image" Id="rId33" Target="media/rId33.jpg" /><Relationship Type="http://schemas.openxmlformats.org/officeDocument/2006/relationships/image" Id="rId58" Target="media/rId58.png" /><Relationship Type="http://schemas.openxmlformats.org/officeDocument/2006/relationships/image" Id="rId53" Target="media/rId53.png" /><Relationship Type="http://schemas.openxmlformats.org/officeDocument/2006/relationships/image" Id="rId68" Target="media/rId68.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63" Target="media/rId63.png" /><Relationship Type="http://schemas.openxmlformats.org/officeDocument/2006/relationships/hyperlink" Id="rId28" Target="https://www.cba.gov.ar/nivel-dediques-y-embalses/" TargetMode="External" /></Relationships>
</file>

<file path=word/_rels/footnotes.xml.rels><?xml version="1.0" encoding="UTF-8"?><Relationships xmlns="http://schemas.openxmlformats.org/package/2006/relationships"><Relationship Type="http://schemas.openxmlformats.org/officeDocument/2006/relationships/hyperlink" Id="rId28" Target="https://www.cba.gov.ar/nivel-dediques-y-embalses/" TargetMode="External" /></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67</Words>
  <Characters>388</Characters>
  <Application>Microsoft Office Word</Application>
  <DocSecurity>0</DocSecurity>
  <Lines>3</Lines>
  <Paragraphs>1</Paragraphs>
  <ScaleCrop>false</ScaleCrop>
  <Company/>
  <LinksUpToDate>false</LinksUpToDate>
  <CharactersWithSpaces>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CALIDAD DEL AGUA DEL EMBALSE RIO TERCERO (Junio de 2025)</dc:title>
  <dc:creator>Dr. Matías BONANSEA, Dra. Anabella FERRAL, Dr. Lucio PINOTTI, Lic. Sofía GUTIERREZ, Geol. Mariana CORREA, Lic. Facundo PARODI, Dra. Rocío GUIDO, MsC. Giuliana BELTRAMONE, Lic. Sofía PANA, Lic. Francisco NEMIÑA, MsC. Víctor GAUTO, MsC. Facundo BONINO, Esp. Joel CARREÑO, Lic. Rossana VILLALBA</dc:creator>
  <dc:language>es</dc:language>
  <cp:keywords/>
  <dcterms:created xsi:type="dcterms:W3CDTF">2025-10-13T22:23:33Z</dcterms:created>
  <dcterms:modified xsi:type="dcterms:W3CDTF">2025-10-13T22:23:33Z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Solicitud de la Autoridad de Cuencas Julio de 2025</vt:lpwstr>
  </property>
  <property fmtid="{D5CDD505-2E9C-101B-9397-08002B2CF9AE}" pid="3" name="abstract-title">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uthor">
    <vt:lpwstr/>
  </property>
  <property fmtid="{D5CDD505-2E9C-101B-9397-08002B2CF9AE}" pid="8" name="cover-image">
    <vt:lpwstr>cover.png</vt:lpwstr>
  </property>
  <property fmtid="{D5CDD505-2E9C-101B-9397-08002B2CF9AE}" pid="9" name="crossref">
    <vt:lpwstr/>
  </property>
  <property fmtid="{D5CDD505-2E9C-101B-9397-08002B2CF9AE}" pid="10" name="csl">
    <vt:lpwstr>bibliografia/ieee.csl</vt:lpwstr>
  </property>
  <property fmtid="{D5CDD505-2E9C-101B-9397-08002B2CF9AE}" pid="11" name="date">
    <vt:lpwstr>2025-10-13</vt:lpwstr>
  </property>
  <property fmtid="{D5CDD505-2E9C-101B-9397-08002B2CF9AE}" pid="12" name="date-format">
    <vt:lpwstr>iso</vt:lpwstr>
  </property>
  <property fmtid="{D5CDD505-2E9C-101B-9397-08002B2CF9AE}" pid="13" name="editor_options">
    <vt:lpwstr/>
  </property>
  <property fmtid="{D5CDD505-2E9C-101B-9397-08002B2CF9AE}" pid="14" name="execute">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nocite">
    <vt:lpwstr>@*</vt:lpwstr>
  </property>
  <property fmtid="{D5CDD505-2E9C-101B-9397-08002B2CF9AE}" pid="20" name="subtitle">
    <vt:lpwstr>Informe I | ANEXO II</vt:lpwstr>
  </property>
  <property fmtid="{D5CDD505-2E9C-101B-9397-08002B2CF9AE}" pid="21" name="toc-title">
    <vt:lpwstr>Tabla de contenidos</vt:lpwstr>
  </property>
</Properties>
</file>