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висновок-для-захисту-першого-етапу"/>
    <w:p>
      <w:pPr>
        <w:pStyle w:val="Heading1"/>
      </w:pPr>
      <w:r>
        <w:t xml:space="preserve">Висновок для захисту першого етапу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Моделювання поширення атмосферного забруднення та оцінювання економічної ефективності заходів зі зменшення викидів</w:t>
      </w:r>
    </w:p>
    <w:p>
      <w:pPr>
        <w:pStyle w:val="BodyText"/>
      </w:pPr>
      <w:r>
        <w:rPr>
          <w:b/>
          <w:bCs/>
        </w:rPr>
        <w:t xml:space="preserve">Тип даних:</w:t>
      </w:r>
      <w:r>
        <w:t xml:space="preserve"> </w:t>
      </w:r>
      <w:r>
        <w:t xml:space="preserve">синтетичні (synthetic / illustrative). Реальне підприємство, офіційні ГДК і затверджена грошова методика на цьому етапі не використовуються; за потреби їх можна підставити пізніше без зміни структури моделі.</w:t>
      </w:r>
    </w:p>
    <w:p>
      <w:r>
        <w:pict>
          <v:rect style="width:0;height:1.5pt" o:hralign="center" o:hrstd="t" o:hr="t"/>
        </w:pict>
      </w:r>
    </w:p>
    <w:bookmarkStart w:id="9" w:name="що-зроблено-на-першому-етапі"/>
    <w:p>
      <w:pPr>
        <w:pStyle w:val="Heading2"/>
      </w:pPr>
      <w:r>
        <w:t xml:space="preserve">1. Що зроблено на першому етапі</w:t>
      </w:r>
    </w:p>
    <w:p>
      <w:pPr>
        <w:pStyle w:val="Compact"/>
        <w:numPr>
          <w:ilvl w:val="0"/>
          <w:numId w:val="1001"/>
        </w:numPr>
      </w:pPr>
      <w:r>
        <w:t xml:space="preserve">Обрано тему економіко-екологічного проєкту.</w:t>
      </w:r>
    </w:p>
    <w:p>
      <w:pPr>
        <w:pStyle w:val="Compact"/>
        <w:numPr>
          <w:ilvl w:val="0"/>
          <w:numId w:val="1001"/>
        </w:numPr>
      </w:pPr>
      <w:r>
        <w:t xml:space="preserve">Сформульовано постановку задачі, об’єкт і предмет дослідження.</w:t>
      </w:r>
    </w:p>
    <w:p>
      <w:pPr>
        <w:pStyle w:val="Compact"/>
        <w:numPr>
          <w:ilvl w:val="0"/>
          <w:numId w:val="1001"/>
        </w:numPr>
      </w:pPr>
      <w:r>
        <w:t xml:space="preserve">Визначено екологічні та економічні показники.</w:t>
      </w:r>
    </w:p>
    <w:p>
      <w:pPr>
        <w:pStyle w:val="Compact"/>
        <w:numPr>
          <w:ilvl w:val="0"/>
          <w:numId w:val="1001"/>
        </w:numPr>
      </w:pPr>
      <w:r>
        <w:t xml:space="preserve">Зафіксовано доступні джерела даних і перелік даних, яких поки немає.</w:t>
      </w:r>
    </w:p>
    <w:p>
      <w:pPr>
        <w:pStyle w:val="Compact"/>
        <w:numPr>
          <w:ilvl w:val="0"/>
          <w:numId w:val="1001"/>
        </w:numPr>
      </w:pPr>
      <w:r>
        <w:t xml:space="preserve">Підготовлено модульну програму з розрахунком гаусового шлейфу, порівнянням сценаріїв і інтерфейсом Streamlit.</w:t>
      </w:r>
    </w:p>
    <w:p>
      <w:pPr>
        <w:pStyle w:val="FirstParagraph"/>
      </w:pPr>
      <w:r>
        <w:rPr>
          <w:b/>
          <w:bCs/>
        </w:rPr>
        <w:t xml:space="preserve">Об’єкт дослідження</w:t>
      </w:r>
      <w:r>
        <w:t xml:space="preserve"> </w:t>
      </w:r>
      <w:r>
        <w:t xml:space="preserve">— територія навколо одного стаціонарного точкового джерела атмосферних викидів.</w:t>
      </w:r>
    </w:p>
    <w:p>
      <w:pPr>
        <w:pStyle w:val="BodyText"/>
      </w:pPr>
      <w:r>
        <w:rPr>
          <w:b/>
          <w:bCs/>
        </w:rPr>
        <w:t xml:space="preserve">Предмет дослідження</w:t>
      </w:r>
      <w:r>
        <w:t xml:space="preserve"> </w:t>
      </w:r>
      <w:r>
        <w:t xml:space="preserve">— закономірності поширення забруднювальної речовини та навчальні економічні наслідки скорочення викидів.</w:t>
      </w:r>
    </w:p>
    <w:p>
      <w:r>
        <w:pict>
          <v:rect style="width:0;height:1.5pt" o:hralign="center" o:hrstd="t" o:hr="t"/>
        </w:pict>
      </w:r>
    </w:p>
    <w:bookmarkEnd w:id="9"/>
    <w:bookmarkStart w:id="10" w:name="X38ecbc3655b8633e1bd51305d37097c3bd02ee4"/>
    <w:p>
      <w:pPr>
        <w:pStyle w:val="Heading2"/>
      </w:pPr>
      <w:r>
        <w:t xml:space="preserve">2. Вхідні синтетичні дані базового розрахунку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</w:pPr>
            <w:r>
              <w:t xml:space="preserve">Одиниця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Речовина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Інтенсивність викиду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г/с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Ефективна висота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Швидкість вітру 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м/с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Напрямок вітру (метеорологічний)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° (західний: повітря рухається на схід)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 стійкості Паскуіла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 (нейтральна)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Коефіцієнт розпаду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1/с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Фонова концентрація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мкг/м³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Поріг перевищення C_lim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мкг/м³ (навчальний, не офіційна ГДК)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Ширина території (схід–захід)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8 000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Довжина території (північ–південь)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Крок сітки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 розрахункової території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км²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Густота населення 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осіб/км²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Тривалість впливу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Коефіцієнт збитку k_d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грн / (особа · год · од. відн. перевищення)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Вартість встановлення очищення (на 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750 000</w:t>
            </w:r>
          </w:p>
        </w:tc>
        <w:tc>
          <w:tcPr/>
          <w:p>
            <w:pPr>
              <w:pStyle w:val="Compact"/>
            </w:pPr>
            <w:r>
              <w:t xml:space="preserve">грн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Експлуатаційні витрати (на 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120 000</w:t>
            </w:r>
          </w:p>
        </w:tc>
        <w:tc>
          <w:tcPr/>
          <w:p>
            <w:pPr>
              <w:pStyle w:val="Compact"/>
            </w:pPr>
            <w:r>
              <w:t xml:space="preserve">грн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Повна вартість 100% скорочення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870 000</w:t>
            </w:r>
          </w:p>
        </w:tc>
        <w:tc>
          <w:tcPr/>
          <w:p>
            <w:pPr>
              <w:pStyle w:val="Compact"/>
            </w:pPr>
            <w:r>
              <w:t xml:space="preserve">грн</w:t>
            </w:r>
          </w:p>
        </w:tc>
      </w:tr>
    </w:tbl>
    <w:p>
      <w:pPr>
        <w:pStyle w:val="BodyText"/>
      </w:pPr>
      <w:r>
        <w:t xml:space="preserve">Файл параметрів:</w:t>
      </w:r>
      <w:r>
        <w:t xml:space="preserve"> </w:t>
      </w:r>
      <w:r>
        <w:rPr>
          <w:rStyle w:val="VerbatimChar"/>
        </w:rPr>
        <w:t xml:space="preserve">data/sample_input.csv</w:t>
      </w:r>
      <w:r>
        <w:t xml:space="preserve">. Сценарії:</w:t>
      </w:r>
      <w:r>
        <w:t xml:space="preserve"> </w:t>
      </w:r>
      <w:r>
        <w:rPr>
          <w:rStyle w:val="VerbatimChar"/>
        </w:rPr>
        <w:t xml:space="preserve">data/sample_scenarios.csv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метод-розрахунку-коротко"/>
    <w:p>
      <w:pPr>
        <w:pStyle w:val="Heading2"/>
      </w:pPr>
      <w:r>
        <w:t xml:space="preserve">3. Метод розрахунку (коротко)</w:t>
      </w:r>
    </w:p>
    <w:p>
      <w:pPr>
        <w:pStyle w:val="FirstParagraph"/>
      </w:pPr>
      <w:r>
        <w:t xml:space="preserve">Приземна концентрація постійного точкового джерела:</w:t>
      </w:r>
    </w:p>
    <w:p>
      <w:pPr>
        <w:pStyle w:val="SourceCode"/>
      </w:pPr>
      <w:r>
        <w:rPr>
          <w:rStyle w:val="VerbatimChar"/>
        </w:rPr>
        <w:t xml:space="preserve">C(x, y, 0) = Q / (2 π u σy σz)</w:t>
      </w:r>
      <w:r>
        <w:br/>
      </w:r>
      <w:r>
        <w:rPr>
          <w:rStyle w:val="VerbatimChar"/>
        </w:rPr>
        <w:t xml:space="preserve">           × exp(-y² / (2 σy²))</w:t>
      </w:r>
      <w:r>
        <w:br/>
      </w:r>
      <w:r>
        <w:rPr>
          <w:rStyle w:val="VerbatimChar"/>
        </w:rPr>
        <w:t xml:space="preserve">           × 2 × exp(-H² / (2 σz²))</w:t>
      </w:r>
    </w:p>
    <w:p>
      <w:pPr>
        <w:pStyle w:val="FirstParagraph"/>
      </w:pPr>
      <w:r>
        <w:t xml:space="preserve">Далі: переведення г/м³ → мкг/м³ (</w:t>
      </w:r>
      <w:r>
        <w:rPr>
          <w:rStyle w:val="VerbatimChar"/>
        </w:rPr>
        <w:t xml:space="preserve">× 1 000 000</w:t>
      </w:r>
      <w:r>
        <w:t xml:space="preserve">), додавання фону, порівняння з порогом C_lim.</w:t>
      </w:r>
    </w:p>
    <w:p>
      <w:pPr>
        <w:pStyle w:val="BodyText"/>
      </w:pPr>
      <w:r>
        <w:t xml:space="preserve">Навчальний збиток по комірках із перевищенням:</w:t>
      </w:r>
    </w:p>
    <w:p>
      <w:pPr>
        <w:pStyle w:val="SourceCode"/>
      </w:pPr>
      <w:r>
        <w:rPr>
          <w:rStyle w:val="VerbatimChar"/>
        </w:rPr>
        <w:t xml:space="preserve">N_i = ρ × A_i</w:t>
      </w:r>
      <w:r>
        <w:br/>
      </w:r>
      <w:r>
        <w:rPr>
          <w:rStyle w:val="VerbatimChar"/>
        </w:rPr>
        <w:t xml:space="preserve">D_i = k_d × N_i × T × (C_i − C_lim) / C_lim</w:t>
      </w:r>
      <w:r>
        <w:br/>
      </w:r>
      <w:r>
        <w:rPr>
          <w:rStyle w:val="VerbatimChar"/>
        </w:rPr>
        <w:t xml:space="preserve">D = Σ D_i</w:t>
      </w:r>
    </w:p>
    <w:p>
      <w:pPr>
        <w:pStyle w:val="FirstParagraph"/>
      </w:pPr>
      <w:r>
        <w:t xml:space="preserve">Вартість заходу і чистий ефект:</w:t>
      </w:r>
    </w:p>
    <w:p>
      <w:pPr>
        <w:pStyle w:val="SourceCode"/>
      </w:pPr>
      <w:r>
        <w:rPr>
          <w:rStyle w:val="VerbatimChar"/>
        </w:rPr>
        <w:t xml:space="preserve">Q(p) = Q × (1 − p/100)</w:t>
      </w:r>
      <w:r>
        <w:br/>
      </w:r>
      <w:r>
        <w:rPr>
          <w:rStyle w:val="VerbatimChar"/>
        </w:rPr>
        <w:t xml:space="preserve">C_mit(p) = (p/100) × (C_inst + C_op)</w:t>
      </w:r>
      <w:r>
        <w:br/>
      </w:r>
      <w:r>
        <w:rPr>
          <w:rStyle w:val="VerbatimChar"/>
        </w:rPr>
        <w:t xml:space="preserve">avoided_damage = D(0) − D(p)</w:t>
      </w:r>
      <w:r>
        <w:br/>
      </w:r>
      <w:r>
        <w:rPr>
          <w:rStyle w:val="VerbatimChar"/>
        </w:rPr>
        <w:t xml:space="preserve">net_effect = avoided_damage − C_mit(p)</w:t>
      </w:r>
    </w:p>
    <w:p>
      <w:pPr>
        <w:pStyle w:val="FirstParagraph"/>
      </w:pPr>
      <w:r>
        <w:t xml:space="preserve">σy, σz — сільські формули Бріггса для класу D. Деталі:</w:t>
      </w:r>
      <w:r>
        <w:t xml:space="preserve"> </w:t>
      </w:r>
      <w:r>
        <w:rPr>
          <w:rStyle w:val="VerbatimChar"/>
        </w:rPr>
        <w:t xml:space="preserve">docs/mathematical_model.md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5dd5adc396dcab19202c8f5fa4297085ab27964"/>
    <w:p>
      <w:pPr>
        <w:pStyle w:val="Heading2"/>
      </w:pPr>
      <w:r>
        <w:t xml:space="preserve">4. Результати екологічного розрахунку (базовий сценарій, p = 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Максимальна приземна концентрація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117,85 мкг/м³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Середня концентрація по сітці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6,48 мкг/м³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максимуму відносно джерела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схід 1 600 м, північ 0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Відстань максимуму за вітром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1 600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Поріг C_lim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мкг/м³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Перевищення максимуму над порогом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117,85 / 50 ≈</w:t>
            </w:r>
            <w:r>
              <w:t xml:space="preserve"> </w:t>
            </w:r>
            <w:r>
              <w:rPr>
                <w:b/>
                <w:bCs/>
              </w:rPr>
              <w:t xml:space="preserve">2,36 раза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 зони перевищення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1,31 км²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Частка розрахункової території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Наближена кількість населення в зоні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524 особи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1,31 × 400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Інтерпретація простими словами: за синтетичними умовами шлейф SO₂ формує вузьку зону перевищення навчального порога на схід від джерела. Максимум — близько 1,6 км за вітром. Більша частина території (≈ 98,4%) залишається нижче порога; середнє по сітці близьке до фону, бо територія велика.</w:t>
      </w:r>
    </w:p>
    <w:p>
      <w:r>
        <w:pict>
          <v:rect style="width:0;height:1.5pt" o:hralign="center" o:hrstd="t" o:hr="t"/>
        </w:pict>
      </w:r>
    </w:p>
    <w:bookmarkEnd w:id="12"/>
    <w:bookmarkStart w:id="15" w:name="порівняння-сценаріїв-зменшення-викидів"/>
    <w:p>
      <w:pPr>
        <w:pStyle w:val="Heading2"/>
      </w:pPr>
      <w:r>
        <w:t xml:space="preserve">5. Порівняння сценаріїв зменшення викидів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Сценарій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Q, г/с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Макс. C, мкг/м³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Площа &gt; порога, км²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Населення, осіб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Збиток D, грн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Вартість C_mit, грн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Уникнений збиток, грн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Чистий ефект, грн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 (базовий)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94 388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66 597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−194 403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94 382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−427 618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94 388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−688 612</w:t>
            </w:r>
          </w:p>
        </w:tc>
      </w:tr>
    </w:tbl>
    <w:p>
      <w:pPr>
        <w:pStyle w:val="BodyText"/>
      </w:pPr>
      <w:r>
        <w:t xml:space="preserve">Числа округлені для захисту; повні значення відтворюються командою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або модулем</w:t>
      </w:r>
      <w:r>
        <w:t xml:space="preserve"> </w:t>
      </w:r>
      <w:r>
        <w:rPr>
          <w:rStyle w:val="VerbatimChar"/>
        </w:rPr>
        <w:t xml:space="preserve">analyze()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DEFAULT_INPUTS</w:t>
      </w:r>
      <w:r>
        <w:t xml:space="preserve">.</w:t>
      </w:r>
    </w:p>
    <w:bookmarkStart w:id="13" w:name="екологічний-висновок-за-сценаріями"/>
    <w:p>
      <w:pPr>
        <w:pStyle w:val="Heading3"/>
      </w:pPr>
      <w:r>
        <w:t xml:space="preserve">Екологічний висновок за сценаріями</w:t>
      </w:r>
    </w:p>
    <w:p>
      <w:pPr>
        <w:pStyle w:val="Compact"/>
        <w:numPr>
          <w:ilvl w:val="0"/>
          <w:numId w:val="1002"/>
        </w:numPr>
      </w:pPr>
      <w:r>
        <w:t xml:space="preserve">Скорочення на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зменшує максимум до ≈ 84 мкг/м³ і площу перевищення майже вдвічі.</w:t>
      </w:r>
    </w:p>
    <w:p>
      <w:pPr>
        <w:pStyle w:val="Compact"/>
        <w:numPr>
          <w:ilvl w:val="0"/>
          <w:numId w:val="1002"/>
        </w:numPr>
      </w:pPr>
      <w:r>
        <w:t xml:space="preserve">Скорочення на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майже знімає перевищення порога (площа 0,02 км²; максимум ≈ 50,1 мкг/м³ — ледь вище порога).</w:t>
      </w:r>
    </w:p>
    <w:p>
      <w:pPr>
        <w:pStyle w:val="Compact"/>
        <w:numPr>
          <w:ilvl w:val="0"/>
          <w:numId w:val="1002"/>
        </w:numPr>
      </w:pPr>
      <w:r>
        <w:t xml:space="preserve">Скорочення на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повністю усуває зону перевищення навчального порога (максимум ≈ 16,3 мкг/м³ &lt; 50).</w:t>
      </w:r>
    </w:p>
    <w:bookmarkEnd w:id="13"/>
    <w:bookmarkStart w:id="14" w:name="Xedb355a44dcb74d8e47f793d0448eaec32d652c"/>
    <w:p>
      <w:pPr>
        <w:pStyle w:val="Heading3"/>
      </w:pPr>
      <w:r>
        <w:t xml:space="preserve">Економічний висновок (навчальні коефіцієнти)</w:t>
      </w:r>
    </w:p>
    <w:p>
      <w:pPr>
        <w:pStyle w:val="FirstParagraph"/>
      </w:pPr>
      <w:r>
        <w:t xml:space="preserve">За обраними синтетичними грошовими ставками</w:t>
      </w:r>
      <w:r>
        <w:t xml:space="preserve"> </w:t>
      </w:r>
      <w:r>
        <w:rPr>
          <w:b/>
          <w:bCs/>
        </w:rPr>
        <w:t xml:space="preserve">жоден захід очищення не дає додатного чистого ефекту</w:t>
      </w:r>
      <w:r>
        <w:t xml:space="preserve">: уникнений збиток (до ≈ 94 тис. грн) менший за вартість заходу (від 261 тис. до 783 тис. грн).</w:t>
      </w:r>
    </w:p>
    <w:p>
      <w:pPr>
        <w:pStyle w:val="BodyText"/>
      </w:pPr>
      <w:r>
        <w:t xml:space="preserve">Це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означає, що очищення «не потрібне» в реальності. Це означає, що при поточних навчальних k_d, T і вартостях очищення грошова модель показує від’ємний баланс. Якщо викладач попросить доробити — підставляємо реальні ставки збитку / ГДК / параметри джерела; структура розрахунку вже готова.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головний-висновок-для-захисту"/>
    <w:p>
      <w:pPr>
        <w:pStyle w:val="Heading2"/>
      </w:pPr>
      <w:r>
        <w:t xml:space="preserve">6. Головний висновок для захисту</w:t>
      </w:r>
    </w:p>
    <w:p>
      <w:pPr>
        <w:pStyle w:val="FirstParagraph"/>
      </w:pPr>
      <w:r>
        <w:t xml:space="preserve">На першому етапі побудовано робочу модульну програму, яка:</w:t>
      </w:r>
    </w:p>
    <w:p>
      <w:pPr>
        <w:pStyle w:val="Compact"/>
        <w:numPr>
          <w:ilvl w:val="0"/>
          <w:numId w:val="1003"/>
        </w:numPr>
      </w:pPr>
      <w:r>
        <w:t xml:space="preserve">рахує поле приземної концентрації від одного точкового джерела;</w:t>
      </w:r>
    </w:p>
    <w:p>
      <w:pPr>
        <w:pStyle w:val="Compact"/>
        <w:numPr>
          <w:ilvl w:val="0"/>
          <w:numId w:val="1003"/>
        </w:numPr>
      </w:pPr>
      <w:r>
        <w:t xml:space="preserve">виділяє зону перевищення заданого рівня і оцінює наближене населення;</w:t>
      </w:r>
    </w:p>
    <w:p>
      <w:pPr>
        <w:pStyle w:val="Compact"/>
        <w:numPr>
          <w:ilvl w:val="0"/>
          <w:numId w:val="1003"/>
        </w:numPr>
      </w:pPr>
      <w:r>
        <w:t xml:space="preserve">порівнює щонайменше чотири сценарії скорочення викидів;</w:t>
      </w:r>
    </w:p>
    <w:p>
      <w:pPr>
        <w:pStyle w:val="Compact"/>
        <w:numPr>
          <w:ilvl w:val="0"/>
          <w:numId w:val="1003"/>
        </w:numPr>
      </w:pPr>
      <w:r>
        <w:t xml:space="preserve">показує результати на карті, профілі шлейфу та в таблиці.</w:t>
      </w:r>
    </w:p>
    <w:p>
      <w:pPr>
        <w:pStyle w:val="FirstParagraph"/>
      </w:pPr>
      <w:r>
        <w:rPr>
          <w:b/>
          <w:bCs/>
        </w:rPr>
        <w:t xml:space="preserve">За синтетичним базовим розрахунком:</w:t>
      </w:r>
      <w:r>
        <w:t xml:space="preserve"> </w:t>
      </w:r>
      <w:r>
        <w:t xml:space="preserve">максимум SO₂ ≈</w:t>
      </w:r>
      <w:r>
        <w:t xml:space="preserve"> </w:t>
      </w:r>
      <w:r>
        <w:rPr>
          <w:b/>
          <w:bCs/>
        </w:rPr>
        <w:t xml:space="preserve">118 мкг/м³</w:t>
      </w:r>
      <w:r>
        <w:t xml:space="preserve"> </w:t>
      </w:r>
      <w:r>
        <w:t xml:space="preserve">на відстані</w:t>
      </w:r>
      <w:r>
        <w:t xml:space="preserve"> </w:t>
      </w:r>
      <w:r>
        <w:rPr>
          <w:b/>
          <w:bCs/>
        </w:rPr>
        <w:t xml:space="preserve">1,6 км</w:t>
      </w:r>
      <w:r>
        <w:t xml:space="preserve"> </w:t>
      </w:r>
      <w:r>
        <w:t xml:space="preserve">за вітром; зона перевищення порога 50 мкг/м³ —</w:t>
      </w:r>
      <w:r>
        <w:t xml:space="preserve"> </w:t>
      </w:r>
      <w:r>
        <w:rPr>
          <w:b/>
          <w:bCs/>
        </w:rPr>
        <w:t xml:space="preserve">1,31 км²</w:t>
      </w:r>
      <w:r>
        <w:t xml:space="preserve"> </w:t>
      </w:r>
      <w:r>
        <w:t xml:space="preserve">(≈</w:t>
      </w:r>
      <w:r>
        <w:t xml:space="preserve"> </w:t>
      </w:r>
      <w:r>
        <w:rPr>
          <w:b/>
          <w:bCs/>
        </w:rPr>
        <w:t xml:space="preserve">524</w:t>
      </w:r>
      <w:r>
        <w:t xml:space="preserve"> </w:t>
      </w:r>
      <w:r>
        <w:t xml:space="preserve">особи за рівномірною густотою). Зменшення викидів на 60–90% екологічно ефективно знімає або майже знімає перевищення, але за навчальними грошовими коефіцієнтами чистий економічний ефект від’ємний — тобто для подальших етапів варто уточнити економічні ставки, а не фізичне ядро моделі.</w:t>
      </w:r>
    </w:p>
    <w:p>
      <w:pPr>
        <w:pStyle w:val="BodyText"/>
      </w:pPr>
      <w:r>
        <w:t xml:space="preserve">Обмеження першої версії: одне джерело, рівна місцевість, сталий вітер, навчальний поріг і навчальні грн; OpenAQ не калібрує модель. Повний перелік — у</w:t>
      </w:r>
      <w:r>
        <w:t xml:space="preserve"> </w:t>
      </w:r>
      <w:r>
        <w:rPr>
          <w:rStyle w:val="VerbatimChar"/>
        </w:rPr>
        <w:t xml:space="preserve">docs/assumptions_and_limitations.md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як-відтворити-розрахунок"/>
    <w:p>
      <w:pPr>
        <w:pStyle w:val="Heading2"/>
      </w:pPr>
      <w:r>
        <w:t xml:space="preserve">7. Як відтворити розрахунок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environmental-pollution-model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Інтерфейс відкривається на</w:t>
      </w:r>
      <w:r>
        <w:t xml:space="preserve"> </w:t>
      </w:r>
      <w:hyperlink r:id="rId17">
        <w:r>
          <w:rPr>
            <w:rStyle w:val="Hyperlink"/>
          </w:rPr>
          <w:t xml:space="preserve">http://localhost:8501</w:t>
        </w:r>
      </w:hyperlink>
      <w:r>
        <w:t xml:space="preserve">. Початкові числа збігаються з таблицею §2.</w:t>
      </w:r>
    </w:p>
    <w:p>
      <w:pPr>
        <w:pStyle w:val="BodyText"/>
      </w:pPr>
      <w:r>
        <w:t xml:space="preserve">Документи постановки:</w:t>
      </w:r>
      <w:r>
        <w:t xml:space="preserve"> </w:t>
      </w:r>
      <w:r>
        <w:rPr>
          <w:rStyle w:val="VerbatimChar"/>
        </w:rPr>
        <w:t xml:space="preserve">docs/project_statement.md</w:t>
      </w:r>
      <w:r>
        <w:t xml:space="preserve">, джерела даних:</w:t>
      </w:r>
      <w:r>
        <w:t xml:space="preserve"> </w:t>
      </w:r>
      <w:r>
        <w:rPr>
          <w:rStyle w:val="VerbatimChar"/>
        </w:rPr>
        <w:t xml:space="preserve">docs/data_sources.md</w:t>
      </w:r>
      <w:r>
        <w:t xml:space="preserve">, формули:</w:t>
      </w:r>
      <w:r>
        <w:t xml:space="preserve"> </w:t>
      </w:r>
      <w:r>
        <w:rPr>
          <w:rStyle w:val="VerbatimChar"/>
        </w:rPr>
        <w:t xml:space="preserve">docs/mathematical_model.md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://localhost:85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://localhost:85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2026-10-11T07:16:46Z</dcterms:created>
  <dcterms:modified xsi:type="dcterms:W3CDTF">2026-10-11T07:16:46Z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