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BÁO CÁO QA/QC DỰ ÁN BDA501</w:t>
      </w:r>
    </w:p>
    <w:p>
      <w:pPr>
        <w:jc w:val="center"/>
      </w:pPr>
      <w:r>
        <w:t>Rà soát rubric, mã nguồn, runtime và hồ sơ nộp</w:t>
      </w:r>
    </w:p>
    <w:p>
      <w:pPr>
        <w:jc w:val="center"/>
      </w:pPr>
      <w:r>
        <w:t>Ngày rà soát: 04/10/2026  |  Rubric: BDA501_Final_Project_40pct_READY.pdf</w:t>
      </w:r>
    </w:p>
    <w:p>
      <w:pPr>
        <w:pStyle w:val="Heading1"/>
      </w:pPr>
      <w:r>
        <w:t>1. Kết luận</w:t>
      </w:r>
    </w:p>
    <w:p>
      <w:r>
        <w:t>Phần mềm demo và báo cáo kỹ thuật hiện có bằng chứng runtime cho batch, Hadoop Streaming, Spark SQL/ETL, GBTRegressor, Kafka replay, Structured Streaming, MongoDB và dashboard. Model được đánh giá bằng temporal holdout; giao diện đã kiểm tra ở ba kích thước màn hình; package audit và unit test đã chạy.</w:t>
      </w:r>
    </w:p>
    <w:p>
      <w:r>
        <w:t>Hồ sơ vẫn chưa sẵn sàng nộp như một gói hoàn chỉnh vì deck Canva còn số liệu/diễn giải cũ, còn nội dung thành viên/tỷ lệ đóng góp và CLO chính thức chưa điền. Rubric yêu cầu presentation/demo và contribution statement. Không tự suy đoán tên, CLO hoặc tỷ lệ.</w:t>
      </w:r>
    </w:p>
    <w:p>
      <w:pPr>
        <w:pStyle w:val="Heading1"/>
      </w:pPr>
      <w:r>
        <w:t>2. Đối chiếu deliverables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cantSplit/>
          <w:tblHeader/>
        </w:trPr>
        <w:tc>
          <w:tcPr>
            <w:tcW w:type="dxa" w:w="2448"/>
            <w:shd w:fill="DCE6F1"/>
            <w:vAlign w:val="center"/>
          </w:tcPr>
          <w:p>
            <w:r>
              <w:rPr>
                <w:rFonts w:ascii="Times New Roman" w:hAnsi="Times New Roman"/>
                <w:b/>
                <w:sz w:val="18"/>
              </w:rPr>
              <w:t>Yêu cầu rubric</w:t>
            </w:r>
          </w:p>
        </w:tc>
        <w:tc>
          <w:tcPr>
            <w:tcW w:type="dxa" w:w="1728"/>
            <w:shd w:fill="DCE6F1"/>
            <w:vAlign w:val="center"/>
          </w:tcPr>
          <w:p>
            <w:r>
              <w:rPr>
                <w:rFonts w:ascii="Times New Roman" w:hAnsi="Times New Roman"/>
                <w:b/>
                <w:sz w:val="18"/>
              </w:rPr>
              <w:t>Trạng thái</w:t>
            </w:r>
          </w:p>
        </w:tc>
        <w:tc>
          <w:tcPr>
            <w:tcW w:type="dxa" w:w="5472"/>
            <w:shd w:fill="DCE6F1"/>
            <w:vAlign w:val="center"/>
          </w:tcPr>
          <w:p>
            <w:r>
              <w:rPr>
                <w:rFonts w:ascii="Times New Roman" w:hAnsi="Times New Roman"/>
                <w:b/>
                <w:sz w:val="18"/>
              </w:rPr>
              <w:t>Bằng chứng / việc còn lại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sz w:val="17"/>
              </w:rPr>
              <w:t>Báo cáo DOCX/PDF, khuyến nghị 15–20 trang không kể phụ lục/tài liệu tham khảo</w:t>
            </w:r>
          </w:p>
        </w:tc>
        <w:tc>
          <w:tcPr>
            <w:tcW w:type="dxa" w:w="1728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sz w:val="17"/>
              </w:rPr>
              <w:t>Đạt về cấu trúc; cần điền thông tin nhóm/CLO</w:t>
            </w:r>
          </w:p>
        </w:tc>
        <w:tc>
          <w:tcPr>
            <w:tcW w:type="dxa" w:w="5472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sz w:val="17"/>
              </w:rPr>
              <w:t>Bản submission có 15 trang nội dung, references từ trang 16; kiểm tra Word 16 trang tổng. Không thêm phụ lục theo yêu cầu biên tập đã nêu.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sz w:val="17"/>
              </w:rPr>
              <w:t>Source code, cấu hình, dependency specification</w:t>
            </w:r>
          </w:p>
        </w:tc>
        <w:tc>
          <w:tcPr>
            <w:tcW w:type="dxa" w:w="1728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sz w:val="17"/>
              </w:rPr>
              <w:t>Đạt</w:t>
            </w:r>
          </w:p>
        </w:tc>
        <w:tc>
          <w:tcPr>
            <w:tcW w:type="dxa" w:w="5472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sz w:val="17"/>
              </w:rPr>
              <w:t>Source, docker-compose.yml, requirements.txt; versions đã cập nhật; dependency audit không tìm thấy advisory đã biết.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sz w:val="17"/>
              </w:rPr>
              <w:t>README với lệnh chạy từ input đến outputs</w:t>
            </w:r>
          </w:p>
        </w:tc>
        <w:tc>
          <w:tcPr>
            <w:tcW w:type="dxa" w:w="1728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sz w:val="17"/>
              </w:rPr>
              <w:t>Đạt</w:t>
            </w:r>
          </w:p>
        </w:tc>
        <w:tc>
          <w:tcPr>
            <w:tcW w:type="dxa" w:w="5472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sz w:val="17"/>
              </w:rPr>
              <w:t>README.md có stack, batch, ETL, train, analysis, replay, data source/fallback và evidence.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sz w:val="17"/>
              </w:rPr>
              <w:t>Architecture diagram, actual/proposed phân biệt</w:t>
            </w:r>
          </w:p>
        </w:tc>
        <w:tc>
          <w:tcPr>
            <w:tcW w:type="dxa" w:w="1728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sz w:val="17"/>
              </w:rPr>
              <w:t>Đạt</w:t>
            </w:r>
          </w:p>
        </w:tc>
        <w:tc>
          <w:tcPr>
            <w:tcW w:type="dxa" w:w="5472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sz w:val="17"/>
              </w:rPr>
              <w:t>Báo cáo và README phân biệt local Compose/LocalJobRunner với cloud/HA đề xuất.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sz w:val="17"/>
              </w:rPr>
              <w:t>Data access/source instructions</w:t>
            </w:r>
          </w:p>
        </w:tc>
        <w:tc>
          <w:tcPr>
            <w:tcW w:type="dxa" w:w="1728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sz w:val="17"/>
              </w:rPr>
              <w:t>Đạt</w:t>
            </w:r>
          </w:p>
        </w:tc>
        <w:tc>
          <w:tcPr>
            <w:tcW w:type="dxa" w:w="5472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sz w:val="17"/>
              </w:rPr>
              <w:t>README trỏ NYC TLC và Taxi Zone Lookup; không đóng gói raw Parquet; synthetic fallback được ghi rõ.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sz w:val="17"/>
              </w:rPr>
              <w:t>Machine-readable outputs, query plan, performance, ML, NoSQL evidence</w:t>
            </w:r>
          </w:p>
        </w:tc>
        <w:tc>
          <w:tcPr>
            <w:tcW w:type="dxa" w:w="1728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sz w:val="17"/>
              </w:rPr>
              <w:t>Đạt</w:t>
            </w:r>
          </w:p>
        </w:tc>
        <w:tc>
          <w:tcPr>
            <w:tcW w:type="dxa" w:w="5472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sz w:val="17"/>
              </w:rPr>
              <w:t>output/evidence và data/results có logs, CSV, JSON, plans, metrics, Mongo read-back/count, checksums.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sz w:val="17"/>
              </w:rPr>
              <w:t>Final Session 10 presentation/demo</w:t>
            </w:r>
          </w:p>
        </w:tc>
        <w:tc>
          <w:tcPr>
            <w:tcW w:type="dxa" w:w="1728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sz w:val="17"/>
              </w:rPr>
              <w:t>Chưa đạt</w:t>
            </w:r>
          </w:p>
        </w:tc>
        <w:tc>
          <w:tcPr>
            <w:tcW w:type="dxa" w:w="5472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sz w:val="17"/>
              </w:rPr>
              <w:t>Deck Canva vẫn ghi KMeans, metrics cũ, xử lý GPS/spatial outlier và mô tả realtime như feed thật. Cần cập nhật nội dung và kiểm tra hiển thị.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sz w:val="17"/>
              </w:rPr>
              <w:t>Contribution statement</w:t>
            </w:r>
          </w:p>
        </w:tc>
        <w:tc>
          <w:tcPr>
            <w:tcW w:type="dxa" w:w="1728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sz w:val="17"/>
              </w:rPr>
              <w:t>Chưa đạt</w:t>
            </w:r>
          </w:p>
        </w:tc>
        <w:tc>
          <w:tcPr>
            <w:tcW w:type="dxa" w:w="5472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sz w:val="17"/>
              </w:rPr>
              <w:t>Chỗ thành viên, vai trò và contribution trong report cần dữ liệu nhóm; tổng % phải 100%.</w:t>
            </w:r>
          </w:p>
        </w:tc>
      </w:tr>
    </w:tbl>
    <w:p>
      <w:pPr>
        <w:pStyle w:val="Heading1"/>
      </w:pPr>
      <w:r>
        <w:t>3. Đối chiếu yêu cầu kỹ thuật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cantSplit/>
          <w:tblHeader/>
        </w:trPr>
        <w:tc>
          <w:tcPr>
            <w:tcW w:type="dxa" w:w="2232"/>
            <w:shd w:fill="DCE6F1"/>
            <w:vAlign w:val="center"/>
          </w:tcPr>
          <w:p>
            <w:r>
              <w:rPr>
                <w:rFonts w:ascii="Times New Roman" w:hAnsi="Times New Roman"/>
                <w:b/>
                <w:sz w:val="18"/>
              </w:rPr>
              <w:t>Thành phần</w:t>
            </w:r>
          </w:p>
        </w:tc>
        <w:tc>
          <w:tcPr>
            <w:tcW w:type="dxa" w:w="1800"/>
            <w:shd w:fill="DCE6F1"/>
            <w:vAlign w:val="center"/>
          </w:tcPr>
          <w:p>
            <w:r>
              <w:rPr>
                <w:rFonts w:ascii="Times New Roman" w:hAnsi="Times New Roman"/>
                <w:b/>
                <w:sz w:val="18"/>
              </w:rPr>
              <w:t>Trạng thái</w:t>
            </w:r>
          </w:p>
        </w:tc>
        <w:tc>
          <w:tcPr>
            <w:tcW w:type="dxa" w:w="5616"/>
            <w:shd w:fill="DCE6F1"/>
            <w:vAlign w:val="center"/>
          </w:tcPr>
          <w:p>
            <w:r>
              <w:rPr>
                <w:rFonts w:ascii="Times New Roman" w:hAnsi="Times New Roman"/>
                <w:b/>
                <w:sz w:val="18"/>
              </w:rPr>
              <w:t>Kết quả và giới hạn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sz w:val="17"/>
              </w:rPr>
              <w:t>Problem / Big Data justification</w:t>
            </w:r>
          </w:p>
        </w:tc>
        <w:tc>
          <w:tcPr>
            <w:tcW w:type="dxa" w:w="1800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sz w:val="17"/>
              </w:rPr>
              <w:t>Đạt có giới hạn</w:t>
            </w:r>
          </w:p>
        </w:tc>
        <w:tc>
          <w:tcPr>
            <w:tcW w:type="dxa" w:w="5616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sz w:val="17"/>
              </w:rPr>
              <w:t>26.116.976 TLC rows, zone/time aggregation, replay and multiple format. Scale-out được thiết kế nhưng không được triển khai/đo trên cluster.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sz w:val="17"/>
              </w:rPr>
              <w:t>Architecture</w:t>
            </w:r>
          </w:p>
        </w:tc>
        <w:tc>
          <w:tcPr>
            <w:tcW w:type="dxa" w:w="1800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sz w:val="17"/>
              </w:rPr>
              <w:t>Đạt</w:t>
            </w:r>
          </w:p>
        </w:tc>
        <w:tc>
          <w:tcPr>
            <w:tcW w:type="dxa" w:w="5616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sz w:val="17"/>
              </w:rPr>
              <w:t>End-to-end actual flow được mô tả; YARN/cloud/multi-worker không được tuyên bố là kết quả đã triển khai.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sz w:val="17"/>
              </w:rPr>
              <w:t>MapReduce</w:t>
            </w:r>
          </w:p>
        </w:tc>
        <w:tc>
          <w:tcPr>
            <w:tcW w:type="dxa" w:w="1800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sz w:val="17"/>
              </w:rPr>
              <w:t>Đạt</w:t>
            </w:r>
          </w:p>
        </w:tc>
        <w:tc>
          <w:tcPr>
            <w:tcW w:type="dxa" w:w="5616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sz w:val="17"/>
              </w:rPr>
              <w:t>Hadoop Streaming mapper/combiner/reducer chạy LocalJobRunner; 26.116.976 input records, 6.155 groups; match independent Counter baseline.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sz w:val="17"/>
              </w:rPr>
              <w:t>Spark DataFrames / engineering</w:t>
            </w:r>
          </w:p>
        </w:tc>
        <w:tc>
          <w:tcPr>
            <w:tcW w:type="dxa" w:w="1800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sz w:val="17"/>
              </w:rPr>
              <w:t>Đạt</w:t>
            </w:r>
          </w:p>
        </w:tc>
        <w:tc>
          <w:tcPr>
            <w:tcW w:type="dxa" w:w="5616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sz w:val="17"/>
              </w:rPr>
              <w:t>Schema cleaning, quality checks, broadcast zone lookup, curated Parquet; row count trước/sau 26.116.976, unmatched IDs 0.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sz w:val="17"/>
              </w:rPr>
              <w:t>Spark SQL and plans</w:t>
            </w:r>
          </w:p>
        </w:tc>
        <w:tc>
          <w:tcPr>
            <w:tcW w:type="dxa" w:w="1800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sz w:val="17"/>
              </w:rPr>
              <w:t>Đạt</w:t>
            </w:r>
          </w:p>
        </w:tc>
        <w:tc>
          <w:tcPr>
            <w:tcW w:type="dxa" w:w="5616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sz w:val="17"/>
              </w:rPr>
              <w:t>Hai analytical queries; formatted plans show Aggregate/Exchange and broadcast lookup rationale.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sz w:val="17"/>
              </w:rPr>
              <w:t>ML / evaluation</w:t>
            </w:r>
          </w:p>
        </w:tc>
        <w:tc>
          <w:tcPr>
            <w:tcW w:type="dxa" w:w="1800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sz w:val="17"/>
              </w:rPr>
              <w:t>Đạt, limitation declared</w:t>
            </w:r>
          </w:p>
        </w:tc>
        <w:tc>
          <w:tcPr>
            <w:tcW w:type="dxa" w:w="5616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sz w:val="17"/>
              </w:rPr>
              <w:t>GBTRegressor relative score 0–100; temporal holdout. MAE 7,366, RMSE 11,044, R² 0,658, Precision 88,39%, Recall 30,88% at score ≥ 50. Does not predict trip count; recall indicates missed hotspots.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sz w:val="17"/>
              </w:rPr>
              <w:t>NoSQL</w:t>
            </w:r>
          </w:p>
        </w:tc>
        <w:tc>
          <w:tcPr>
            <w:tcW w:type="dxa" w:w="1800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sz w:val="17"/>
              </w:rPr>
              <w:t>Đạt</w:t>
            </w:r>
          </w:p>
        </w:tc>
        <w:tc>
          <w:tcPr>
            <w:tcW w:type="dxa" w:w="5616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sz w:val="17"/>
              </w:rPr>
              <w:t>MongoDB predictions and vehicle state; read-back via dashboard/API, event/zone/time indexes, upsert by event_id.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sz w:val="17"/>
              </w:rPr>
              <w:t>Streaming</w:t>
            </w:r>
          </w:p>
        </w:tc>
        <w:tc>
          <w:tcPr>
            <w:tcW w:type="dxa" w:w="1800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sz w:val="17"/>
              </w:rPr>
              <w:t>Đạt for replay prototype</w:t>
            </w:r>
          </w:p>
        </w:tc>
        <w:tc>
          <w:tcPr>
            <w:tcW w:type="dxa" w:w="5616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sz w:val="17"/>
              </w:rPr>
              <w:t>Kafka historical replay, Structured Streaming PipelineModel scoring, checkpoint and Mongo sink. Not a live TLC feed; foreachBatch collect-to-driver limits scale.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sz w:val="17"/>
              </w:rPr>
              <w:t>Cloud/cluster deployment</w:t>
            </w:r>
          </w:p>
        </w:tc>
        <w:tc>
          <w:tcPr>
            <w:tcW w:type="dxa" w:w="1800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sz w:val="17"/>
              </w:rPr>
              <w:t>Thiết kế đạt; chưa triển khai</w:t>
            </w:r>
          </w:p>
        </w:tc>
        <w:tc>
          <w:tcPr>
            <w:tcW w:type="dxa" w:w="5616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sz w:val="17"/>
              </w:rPr>
              <w:t>Driver/executor, storage, replication, security and cost trade-offs described as proposals; local Docker Compose is the tested deployment.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sz w:val="17"/>
              </w:rPr>
              <w:t>Performance experiment</w:t>
            </w:r>
          </w:p>
        </w:tc>
        <w:tc>
          <w:tcPr>
            <w:tcW w:type="dxa" w:w="1800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sz w:val="17"/>
              </w:rPr>
              <w:t>Đạt for local controlled test</w:t>
            </w:r>
          </w:p>
        </w:tc>
        <w:tc>
          <w:tcPr>
            <w:tcW w:type="dxa" w:w="5616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sz w:val="17"/>
              </w:rPr>
              <w:t>Shuffle partitions 4 vs 16 on cached 100,000-row sample, three measured runs after warm-up; median 0,272 vs 0,238 sec; output groups identical. Not a cluster benchmark.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sz w:val="17"/>
              </w:rPr>
              <w:t>Reproducibility / validation</w:t>
            </w:r>
          </w:p>
        </w:tc>
        <w:tc>
          <w:tcPr>
            <w:tcW w:type="dxa" w:w="1800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sz w:val="17"/>
              </w:rPr>
              <w:t>Đạt</w:t>
            </w:r>
          </w:p>
        </w:tc>
        <w:tc>
          <w:tcPr>
            <w:tcW w:type="dxa" w:w="5616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sz w:val="17"/>
              </w:rPr>
              <w:t>Exact commands and pinned packages in README; baseline reconciliation; data quality and artifact checksums included.</w:t>
            </w:r>
          </w:p>
        </w:tc>
      </w:tr>
    </w:tbl>
    <w:p>
      <w:pPr>
        <w:pStyle w:val="Heading1"/>
      </w:pPr>
      <w:r>
        <w:t>4. QA/QC defects fixed in the current report</w:t>
      </w:r>
    </w:p>
    <w:p>
      <w:pPr>
        <w:pStyle w:val="ListBullet"/>
      </w:pPr>
      <w:r>
        <w:t>Updated report package versions to match requirements.txt (Flask 3.1.3, kafka-python 2.3.2, PyArrow 23.0.1, requests 2.33.0, etc.) and linked dependency audit evidence.</w:t>
      </w:r>
    </w:p>
    <w:p>
      <w:pPr>
        <w:pStyle w:val="ListBullet"/>
      </w:pPr>
      <w:r>
        <w:t>Updated Mongo/API counts and clarified that independent snapshots differ because Kafka replay continues.</w:t>
      </w:r>
    </w:p>
    <w:p>
      <w:pPr>
        <w:pStyle w:val="ListBullet"/>
      </w:pPr>
      <w:r>
        <w:t>Reordered subsection labels 13.2–13.4 so the report sequence is consistent.</w:t>
      </w:r>
    </w:p>
    <w:p>
      <w:pPr>
        <w:pStyle w:val="ListBullet"/>
      </w:pPr>
      <w:r>
        <w:t>Corrected responsive QA statement to 375/768/1440 px and linked browser QA evidence.</w:t>
      </w:r>
    </w:p>
    <w:p>
      <w:pPr>
        <w:pStyle w:val="ListBullet"/>
      </w:pPr>
      <w:r>
        <w:t>Kept the intended student-only fields blank: member names/IDs, contribution percentages and official CLO wording.</w:t>
      </w:r>
    </w:p>
    <w:p>
      <w:pPr>
        <w:pStyle w:val="Heading1"/>
      </w:pPr>
      <w:r>
        <w:t>5. Submission gate</w:t>
      </w:r>
    </w:p>
    <w:p>
      <w:r>
        <w:t>Before upload: (1) enter official team/member names and IDs; (2) assign roles and contribution percentages totaling 100%; (3) copy exact CLO1–CLO5 definitions from the course outline into the mapping table; (4) update and visually review Canva using output/documents/Session10_Presentation_Corrections.md; (5) confirm the final report and presentation use the same run metrics and scope statements. The original course PDF names the CLO mapping and team statement as report-template items; these are not safe to infer.</w:t>
      </w:r>
    </w:p>
    <w:p>
      <w:pPr>
        <w:pStyle w:val="Heading1"/>
      </w:pPr>
      <w:r>
        <w:t>6. Files and verification evidence</w:t>
      </w:r>
    </w:p>
    <w:p>
      <w:r>
        <w:t>Report: output/documents/BDA501_Final_Project_Report_Submission.docx. Model: output/evidence/model_metrics.json. Runtime: output/evidence/runtime_metrics.json, dashboard_snapshot.json, mongo_hotspot_count.json and verification_summary.json. UI: output/evidence/browser_qa_summary_2026-10-04.json. Dependency audit: output/evidence/dependency_audit.json. Canva copy corrections: output/documents/Session10_Presentation_Corrections.md.</w:t>
      </w:r>
    </w:p>
    <w:sectPr w:rsidR="00FC693F" w:rsidRPr="0006063C" w:rsidSect="00034616">
      <w:pgSz w:w="12240" w:h="15840"/>
      <w:pgMar w:top="1037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b w:val="0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285F8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