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04232"/>
      <w:bookmarkStart w:id="1" w:name="_Toc355361237"/>
      <w:bookmarkStart w:id="2" w:name="_Toc355807471"/>
      <w:bookmarkStart w:id="3" w:name="_Toc355274957"/>
      <w:bookmarkStart w:id="4" w:name="_Toc355614273"/>
      <w:bookmarkStart w:id="5" w:name="_Toc355274223"/>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30" r:href="rId31"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240" w:beforeLines="100" w:after="240" w:afterLines="100" w:line="240" w:lineRule="auto"/>
        <w:ind w:firstLine="0" w:firstLineChars="0"/>
        <w:jc w:val="center"/>
        <w:rPr>
          <w:sz w:val="36"/>
        </w:rPr>
      </w:pPr>
      <w:r>
        <w:rPr>
          <w:rFonts w:hint="eastAsia"/>
          <w:b/>
          <w:color w:val="000000"/>
          <w:sz w:val="36"/>
        </w:rPr>
        <w:t>本科生毕业论文（设计）</w:t>
      </w:r>
    </w:p>
    <w:p w14:paraId="77BD80CC">
      <w:pPr>
        <w:spacing w:line="240" w:lineRule="auto"/>
        <w:ind w:firstLine="0" w:firstLineChars="0"/>
        <w:jc w:val="center"/>
      </w:pPr>
    </w:p>
    <w:p w14:paraId="3EE18055">
      <w:pPr>
        <w:spacing w:before="240" w:beforeLines="100" w:after="240" w:afterLines="100" w:line="440" w:lineRule="exact"/>
        <w:ind w:firstLine="0" w:firstLineChars="0"/>
        <w:jc w:val="center"/>
        <w:rPr>
          <w:rFonts w:hint="default" w:eastAsia="黑体"/>
          <w:sz w:val="44"/>
          <w:szCs w:val="44"/>
          <w:lang w:val="en-US" w:eastAsia="zh-CN"/>
        </w:rPr>
      </w:pPr>
      <w:bookmarkStart w:id="6" w:name="OLE_LINK2"/>
      <w:bookmarkStart w:id="7" w:name="OLE_LINK1"/>
      <w:r>
        <w:rPr>
          <w:rFonts w:hint="eastAsia" w:eastAsia="黑体"/>
          <w:sz w:val="44"/>
          <w:szCs w:val="44"/>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Times New Roman"/>
          <w:b/>
          <w:bCs/>
          <w:color w:val="000000"/>
          <w:kern w:val="0"/>
          <w:sz w:val="24"/>
          <w:szCs w:val="24"/>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auto"/>
        <w:ind w:left="839" w:firstLine="0" w:firstLineChars="0"/>
        <w:jc w:val="left"/>
        <w:rPr>
          <w:rFonts w:hint="default" w:eastAsia="宋体"/>
          <w:position w:val="-6"/>
          <w:sz w:val="28"/>
          <w:u w:val="single"/>
          <w:lang w:val="en-US" w:eastAsia="zh-CN"/>
        </w:rPr>
      </w:pPr>
      <w:r>
        <w:rPr>
          <w:rFonts w:hint="eastAsia"/>
          <w:spacing w:val="233"/>
          <w:kern w:val="0"/>
          <w:sz w:val="28"/>
        </w:rPr>
        <w:t>学生姓</w:t>
      </w:r>
      <w:r>
        <w:rPr>
          <w:rFonts w:hint="eastAsia"/>
          <w:color w:val="000000"/>
          <w:sz w:val="28"/>
          <w:szCs w:val="28"/>
        </w:rPr>
        <w:t>名</w:t>
      </w:r>
      <w:r>
        <w:rPr>
          <w:color w:val="000000"/>
          <w:sz w:val="28"/>
          <w:szCs w:val="28"/>
        </w:rPr>
        <w:t>：</w:t>
      </w:r>
      <w:r>
        <w:rPr>
          <w:rFonts w:hint="eastAsia"/>
          <w:position w:val="-6"/>
          <w:sz w:val="28"/>
          <w:u w:val="single"/>
        </w:rPr>
        <w:t xml:space="preserve"> </w:t>
      </w:r>
      <w:r>
        <w:rPr>
          <w:rFonts w:hint="eastAsia"/>
          <w:position w:val="-6"/>
          <w:sz w:val="28"/>
          <w:u w:val="single"/>
          <w:lang w:val="en-US" w:eastAsia="zh-CN"/>
        </w:rPr>
        <w:t xml:space="preserve">         张纵宇              </w:t>
      </w:r>
    </w:p>
    <w:p w14:paraId="386907CD">
      <w:pPr>
        <w:spacing w:line="480" w:lineRule="auto"/>
        <w:ind w:left="839" w:firstLine="0" w:firstLineChars="0"/>
        <w:rPr>
          <w:rFonts w:hint="default" w:eastAsia="宋体"/>
          <w:position w:val="-6"/>
          <w:sz w:val="28"/>
          <w:u w:val="single"/>
          <w:lang w:val="en-US" w:eastAsia="zh-CN"/>
        </w:rPr>
      </w:pPr>
      <w:r>
        <w:rPr>
          <w:spacing w:val="233"/>
          <w:kern w:val="0"/>
          <w:sz w:val="28"/>
        </w:rPr>
        <w:t>指导教</w:t>
      </w:r>
      <w:r>
        <w:rPr>
          <w:spacing w:val="1"/>
          <w:kern w:val="0"/>
          <w:sz w:val="28"/>
        </w:rPr>
        <w:t>师</w:t>
      </w:r>
      <w:r>
        <w:rPr>
          <w:sz w:val="28"/>
        </w:rPr>
        <w:t>：</w:t>
      </w:r>
      <w:r>
        <w:rPr>
          <w:position w:val="-6"/>
          <w:sz w:val="28"/>
          <w:u w:val="single"/>
        </w:rPr>
        <w:t xml:space="preserve">    </w:t>
      </w:r>
      <w:r>
        <w:rPr>
          <w:rFonts w:hint="eastAsia"/>
          <w:position w:val="-6"/>
          <w:sz w:val="28"/>
          <w:u w:val="single"/>
          <w:lang w:val="en-US" w:eastAsia="zh-CN"/>
        </w:rPr>
        <w:t xml:space="preserve">      王伟</w:t>
      </w:r>
      <w:r>
        <w:rPr>
          <w:position w:val="-6"/>
          <w:sz w:val="28"/>
          <w:u w:val="single"/>
        </w:rPr>
        <w:t xml:space="preserve">   </w:t>
      </w:r>
      <w:r>
        <w:rPr>
          <w:rFonts w:hint="eastAsia"/>
          <w:position w:val="-6"/>
          <w:sz w:val="28"/>
          <w:u w:val="single"/>
          <w:lang w:val="en-US" w:eastAsia="zh-CN"/>
        </w:rPr>
        <w:t xml:space="preserve">             </w:t>
      </w:r>
    </w:p>
    <w:p w14:paraId="3A3FE384">
      <w:pPr>
        <w:spacing w:line="480" w:lineRule="auto"/>
        <w:ind w:left="839" w:firstLine="0" w:firstLineChars="0"/>
        <w:rPr>
          <w:rFonts w:hint="default" w:eastAsia="宋体"/>
          <w:position w:val="-6"/>
          <w:sz w:val="28"/>
          <w:u w:val="single"/>
          <w:lang w:val="en-US" w:eastAsia="zh-CN"/>
        </w:rPr>
      </w:pPr>
      <w:r>
        <w:rPr>
          <w:spacing w:val="233"/>
          <w:kern w:val="0"/>
          <w:position w:val="-6"/>
          <w:sz w:val="28"/>
          <w:fitText w:val="2520" w:id="3"/>
        </w:rPr>
        <w:t>专业名</w:t>
      </w:r>
      <w:r>
        <w:rPr>
          <w:spacing w:val="1"/>
          <w:kern w:val="0"/>
          <w:position w:val="-6"/>
          <w:sz w:val="28"/>
          <w:fitText w:val="2520" w:id="3"/>
        </w:rPr>
        <w:t>称</w:t>
      </w:r>
      <w:r>
        <w:rPr>
          <w:position w:val="-6"/>
          <w:sz w:val="28"/>
        </w:rPr>
        <w:t>：</w:t>
      </w:r>
      <w:r>
        <w:rPr>
          <w:position w:val="-6"/>
          <w:sz w:val="28"/>
          <w:u w:val="single"/>
        </w:rPr>
        <w:t xml:space="preserve">       </w:t>
      </w:r>
      <w:r>
        <w:rPr>
          <w:rFonts w:hint="eastAsia"/>
          <w:position w:val="-6"/>
          <w:sz w:val="28"/>
          <w:u w:val="single"/>
          <w:lang w:val="en-US" w:eastAsia="zh-CN"/>
        </w:rPr>
        <w:t xml:space="preserve">   电子商务</w:t>
      </w:r>
      <w:r>
        <w:rPr>
          <w:position w:val="-6"/>
          <w:sz w:val="28"/>
          <w:u w:val="single"/>
        </w:rPr>
        <w:t xml:space="preserve">      </w:t>
      </w:r>
      <w:r>
        <w:rPr>
          <w:rFonts w:hint="eastAsia"/>
          <w:position w:val="-6"/>
          <w:sz w:val="28"/>
          <w:u w:val="single"/>
          <w:lang w:val="en-US" w:eastAsia="zh-CN"/>
        </w:rPr>
        <w:t xml:space="preserve">      </w:t>
      </w:r>
    </w:p>
    <w:p w14:paraId="33F4E76E">
      <w:pPr>
        <w:spacing w:line="480" w:lineRule="auto"/>
        <w:ind w:left="839" w:firstLine="0" w:firstLineChars="0"/>
      </w:pPr>
      <w:r>
        <w:rPr>
          <w:spacing w:val="233"/>
          <w:kern w:val="0"/>
          <w:sz w:val="28"/>
          <w:fitText w:val="2520" w:id="5"/>
        </w:rPr>
        <w:t>所在学</w:t>
      </w:r>
      <w:r>
        <w:rPr>
          <w:spacing w:val="1"/>
          <w:kern w:val="0"/>
          <w:sz w:val="28"/>
          <w:fitText w:val="2520" w:id="5"/>
        </w:rPr>
        <w:t>院</w:t>
      </w:r>
      <w:r>
        <w:rPr>
          <w:sz w:val="28"/>
        </w:rPr>
        <w:t>：</w:t>
      </w:r>
      <w:r>
        <w:rPr>
          <w:position w:val="-6"/>
          <w:sz w:val="28"/>
          <w:u w:val="single"/>
        </w:rPr>
        <w:t xml:space="preserve">      </w:t>
      </w:r>
      <w:r>
        <w:rPr>
          <w:rFonts w:hint="eastAsia"/>
          <w:position w:val="-6"/>
          <w:sz w:val="28"/>
          <w:u w:val="single"/>
          <w:lang w:val="en-US" w:eastAsia="zh-CN"/>
        </w:rPr>
        <w:t>人文与经济管理学院</w:t>
      </w:r>
      <w:r>
        <w:rPr>
          <w:position w:val="-6"/>
          <w:sz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240" w:lineRule="auto"/>
        <w:ind w:firstLine="0" w:firstLineChars="0"/>
        <w:jc w:val="center"/>
        <w:rPr>
          <w:sz w:val="28"/>
        </w:rPr>
      </w:pPr>
      <w:r>
        <w:rPr>
          <w:rFonts w:hint="eastAsia"/>
          <w:sz w:val="28"/>
          <w:lang w:val="en-US" w:eastAsia="zh-CN"/>
        </w:rPr>
        <w:t>2026</w:t>
      </w:r>
      <w:r>
        <w:rPr>
          <w:sz w:val="28"/>
        </w:rPr>
        <w:t xml:space="preserve">年 </w:t>
      </w:r>
      <w:r>
        <w:rPr>
          <w:rFonts w:hint="eastAsia"/>
          <w:sz w:val="28"/>
          <w:lang w:val="en-US" w:eastAsia="zh-CN"/>
        </w:rPr>
        <w:t>4</w:t>
      </w:r>
      <w:r>
        <w:rPr>
          <w:sz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8" w:bottom="1418" w:left="1701" w:header="1304" w:footer="1021" w:gutter="0"/>
          <w:pgNumType w:fmt="upperRoman" w:start="2"/>
          <w:cols w:space="425" w:num="1"/>
          <w:docGrid w:linePitch="312" w:charSpace="0"/>
        </w:sectPr>
      </w:pPr>
    </w:p>
    <w:bookmarkEnd w:id="0"/>
    <w:bookmarkEnd w:id="1"/>
    <w:bookmarkEnd w:id="2"/>
    <w:bookmarkEnd w:id="3"/>
    <w:bookmarkEnd w:id="4"/>
    <w:bookmarkEnd w:id="5"/>
    <w:p w14:paraId="61C3EE4B">
      <w:pPr>
        <w:spacing w:before="120" w:beforeLines="50" w:after="240" w:afterLines="100"/>
        <w:ind w:left="482" w:firstLine="0" w:firstLineChars="0"/>
        <w:jc w:val="center"/>
      </w:pPr>
      <w:bookmarkStart w:id="8" w:name="_Toc485048978"/>
      <w:bookmarkStart w:id="9" w:name="_Toc520240576"/>
      <w:bookmarkStart w:id="10" w:name="_Toc523697193"/>
      <w:bookmarkStart w:id="11" w:name="_Toc421635058"/>
      <w:bookmarkStart w:id="12" w:name="_Toc484182509"/>
      <w:bookmarkStart w:id="13" w:name="_Toc485389065"/>
      <w:bookmarkStart w:id="14" w:name="_Toc479346319"/>
      <w:r>
        <w:rPr>
          <w:rFonts w:ascii="黑体" w:hAnsi="黑体" w:eastAsia="黑体"/>
          <w:b/>
          <w:sz w:val="32"/>
          <w:szCs w:val="32"/>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在数字经济与乡村振兴战略深度融合的背景下，</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电商集群已成为烟台地区特色产业转型升级、带动区域经济发展的核心载体。当前烟台</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r>
        <w:rPr>
          <w:rFonts w:ascii="宋体" w:hAnsi="宋体" w:eastAsia="宋体" w:cs="宋体"/>
          <w:color w:val="000000"/>
          <w:kern w:val="0"/>
          <w:sz w:val="24"/>
          <w:szCs w:val="24"/>
          <w:lang w:val="en-US" w:eastAsia="zh-CN" w:bidi="ar"/>
        </w:rPr>
        <w:t>本文以烟台</w:t>
      </w:r>
      <w:r>
        <w:rPr>
          <w:rFonts w:hint="eastAsia" w:ascii="宋体" w:hAnsi="宋体" w:cs="宋体"/>
          <w:color w:val="000000"/>
          <w:kern w:val="0"/>
          <w:sz w:val="24"/>
          <w:szCs w:val="24"/>
          <w:lang w:val="en-US" w:eastAsia="zh-CN" w:bidi="ar"/>
        </w:rPr>
        <w:t>农村</w:t>
      </w:r>
      <w:bookmarkStart w:id="60" w:name="_GoBack"/>
      <w:bookmarkEnd w:id="60"/>
      <w:r>
        <w:rPr>
          <w:rFonts w:ascii="宋体" w:hAnsi="宋体" w:eastAsia="宋体" w:cs="宋体"/>
          <w:color w:val="000000"/>
          <w:kern w:val="0"/>
          <w:sz w:val="24"/>
          <w:szCs w:val="24"/>
          <w:lang w:val="en-US" w:eastAsia="zh-CN" w:bidi="ar"/>
        </w:rPr>
        <w:t>地区集群电商为研究对象，基于 TOE 框架构建整合分析模型，确定政府政策与集群治理、人才支撑、基础设施建设、技术创新水平、本地电商平台与数字技能、自然环境与资源禀赋六大核心影响维度，采用 SEM 与 fsQCA 混合研究方法，系统探究集群电商发展的影响机制与高绩效组态路径。</w:t>
      </w:r>
    </w:p>
    <w:p w14:paraId="1B80624D">
      <w:pPr>
        <w:spacing w:before="120" w:beforeLines="50" w:line="400" w:lineRule="exact"/>
        <w:ind w:firstLine="0" w:firstLineChars="0"/>
        <w:rPr>
          <w:szCs w:val="28"/>
        </w:rPr>
        <w:sectPr>
          <w:headerReference r:id="rId11" w:type="default"/>
          <w:footerReference r:id="rId13" w:type="default"/>
          <w:headerReference r:id="rId12" w:type="even"/>
          <w:pgSz w:w="11906" w:h="16838"/>
          <w:pgMar w:top="1701" w:right="1418" w:bottom="1418" w:left="1701" w:header="1304" w:footer="1021" w:gutter="0"/>
          <w:pgNumType w:fmt="upperRoman" w:start="1"/>
          <w:cols w:space="425" w:num="1"/>
          <w:docGrid w:linePitch="312" w:charSpace="0"/>
        </w:sectPr>
      </w:pPr>
      <w:r>
        <w:rPr>
          <w:sz w:val="28"/>
          <w:szCs w:val="28"/>
        </w:rPr>
        <w:tab/>
      </w:r>
      <w:r>
        <w:rPr>
          <w:b/>
          <w:sz w:val="28"/>
          <w:szCs w:val="28"/>
        </w:rPr>
        <w:t>关键词：</w:t>
      </w:r>
      <w:bookmarkStart w:id="15" w:name="_Toc355614274"/>
      <w:bookmarkStart w:id="16" w:name="_Toc355274224"/>
      <w:bookmarkStart w:id="17" w:name="_Toc355361238"/>
      <w:bookmarkStart w:id="18" w:name="_Toc355274958"/>
      <w:bookmarkStart w:id="19" w:name="_Toc355807472"/>
      <w:bookmarkStart w:id="20" w:name="_Toc355204233"/>
      <w:r>
        <w:rPr>
          <w:szCs w:val="28"/>
        </w:rPr>
        <w:t>农村电商集群</w:t>
      </w:r>
      <w:r>
        <w:rPr>
          <w:rFonts w:hint="eastAsia"/>
          <w:szCs w:val="28"/>
          <w:lang w:eastAsia="zh-CN"/>
        </w:rPr>
        <w:t>，</w:t>
      </w:r>
      <w:r>
        <w:rPr>
          <w:szCs w:val="28"/>
        </w:rPr>
        <w:t>SEM</w:t>
      </w:r>
      <w:r>
        <w:rPr>
          <w:rFonts w:hint="eastAsia"/>
          <w:szCs w:val="28"/>
          <w:lang w:eastAsia="zh-CN"/>
        </w:rPr>
        <w:t>，</w:t>
      </w:r>
      <w:r>
        <w:rPr>
          <w:szCs w:val="28"/>
        </w:rPr>
        <w:t>fsQCA</w:t>
      </w:r>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8" w:bottom="1418" w:left="1701" w:header="1304" w:footer="1021" w:gutter="0"/>
          <w:pgNumType w:fmt="upperRoman" w:start="1"/>
          <w:cols w:space="425" w:num="1"/>
          <w:docGrid w:linePitch="312" w:charSpace="0"/>
        </w:sectPr>
      </w:pPr>
    </w:p>
    <w:p w14:paraId="589AD8AB">
      <w:pPr>
        <w:spacing w:before="120" w:beforeLines="50" w:after="240" w:afterLines="100"/>
        <w:ind w:left="482" w:firstLine="0" w:firstLineChars="0"/>
        <w:jc w:val="center"/>
        <w:rPr>
          <w:b/>
          <w:sz w:val="32"/>
          <w:szCs w:val="32"/>
        </w:rPr>
      </w:pPr>
      <w:bookmarkStart w:id="21" w:name="_Toc485389066"/>
      <w:bookmarkStart w:id="22" w:name="_Toc485048979"/>
      <w:bookmarkStart w:id="23" w:name="_Toc484182510"/>
      <w:bookmarkStart w:id="24" w:name="_Toc523697194"/>
      <w:bookmarkStart w:id="25" w:name="_Toc520240577"/>
      <w:r>
        <w:rPr>
          <w:b/>
          <w:sz w:val="32"/>
          <w:szCs w:val="32"/>
        </w:rPr>
        <w:t>Abstract</w:t>
      </w:r>
      <w:bookmarkEnd w:id="15"/>
      <w:bookmarkEnd w:id="16"/>
      <w:bookmarkEnd w:id="17"/>
      <w:bookmarkEnd w:id="18"/>
      <w:bookmarkEnd w:id="19"/>
      <w:bookmarkEnd w:id="20"/>
      <w:bookmarkEnd w:id="21"/>
      <w:bookmarkEnd w:id="22"/>
      <w:bookmarkEnd w:id="23"/>
      <w:bookmarkEnd w:id="24"/>
      <w:bookmarkEnd w:id="25"/>
    </w:p>
    <w:p w14:paraId="553F445A">
      <w:pPr>
        <w:spacing w:line="400" w:lineRule="exact"/>
        <w:rPr>
          <w:rFonts w:ascii="宋体" w:hAnsi="宋体" w:eastAsia="宋体" w:cs="宋体"/>
          <w:sz w:val="24"/>
          <w:szCs w:val="24"/>
        </w:rPr>
      </w:pPr>
      <w:bookmarkStart w:id="26" w:name="OLE_LINK8"/>
      <w:r>
        <w:rPr>
          <w:rFonts w:ascii="宋体" w:hAnsi="宋体" w:eastAsia="宋体" w:cs="宋体"/>
          <w:sz w:val="24"/>
          <w:szCs w:val="24"/>
          <w:lang w:val="en-US" w:eastAsia="zh-CN"/>
        </w:rPr>
        <w:t>Against the background of the in-depth integration of digital economy and rural revitalization strategy, cluster e-commerce has become the core carrier for the transformation and upgrading of characteristic industries and the driving of regional economic development in Yantai. At present, Yantai's cluster e-commerce has achieved rapid development relying on local characteristic agricultural products, marine fishery and other resources, but still faces practical bottlenecks such as uneven policy implementation effect, insufficient supply of professional talents, regional imbalance of infrastructure, and insufficient application of digital technology. Existing research lacks localized empirical analysis on Yantai's local cluster e-commerce, and mostly focuses on the linear impact of single factors, insufficient discussion on the complex causal mechanism of multi-factor linkage.</w:t>
      </w:r>
    </w:p>
    <w:p w14:paraId="78E48175">
      <w:pPr>
        <w:spacing w:line="400" w:lineRule="exact"/>
        <w:ind w:firstLine="480"/>
        <w:rPr>
          <w:rFonts w:ascii="宋体" w:hAnsi="宋体" w:eastAsia="宋体" w:cs="宋体"/>
          <w:sz w:val="24"/>
          <w:szCs w:val="24"/>
        </w:rPr>
      </w:pPr>
      <w:r>
        <w:rPr>
          <w:rFonts w:ascii="宋体" w:hAnsi="宋体" w:eastAsia="宋体" w:cs="宋体"/>
          <w:sz w:val="24"/>
          <w:szCs w:val="24"/>
          <w:lang w:val="en-US" w:eastAsia="zh-CN"/>
        </w:rPr>
        <w:t xml:space="preserve">Taking Yantai's cluster e-commerce as the research object, this paper constructs an integrated analysis model based on the TOE framework, determines six core influence dimensions: government policy and cluster governance, talent support, infrastructure construction, technological innovation level, local e-commerce platform and digital skills, natural environment and resource endowment, and systematically explores the influence mechanism and high-performance configuration path of cluster e-commerce development by using the mixed research method of SEM and fsQCA. </w:t>
      </w:r>
    </w:p>
    <w:p w14:paraId="2ED62FD9">
      <w:pPr>
        <w:spacing w:line="400" w:lineRule="exact"/>
        <w:ind w:firstLine="480"/>
        <w:rPr>
          <w:rFonts w:ascii="宋体" w:hAnsi="宋体" w:eastAsia="宋体" w:cs="宋体"/>
          <w:sz w:val="24"/>
          <w:szCs w:val="24"/>
        </w:rPr>
      </w:pPr>
    </w:p>
    <w:bookmarkEnd w:id="26"/>
    <w:p w14:paraId="09860A86">
      <w:pPr>
        <w:spacing w:before="120" w:beforeLines="50" w:line="400" w:lineRule="exact"/>
        <w:ind w:firstLine="562"/>
        <w:rPr>
          <w:color w:val="000000" w:themeColor="text1"/>
          <w:sz w:val="28"/>
          <w:szCs w:val="28"/>
          <w14:textFill>
            <w14:solidFill>
              <w14:schemeClr w14:val="tx1"/>
            </w14:solidFill>
          </w14:textFill>
        </w:rPr>
      </w:pPr>
      <w:r>
        <w:rPr>
          <w:b/>
          <w:sz w:val="28"/>
          <w:szCs w:val="28"/>
        </w:rPr>
        <w:t xml:space="preserve">Key words: </w:t>
      </w:r>
      <w:bookmarkStart w:id="27" w:name="OLE_LINK7"/>
      <w:r>
        <w:rPr>
          <w:rFonts w:ascii="宋体" w:hAnsi="宋体" w:eastAsia="宋体" w:cs="宋体"/>
          <w:sz w:val="24"/>
          <w:szCs w:val="24"/>
        </w:rPr>
        <w:t>Cluster E-commerce</w:t>
      </w:r>
      <w:r>
        <w:rPr>
          <w:rFonts w:hint="eastAsia" w:ascii="宋体" w:hAnsi="宋体" w:cs="宋体"/>
          <w:sz w:val="24"/>
          <w:szCs w:val="24"/>
          <w:lang w:eastAsia="zh-CN"/>
        </w:rPr>
        <w:t>，</w:t>
      </w:r>
      <w:r>
        <w:rPr>
          <w:rFonts w:ascii="宋体" w:hAnsi="宋体" w:eastAsia="宋体" w:cs="宋体"/>
          <w:sz w:val="24"/>
          <w:szCs w:val="24"/>
        </w:rPr>
        <w:t>Structural Equation Model</w:t>
      </w:r>
      <w:r>
        <w:rPr>
          <w:rFonts w:hint="eastAsia" w:ascii="宋体" w:hAnsi="宋体" w:cs="宋体"/>
          <w:sz w:val="24"/>
          <w:szCs w:val="24"/>
          <w:lang w:eastAsia="zh-CN"/>
        </w:rPr>
        <w:t>，</w:t>
      </w:r>
      <w:r>
        <w:rPr>
          <w:rFonts w:ascii="宋体" w:hAnsi="宋体" w:eastAsia="宋体" w:cs="宋体"/>
          <w:sz w:val="24"/>
          <w:szCs w:val="24"/>
        </w:rPr>
        <w:t>fsQCA</w:t>
      </w:r>
      <w:r>
        <w:rPr>
          <w:color w:val="000000" w:themeColor="text1"/>
          <w:sz w:val="28"/>
          <w:szCs w:val="28"/>
          <w14:textFill>
            <w14:solidFill>
              <w14:schemeClr w14:val="tx1"/>
            </w14:solidFill>
          </w14:textFill>
        </w:rPr>
        <w:t xml:space="preserve"> </w:t>
      </w:r>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8" w:bottom="1418" w:left="1701" w:header="1304" w:footer="1021" w:gutter="0"/>
          <w:pgNumType w:fmt="upperRoman"/>
          <w:cols w:space="425" w:num="1"/>
          <w:docGrid w:linePitch="312" w:charSpace="0"/>
        </w:sectPr>
      </w:pPr>
    </w:p>
    <w:p w14:paraId="3012D2F4">
      <w:pPr>
        <w:spacing w:before="120" w:beforeLines="50" w:after="240" w:afterLines="100"/>
        <w:ind w:left="482" w:firstLine="0" w:firstLineChars="0"/>
        <w:jc w:val="center"/>
        <w:rPr>
          <w:rFonts w:ascii="Times New Roman" w:hAnsi="Times New Roman" w:eastAsia="宋体" w:cs="Times New Roman"/>
          <w:color w:val="000000"/>
          <w:kern w:val="2"/>
          <w:sz w:val="28"/>
          <w:szCs w:val="28"/>
          <w:lang w:val="en-US" w:eastAsia="zh-CN" w:bidi="ar-SA"/>
        </w:rPr>
      </w:pPr>
      <w:bookmarkStart w:id="28" w:name="_Toc355807473"/>
      <w:bookmarkStart w:id="29" w:name="_Toc355614275"/>
      <w:bookmarkStart w:id="30" w:name="_Toc485389067"/>
      <w:bookmarkStart w:id="31" w:name="_Toc520240578"/>
      <w:bookmarkStart w:id="32" w:name="_Toc523697195"/>
      <w:bookmarkStart w:id="33" w:name="_Toc484182511"/>
      <w:bookmarkStart w:id="34" w:name="_Toc485048980"/>
      <w:r>
        <w:rPr>
          <w:rFonts w:ascii="黑体" w:hAnsi="黑体" w:eastAsia="黑体"/>
          <w:b/>
          <w:sz w:val="32"/>
          <w:szCs w:val="32"/>
        </w:rPr>
        <w:t>目   录</w:t>
      </w:r>
      <w:bookmarkEnd w:id="28"/>
      <w:bookmarkEnd w:id="29"/>
      <w:bookmarkEnd w:id="30"/>
      <w:bookmarkEnd w:id="31"/>
      <w:bookmarkEnd w:id="32"/>
      <w:bookmarkEnd w:id="33"/>
      <w:bookmarkEnd w:id="34"/>
      <w:r>
        <w:rPr>
          <w:color w:val="000000"/>
        </w:rPr>
        <w:fldChar w:fldCharType="begin"/>
      </w:r>
      <w:r>
        <w:rPr>
          <w:color w:val="000000"/>
        </w:rPr>
        <w:instrText xml:space="preserve"> TOC \o "1-2" \h \z \u </w:instrText>
      </w:r>
      <w:r>
        <w:rPr>
          <w:color w:val="000000"/>
        </w:rPr>
        <w:fldChar w:fldCharType="separate"/>
      </w:r>
    </w:p>
    <w:p w14:paraId="1DCDA221">
      <w:pPr>
        <w:pStyle w:val="24"/>
        <w:tabs>
          <w:tab w:val="right" w:leader="dot" w:pos="8787"/>
          <w:tab w:val="clear" w:pos="8777"/>
        </w:tabs>
      </w:pPr>
      <w:r>
        <w:rPr>
          <w:color w:val="000000"/>
        </w:rPr>
        <w:fldChar w:fldCharType="begin"/>
      </w:r>
      <w:r>
        <w:instrText xml:space="preserve"> HYPERLINK \l _Toc25734 </w:instrText>
      </w:r>
      <w:r>
        <w:fldChar w:fldCharType="separate"/>
      </w:r>
      <w:r>
        <w:rPr>
          <w:rFonts w:hint="eastAsia"/>
          <w:lang w:val="en-US" w:eastAsia="zh-CN"/>
        </w:rPr>
        <w:t>第一章 绪论</w:t>
      </w:r>
      <w:r>
        <w:tab/>
      </w:r>
      <w:r>
        <w:fldChar w:fldCharType="begin"/>
      </w:r>
      <w:r>
        <w:instrText xml:space="preserve"> PAGEREF _Toc25734 \h </w:instrText>
      </w:r>
      <w:r>
        <w:fldChar w:fldCharType="separate"/>
      </w:r>
      <w:r>
        <w:t>1</w:t>
      </w:r>
      <w:r>
        <w:fldChar w:fldCharType="end"/>
      </w:r>
      <w:r>
        <w:rPr>
          <w:color w:val="000000"/>
        </w:rPr>
        <w:fldChar w:fldCharType="end"/>
      </w:r>
    </w:p>
    <w:p w14:paraId="5F4D1C55">
      <w:pPr>
        <w:pStyle w:val="26"/>
        <w:tabs>
          <w:tab w:val="right" w:leader="dot" w:pos="8787"/>
        </w:tabs>
      </w:pPr>
      <w:r>
        <w:rPr>
          <w:color w:val="000000"/>
        </w:rPr>
        <w:fldChar w:fldCharType="begin"/>
      </w:r>
      <w:r>
        <w:instrText xml:space="preserve"> HYPERLINK \l _Toc21158 </w:instrText>
      </w:r>
      <w:r>
        <w:fldChar w:fldCharType="separate"/>
      </w:r>
      <w:r>
        <w:rPr>
          <w:szCs w:val="21"/>
          <w:lang w:val="en-US"/>
        </w:rPr>
        <w:t>1.1</w:t>
      </w:r>
      <w:r>
        <w:rPr>
          <w:rFonts w:hint="eastAsia"/>
          <w:szCs w:val="21"/>
          <w:lang w:val="en-US" w:eastAsia="zh-CN"/>
        </w:rPr>
        <w:t>研究背景</w:t>
      </w:r>
      <w:r>
        <w:tab/>
      </w:r>
      <w:r>
        <w:fldChar w:fldCharType="begin"/>
      </w:r>
      <w:r>
        <w:instrText xml:space="preserve"> PAGEREF _Toc21158 \h </w:instrText>
      </w:r>
      <w:r>
        <w:fldChar w:fldCharType="separate"/>
      </w:r>
      <w:r>
        <w:t>1</w:t>
      </w:r>
      <w:r>
        <w:fldChar w:fldCharType="end"/>
      </w:r>
      <w:r>
        <w:rPr>
          <w:color w:val="000000"/>
        </w:rPr>
        <w:fldChar w:fldCharType="end"/>
      </w:r>
    </w:p>
    <w:p w14:paraId="2E6745E5">
      <w:pPr>
        <w:pStyle w:val="26"/>
        <w:tabs>
          <w:tab w:val="right" w:leader="dot" w:pos="8787"/>
        </w:tabs>
      </w:pPr>
      <w:r>
        <w:rPr>
          <w:color w:val="000000"/>
        </w:rPr>
        <w:fldChar w:fldCharType="begin"/>
      </w:r>
      <w:r>
        <w:instrText xml:space="preserve"> HYPERLINK \l _Toc2208 </w:instrText>
      </w:r>
      <w:r>
        <w:fldChar w:fldCharType="separate"/>
      </w:r>
      <w:r>
        <w:rPr>
          <w:szCs w:val="21"/>
          <w:lang w:val="en-US"/>
        </w:rPr>
        <w:t>1.2</w:t>
      </w:r>
      <w:r>
        <w:rPr>
          <w:rFonts w:hint="eastAsia"/>
          <w:szCs w:val="21"/>
          <w:lang w:val="en-US" w:eastAsia="zh-CN"/>
        </w:rPr>
        <w:t>研究目的与意义</w:t>
      </w:r>
      <w:r>
        <w:tab/>
      </w:r>
      <w:r>
        <w:fldChar w:fldCharType="begin"/>
      </w:r>
      <w:r>
        <w:instrText xml:space="preserve"> PAGEREF _Toc2208 \h </w:instrText>
      </w:r>
      <w:r>
        <w:fldChar w:fldCharType="separate"/>
      </w:r>
      <w:r>
        <w:t>1</w:t>
      </w:r>
      <w:r>
        <w:fldChar w:fldCharType="end"/>
      </w:r>
      <w:r>
        <w:rPr>
          <w:color w:val="000000"/>
        </w:rPr>
        <w:fldChar w:fldCharType="end"/>
      </w:r>
    </w:p>
    <w:p w14:paraId="15C24EF9">
      <w:pPr>
        <w:pStyle w:val="26"/>
        <w:tabs>
          <w:tab w:val="right" w:leader="dot" w:pos="8787"/>
        </w:tabs>
      </w:pPr>
      <w:r>
        <w:rPr>
          <w:color w:val="000000"/>
        </w:rPr>
        <w:fldChar w:fldCharType="begin"/>
      </w:r>
      <w:r>
        <w:instrText xml:space="preserve"> HYPERLINK \l _Toc1812 </w:instrText>
      </w:r>
      <w:r>
        <w:fldChar w:fldCharType="separate"/>
      </w:r>
      <w:r>
        <w:rPr>
          <w:szCs w:val="21"/>
          <w:lang w:val="en-US"/>
        </w:rPr>
        <w:t>1.3</w:t>
      </w:r>
      <w:r>
        <w:rPr>
          <w:rFonts w:hint="eastAsia"/>
          <w:szCs w:val="21"/>
          <w:lang w:val="en-US" w:eastAsia="zh-CN"/>
        </w:rPr>
        <w:t>研究内容与技术路线</w:t>
      </w:r>
      <w:r>
        <w:tab/>
      </w:r>
      <w:r>
        <w:fldChar w:fldCharType="begin"/>
      </w:r>
      <w:r>
        <w:instrText xml:space="preserve"> PAGEREF _Toc1812 \h </w:instrText>
      </w:r>
      <w:r>
        <w:fldChar w:fldCharType="separate"/>
      </w:r>
      <w:r>
        <w:t>2</w:t>
      </w:r>
      <w:r>
        <w:fldChar w:fldCharType="end"/>
      </w:r>
      <w:r>
        <w:rPr>
          <w:color w:val="000000"/>
        </w:rPr>
        <w:fldChar w:fldCharType="end"/>
      </w:r>
    </w:p>
    <w:p w14:paraId="153A603F">
      <w:pPr>
        <w:pStyle w:val="26"/>
        <w:tabs>
          <w:tab w:val="right" w:leader="dot" w:pos="8787"/>
        </w:tabs>
      </w:pPr>
      <w:r>
        <w:rPr>
          <w:color w:val="000000"/>
        </w:rPr>
        <w:fldChar w:fldCharType="begin"/>
      </w:r>
      <w:r>
        <w:instrText xml:space="preserve"> HYPERLINK \l _Toc1599 </w:instrText>
      </w:r>
      <w:r>
        <w:fldChar w:fldCharType="separate"/>
      </w:r>
      <w:r>
        <w:rPr>
          <w:szCs w:val="21"/>
          <w:lang w:val="en-US"/>
        </w:rPr>
        <w:t>1.</w:t>
      </w:r>
      <w:r>
        <w:rPr>
          <w:rFonts w:hint="eastAsia"/>
          <w:szCs w:val="21"/>
          <w:lang w:val="en-US" w:eastAsia="zh-CN"/>
        </w:rPr>
        <w:t>4研究方法</w:t>
      </w:r>
      <w:r>
        <w:tab/>
      </w:r>
      <w:r>
        <w:fldChar w:fldCharType="begin"/>
      </w:r>
      <w:r>
        <w:instrText xml:space="preserve"> PAGEREF _Toc1599 \h </w:instrText>
      </w:r>
      <w:r>
        <w:fldChar w:fldCharType="separate"/>
      </w:r>
      <w:r>
        <w:t>3</w:t>
      </w:r>
      <w:r>
        <w:fldChar w:fldCharType="end"/>
      </w:r>
      <w:r>
        <w:rPr>
          <w:color w:val="000000"/>
        </w:rPr>
        <w:fldChar w:fldCharType="end"/>
      </w:r>
    </w:p>
    <w:p w14:paraId="43AA79C8">
      <w:pPr>
        <w:pStyle w:val="26"/>
        <w:tabs>
          <w:tab w:val="right" w:leader="dot" w:pos="8787"/>
        </w:tabs>
      </w:pPr>
      <w:r>
        <w:rPr>
          <w:color w:val="000000"/>
        </w:rPr>
        <w:fldChar w:fldCharType="begin"/>
      </w:r>
      <w:r>
        <w:instrText xml:space="preserve"> HYPERLINK \l _Toc17945 </w:instrText>
      </w:r>
      <w:r>
        <w:fldChar w:fldCharType="separate"/>
      </w:r>
      <w:r>
        <w:rPr>
          <w:szCs w:val="21"/>
          <w:lang w:val="en-US"/>
        </w:rPr>
        <w:t>1.5 研究创新点</w:t>
      </w:r>
      <w:r>
        <w:tab/>
      </w:r>
      <w:r>
        <w:fldChar w:fldCharType="begin"/>
      </w:r>
      <w:r>
        <w:instrText xml:space="preserve"> PAGEREF _Toc17945 \h </w:instrText>
      </w:r>
      <w:r>
        <w:fldChar w:fldCharType="separate"/>
      </w:r>
      <w:r>
        <w:t>4</w:t>
      </w:r>
      <w:r>
        <w:fldChar w:fldCharType="end"/>
      </w:r>
      <w:r>
        <w:rPr>
          <w:color w:val="000000"/>
        </w:rPr>
        <w:fldChar w:fldCharType="end"/>
      </w:r>
    </w:p>
    <w:p w14:paraId="470A8012">
      <w:pPr>
        <w:pStyle w:val="24"/>
        <w:tabs>
          <w:tab w:val="right" w:leader="dot" w:pos="8787"/>
          <w:tab w:val="clear" w:pos="8777"/>
        </w:tabs>
      </w:pPr>
      <w:r>
        <w:rPr>
          <w:color w:val="000000"/>
        </w:rPr>
        <w:fldChar w:fldCharType="begin"/>
      </w:r>
      <w:r>
        <w:instrText xml:space="preserve"> HYPERLINK \l _Toc1959 </w:instrText>
      </w:r>
      <w:r>
        <w:fldChar w:fldCharType="separate"/>
      </w:r>
      <w:r>
        <w:rPr>
          <w:rFonts w:hint="eastAsia"/>
          <w:lang w:val="en-US" w:eastAsia="zh-CN"/>
        </w:rPr>
        <w:t xml:space="preserve">第二章 </w:t>
      </w:r>
      <w:r>
        <w:t>理论基础与文献综述</w:t>
      </w:r>
      <w:r>
        <w:tab/>
      </w:r>
      <w:r>
        <w:fldChar w:fldCharType="begin"/>
      </w:r>
      <w:r>
        <w:instrText xml:space="preserve"> PAGEREF _Toc1959 \h </w:instrText>
      </w:r>
      <w:r>
        <w:fldChar w:fldCharType="separate"/>
      </w:r>
      <w:r>
        <w:t>5</w:t>
      </w:r>
      <w:r>
        <w:fldChar w:fldCharType="end"/>
      </w:r>
      <w:r>
        <w:rPr>
          <w:color w:val="000000"/>
        </w:rPr>
        <w:fldChar w:fldCharType="end"/>
      </w:r>
    </w:p>
    <w:p w14:paraId="0D487345">
      <w:pPr>
        <w:pStyle w:val="26"/>
        <w:tabs>
          <w:tab w:val="right" w:leader="dot" w:pos="8787"/>
        </w:tabs>
      </w:pPr>
      <w:r>
        <w:rPr>
          <w:color w:val="000000"/>
        </w:rPr>
        <w:fldChar w:fldCharType="begin"/>
      </w:r>
      <w:r>
        <w:instrText xml:space="preserve"> HYPERLINK \l _Toc21534 </w:instrText>
      </w:r>
      <w:r>
        <w:fldChar w:fldCharType="separate"/>
      </w:r>
      <w:r>
        <w:t>2.1</w:t>
      </w:r>
      <w:r>
        <w:rPr>
          <w:rFonts w:hint="eastAsia"/>
          <w:lang w:val="en-US" w:eastAsia="zh-CN"/>
        </w:rPr>
        <w:t>核心概念界定</w:t>
      </w:r>
      <w:r>
        <w:tab/>
      </w:r>
      <w:r>
        <w:fldChar w:fldCharType="begin"/>
      </w:r>
      <w:r>
        <w:instrText xml:space="preserve"> PAGEREF _Toc21534 \h </w:instrText>
      </w:r>
      <w:r>
        <w:fldChar w:fldCharType="separate"/>
      </w:r>
      <w:r>
        <w:t>5</w:t>
      </w:r>
      <w:r>
        <w:fldChar w:fldCharType="end"/>
      </w:r>
      <w:r>
        <w:rPr>
          <w:color w:val="000000"/>
        </w:rPr>
        <w:fldChar w:fldCharType="end"/>
      </w:r>
    </w:p>
    <w:p w14:paraId="49DEBE7F">
      <w:pPr>
        <w:pStyle w:val="26"/>
        <w:tabs>
          <w:tab w:val="right" w:leader="dot" w:pos="8787"/>
        </w:tabs>
      </w:pPr>
      <w:r>
        <w:rPr>
          <w:color w:val="000000"/>
        </w:rPr>
        <w:fldChar w:fldCharType="begin"/>
      </w:r>
      <w:r>
        <w:instrText xml:space="preserve"> HYPERLINK \l _Toc15879 </w:instrText>
      </w:r>
      <w:r>
        <w:fldChar w:fldCharType="separate"/>
      </w:r>
      <w:r>
        <w:t>2.2</w:t>
      </w:r>
      <w:r>
        <w:rPr>
          <w:rFonts w:hint="eastAsia"/>
          <w:lang w:val="en-US" w:eastAsia="zh-CN"/>
        </w:rPr>
        <w:t>核心理论基础</w:t>
      </w:r>
      <w:r>
        <w:tab/>
      </w:r>
      <w:r>
        <w:fldChar w:fldCharType="begin"/>
      </w:r>
      <w:r>
        <w:instrText xml:space="preserve"> PAGEREF _Toc15879 \h </w:instrText>
      </w:r>
      <w:r>
        <w:fldChar w:fldCharType="separate"/>
      </w:r>
      <w:r>
        <w:t>5</w:t>
      </w:r>
      <w:r>
        <w:fldChar w:fldCharType="end"/>
      </w:r>
      <w:r>
        <w:rPr>
          <w:color w:val="000000"/>
        </w:rPr>
        <w:fldChar w:fldCharType="end"/>
      </w:r>
    </w:p>
    <w:p w14:paraId="4173D82E">
      <w:pPr>
        <w:pStyle w:val="26"/>
        <w:tabs>
          <w:tab w:val="right" w:leader="dot" w:pos="8787"/>
        </w:tabs>
      </w:pPr>
      <w:r>
        <w:rPr>
          <w:color w:val="000000"/>
        </w:rPr>
        <w:fldChar w:fldCharType="begin"/>
      </w:r>
      <w:r>
        <w:instrText xml:space="preserve"> HYPERLINK \l _Toc19027 </w:instrText>
      </w:r>
      <w:r>
        <w:fldChar w:fldCharType="separate"/>
      </w:r>
      <w:r>
        <w:t>2.3</w:t>
      </w:r>
      <w:r>
        <w:rPr>
          <w:rFonts w:hint="eastAsia"/>
          <w:lang w:val="en-US" w:eastAsia="zh-CN"/>
        </w:rPr>
        <w:t>国内外研究现状</w:t>
      </w:r>
      <w:r>
        <w:tab/>
      </w:r>
      <w:r>
        <w:fldChar w:fldCharType="begin"/>
      </w:r>
      <w:r>
        <w:instrText xml:space="preserve"> PAGEREF _Toc19027 \h </w:instrText>
      </w:r>
      <w:r>
        <w:fldChar w:fldCharType="separate"/>
      </w:r>
      <w:r>
        <w:t>6</w:t>
      </w:r>
      <w:r>
        <w:fldChar w:fldCharType="end"/>
      </w:r>
      <w:r>
        <w:rPr>
          <w:color w:val="000000"/>
        </w:rPr>
        <w:fldChar w:fldCharType="end"/>
      </w:r>
    </w:p>
    <w:p w14:paraId="5823082C">
      <w:pPr>
        <w:pStyle w:val="24"/>
        <w:tabs>
          <w:tab w:val="right" w:leader="dot" w:pos="8787"/>
          <w:tab w:val="clear" w:pos="8777"/>
        </w:tabs>
      </w:pPr>
      <w:r>
        <w:rPr>
          <w:color w:val="000000"/>
        </w:rPr>
        <w:fldChar w:fldCharType="begin"/>
      </w:r>
      <w:r>
        <w:instrText xml:space="preserve"> HYPERLINK \l _Toc24454 </w:instrText>
      </w:r>
      <w:r>
        <w:fldChar w:fldCharType="separate"/>
      </w:r>
      <w:r>
        <w:rPr>
          <w:rFonts w:hint="eastAsia"/>
          <w:lang w:val="en-US" w:eastAsia="zh-CN"/>
        </w:rPr>
        <w:t>第三章 研究设计</w:t>
      </w:r>
      <w:r>
        <w:tab/>
      </w:r>
      <w:r>
        <w:fldChar w:fldCharType="begin"/>
      </w:r>
      <w:r>
        <w:instrText xml:space="preserve"> PAGEREF _Toc24454 \h </w:instrText>
      </w:r>
      <w:r>
        <w:fldChar w:fldCharType="separate"/>
      </w:r>
      <w:r>
        <w:t>9</w:t>
      </w:r>
      <w:r>
        <w:fldChar w:fldCharType="end"/>
      </w:r>
      <w:r>
        <w:rPr>
          <w:color w:val="000000"/>
        </w:rPr>
        <w:fldChar w:fldCharType="end"/>
      </w:r>
    </w:p>
    <w:p w14:paraId="679995E8">
      <w:pPr>
        <w:pStyle w:val="26"/>
        <w:tabs>
          <w:tab w:val="right" w:leader="dot" w:pos="8787"/>
        </w:tabs>
      </w:pPr>
      <w:r>
        <w:rPr>
          <w:color w:val="000000"/>
        </w:rPr>
        <w:fldChar w:fldCharType="begin"/>
      </w:r>
      <w:r>
        <w:instrText xml:space="preserve"> HYPERLINK \l _Toc26904 </w:instrText>
      </w:r>
      <w:r>
        <w:fldChar w:fldCharType="separate"/>
      </w:r>
      <w:r>
        <w:rPr>
          <w:szCs w:val="21"/>
          <w:lang w:val="en-US"/>
        </w:rPr>
        <w:t>3.1</w:t>
      </w:r>
      <w:r>
        <w:rPr>
          <w:rFonts w:hint="eastAsia"/>
          <w:szCs w:val="21"/>
          <w:lang w:val="en-US" w:eastAsia="zh-CN"/>
        </w:rPr>
        <w:t>理论模型构建</w:t>
      </w:r>
      <w:r>
        <w:tab/>
      </w:r>
      <w:r>
        <w:fldChar w:fldCharType="begin"/>
      </w:r>
      <w:r>
        <w:instrText xml:space="preserve"> PAGEREF _Toc26904 \h </w:instrText>
      </w:r>
      <w:r>
        <w:fldChar w:fldCharType="separate"/>
      </w:r>
      <w:r>
        <w:t>9</w:t>
      </w:r>
      <w:r>
        <w:fldChar w:fldCharType="end"/>
      </w:r>
      <w:r>
        <w:rPr>
          <w:color w:val="000000"/>
        </w:rPr>
        <w:fldChar w:fldCharType="end"/>
      </w:r>
    </w:p>
    <w:p w14:paraId="339E58E5">
      <w:pPr>
        <w:pStyle w:val="26"/>
        <w:tabs>
          <w:tab w:val="right" w:leader="dot" w:pos="8787"/>
        </w:tabs>
      </w:pPr>
      <w:r>
        <w:rPr>
          <w:color w:val="000000"/>
        </w:rPr>
        <w:fldChar w:fldCharType="begin"/>
      </w:r>
      <w:r>
        <w:instrText xml:space="preserve"> HYPERLINK \l _Toc19091 </w:instrText>
      </w:r>
      <w:r>
        <w:fldChar w:fldCharType="separate"/>
      </w:r>
      <w:r>
        <w:rPr>
          <w:szCs w:val="21"/>
          <w:lang w:val="en-US"/>
        </w:rPr>
        <w:t>3.2</w:t>
      </w:r>
      <w:r>
        <w:rPr>
          <w:rFonts w:hint="eastAsia"/>
          <w:szCs w:val="21"/>
          <w:lang w:val="en-US" w:eastAsia="zh-CN"/>
        </w:rPr>
        <w:t>研究假设提出</w:t>
      </w:r>
      <w:r>
        <w:tab/>
      </w:r>
      <w:r>
        <w:fldChar w:fldCharType="begin"/>
      </w:r>
      <w:r>
        <w:instrText xml:space="preserve"> PAGEREF _Toc19091 \h </w:instrText>
      </w:r>
      <w:r>
        <w:fldChar w:fldCharType="separate"/>
      </w:r>
      <w:r>
        <w:t>9</w:t>
      </w:r>
      <w:r>
        <w:fldChar w:fldCharType="end"/>
      </w:r>
      <w:r>
        <w:rPr>
          <w:color w:val="000000"/>
        </w:rPr>
        <w:fldChar w:fldCharType="end"/>
      </w:r>
    </w:p>
    <w:p w14:paraId="4EDE65C5">
      <w:pPr>
        <w:pStyle w:val="26"/>
        <w:tabs>
          <w:tab w:val="right" w:leader="dot" w:pos="8787"/>
        </w:tabs>
      </w:pPr>
      <w:r>
        <w:rPr>
          <w:color w:val="000000"/>
        </w:rPr>
        <w:fldChar w:fldCharType="begin"/>
      </w:r>
      <w:r>
        <w:instrText xml:space="preserve"> HYPERLINK \l _Toc24192 </w:instrText>
      </w:r>
      <w:r>
        <w:fldChar w:fldCharType="separate"/>
      </w:r>
      <w:r>
        <w:rPr>
          <w:szCs w:val="21"/>
          <w:lang w:val="en-US"/>
        </w:rPr>
        <w:t>3.3</w:t>
      </w:r>
      <w:r>
        <w:rPr>
          <w:rFonts w:hint="eastAsia"/>
          <w:szCs w:val="21"/>
          <w:lang w:val="en-US" w:eastAsia="zh-CN"/>
        </w:rPr>
        <w:t>问卷设计与变量测量</w:t>
      </w:r>
      <w:r>
        <w:tab/>
      </w:r>
      <w:r>
        <w:fldChar w:fldCharType="begin"/>
      </w:r>
      <w:r>
        <w:instrText xml:space="preserve"> PAGEREF _Toc24192 \h </w:instrText>
      </w:r>
      <w:r>
        <w:fldChar w:fldCharType="separate"/>
      </w:r>
      <w:r>
        <w:t>10</w:t>
      </w:r>
      <w:r>
        <w:fldChar w:fldCharType="end"/>
      </w:r>
      <w:r>
        <w:rPr>
          <w:color w:val="000000"/>
        </w:rPr>
        <w:fldChar w:fldCharType="end"/>
      </w:r>
    </w:p>
    <w:p w14:paraId="40B0AB8F">
      <w:pPr>
        <w:pStyle w:val="26"/>
        <w:tabs>
          <w:tab w:val="right" w:leader="dot" w:pos="8787"/>
        </w:tabs>
      </w:pPr>
      <w:r>
        <w:rPr>
          <w:color w:val="000000"/>
        </w:rPr>
        <w:fldChar w:fldCharType="begin"/>
      </w:r>
      <w:r>
        <w:instrText xml:space="preserve"> HYPERLINK \l _Toc8393 </w:instrText>
      </w:r>
      <w:r>
        <w:fldChar w:fldCharType="separate"/>
      </w:r>
      <w:r>
        <w:rPr>
          <w:szCs w:val="21"/>
          <w:lang w:val="en-US"/>
        </w:rPr>
        <w:t>3</w:t>
      </w:r>
      <w:r>
        <w:rPr>
          <w:rFonts w:hint="eastAsia"/>
          <w:szCs w:val="21"/>
          <w:lang w:val="en-US" w:eastAsia="zh-CN"/>
        </w:rPr>
        <w:t>.4数据收集方案</w:t>
      </w:r>
      <w:r>
        <w:tab/>
      </w:r>
      <w:r>
        <w:fldChar w:fldCharType="begin"/>
      </w:r>
      <w:r>
        <w:instrText xml:space="preserve"> PAGEREF _Toc8393 \h </w:instrText>
      </w:r>
      <w:r>
        <w:fldChar w:fldCharType="separate"/>
      </w:r>
      <w:r>
        <w:t>12</w:t>
      </w:r>
      <w:r>
        <w:fldChar w:fldCharType="end"/>
      </w:r>
      <w:r>
        <w:rPr>
          <w:color w:val="000000"/>
        </w:rPr>
        <w:fldChar w:fldCharType="end"/>
      </w:r>
    </w:p>
    <w:p w14:paraId="3092130D">
      <w:pPr>
        <w:pStyle w:val="26"/>
        <w:tabs>
          <w:tab w:val="right" w:leader="dot" w:pos="8787"/>
        </w:tabs>
      </w:pPr>
      <w:r>
        <w:rPr>
          <w:color w:val="000000"/>
        </w:rPr>
        <w:fldChar w:fldCharType="begin"/>
      </w:r>
      <w:r>
        <w:instrText xml:space="preserve"> HYPERLINK \l _Toc10800 </w:instrText>
      </w:r>
      <w:r>
        <w:fldChar w:fldCharType="separate"/>
      </w:r>
      <w:r>
        <w:rPr>
          <w:szCs w:val="21"/>
          <w:lang w:val="en-US"/>
        </w:rPr>
        <w:t>3</w:t>
      </w:r>
      <w:r>
        <w:rPr>
          <w:rFonts w:hint="eastAsia"/>
          <w:szCs w:val="21"/>
          <w:lang w:val="en-US" w:eastAsia="zh-CN"/>
        </w:rPr>
        <w:t>.5数据分析方法设计</w:t>
      </w:r>
      <w:r>
        <w:tab/>
      </w:r>
      <w:r>
        <w:fldChar w:fldCharType="begin"/>
      </w:r>
      <w:r>
        <w:instrText xml:space="preserve"> PAGEREF _Toc10800 \h </w:instrText>
      </w:r>
      <w:r>
        <w:fldChar w:fldCharType="separate"/>
      </w:r>
      <w:r>
        <w:t>12</w:t>
      </w:r>
      <w:r>
        <w:fldChar w:fldCharType="end"/>
      </w:r>
      <w:r>
        <w:rPr>
          <w:color w:val="000000"/>
        </w:rPr>
        <w:fldChar w:fldCharType="end"/>
      </w:r>
    </w:p>
    <w:p w14:paraId="2B368E37">
      <w:pPr>
        <w:pStyle w:val="24"/>
        <w:spacing w:line="480" w:lineRule="auto"/>
        <w:rPr>
          <w:color w:val="000000"/>
        </w:rPr>
      </w:pPr>
      <w:r>
        <w:rPr>
          <w:color w:val="000000"/>
        </w:rPr>
        <w:fldChar w:fldCharType="end"/>
      </w:r>
    </w:p>
    <w:p w14:paraId="69530E30">
      <w:pPr>
        <w:ind w:firstLine="0" w:firstLineChars="0"/>
      </w:pPr>
    </w:p>
    <w:p w14:paraId="62EC1C83">
      <w:pPr>
        <w:ind w:firstLine="0" w:firstLineChars="0"/>
        <w:sectPr>
          <w:pgSz w:w="11906" w:h="16838"/>
          <w:pgMar w:top="1701" w:right="1418" w:bottom="1418" w:left="1701" w:header="1304" w:footer="1021" w:gutter="0"/>
          <w:pgNumType w:fmt="upperRoman"/>
          <w:cols w:space="425" w:num="1"/>
          <w:docGrid w:linePitch="312" w:charSpace="0"/>
        </w:sectPr>
      </w:pPr>
    </w:p>
    <w:p w14:paraId="38BD0E06">
      <w:pPr>
        <w:spacing w:before="120" w:beforeLines="50" w:after="240" w:afterLines="100"/>
        <w:ind w:left="482" w:firstLine="0" w:firstLineChars="0"/>
        <w:jc w:val="center"/>
        <w:rPr>
          <w:rFonts w:ascii="黑体" w:hAnsi="黑体" w:eastAsia="黑体"/>
          <w:b/>
          <w:sz w:val="32"/>
          <w:szCs w:val="32"/>
        </w:rPr>
      </w:pPr>
      <w:bookmarkStart w:id="35" w:name="_Toc523697196"/>
      <w:r>
        <w:rPr>
          <w:rFonts w:hint="eastAsia" w:ascii="黑体" w:hAnsi="黑体" w:eastAsia="黑体"/>
          <w:b/>
          <w:sz w:val="32"/>
          <w:szCs w:val="32"/>
        </w:rPr>
        <w:t>插图</w:t>
      </w:r>
      <w:r>
        <w:rPr>
          <w:rFonts w:ascii="黑体" w:hAnsi="黑体" w:eastAsia="黑体"/>
          <w:b/>
          <w:sz w:val="32"/>
          <w:szCs w:val="32"/>
        </w:rPr>
        <w:t>和附表清单</w:t>
      </w:r>
      <w:bookmarkEnd w:id="35"/>
    </w:p>
    <w:p w14:paraId="6CCA001B">
      <w:pPr>
        <w:ind w:firstLine="0" w:firstLineChars="0"/>
      </w:pPr>
    </w:p>
    <w:p w14:paraId="38D1A2C2">
      <w:pPr>
        <w:ind w:firstLine="0" w:firstLineChars="0"/>
        <w:sectPr>
          <w:pgSz w:w="11906" w:h="16838"/>
          <w:pgMar w:top="1701" w:right="1418" w:bottom="1418" w:left="1701" w:header="1304" w:footer="1021" w:gutter="0"/>
          <w:pgNumType w:fmt="upperRoman"/>
          <w:cols w:space="425" w:num="1"/>
          <w:docGrid w:linePitch="312" w:charSpace="0"/>
        </w:sectPr>
      </w:pPr>
    </w:p>
    <w:p w14:paraId="0FA496C6">
      <w:pPr>
        <w:spacing w:before="120" w:beforeLines="50" w:after="240" w:afterLines="100"/>
        <w:ind w:left="482" w:firstLine="0" w:firstLineChars="0"/>
        <w:jc w:val="center"/>
        <w:rPr>
          <w:rFonts w:ascii="黑体" w:hAnsi="黑体" w:eastAsia="黑体"/>
          <w:b/>
          <w:sz w:val="32"/>
          <w:szCs w:val="32"/>
        </w:rPr>
      </w:pPr>
      <w:bookmarkStart w:id="36" w:name="_Toc523697197"/>
      <w:r>
        <w:rPr>
          <w:rFonts w:hint="eastAsia" w:ascii="黑体" w:hAnsi="黑体" w:eastAsia="黑体"/>
          <w:b/>
          <w:sz w:val="32"/>
          <w:szCs w:val="32"/>
        </w:rPr>
        <w:t>主要</w:t>
      </w:r>
      <w:r>
        <w:rPr>
          <w:rFonts w:ascii="黑体" w:hAnsi="黑体" w:eastAsia="黑体"/>
          <w:b/>
          <w:sz w:val="32"/>
          <w:szCs w:val="32"/>
        </w:rPr>
        <w:t>符号</w:t>
      </w:r>
      <w:r>
        <w:rPr>
          <w:rFonts w:hint="eastAsia" w:ascii="黑体" w:hAnsi="黑体" w:eastAsia="黑体"/>
          <w:b/>
          <w:sz w:val="32"/>
          <w:szCs w:val="32"/>
        </w:rPr>
        <w:t>和术语</w:t>
      </w:r>
      <w:r>
        <w:rPr>
          <w:rFonts w:ascii="黑体" w:hAnsi="黑体" w:eastAsia="黑体"/>
          <w:b/>
          <w:sz w:val="32"/>
          <w:szCs w:val="32"/>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8" w:bottom="1418" w:left="1701" w:header="1304" w:footer="1021" w:gutter="0"/>
          <w:pgNumType w:fmt="upperRoman"/>
          <w:cols w:space="425" w:num="1"/>
          <w:docGrid w:linePitch="312" w:charSpace="0"/>
        </w:sectPr>
      </w:pPr>
    </w:p>
    <w:p w14:paraId="556CD14C">
      <w:pPr>
        <w:pStyle w:val="2"/>
        <w:spacing w:line="400" w:lineRule="exact"/>
        <w:rPr>
          <w:rFonts w:hint="eastAsia" w:eastAsia="黑体"/>
          <w:lang w:eastAsia="zh-CN"/>
        </w:rPr>
      </w:pPr>
      <w:bookmarkStart w:id="37" w:name="_Toc25734"/>
      <w:r>
        <w:rPr>
          <w:rFonts w:hint="eastAsia"/>
          <w:lang w:val="en-US" w:eastAsia="zh-CN"/>
        </w:rPr>
        <w:t>第一章 绪论</w:t>
      </w:r>
      <w:bookmarkEnd w:id="37"/>
    </w:p>
    <w:p w14:paraId="0E4E258C">
      <w:pPr>
        <w:pStyle w:val="3"/>
        <w:spacing w:before="240" w:after="240" w:line="400" w:lineRule="exact"/>
        <w:ind w:firstLine="0" w:firstLineChars="0"/>
        <w:rPr>
          <w:rFonts w:hint="eastAsia"/>
          <w:szCs w:val="21"/>
          <w:lang w:val="en-US" w:eastAsia="zh-CN"/>
        </w:rPr>
      </w:pPr>
      <w:bookmarkStart w:id="38" w:name="_Toc21158"/>
      <w:r>
        <w:rPr>
          <w:szCs w:val="21"/>
          <w:lang w:val="en-US"/>
        </w:rPr>
        <w:t>1.1</w:t>
      </w:r>
      <w:r>
        <w:rPr>
          <w:rFonts w:hint="eastAsia"/>
          <w:szCs w:val="21"/>
          <w:lang w:val="en-US" w:eastAsia="zh-CN"/>
        </w:rPr>
        <w:t>研究背景</w:t>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数字经济的全面渗透，推动我国电子商务产业从分散化经营向集群化、生态化发展转型，集群电商已成为激活县域经济、推动乡村产业振兴的核心抓手。烟台作为胶东半岛经济圈的核心城市，拥有得天独厚的特色产业资源，栖霞苹果、福山大樱桃、蓬莱海参等国家地理标志产品全国知名，海洋渔业、高端制造业、文旅产业优势突出，为集群电商发展奠定了坚实的产业基础。</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近年来，烟台市政府先后出台《烟台市数字经济发展规划》《烟台市农村电商提质增效实施方案》等多项政策，大力推动电商产业集群化发展，截至 2025 年底，烟台已培育省级电商示范镇 22 个、示范村 86 个，形成了以特色农产品、海产品为核心的多个电商集聚区域，集群电商已成为带动本地农户增收、产业升级的重要力量。但与此同时，烟台集群电商发展仍面临诸多现实瓶颈：一是政策落地效果区域差异显著，部分区县政策扶持与产业需求匹配度不足；二是专业电商人才供给缺口大，运营、直播、技术类人才招聘与留存难度高；三是物流仓储、冷链配套等基础设施布局不均衡，中西部县域与沿海区县差距明显；四是数字化技术应用程度不高，多数经营主体仍停留在基础运营层面，大数据、智能化工具应用不足；五是本地特色资源整合利用效率偏低，资源优势未能完全转化为产业竞争优势。</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现有关于集群电商的研究，多以浙江、江苏等南方电商发达地区为样本，针对烟台地区的本土化实证研究较为匮乏；同时，多数研究聚焦于单因素的线性影响，难以揭示多因素联动匹配的复杂因果机制，无法为烟台集群电商发展提供精准的实践指引。基于此，本文以烟台地区集群电商为研究对象，围绕其发展影响因素与高绩效发展路径展开系统性研究，具有重要的理论与现实意义。</w:t>
      </w:r>
    </w:p>
    <w:p w14:paraId="71638217">
      <w:pPr>
        <w:pStyle w:val="3"/>
        <w:spacing w:before="240" w:after="240" w:line="400" w:lineRule="exact"/>
        <w:ind w:firstLine="0" w:firstLineChars="0"/>
        <w:rPr>
          <w:rFonts w:hint="eastAsia"/>
          <w:szCs w:val="21"/>
          <w:lang w:val="en-US" w:eastAsia="zh-CN"/>
        </w:rPr>
      </w:pPr>
      <w:bookmarkStart w:id="39" w:name="_Toc2208"/>
      <w:r>
        <w:rPr>
          <w:szCs w:val="21"/>
          <w:lang w:val="en-US"/>
        </w:rPr>
        <w:t>1.2</w:t>
      </w:r>
      <w:r>
        <w:rPr>
          <w:rFonts w:hint="eastAsia"/>
          <w:szCs w:val="21"/>
          <w:lang w:val="en-US" w:eastAsia="zh-CN"/>
        </w:rPr>
        <w:t>研究目的与意义</w:t>
      </w:r>
      <w:bookmarkEnd w:id="39"/>
    </w:p>
    <w:p w14:paraId="1DE939D7">
      <w:pPr>
        <w:spacing w:line="400" w:lineRule="exact"/>
        <w:ind w:left="0" w:leftChars="0" w:firstLine="0" w:firstLineChars="0"/>
        <w:rPr>
          <w:rFonts w:hint="eastAsia" w:ascii="Times New Roman" w:hAnsi="Times New Roman" w:eastAsia="黑体" w:cs="Times New Roman"/>
          <w:kern w:val="2"/>
          <w:sz w:val="24"/>
          <w:szCs w:val="20"/>
          <w:lang w:val="en-US" w:eastAsia="zh-CN" w:bidi="ar-SA"/>
        </w:rPr>
      </w:pPr>
      <w:bookmarkStart w:id="40" w:name="_Toc485048984"/>
      <w:bookmarkStart w:id="41" w:name="_Toc484182515"/>
      <w:bookmarkStart w:id="42" w:name="_Toc485389071"/>
      <w:r>
        <w:rPr>
          <w:rFonts w:ascii="Times New Roman" w:hAnsi="Times New Roman" w:eastAsia="黑体" w:cs="Times New Roman"/>
          <w:kern w:val="2"/>
          <w:sz w:val="24"/>
          <w:szCs w:val="20"/>
          <w:lang w:val="en-US" w:eastAsia="zh-CN" w:bidi="ar-SA"/>
        </w:rPr>
        <w:t>1.2.1</w:t>
      </w:r>
      <w:bookmarkEnd w:id="40"/>
      <w:bookmarkEnd w:id="41"/>
      <w:bookmarkEnd w:id="42"/>
      <w:r>
        <w:rPr>
          <w:rFonts w:hint="eastAsia" w:ascii="Times New Roman" w:hAnsi="Times New Roman" w:eastAsia="黑体" w:cs="Times New Roman"/>
          <w:kern w:val="2"/>
          <w:sz w:val="24"/>
          <w:szCs w:val="20"/>
          <w:lang w:val="en-US" w:eastAsia="zh-CN" w:bidi="ar-SA"/>
        </w:rPr>
        <w:t>研究目的</w:t>
      </w:r>
    </w:p>
    <w:p w14:paraId="2DBEDEE4">
      <w:pPr>
        <w:spacing w:line="400" w:lineRule="exact"/>
        <w:ind w:left="0" w:leftChars="0" w:firstLine="0" w:firstLineChars="0"/>
        <w:rPr>
          <w:rFonts w:hint="eastAsia" w:ascii="Times New Roman" w:hAnsi="Times New Roman"/>
          <w:lang w:val="en-US" w:eastAsia="zh-CN"/>
        </w:rPr>
      </w:pPr>
    </w:p>
    <w:p w14:paraId="75A82A7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本文立足烟台集群电商发展的实际情况，力图实现以下核心研究目的：</w:t>
      </w:r>
    </w:p>
    <w:p w14:paraId="380ADCE4">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color w:val="000000"/>
          <w:sz w:val="24"/>
          <w:szCs w:val="24"/>
        </w:rPr>
        <w:t>系统梳理烟台集群电商发展的现状与瓶颈，识别影响其发展的核心维度与关键变量，构建适配烟台本地实际的集群电商发展影响因素分析模型。</w:t>
      </w:r>
    </w:p>
    <w:p w14:paraId="63A9D274">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color w:val="000000"/>
          <w:sz w:val="24"/>
          <w:szCs w:val="24"/>
        </w:rPr>
        <w:t>运用结构方程模型（SEM），验证政府政策与集群治理、人才支撑、基础设施建设等六大维度变量对烟台集群电商发展的直接影响，明确各因素的作用强度与显著性。</w:t>
      </w:r>
    </w:p>
    <w:p w14:paraId="07E18B2D">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color w:val="000000"/>
          <w:sz w:val="24"/>
          <w:szCs w:val="24"/>
        </w:rPr>
        <w:t>运用模糊集定性比较分析（fsQCA），从组态视角探究多维度变量的联动匹配效应，识别驱动烟台集群电商高绩效发展的多元等效路径。</w:t>
      </w:r>
    </w:p>
    <w:p w14:paraId="3BCEB73D">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color w:val="000000"/>
          <w:sz w:val="24"/>
          <w:szCs w:val="24"/>
        </w:rPr>
        <w:t>基于实证研究结果，提出贴合烟台实际、可落地的集群电商高质量发展对策建议，为地方政府、行业协会与电商经营主体提供决策参考。</w:t>
      </w:r>
    </w:p>
    <w:p w14:paraId="3B666C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1.2.2 研究意义</w:t>
      </w:r>
    </w:p>
    <w:p w14:paraId="2FD5BC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420" w:firstLineChars="0"/>
        <w:jc w:val="left"/>
        <w:rPr>
          <w:color w:val="000000"/>
          <w:sz w:val="24"/>
          <w:szCs w:val="24"/>
        </w:rPr>
      </w:pPr>
      <w:r>
        <w:rPr>
          <w:rFonts w:hint="eastAsia" w:ascii="宋体" w:hAnsi="宋体" w:eastAsia="宋体" w:cs="宋体"/>
          <w:color w:val="000000"/>
          <w:kern w:val="0"/>
          <w:sz w:val="24"/>
          <w:szCs w:val="24"/>
          <w:lang w:val="en-US" w:eastAsia="zh-CN" w:bidi="ar"/>
        </w:rPr>
        <w:t>理论意义：</w:t>
      </w:r>
      <w:r>
        <w:rPr>
          <w:rFonts w:ascii="宋体" w:hAnsi="宋体" w:eastAsia="宋体" w:cs="宋体"/>
          <w:color w:val="000000"/>
          <w:kern w:val="0"/>
          <w:sz w:val="24"/>
          <w:szCs w:val="24"/>
          <w:lang w:val="en-US" w:eastAsia="zh-CN" w:bidi="ar"/>
        </w:rPr>
        <w:t>第一，丰富县域集群电商的本土化研究成果。现有研究多聚焦南方电商发达地区，本文以烟台北方沿海特色产业产区为研究样本，填补了区域研究空白，拓展了集群电商研究的情境边界。第二，完善集群电商发展的影响因素分析框架。本文结合烟台本地特征，纳入资源禀赋、本地平台建设等特色变量，构建了六大维度的整合分析模型，丰富了集群电商影响因素的理论研究体系。第三，示范 SEM 与 fsQCA 混合方法在区域电商研究中的应用。本文同时验证单因素的线性影响与多因素的组合效应，突破了传统单一研究方法的局限，为同类研究提供了方法参考。</w:t>
      </w:r>
    </w:p>
    <w:p w14:paraId="6DD411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hint="eastAsia" w:ascii="宋体" w:hAnsi="宋体" w:cs="宋体"/>
          <w:color w:val="000000"/>
          <w:kern w:val="0"/>
          <w:sz w:val="24"/>
          <w:szCs w:val="24"/>
          <w:lang w:val="en-US" w:eastAsia="zh-CN" w:bidi="ar"/>
        </w:rPr>
        <w:t>实践意义：</w:t>
      </w:r>
      <w:r>
        <w:rPr>
          <w:rFonts w:ascii="宋体" w:hAnsi="宋体" w:eastAsia="宋体" w:cs="宋体"/>
          <w:color w:val="000000"/>
          <w:kern w:val="0"/>
          <w:sz w:val="24"/>
          <w:szCs w:val="24"/>
          <w:lang w:val="en-US" w:eastAsia="zh-CN" w:bidi="ar"/>
        </w:rPr>
        <w:t>第一，为烟台地方政府优化政策供给提供决策依据。本文明确了各维度因素对集群电商发展的影响程度，能够帮助地方政府精准施策，优化政策扶持、基建投入、人才培育等工作的针对性与有效性。第二，为烟台电商经营主体提供发展方向指引。本文识别的高绩效发展路径，能够帮助不同类型、不同发展阶段的电商经营主体，明确自身升级方向，提升数字化运营能力与市场竞争力。第三，为同类北方沿海城市集群电商发展提供参考范式。本文针对烟台特色产业型集群电商的研究结论，能够为山东、辽宁等北方沿海省份的同类城市，提供集群电商发展的实践镜鉴。</w:t>
      </w: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pPr>
      <w:bookmarkStart w:id="43" w:name="_Toc1812"/>
      <w:r>
        <w:rPr>
          <w:szCs w:val="21"/>
          <w:lang w:val="en-US"/>
        </w:rPr>
        <w:t>1.3</w:t>
      </w:r>
      <w:r>
        <w:rPr>
          <w:rFonts w:hint="eastAsia"/>
          <w:szCs w:val="21"/>
          <w:lang w:val="en-US" w:eastAsia="zh-CN"/>
        </w:rPr>
        <w:t>研究内容与技术路线</w:t>
      </w:r>
      <w:bookmarkEnd w:id="43"/>
    </w:p>
    <w:p w14:paraId="46BFB19B">
      <w:pPr>
        <w:pStyle w:val="4"/>
        <w:spacing w:line="400" w:lineRule="exact"/>
        <w:rPr>
          <w:rFonts w:hint="eastAsia" w:ascii="Times New Roman" w:hAnsi="Times New Roman"/>
          <w:lang w:val="en-US" w:eastAsia="zh-CN"/>
        </w:rPr>
      </w:pPr>
      <w:r>
        <w:rPr>
          <w:rFonts w:ascii="Times New Roman" w:hAnsi="Times New Roman"/>
          <w:lang w:val="en-US"/>
        </w:rPr>
        <w:t>1.3.1</w:t>
      </w:r>
      <w:r>
        <w:rPr>
          <w:rFonts w:hint="eastAsia" w:ascii="Times New Roman" w:hAnsi="Times New Roman"/>
          <w:lang w:val="en-US" w:eastAsia="zh-CN"/>
        </w:rPr>
        <w:t>核心研究内容</w:t>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核心研究内容分为六个部分：第一部分为绪论，系统阐述研究背景、研究目的与意义，明确核心研究内容、技术路线、研究方法与创新点，奠定全文的研究基础。第二部分为理论基础与文献综述，界定集群电商、资源禀赋、数字技能等核心概念，梳理 TOE 框架、组态理论等核心理论，系统回顾国内外相关研究成果，通过文献述评明确本文的研究切入点。第三部分为研究设计，基于 TOE 框架构建理论模型，提出对应的研究假设，详细介绍问卷设计、变量测量、数据收集方案，设计 SEM 与 fsQCA 的具体分析流程。第四部分为基于 SEM 的实证分析，通过问卷调研收集一手数据，完成数据预处理、信效度检验、模型拟合与假设检验，验证各维度变量对集群电商发展的线性影响机制。第五部分为基于 fsQCA 的组态分析，完成变量校准、必要性检验、真值表构建与组态分析，识别驱动烟台集群电商高绩效发展的多元组态路径，并完成稳健性检验。第六部分为研究结论与政策建议，整合实证分析结果，总结全文核心研究结论，提出烟台集群电商高质量发展的对策建议，同时反思研究不足，提出未来研究方向。</w:t>
      </w: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szCs w:val="21"/>
        </w:rPr>
      </w:pPr>
      <w:r>
        <w:rPr>
          <w:color w:val="000000"/>
          <w:sz w:val="24"/>
          <w:szCs w:val="24"/>
        </w:rPr>
        <w:t>1.3.</w:t>
      </w:r>
      <w:r>
        <w:rPr>
          <w:rFonts w:hint="eastAsia"/>
          <w:color w:val="000000"/>
          <w:sz w:val="24"/>
          <w:szCs w:val="24"/>
          <w:lang w:val="en-US" w:eastAsia="zh-CN"/>
        </w:rPr>
        <w:t>2</w:t>
      </w:r>
      <w:r>
        <w:rPr>
          <w:color w:val="000000"/>
          <w:sz w:val="24"/>
          <w:szCs w:val="24"/>
        </w:rPr>
        <w:t xml:space="preserve"> </w:t>
      </w:r>
      <w:r>
        <w:rPr>
          <w:rFonts w:hint="eastAsia"/>
          <w:color w:val="000000"/>
          <w:sz w:val="24"/>
          <w:szCs w:val="24"/>
          <w:lang w:val="en-US" w:eastAsia="zh-CN"/>
        </w:rPr>
        <w:t>技术路线</w:t>
      </w:r>
    </w:p>
    <w:p w14:paraId="2B2FFDD4">
      <w:pPr>
        <w:spacing w:line="400" w:lineRule="exact"/>
        <w:ind w:firstLine="480"/>
        <w:rPr>
          <w:rFonts w:hint="eastAsia" w:eastAsia="宋体"/>
          <w:lang w:eastAsia="zh-CN"/>
        </w:rPr>
      </w:pPr>
      <w:r>
        <w:rPr>
          <w:rFonts w:ascii="宋体" w:hAnsi="宋体" w:eastAsia="宋体" w:cs="宋体"/>
          <w:sz w:val="24"/>
          <w:szCs w:val="24"/>
        </w:rPr>
        <w:t>本文严格遵循 “理论构建 - 研究设计 - 数据收集 - 实证分析 - 结论建议” 的学术研究流程，技术路线如下：</w:t>
      </w:r>
      <w:r>
        <w:rPr>
          <w:rFonts w:hint="eastAsia" w:ascii="宋体" w:hAnsi="宋体" w:cs="宋体"/>
          <w:sz w:val="24"/>
          <w:szCs w:val="24"/>
          <w:lang w:eastAsia="zh-CN"/>
        </w:rPr>
        <w:t>（</w:t>
      </w:r>
      <w:r>
        <w:rPr>
          <w:rFonts w:hint="eastAsia" w:ascii="宋体" w:hAnsi="宋体" w:cs="宋体"/>
          <w:b/>
          <w:bCs/>
          <w:color w:val="FF0000"/>
          <w:sz w:val="24"/>
          <w:szCs w:val="24"/>
          <w:lang w:val="en-US" w:eastAsia="zh-CN"/>
        </w:rPr>
        <w:t>根据后续分析结果 有待修改</w:t>
      </w:r>
      <w:r>
        <w:rPr>
          <w:rFonts w:hint="eastAsia" w:ascii="宋体" w:hAnsi="宋体" w:cs="宋体"/>
          <w:sz w:val="24"/>
          <w:szCs w:val="24"/>
          <w:lang w:eastAsia="zh-CN"/>
        </w:rPr>
        <w:t>）</w:t>
      </w:r>
    </w:p>
    <w:p w14:paraId="74B62F41">
      <w:pPr>
        <w:spacing w:line="240" w:lineRule="auto"/>
        <w:ind w:firstLine="0" w:firstLineChars="0"/>
        <w:jc w:val="center"/>
        <w:rPr>
          <w:rFonts w:hint="eastAsia" w:eastAsia="宋体"/>
          <w:lang w:eastAsia="zh-CN"/>
        </w:rPr>
      </w:pPr>
      <w:r>
        <w:rPr>
          <w:rFonts w:hint="eastAsia" w:eastAsia="宋体"/>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2"/>
                    <a:stretch>
                      <a:fillRect/>
                    </a:stretch>
                  </pic:blipFill>
                  <pic:spPr>
                    <a:xfrm>
                      <a:off x="0" y="0"/>
                      <a:ext cx="4947285" cy="4947285"/>
                    </a:xfrm>
                    <a:prstGeom prst="rect">
                      <a:avLst/>
                    </a:prstGeom>
                  </pic:spPr>
                </pic:pic>
              </a:graphicData>
            </a:graphic>
          </wp:inline>
        </w:drawing>
      </w:r>
    </w:p>
    <w:p w14:paraId="487961EA">
      <w:pPr>
        <w:pStyle w:val="12"/>
        <w:spacing w:line="240" w:lineRule="auto"/>
        <w:ind w:firstLine="0" w:firstLineChars="0"/>
        <w:jc w:val="center"/>
        <w:rPr>
          <w:rFonts w:hint="default" w:ascii="宋体" w:hAnsi="宋体" w:eastAsia="宋体" w:cs="宋体"/>
          <w:b/>
          <w:bCs/>
          <w:sz w:val="21"/>
          <w:szCs w:val="21"/>
          <w:lang w:val="en-US" w:eastAsia="zh-CN"/>
        </w:rPr>
      </w:pPr>
      <w:r>
        <w:rPr>
          <w:rFonts w:hint="eastAsia" w:ascii="宋体" w:hAnsi="宋体" w:eastAsia="宋体" w:cs="宋体"/>
          <w:b/>
          <w:bCs/>
          <w:sz w:val="21"/>
          <w:szCs w:val="21"/>
        </w:rPr>
        <w:t xml:space="preserve">图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图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w:t>
      </w:r>
      <w:r>
        <w:rPr>
          <w:rFonts w:hint="eastAsia" w:ascii="宋体" w:hAnsi="宋体" w:eastAsia="宋体" w:cs="宋体"/>
          <w:b/>
          <w:bCs/>
          <w:sz w:val="21"/>
          <w:szCs w:val="21"/>
          <w:lang w:val="en-US" w:eastAsia="zh-CN"/>
        </w:rPr>
        <w:t xml:space="preserve"> 技术路线图</w:t>
      </w:r>
    </w:p>
    <w:p w14:paraId="4BE272AF">
      <w:pPr>
        <w:pStyle w:val="3"/>
        <w:spacing w:before="240" w:after="240" w:line="400" w:lineRule="exact"/>
        <w:ind w:firstLine="0" w:firstLineChars="0"/>
        <w:rPr>
          <w:rFonts w:hint="default"/>
          <w:szCs w:val="21"/>
          <w:lang w:val="en-US" w:eastAsia="zh-CN"/>
        </w:rPr>
      </w:pPr>
      <w:bookmarkStart w:id="44" w:name="_Toc1599"/>
      <w:r>
        <w:rPr>
          <w:szCs w:val="21"/>
          <w:lang w:val="en-US"/>
        </w:rPr>
        <w:t>1.</w:t>
      </w:r>
      <w:r>
        <w:rPr>
          <w:rFonts w:hint="eastAsia"/>
          <w:szCs w:val="21"/>
          <w:lang w:val="en-US" w:eastAsia="zh-CN"/>
        </w:rPr>
        <w:t>4研究方法</w:t>
      </w:r>
      <w:bookmarkEnd w:id="44"/>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文献研究法</w:t>
      </w:r>
      <w:r>
        <w:rPr>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问卷调查法</w:t>
      </w:r>
      <w:r>
        <w:rPr>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结构方程模型（SEM）</w:t>
      </w:r>
      <w:r>
        <w:rPr>
          <w:color w:val="000000"/>
          <w:sz w:val="24"/>
          <w:szCs w:val="24"/>
        </w:rPr>
        <w:t>：采用 AMOS 软件开展 SEM 分析，用于检验六大维度潜变量之间的因果关系，验证各维度变量对烟台集群电商发展的直接影响，明确各因素的作用强度与显著性。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hint="eastAsia"/>
        </w:rPr>
      </w:pPr>
      <w:r>
        <w:rPr>
          <w:rStyle w:val="36"/>
          <w:b/>
          <w:bCs/>
          <w:color w:val="000000"/>
          <w:sz w:val="24"/>
          <w:szCs w:val="24"/>
        </w:rPr>
        <w:t>模糊集定性比较分析（fsQCA）</w:t>
      </w:r>
      <w:r>
        <w:rPr>
          <w:color w:val="000000"/>
          <w:sz w:val="24"/>
          <w:szCs w:val="24"/>
        </w:rPr>
        <w:t>：采用 fsQCA 软件开展组态分析，基于集合论与组态理论，处理多因素并发的复杂因果问题，识别驱动烟台集群电商高绩效发展的多元条件组合与等效发展路径，为分类施策提供依据。</w:t>
      </w:r>
    </w:p>
    <w:p w14:paraId="0DE1BD62">
      <w:pPr>
        <w:pStyle w:val="3"/>
        <w:spacing w:before="240" w:after="240" w:line="400" w:lineRule="exact"/>
        <w:ind w:firstLine="0" w:firstLineChars="0"/>
        <w:rPr>
          <w:szCs w:val="21"/>
          <w:lang w:val="en-US"/>
        </w:rPr>
      </w:pPr>
      <w:bookmarkStart w:id="45" w:name="_Toc17945"/>
      <w:r>
        <w:rPr>
          <w:szCs w:val="21"/>
          <w:lang w:val="en-US"/>
        </w:rPr>
        <w:t>1.5 研究创新点</w:t>
      </w:r>
      <w:bookmarkEnd w:id="45"/>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研究维度的本土化创新</w:t>
      </w:r>
      <w:r>
        <w:rPr>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研究方法的融合创新</w:t>
      </w:r>
      <w:r>
        <w:rPr>
          <w:color w:val="000000"/>
          <w:sz w:val="24"/>
          <w:szCs w:val="24"/>
        </w:rPr>
        <w:t>：本文采用 “先变量、后组态” 的 SEM 与 fsQCA 混合研究设计，既通过 SEM 验证了单因素的线性影响机制，又通过 fsQCA 揭示了多因素联动的非线性组态效应，实现了两种方法的优势互补，研究结论兼具严谨性与实践适配性。</w:t>
      </w:r>
    </w:p>
    <w:p w14:paraId="7D0309C2">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研究场景的精准化创新</w:t>
      </w:r>
      <w:r>
        <w:rPr>
          <w:color w:val="000000"/>
          <w:sz w:val="24"/>
          <w:szCs w:val="24"/>
        </w:rPr>
        <w:t>：本文聚焦烟台地区集群电商这一具体场景，深入挖掘北方沿海特色产业产区电商发展的独特性与瓶颈问题，避免了现有研究结论的 “平均化”，提出的对策建议更具针对性与可落地性，填补了区域本土化研究的空白。</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8" w:bottom="1418" w:left="1701" w:header="1304" w:footer="1021" w:gutter="0"/>
          <w:pgNumType w:fmt="decimal" w:start="1"/>
          <w:cols w:space="425" w:num="1"/>
          <w:docGrid w:linePitch="326" w:charSpace="0"/>
        </w:sectPr>
      </w:pPr>
    </w:p>
    <w:p w14:paraId="55DA8BE8">
      <w:pPr>
        <w:pStyle w:val="2"/>
        <w:spacing w:line="400" w:lineRule="exact"/>
      </w:pPr>
      <w:bookmarkStart w:id="46" w:name="_Toc1959"/>
      <w:r>
        <w:rPr>
          <w:rFonts w:hint="eastAsia"/>
          <w:lang w:val="en-US" w:eastAsia="zh-CN"/>
        </w:rPr>
        <w:t xml:space="preserve">第二章 </w:t>
      </w:r>
      <w:r>
        <w:t>理论基础与文献综述</w:t>
      </w:r>
      <w:bookmarkEnd w:id="46"/>
    </w:p>
    <w:p w14:paraId="420FC266">
      <w:pPr>
        <w:pStyle w:val="3"/>
        <w:spacing w:before="240" w:after="240" w:line="400" w:lineRule="exact"/>
        <w:ind w:firstLine="0" w:firstLineChars="0"/>
        <w:rPr>
          <w:rFonts w:hint="default" w:eastAsia="黑体"/>
          <w:lang w:val="en-US" w:eastAsia="zh-CN"/>
        </w:rPr>
      </w:pPr>
      <w:bookmarkStart w:id="47" w:name="_Toc21534"/>
      <w:r>
        <w:t>2.1</w:t>
      </w:r>
      <w:r>
        <w:rPr>
          <w:rFonts w:hint="eastAsia"/>
          <w:lang w:val="en-US" w:eastAsia="zh-CN"/>
        </w:rPr>
        <w:t>核心概念界定</w:t>
      </w:r>
      <w:bookmarkEnd w:id="47"/>
    </w:p>
    <w:p w14:paraId="64649640">
      <w:pPr>
        <w:pStyle w:val="4"/>
        <w:spacing w:line="400" w:lineRule="exact"/>
        <w:rPr>
          <w:rFonts w:hint="eastAsia" w:ascii="Times New Roman" w:hAnsi="Times New Roman" w:eastAsia="黑体"/>
          <w:szCs w:val="21"/>
          <w:lang w:eastAsia="zh-CN"/>
        </w:rPr>
      </w:pPr>
      <w:bookmarkStart w:id="48" w:name="_Toc448094852"/>
      <w:bookmarkStart w:id="49" w:name="_Toc485048993"/>
      <w:bookmarkStart w:id="50" w:name="_Toc485389080"/>
      <w:bookmarkStart w:id="51" w:name="_Toc484182524"/>
      <w:r>
        <w:rPr>
          <w:rFonts w:ascii="Times New Roman" w:hAnsi="Times New Roman"/>
          <w:szCs w:val="21"/>
        </w:rPr>
        <w:t>2.1</w:t>
      </w:r>
      <w:bookmarkEnd w:id="48"/>
      <w:r>
        <w:rPr>
          <w:rFonts w:ascii="Times New Roman" w:hAnsi="Times New Roman"/>
          <w:szCs w:val="21"/>
        </w:rPr>
        <w:t>.1</w:t>
      </w:r>
      <w:bookmarkEnd w:id="49"/>
      <w:bookmarkEnd w:id="50"/>
      <w:bookmarkEnd w:id="51"/>
      <w:r>
        <w:rPr>
          <w:rFonts w:hint="eastAsia" w:ascii="Times New Roman" w:hAnsi="Times New Roman"/>
          <w:szCs w:val="21"/>
          <w:lang w:val="en-US" w:eastAsia="zh-CN"/>
        </w:rPr>
        <w:t>集群电商</w:t>
      </w:r>
    </w:p>
    <w:p w14:paraId="42D3846D">
      <w:pPr>
        <w:spacing w:line="400" w:lineRule="exact"/>
        <w:ind w:firstLine="480"/>
        <w:rPr>
          <w:rFonts w:ascii="宋体" w:hAnsi="宋体" w:eastAsia="宋体" w:cs="宋体"/>
          <w:sz w:val="24"/>
          <w:szCs w:val="24"/>
        </w:rPr>
      </w:pPr>
      <w:r>
        <w:rPr>
          <w:rFonts w:ascii="宋体" w:hAnsi="宋体"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2资源禀赋</w:t>
      </w:r>
    </w:p>
    <w:p w14:paraId="0AEBD6DC">
      <w:pPr>
        <w:spacing w:line="400" w:lineRule="exact"/>
        <w:ind w:firstLine="480"/>
        <w:rPr>
          <w:rFonts w:ascii="宋体" w:hAnsi="宋体" w:eastAsia="宋体" w:cs="宋体"/>
          <w:sz w:val="24"/>
          <w:szCs w:val="24"/>
        </w:rPr>
      </w:pPr>
      <w:r>
        <w:rPr>
          <w:rFonts w:ascii="宋体" w:hAnsi="宋体"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3数字技能</w:t>
      </w:r>
    </w:p>
    <w:p w14:paraId="781FCB69">
      <w:pPr>
        <w:spacing w:line="400" w:lineRule="exact"/>
        <w:ind w:firstLine="480"/>
        <w:rPr>
          <w:rFonts w:ascii="宋体" w:hAnsi="宋体" w:eastAsia="宋体" w:cs="宋体"/>
          <w:sz w:val="24"/>
          <w:szCs w:val="24"/>
        </w:rPr>
      </w:pPr>
      <w:r>
        <w:rPr>
          <w:rFonts w:ascii="宋体" w:hAnsi="宋体"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pPr>
      <w:bookmarkStart w:id="52" w:name="_Toc15879"/>
      <w:r>
        <w:t>2.2</w:t>
      </w:r>
      <w:r>
        <w:rPr>
          <w:rFonts w:hint="eastAsia"/>
          <w:lang w:val="en-US" w:eastAsia="zh-CN"/>
        </w:rPr>
        <w:t>核心理论基础</w:t>
      </w:r>
      <w:bookmarkEnd w:id="52"/>
    </w:p>
    <w:p w14:paraId="386AD302">
      <w:pPr>
        <w:pStyle w:val="4"/>
        <w:spacing w:line="400" w:lineRule="exact"/>
        <w:rPr>
          <w:rFonts w:hint="default" w:ascii="Times New Roman" w:hAnsi="Times New Roman" w:eastAsia="黑体"/>
          <w:szCs w:val="21"/>
          <w:lang w:val="en-US" w:eastAsia="zh-CN"/>
        </w:rPr>
      </w:pPr>
      <w:r>
        <w:rPr>
          <w:rFonts w:ascii="Times New Roman" w:hAnsi="Times New Roman"/>
          <w:szCs w:val="21"/>
        </w:rPr>
        <w:t>2.2.1</w:t>
      </w:r>
      <w:r>
        <w:rPr>
          <w:rFonts w:hint="eastAsia" w:ascii="Times New Roman" w:hAnsi="Times New Roman"/>
          <w:szCs w:val="21"/>
          <w:lang w:val="en-US" w:eastAsia="zh-CN"/>
        </w:rPr>
        <w:t>技术-组织-环境（TOE）框架</w:t>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TOE 框架由 Tornatzky 和 Fleischer 于 1990 年提出，该理论认为，组织的技术创新与应用行为，受到技术、组织、环境三个维度因素的共同影响，三个维度的因素并非独立作用，而是相互联动、协同影响组织行为与发展结果。其中，技术维度指组织可获取的技术资源、技术应用能力与相关配套工具；组织维度指组织的治理结构、制度安排、人才资源与管理模式；环境维度指组织所处的宏观政策、基础设施、市场环境、资源禀赋等外部情境。</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TOE 框架具有系统性、整体性与场景适配性强的特点，与集群电商这一复杂产业组织系统的发展逻辑高度契合。本文基于 TOE 框架，结合烟台集群电商发展的实际特征，将六大核心影响维度整合到技术、组织、环境三个维度中，构建本文的整合分析模型：技术维度包含技术创新水平、本地电商平台与数字技能；组织维度包含政府政策与集群治理、人才支撑；环境维度包含基础设施建设、自然环境与资源禀赋。</w:t>
      </w:r>
    </w:p>
    <w:p w14:paraId="462365E6">
      <w:pPr>
        <w:pStyle w:val="4"/>
        <w:spacing w:line="400" w:lineRule="exact"/>
        <w:rPr>
          <w:rFonts w:hint="default" w:ascii="Times New Roman" w:hAnsi="Times New Roman" w:eastAsia="黑体"/>
          <w:szCs w:val="21"/>
          <w:lang w:val="en-US" w:eastAsia="zh-CN"/>
        </w:rPr>
      </w:pPr>
      <w:r>
        <w:rPr>
          <w:rFonts w:ascii="Times New Roman" w:hAnsi="Times New Roman"/>
          <w:szCs w:val="21"/>
        </w:rPr>
        <w:t>2.2.</w:t>
      </w:r>
      <w:r>
        <w:rPr>
          <w:rFonts w:hint="eastAsia" w:ascii="Times New Roman" w:hAnsi="Times New Roman"/>
          <w:szCs w:val="21"/>
          <w:lang w:val="en-US" w:eastAsia="zh-CN"/>
        </w:rPr>
        <w:t>2组态理论</w:t>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组态理论诞生于 20 世纪初的战略管理领域，其核心思想是：组织的高绩效结果并非由单一因素独立决定，而是由多个相互关联、相互依赖的前因条件，以特定的组合方式协同作用产生的。该理论以整体论为核心，突破了传统还原论 “单因素独立影响” 的线性思维局限，强调因果关系的三大核心特征：一是多重并发，结果的发生由多个前因条件共同驱动，不存在单一的决定性因素；二是等效性，不同的前因条件组合可以产生相同的高绩效结果，即存在 “殊途同归” 的多条发展路径；三是因果非对称性，导致高绩效的条件组合，与导致低绩效的条件组合并非简单的对立关系，不能通过反向推导得出发展策略。</w:t>
      </w:r>
    </w:p>
    <w:p w14:paraId="7832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组态理论与集群电商发展的现实特征高度契合，烟台集群电商的高质量发展，是技术、组织、环境多维度因素共同作用的结果，单一因素的作用依赖于其他因素的匹配与协同，不存在普适性的 “最优单因素”。本文基于组态理论，运用 fsQCA 方法，探究驱动烟台集群电商高绩效发展的多元条件组态与等效发展路径，破解集群发展的复杂因果机制。</w:t>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30C4725B">
      <w:pPr>
        <w:pStyle w:val="3"/>
        <w:spacing w:before="240" w:after="240" w:line="400" w:lineRule="exact"/>
        <w:ind w:firstLine="0" w:firstLineChars="0"/>
        <w:rPr>
          <w:rFonts w:hint="default" w:eastAsia="黑体"/>
          <w:lang w:val="en-US" w:eastAsia="zh-CN"/>
        </w:rPr>
      </w:pPr>
      <w:bookmarkStart w:id="53" w:name="_Toc19027"/>
      <w:r>
        <w:t>2.3</w:t>
      </w:r>
      <w:r>
        <w:rPr>
          <w:rFonts w:hint="eastAsia"/>
          <w:lang w:val="en-US" w:eastAsia="zh-CN"/>
        </w:rPr>
        <w:t>国内外研究现状</w:t>
      </w:r>
      <w:bookmarkEnd w:id="53"/>
    </w:p>
    <w:p w14:paraId="229EC2AA">
      <w:pPr>
        <w:pStyle w:val="4"/>
        <w:spacing w:line="400" w:lineRule="exact"/>
        <w:rPr>
          <w:rFonts w:hint="default" w:ascii="Times New Roman" w:hAnsi="Times New Roman" w:eastAsia="黑体"/>
          <w:szCs w:val="21"/>
          <w:lang w:val="en-US" w:eastAsia="zh-CN"/>
        </w:rPr>
      </w:pPr>
      <w:r>
        <w:rPr>
          <w:rFonts w:ascii="Times New Roman" w:hAnsi="Times New Roman"/>
          <w:szCs w:val="21"/>
        </w:rPr>
        <w:t>2.3.1</w:t>
      </w:r>
      <w:r>
        <w:rPr>
          <w:rFonts w:hint="eastAsia" w:ascii="Times New Roman" w:hAnsi="Times New Roman"/>
          <w:szCs w:val="21"/>
          <w:lang w:val="en-US" w:eastAsia="zh-CN"/>
        </w:rPr>
        <w:t>集群电商发展相关研究</w:t>
      </w:r>
    </w:p>
    <w:p w14:paraId="37A086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国外关于集群电商的研究，最早可追溯至产业集群理论在电子商务领域的应用。Porto 等（2021）通过对巴西农村电商集聚区域的研究，将集群电商定义为 “依托数字平台，在特定地域内形成的、以特色产业为核心的电商企业与配套机构的空间集聚体”，并指出其核心价值在于降低中小经营主体的市场准入门槛，实现小生产与大市场的有效链接。Milicevic 等（2022）基于中东欧国家的研究，将集群电商的发展模式划分为政府主导型、市场驱动型与产业引领型三类，并指出产业引领型模式更具可持续发展能力。</w:t>
      </w:r>
    </w:p>
    <w:p w14:paraId="143AAFD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国内关于集群电商的研究，伴随淘宝村、电商产业带的快速发展逐步深化。早期研究多聚焦于集群电商的形成机制与发展模式，史修松等（2017）基于江苏淘宝村的调研，将农村电商集群划分为资源基础型、产业带动型与能人驱动型三类，分析了不同模式的形成机理。郭承龙（2019）从产业演化视角，将集群电商的发展划分为萌芽期、成长期、成熟期与转型期四个阶段，指出不同阶段的核心驱动因素存在显著差异。近年来，研究逐步转向集群电商的高质量发展，王志辉等（2021）指出，集群电商高质量发展的核心是完善产业链、提升品牌化水平与强化协同创新能力，实现从规模扩张向价值提升的转型。</w:t>
      </w:r>
    </w:p>
    <w:p w14:paraId="724FC727">
      <w:pPr>
        <w:pStyle w:val="4"/>
        <w:spacing w:line="400" w:lineRule="exact"/>
        <w:rPr>
          <w:rFonts w:hint="default" w:ascii="Times New Roman" w:hAnsi="Times New Roman" w:eastAsia="黑体"/>
          <w:szCs w:val="21"/>
          <w:lang w:val="en-US" w:eastAsia="zh-CN"/>
        </w:rPr>
      </w:pPr>
      <w:r>
        <w:rPr>
          <w:rFonts w:ascii="Times New Roman" w:hAnsi="Times New Roman"/>
          <w:szCs w:val="21"/>
        </w:rPr>
        <w:t>2.3.</w:t>
      </w:r>
      <w:r>
        <w:rPr>
          <w:rFonts w:hint="eastAsia" w:ascii="Times New Roman" w:hAnsi="Times New Roman"/>
          <w:szCs w:val="21"/>
          <w:lang w:val="en-US" w:eastAsia="zh-CN"/>
        </w:rPr>
        <w:t>2电商发展影响因素相关研究</w:t>
      </w:r>
    </w:p>
    <w:p w14:paraId="073C8A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国内外学者围绕电商发展的影响因素，开展了大量实证研究，相关成果可归纳为六大维度，与本文的研究模型高度契合。</w:t>
      </w:r>
    </w:p>
    <w:p w14:paraId="4235BAB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在政府政策与集群治理方面，梁强等（2016）基于广东军埔电商集群的案例研究，指出政府的政策扶持、产业规划与公共服务供给，对集群电商的形成与发展具有关键推动作用。Cui 等（2019）则强调，完善的集群内部治理机制，包括行业自律、利益协调、协同创新等，是集群电商实现可持续发展的核心组织保障。</w:t>
      </w:r>
    </w:p>
    <w:p w14:paraId="65D770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在人才支撑方面，邱泽奇等（2021）指出，电商专业人才的供给不足，是制约县域电商发展的核心瓶颈，从业者的数字技能与运营能力，直接决定了电商经营的效益与集群发展的水平。Zang 等（2020）的研究表明，完善的人才培育体系，能够显著提升集群内从业者的综合能力，进而推动集群电商的高质量发展。</w:t>
      </w:r>
    </w:p>
    <w:p w14:paraId="115221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在基础设施建设方面，董坤祥等（2016）的研究表明，交通物流、仓储冷链、网络通信等基础设施，是集群电商发展的基础保障，对集群发展水平具有显著正向影响。Jiang 等（2017）则指出，物流配送 “最后一公里” 的服务质量，直接影响农村电商集群的用户体验与市场竞争力。</w:t>
      </w:r>
    </w:p>
    <w:p w14:paraId="485BD1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技术创新水平方面，易法敏等（2022）指出，大数据、人工智能、直播技术等数字化技术的应用，能够显著提升电商经营的效率与精准度，是驱动集群电商转型升级的核心动力。黄益平等（2019）的研究表明，数字化技术的普及应用，能够有效降低集群内中小主体的经营成本，提升集群的整体竞争优势。</w:t>
      </w:r>
    </w:p>
    <w:p w14:paraId="261E95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在本地电商平台与数字技能方面，张伟（2024）的 SEM 实证研究表明，电商平台的功能支持与从业者的数字技能，均对电商集群发展水平具有显著正向影响，且数字技能在平台功能与集群绩效之间存在显著中介作用。陈雨苏（2024）则指出，本地特色电商平台的建设，能够更好地适配本地产业特征，提升集群的区域品牌影响力。</w:t>
      </w:r>
    </w:p>
    <w:p w14:paraId="09682C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资源禀赋方面，唐艺等（2021）以江苏沭阳花木电商集群为案例，指出本地特色资源是集群电商形成的核心前提，资源的整合利用效率，直接决定了集群的核心竞争力与可持续发展能力。李想等（2023）的研究表明，依托本地特色资源形成的差异化竞争优势，是电商集群避免同质化竞争、实现高质量发展的关键。</w:t>
      </w:r>
    </w:p>
    <w:p w14:paraId="1B6A6FA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2.3.3 SEM 与 fsQCA 混合方法的应用研究</w:t>
      </w:r>
    </w:p>
    <w:p w14:paraId="78C254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SEM 与 fsQCA 混合方法，能够同时实现线性因果验证与组态效应分析，实现两种方法的优势互补，近年来被广泛应用于管理学、经济学等领域的研究。</w:t>
      </w:r>
    </w:p>
    <w:p w14:paraId="011C81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在国内研究中，易明等（2018）最早采用该混合方法，研究了时间压力对员工沉默行为的影响机制，通过 SEM 验证了变量间的中介效应，再通过 fsQCA 识别了多元组态路径，为混合方法的应用提供了范例。毕达天等（2021）采用该混合方法，分析了科研人员数据素养的影响因素，既验证了各变量的净效应，又识别了驱动高数据素养的多元组态，拓展了混合方法的应用场景。在电商研究领域，鲁夏平（2022）采用 SEM 与 fsQCA 混合方法，探究了农村电商发展的影响因素与多元路径，验证了该方法在电商研究领域的适用性。</w:t>
      </w:r>
    </w:p>
    <w:p w14:paraId="32867A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在国外研究中，Um 等（2023）采用 SEM 与 fsQCA 混合方法，研究了旅游移动商务中消费者冲动购买意愿的影响因素，通过 SEM 验证了动机因素的线性影响，再通过 fsQCA 识别了驱动冲动购买的多元组态。Zheng 等（2023）则基于该混合方法，研究了在线学习质量对大学生持续学习意愿的影响，进一步验证了该混合方法的有效性与适用性。</w:t>
      </w:r>
    </w:p>
    <w:p w14:paraId="48EE502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eastAsia="黑体"/>
          <w:color w:val="000000"/>
          <w:sz w:val="24"/>
          <w:szCs w:val="24"/>
          <w:lang w:val="en-US" w:eastAsia="zh-CN"/>
        </w:rPr>
      </w:pPr>
      <w:r>
        <w:rPr>
          <w:color w:val="000000"/>
          <w:sz w:val="24"/>
          <w:szCs w:val="24"/>
        </w:rPr>
        <w:t>2.3.</w:t>
      </w:r>
      <w:r>
        <w:rPr>
          <w:rFonts w:hint="eastAsia"/>
          <w:color w:val="000000"/>
          <w:sz w:val="24"/>
          <w:szCs w:val="24"/>
          <w:lang w:val="en-US" w:eastAsia="zh-CN"/>
        </w:rPr>
        <w:t>4研究述评与研究切入点</w:t>
      </w:r>
    </w:p>
    <w:p w14:paraId="01CD06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综上所述，国内外关于集群电商的研究已取得丰硕成果，为本文奠定了坚实的理论基础与研究范式，但现有研究仍存在三方面的不足，这也构成了本文的核心研究切入点：</w:t>
      </w:r>
    </w:p>
    <w:p w14:paraId="1B0B2F9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第一，研究情境存在区域空白。现有研究多以浙江、江苏等南方电商发达地区为样本，针对烟台北方沿海特色产业产区的本土化实证研究较为匮乏，而烟台的产业结构、资源禀赋与南方地区存在显著差异，现有研究结论的本土化适配性不足。</w:t>
      </w:r>
    </w:p>
    <w:p w14:paraId="0781CE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第二，研究维度存在同质化局限。现有研究多聚焦于政策、基建、技术等通用维度，鲜有研究将本地资源禀赋、特色平台建设等区域特色变量纳入整合分析框架，难以精准解释烟台集群电商发展的独特性与瓶颈问题。</w:t>
      </w:r>
    </w:p>
    <w:p w14:paraId="416A9A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第三，研究方法存在单一化局限。现有研究多单独采用 SEM 或 fsQCA 方法，采用二者混合设计的研究仍较为匮乏，难以同时揭示集群电商发展的普遍线性影响机制与本土化的多元组态路径，导致研究结论的实践指导性不足。</w:t>
      </w:r>
    </w:p>
    <w:p w14:paraId="796B97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基于此，本文以烟台地区集群电商为研究对象，构建包含六大维度的整合分析模型，采用 SEM 与 fsQCA 混合研究方法，系统探究其发展的影响因素与高绩效组态路径，弥补现有研究的不足，丰富集群电商的本土化研究成果。</w:t>
      </w:r>
    </w:p>
    <w:p w14:paraId="49771233">
      <w:pPr>
        <w:spacing w:line="400" w:lineRule="exact"/>
        <w:rPr>
          <w:szCs w:val="21"/>
        </w:rPr>
      </w:pPr>
    </w:p>
    <w:p w14:paraId="17B35795">
      <w:pPr>
        <w:ind w:firstLine="480"/>
        <w:sectPr>
          <w:headerReference r:id="rId25" w:type="default"/>
          <w:pgSz w:w="11906" w:h="16838"/>
          <w:pgMar w:top="1701" w:right="1418" w:bottom="1418" w:left="1701" w:header="1304" w:footer="1021" w:gutter="0"/>
          <w:pgNumType w:fmt="decimal"/>
          <w:cols w:space="425" w:num="1"/>
          <w:docGrid w:linePitch="326" w:charSpace="0"/>
        </w:sectPr>
      </w:pPr>
    </w:p>
    <w:p w14:paraId="4A5343C8">
      <w:pPr>
        <w:pStyle w:val="2"/>
        <w:spacing w:line="400" w:lineRule="exact"/>
        <w:rPr>
          <w:lang w:val="zh-CN"/>
        </w:rPr>
      </w:pPr>
      <w:bookmarkStart w:id="54" w:name="_Toc24454"/>
      <w:r>
        <w:rPr>
          <w:rFonts w:hint="eastAsia"/>
          <w:lang w:val="en-US" w:eastAsia="zh-CN"/>
        </w:rPr>
        <w:t>第三章 研究设计</w:t>
      </w:r>
      <w:bookmarkEnd w:id="54"/>
    </w:p>
    <w:p w14:paraId="7DE972D1">
      <w:pPr>
        <w:pStyle w:val="3"/>
        <w:spacing w:before="240" w:after="240" w:line="400" w:lineRule="exact"/>
        <w:ind w:firstLine="0" w:firstLineChars="0"/>
        <w:rPr>
          <w:rFonts w:hint="default"/>
          <w:szCs w:val="21"/>
          <w:lang w:val="en-US" w:eastAsia="zh-CN"/>
        </w:rPr>
      </w:pPr>
      <w:bookmarkStart w:id="55" w:name="_Toc26904"/>
      <w:r>
        <w:rPr>
          <w:szCs w:val="21"/>
          <w:lang w:val="en-US"/>
        </w:rPr>
        <w:t>3.1</w:t>
      </w:r>
      <w:r>
        <w:rPr>
          <w:rFonts w:hint="eastAsia"/>
          <w:szCs w:val="21"/>
          <w:lang w:val="en-US" w:eastAsia="zh-CN"/>
        </w:rPr>
        <w:t>理论模型构建</w:t>
      </w:r>
      <w:bookmarkEnd w:id="55"/>
    </w:p>
    <w:p w14:paraId="7BA4BD17">
      <w:pPr>
        <w:spacing w:line="400" w:lineRule="exact"/>
        <w:ind w:firstLine="480"/>
        <w:rPr>
          <w:rFonts w:ascii="宋体" w:hAnsi="宋体" w:eastAsia="宋体" w:cs="宋体"/>
          <w:sz w:val="24"/>
          <w:szCs w:val="24"/>
        </w:rPr>
      </w:pPr>
      <w:r>
        <w:rPr>
          <w:rFonts w:ascii="宋体" w:hAnsi="宋体" w:eastAsia="宋体" w:cs="宋体"/>
          <w:sz w:val="24"/>
          <w:szCs w:val="24"/>
        </w:rPr>
        <w:t>本文基于 TOE 框架，结合烟台集群电商发展的实际特征，构建 “技术 - 组织 - 环境” 三维度、六大核心变量的整合分析模型，具体如下：</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53BC2142">
            <w:pPr>
              <w:keepNext w:val="0"/>
              <w:keepLines w:val="0"/>
              <w:widowControl/>
              <w:suppressLineNumbers w:val="0"/>
              <w:jc w:val="left"/>
              <w:rPr>
                <w:b/>
                <w:bCs/>
              </w:rPr>
            </w:pPr>
            <w:r>
              <w:rPr>
                <w:rFonts w:ascii="宋体" w:hAnsi="宋体" w:eastAsia="宋体" w:cs="宋体"/>
                <w:b/>
                <w:bCs/>
                <w:kern w:val="0"/>
                <w:sz w:val="24"/>
                <w:szCs w:val="24"/>
                <w:lang w:val="en-US" w:eastAsia="zh-CN" w:bidi="ar"/>
              </w:rPr>
              <w:t>TOE 框架维度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4E2FD6">
            <w:pPr>
              <w:keepNext w:val="0"/>
              <w:keepLines w:val="0"/>
              <w:widowControl/>
              <w:suppressLineNumbers w:val="0"/>
              <w:jc w:val="left"/>
              <w:rPr>
                <w:b/>
                <w:bCs/>
              </w:rPr>
            </w:pPr>
            <w:r>
              <w:rPr>
                <w:rFonts w:ascii="宋体" w:hAnsi="宋体" w:eastAsia="宋体" w:cs="宋体"/>
                <w:b/>
                <w:bCs/>
                <w:kern w:val="0"/>
                <w:sz w:val="24"/>
                <w:szCs w:val="24"/>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21B6C11">
            <w:pPr>
              <w:keepNext w:val="0"/>
              <w:keepLines w:val="0"/>
              <w:widowControl/>
              <w:suppressLineNumbers w:val="0"/>
              <w:jc w:val="left"/>
            </w:pPr>
            <w:r>
              <w:rPr>
                <w:rFonts w:ascii="宋体" w:hAnsi="宋体" w:eastAsia="宋体" w:cs="宋体"/>
                <w:kern w:val="0"/>
                <w:sz w:val="24"/>
                <w:szCs w:val="24"/>
                <w:lang w:val="en-US" w:eastAsia="zh-CN" w:bidi="ar"/>
              </w:rPr>
              <w:t>技术维度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76B9D270">
            <w:pPr>
              <w:keepNext w:val="0"/>
              <w:keepLines w:val="0"/>
              <w:widowControl/>
              <w:suppressLineNumbers w:val="0"/>
              <w:jc w:val="left"/>
            </w:pPr>
            <w:r>
              <w:rPr>
                <w:rFonts w:ascii="宋体" w:hAnsi="宋体" w:eastAsia="宋体" w:cs="宋体"/>
                <w:kern w:val="0"/>
                <w:sz w:val="24"/>
                <w:szCs w:val="24"/>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3FADAA">
            <w:pPr>
              <w:keepNext w:val="0"/>
              <w:keepLines w:val="0"/>
              <w:widowControl/>
              <w:suppressLineNumbers w:val="0"/>
              <w:jc w:val="left"/>
            </w:pPr>
            <w:r>
              <w:rPr>
                <w:rFonts w:ascii="宋体" w:hAnsi="宋体" w:eastAsia="宋体" w:cs="宋体"/>
                <w:kern w:val="0"/>
                <w:sz w:val="24"/>
                <w:szCs w:val="24"/>
                <w:lang w:val="en-US" w:eastAsia="zh-CN" w:bidi="ar"/>
              </w:rPr>
              <w:t>组织维度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8D23FB4">
            <w:pPr>
              <w:keepNext w:val="0"/>
              <w:keepLines w:val="0"/>
              <w:widowControl/>
              <w:suppressLineNumbers w:val="0"/>
              <w:jc w:val="left"/>
            </w:pPr>
            <w:r>
              <w:rPr>
                <w:rFonts w:ascii="宋体" w:hAnsi="宋体" w:eastAsia="宋体" w:cs="宋体"/>
                <w:kern w:val="0"/>
                <w:sz w:val="24"/>
                <w:szCs w:val="24"/>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B2BB935">
            <w:pPr>
              <w:keepNext w:val="0"/>
              <w:keepLines w:val="0"/>
              <w:widowControl/>
              <w:suppressLineNumbers w:val="0"/>
              <w:jc w:val="left"/>
            </w:pPr>
            <w:r>
              <w:rPr>
                <w:rFonts w:ascii="宋体" w:hAnsi="宋体" w:eastAsia="宋体" w:cs="宋体"/>
                <w:kern w:val="0"/>
                <w:sz w:val="24"/>
                <w:szCs w:val="24"/>
                <w:lang w:val="en-US" w:eastAsia="zh-CN" w:bidi="ar"/>
              </w:rPr>
              <w:t>环境维度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05C9015">
            <w:pPr>
              <w:keepNext w:val="0"/>
              <w:keepLines w:val="0"/>
              <w:widowControl/>
              <w:suppressLineNumbers w:val="0"/>
              <w:jc w:val="left"/>
            </w:pPr>
            <w:r>
              <w:rPr>
                <w:rFonts w:ascii="宋体" w:hAnsi="宋体" w:eastAsia="宋体" w:cs="宋体"/>
                <w:kern w:val="0"/>
                <w:sz w:val="24"/>
                <w:szCs w:val="24"/>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C10B656">
            <w:pPr>
              <w:keepNext w:val="0"/>
              <w:keepLines w:val="0"/>
              <w:widowControl/>
              <w:suppressLineNumbers w:val="0"/>
              <w:jc w:val="left"/>
            </w:pPr>
            <w:r>
              <w:rPr>
                <w:rFonts w:ascii="宋体" w:hAnsi="宋体" w:eastAsia="宋体" w:cs="宋体"/>
                <w:kern w:val="0"/>
                <w:sz w:val="24"/>
                <w:szCs w:val="24"/>
                <w:lang w:val="en-US" w:eastAsia="zh-CN" w:bidi="ar"/>
              </w:rPr>
              <w:t>结果变量</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B71F9B1">
            <w:pPr>
              <w:keepNext w:val="0"/>
              <w:keepLines w:val="0"/>
              <w:widowControl/>
              <w:suppressLineNumbers w:val="0"/>
              <w:jc w:val="left"/>
            </w:pPr>
            <w:r>
              <w:rPr>
                <w:rFonts w:ascii="宋体" w:hAnsi="宋体" w:eastAsia="宋体" w:cs="宋体"/>
                <w:kern w:val="0"/>
                <w:sz w:val="24"/>
                <w:szCs w:val="24"/>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240" w:lineRule="auto"/>
        <w:ind w:firstLine="0" w:firstLineChars="0"/>
        <w:jc w:val="center"/>
        <w:rPr>
          <w:rFonts w:hint="eastAsia" w:eastAsia="宋体"/>
          <w:sz w:val="21"/>
          <w:szCs w:val="21"/>
          <w:lang w:eastAsia="zh-CN"/>
        </w:rPr>
      </w:pPr>
      <w:r>
        <w:rPr>
          <w:rFonts w:hint="eastAsia" w:ascii="宋体" w:hAnsi="宋体" w:eastAsia="宋体" w:cs="宋体"/>
          <w:b/>
          <w:bCs/>
          <w:sz w:val="21"/>
          <w:szCs w:val="21"/>
        </w:rPr>
        <w:t xml:space="preserve">表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表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 TOE框架维度表</w:t>
      </w:r>
    </w:p>
    <w:p w14:paraId="151CEF4B">
      <w:pPr>
        <w:pStyle w:val="4"/>
        <w:tabs>
          <w:tab w:val="clear" w:pos="561"/>
          <w:tab w:val="clear" w:pos="720"/>
        </w:tabs>
        <w:overflowPunct/>
        <w:spacing w:line="400" w:lineRule="exact"/>
        <w:ind w:firstLine="420" w:firstLineChars="0"/>
        <w:jc w:val="both"/>
      </w:pPr>
      <w:r>
        <w:rPr>
          <w:rFonts w:ascii="宋体" w:hAnsi="宋体" w:eastAsia="宋体" w:cs="宋体"/>
          <w:kern w:val="2"/>
          <w:sz w:val="24"/>
          <w:szCs w:val="24"/>
          <w:lang w:val="en-US" w:eastAsia="zh-CN" w:bidi="ar-SA"/>
        </w:rPr>
        <w:t>本文的研究模型分为两个部分：一是基于 SEM 的线性影响机制模型，用于验证六大维度核心变量对烟台集群电商发展水平的直接影响；二是基于 fsQCA 的组态效应模型，将六大核心变量作为前因条件，探究多因素联动匹配对集群电商高绩效发展的组合效应。</w:t>
      </w:r>
    </w:p>
    <w:p w14:paraId="5E644638">
      <w:pPr>
        <w:pStyle w:val="3"/>
        <w:spacing w:before="240" w:after="240" w:line="400" w:lineRule="exact"/>
        <w:ind w:firstLine="0" w:firstLineChars="0"/>
        <w:rPr>
          <w:szCs w:val="21"/>
        </w:rPr>
      </w:pPr>
      <w:bookmarkStart w:id="56" w:name="_Toc19091"/>
      <w:r>
        <w:rPr>
          <w:szCs w:val="21"/>
          <w:lang w:val="en-US"/>
        </w:rPr>
        <w:t>3.2</w:t>
      </w:r>
      <w:r>
        <w:rPr>
          <w:rFonts w:hint="eastAsia"/>
          <w:szCs w:val="21"/>
          <w:lang w:val="en-US" w:eastAsia="zh-CN"/>
        </w:rPr>
        <w:t>研究假设提出</w:t>
      </w:r>
      <w:bookmarkEnd w:id="56"/>
    </w:p>
    <w:p w14:paraId="5A0957C2">
      <w:pPr>
        <w:pStyle w:val="4"/>
        <w:tabs>
          <w:tab w:val="clear" w:pos="561"/>
          <w:tab w:val="clear" w:pos="720"/>
        </w:tabs>
        <w:overflowPunct/>
        <w:spacing w:line="400" w:lineRule="exact"/>
        <w:jc w:val="both"/>
        <w:rPr>
          <w:rFonts w:hint="default" w:ascii="Times New Roman" w:hAnsi="Times New Roman" w:eastAsia="黑体"/>
          <w:lang w:val="en-US" w:eastAsia="zh-CN"/>
        </w:rPr>
      </w:pPr>
      <w:r>
        <w:rPr>
          <w:rFonts w:ascii="Times New Roman" w:hAnsi="Times New Roman"/>
        </w:rPr>
        <w:t>3.2.1</w:t>
      </w:r>
      <w:r>
        <w:rPr>
          <w:rFonts w:hint="eastAsia" w:ascii="Times New Roman" w:hAnsi="Times New Roman"/>
          <w:lang w:val="en-US" w:eastAsia="zh-CN"/>
        </w:rPr>
        <w:t>直接效应研究假设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 TOE 框架与现有文献研究成果，结合烟台集群电商发展的实际情况，本文提出以下直接效应研究假设：</w:t>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H1</w:t>
      </w:r>
      <w:r>
        <w:rPr>
          <w:color w:val="000000"/>
          <w:sz w:val="24"/>
          <w:szCs w:val="24"/>
        </w:rPr>
        <w:t>：政府政策与集群治理对烟台集群电商发展水平具有显著正向影响。贴合本地需求的扶持政策、高效的统筹规划与治理、完善的监管服务体系，能够为集群电商发展营造良好的制度环境，推动产业规范化、规模化发展。</w:t>
      </w:r>
    </w:p>
    <w:p w14:paraId="575459B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H2</w:t>
      </w:r>
      <w:r>
        <w:rPr>
          <w:color w:val="000000"/>
          <w:sz w:val="24"/>
          <w:szCs w:val="24"/>
        </w:rPr>
        <w:t>：人才支撑对烟台集群电商发展水平具有显著正向影响。充足的专业电商人才、完善的人才培育体系、较低的人才招聘留存难度，能够为集群电商发展提供核心人力资源支撑，提升集群的整体运营水平与创新能力。</w:t>
      </w:r>
    </w:p>
    <w:p w14:paraId="18E150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H3</w:t>
      </w:r>
      <w:r>
        <w:rPr>
          <w:color w:val="000000"/>
          <w:sz w:val="24"/>
          <w:szCs w:val="24"/>
        </w:rPr>
        <w:t>：基础设施建设对烟台集群电商发展水平具有显著正向影响。完善的网络通信、物流仓储、交通路网等基础设施，能够降低电商经营成本，提升供应链效率，为集群电商发展提供坚实的硬件保障。</w:t>
      </w:r>
    </w:p>
    <w:p w14:paraId="0244A0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H4</w:t>
      </w:r>
      <w:r>
        <w:rPr>
          <w:color w:val="000000"/>
          <w:sz w:val="24"/>
          <w:szCs w:val="24"/>
        </w:rPr>
        <w:t>：技术创新水平对烟台集群电商发展水平具有显著正向影响。数字化运营技术的普及、直播短视频等新技术的应用、完善的技术升级支持，能够推动集群电商数字化转型，提升经营效率与市场竞争力。</w:t>
      </w:r>
    </w:p>
    <w:p w14:paraId="2033383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H5</w:t>
      </w:r>
      <w:r>
        <w:rPr>
          <w:color w:val="000000"/>
          <w:sz w:val="24"/>
          <w:szCs w:val="24"/>
        </w:rPr>
        <w:t>：本地电商平台与数字技能对烟台集群电商发展水平具有显著正向影响。成熟的本地特色电商平台、从业者熟练的数字运营技能、强烈的数字化转型意愿，能够充分释放数字技术的赋能效应，推动集群电商高质量发展。</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H6</w:t>
      </w:r>
      <w:r>
        <w:rPr>
          <w:color w:val="000000"/>
          <w:sz w:val="24"/>
          <w:szCs w:val="24"/>
        </w:rPr>
        <w:t>：自然环境与资源禀赋对烟台集群电商发展水平具有显著正向影响。优越的自然环境、具有核心竞争力的特色资源、高效的资源整合利用效率，能够为集群电商发展构建差异化竞争优势，是产业可持续发展的核心依托。</w:t>
      </w:r>
    </w:p>
    <w:p w14:paraId="6A92FC39">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3.2.</w:t>
      </w:r>
      <w:r>
        <w:rPr>
          <w:rFonts w:hint="eastAsia" w:ascii="Times New Roman" w:hAnsi="Times New Roman"/>
          <w:lang w:val="en-US" w:eastAsia="zh-CN"/>
        </w:rPr>
        <w:t>2组态路径研究猜想</w:t>
      </w:r>
    </w:p>
    <w:p w14:paraId="301D75E3">
      <w:pPr>
        <w:pStyle w:val="5"/>
        <w:rPr>
          <w:rFonts w:hint="default"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pPr>
      <w:bookmarkStart w:id="57" w:name="_Toc24192"/>
      <w:r>
        <w:rPr>
          <w:szCs w:val="21"/>
          <w:lang w:val="en-US"/>
        </w:rPr>
        <w:t>3.3</w:t>
      </w:r>
      <w:r>
        <w:rPr>
          <w:rFonts w:hint="eastAsia"/>
          <w:szCs w:val="21"/>
          <w:lang w:val="en-US" w:eastAsia="zh-CN"/>
        </w:rPr>
        <w:t>问卷设计与变量测量</w:t>
      </w:r>
      <w:bookmarkEnd w:id="57"/>
    </w:p>
    <w:p w14:paraId="0501FE36">
      <w:pPr>
        <w:pStyle w:val="4"/>
        <w:tabs>
          <w:tab w:val="clear" w:pos="561"/>
          <w:tab w:val="clear" w:pos="720"/>
        </w:tabs>
        <w:overflowPunct/>
        <w:spacing w:line="400" w:lineRule="exact"/>
        <w:jc w:val="both"/>
        <w:rPr>
          <w:color w:val="000000"/>
          <w:sz w:val="24"/>
          <w:szCs w:val="24"/>
        </w:rPr>
      </w:pPr>
      <w:r>
        <w:rPr>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jc w:val="both"/>
        <w:rPr>
          <w:rFonts w:hint="eastAsia" w:ascii="Times New Roman" w:hAnsi="Times New Roman"/>
          <w:lang w:val="en-US" w:eastAsia="zh-CN"/>
        </w:rPr>
      </w:pPr>
      <w:r>
        <w:t>3.3.2 核心变量测量与问卷题项</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t>本文各核心变量的测量题项均借鉴国内外相关领域已通过信效度验证的成熟量表，并结合烟台集群电商的情境特征加以改编，采用李克特五点量表（1="完全不认同"，5="完全认同"）进行测量，具体题项如下所示（见表3-2）：</w:t>
      </w:r>
    </w:p>
    <w:p w14:paraId="52FE46A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t>政府政策与集群治理（GP）（改编自 Tornatzky &amp; Fleischer，1990；吴结兵等，2016）：① GP1：烟台政府出台的电商扶持政策能够有效回应本地集群电商的发展需求；② GP2：当地政府对电商集群的统筹规划与治理工作能够切实促进产业有序发展；③ GP3：政府部门能够在电商产业监管与服务之间保持合理平衡，未明显偏于任何一端。</w:t>
      </w:r>
    </w:p>
    <w:p w14:paraId="66AFA855">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t>人才支撑（TS）（改编自 Chang &amp; Chen，2004；李海舰等，2018）：① TS1：烟台本地电商专业运营与技术人才的供给能够基本满足企业的发展需求；② TS2：本地高校与培训机构能够为电商行业持续培育和输送具备专业素质的人才；③ TS3：电商企业在人才招聘和留存方面所面临的困难程度处于可接受的范围内。</w:t>
      </w:r>
    </w:p>
    <w:p w14:paraId="3EB9480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t>基础设施建设（IF）（改编自 Iacovou et al.，1995；刘笑尘等，2020）：① IF1：烟台地区网络、5G等数字化基础设施的建设程度能够满足电商业务的运营需求；② IF2：物流配送、仓储等电商配套基础设施的布局能够有效支撑集群电商的规模化运营；③ IF3：交通基础设施的整体水平能够保障电商货物运输的基本需求。</w:t>
      </w:r>
    </w:p>
    <w:p w14:paraId="0D05FB7B">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t>技术创新水平（TI）（改编自 Rogers，1995；鲁耀斌等，2022）：① TI1：本地电商企业具备将数字化运营技术应用于实际业务的基本能力；② TI2：大数据、直播、短视频等新兴数字技术在本地电商企业中得到了实际应用；③ TI3：政府或行业组织能够为有需求的电商主体提供切实有效的技术升级支持与指导。</w:t>
      </w:r>
    </w:p>
    <w:p w14:paraId="22956F7E">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t>本地电商平台与数字技能（DS）（改编自 Venkatesh et al.，2003；张伟，2024）：① DS1：烟台本地特色电商平台具备一定的市场规模与区域影响力；② DS2：烟台电商从业者具备从事线上运营所需的基本数字操作与运营技能；③ DS3：本地电商经营主体在数字化转型方面表现出较强的主动意愿与行动力。</w:t>
      </w:r>
    </w:p>
    <w:p w14:paraId="6CFD138A">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t>自然环境与资源禀赋（EN）（改编自 Barney，1991；刘强等，2021）：① EN1：烟台的自然环境条件客观上有助于特色电商农产品的培育与生产；② EN2：本地特色自然资源能够为集群电商产品发展构建一定程度的差异化竞争优势；③ EN3：当前的资源整合与利用效率能够在一定程度上支撑电商产业的规模化运营。</w:t>
      </w:r>
    </w:p>
    <w:p w14:paraId="25FDA434">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t>集群电商发展水平（CDL）（改编自 Lin &amp; Chen，2007；张伟，2024）：① CDL1：烟台地区集群电商的整体发展规模与成熟度已达到相对良好的水平；② CDL2：烟台集群电商在带动区域就业与特色产业销售方面发挥了积极促进作用；③ CDL3：烟台集群电商的数字化运营能力与可持续发展能力总体处于较好态势。　　以上各题项均采用李克特五点量表（1="完全不认同"，5="完全认同"）进行测量，以确保与前因变量测量方式一致，满足SEM分析的测量模型要求。</w:t>
      </w: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pPr>
      <w:bookmarkStart w:id="58" w:name="_Toc8393"/>
      <w:r>
        <w:rPr>
          <w:szCs w:val="21"/>
          <w:lang w:val="en-US"/>
        </w:rPr>
        <w:t>3</w:t>
      </w:r>
      <w:r>
        <w:rPr>
          <w:rFonts w:hint="eastAsia"/>
          <w:szCs w:val="21"/>
          <w:lang w:val="en-US" w:eastAsia="zh-CN"/>
        </w:rPr>
        <w:t>.4数据收集方案</w:t>
      </w:r>
      <w:bookmarkEnd w:id="58"/>
    </w:p>
    <w:p w14:paraId="7035280A">
      <w:pPr>
        <w:pStyle w:val="4"/>
        <w:tabs>
          <w:tab w:val="clear" w:pos="561"/>
          <w:tab w:val="clear" w:pos="720"/>
        </w:tabs>
        <w:overflowPunct/>
        <w:spacing w:line="400" w:lineRule="exact"/>
        <w:jc w:val="both"/>
        <w:rPr>
          <w:rFonts w:ascii="Times New Roman" w:hAnsi="Times New Roman"/>
        </w:rPr>
      </w:pPr>
      <w:r>
        <w:rPr>
          <w:rFonts w:ascii="Times New Roman" w:hAnsi="Times New Roman"/>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pPr>
      <w:bookmarkStart w:id="59" w:name="_Toc10800"/>
      <w:r>
        <w:rPr>
          <w:szCs w:val="21"/>
          <w:lang w:val="en-US"/>
        </w:rPr>
        <w:t>3</w:t>
      </w:r>
      <w:r>
        <w:rPr>
          <w:rFonts w:hint="eastAsia"/>
          <w:szCs w:val="21"/>
          <w:lang w:val="en-US" w:eastAsia="zh-CN"/>
        </w:rPr>
        <w:t>.5数据分析方法设计</w:t>
      </w:r>
      <w:bookmarkEnd w:id="59"/>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color w:val="000000"/>
          <w:sz w:val="24"/>
          <w:szCs w:val="24"/>
          <w:lang w:val="en-US" w:eastAsia="zh-CN"/>
        </w:rPr>
      </w:pPr>
      <w:r>
        <w:rPr>
          <w:color w:val="000000"/>
          <w:sz w:val="24"/>
          <w:szCs w:val="24"/>
        </w:rPr>
        <w:t>3.</w:t>
      </w:r>
      <w:r>
        <w:rPr>
          <w:rFonts w:hint="eastAsia"/>
          <w:color w:val="000000"/>
          <w:sz w:val="24"/>
          <w:szCs w:val="24"/>
          <w:lang w:val="en-US" w:eastAsia="zh-CN"/>
        </w:rPr>
        <w:t>5</w:t>
      </w:r>
      <w:r>
        <w:rPr>
          <w:color w:val="000000"/>
          <w:sz w:val="24"/>
          <w:szCs w:val="24"/>
        </w:rPr>
        <w:t xml:space="preserve">.1 </w:t>
      </w:r>
      <w:r>
        <w:rPr>
          <w:rFonts w:hint="eastAsia"/>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w:t>
      </w:r>
      <w:r>
        <w:rPr>
          <w:rFonts w:hint="eastAsia"/>
          <w:color w:val="000000"/>
          <w:sz w:val="24"/>
          <w:szCs w:val="24"/>
          <w:lang w:val="en-US" w:eastAsia="zh-CN"/>
        </w:rPr>
        <w:t>5</w:t>
      </w:r>
      <w:r>
        <w:rPr>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单变量必要性检验：对单个前因变量进行必要性分析，通过一致性与覆盖率指标，判断单个变量是否为产生集群电商高绩效发展的必要条件，以一致性阈值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真值表构建与优化：设定合理的案例频数阈值与原始一致性阈值，参考现有研究的通用做法，案例频数阈值设定为 2，原始一致性阈值设定为 0.8，同时设定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r>
        <w:br w:type="page"/>
      </w:r>
    </w:p>
    <w:p>
      <w:pPr>
        <w:pStyle w:val="2"/>
      </w:pPr>
      <w:r>
        <w:t>第四章 实证分析</w:t>
      </w:r>
    </w:p>
    <w:p>
      <w:pPr>
        <w:pStyle w:val="3"/>
      </w:pPr>
      <w:r>
        <w:t>4.1 数据质量检验</w:t>
      </w:r>
    </w:p>
    <w:p>
      <w:pPr>
        <w:pStyle w:val="4"/>
      </w:pPr>
      <w:r>
        <w:t>4.1.1 样本描述性统计</w:t>
      </w:r>
    </w:p>
    <w:p>
      <w:r>
        <w:t>本文正式调研共回收问卷508份，其中有效问卷467份（有效率91.9%），剔除作答时间过短（低于60秒）、答案明显规律化以及核心题项缺失的无效问卷41份。有效样本基本特征如下：性别方面，男性占47.5%，女性占52.5%；年龄方面，25—35岁占38.1%，36—45岁占29.7%，18—24岁占17.8%，45岁以上占14.4%；学历方面，大专及以下占31.3%，本科占48.2%，研究生及以上占20.5%；职业方面，电商从业者占36.4%，电商企业经营者/管理者占28.9%，配套服务从业者占18.3%，政府相关人员占16.4%。</w:t>
      </w:r>
    </w:p>
    <w:p>
      <w:r>
        <w:t>各核心变量描述统计如表4-1所示：前因变量均值在2.573至3.636之间，标准差在0.909至0.949之间。各变量中位数存在明显差异：GP中位数3.000，TS中位数2.667（反映人才供给相对不足），IF中位数3.333，TI中位数3.000，DS中位数3.000，EN中位数3.667（反映烟台自然禀赋较强），CDL中位数3.333。各变量偏度绝对值&lt;2，峰度绝对值&lt;7，满足正态分布近似要求。</w:t>
      </w:r>
    </w:p>
    <w:p>
      <w:r>
        <w:t>表4-1  各核心变量描述统计</w:t>
      </w:r>
    </w:p>
    <w:tbl>
      <w:tblPr>
        <w:tblStyle w:val="34"/>
        <w:tblW w:type="auto" w:w="0"/>
        <w:tblLook w:firstColumn="1" w:firstRow="1" w:lastColumn="0" w:lastRow="0" w:noHBand="0" w:noVBand="1" w:val="04A0"/>
      </w:tblPr>
      <w:tblGrid>
        <w:gridCol w:w="1464"/>
        <w:gridCol w:w="1464"/>
        <w:gridCol w:w="1464"/>
        <w:gridCol w:w="1464"/>
        <w:gridCol w:w="1464"/>
        <w:gridCol w:w="1464"/>
      </w:tblGrid>
      <w:tr>
        <w:tc>
          <w:tcPr>
            <w:tcW w:type="dxa" w:w="1464"/>
          </w:tcPr>
          <w:p>
            <w:r>
              <w:t>变量</w:t>
            </w:r>
          </w:p>
        </w:tc>
        <w:tc>
          <w:tcPr>
            <w:tcW w:type="dxa" w:w="1464"/>
          </w:tcPr>
          <w:p>
            <w:r>
              <w:t>均值</w:t>
            </w:r>
          </w:p>
        </w:tc>
        <w:tc>
          <w:tcPr>
            <w:tcW w:type="dxa" w:w="1464"/>
          </w:tcPr>
          <w:p>
            <w:r>
              <w:t>标准差</w:t>
            </w:r>
          </w:p>
        </w:tc>
        <w:tc>
          <w:tcPr>
            <w:tcW w:type="dxa" w:w="1464"/>
          </w:tcPr>
          <w:p>
            <w:r>
              <w:t>最小值</w:t>
            </w:r>
          </w:p>
        </w:tc>
        <w:tc>
          <w:tcPr>
            <w:tcW w:type="dxa" w:w="1464"/>
          </w:tcPr>
          <w:p>
            <w:r>
              <w:t>最大值</w:t>
            </w:r>
          </w:p>
        </w:tc>
        <w:tc>
          <w:tcPr>
            <w:tcW w:type="dxa" w:w="1464"/>
          </w:tcPr>
          <w:p>
            <w:r>
              <w:t>中位数</w:t>
            </w:r>
          </w:p>
        </w:tc>
      </w:tr>
      <w:tr>
        <w:tc>
          <w:tcPr>
            <w:tcW w:type="dxa" w:w="1464"/>
          </w:tcPr>
          <w:p>
            <w:r>
              <w:t>GP（政府政策）</w:t>
            </w:r>
          </w:p>
        </w:tc>
        <w:tc>
          <w:tcPr>
            <w:tcW w:type="dxa" w:w="1464"/>
          </w:tcPr>
          <w:p>
            <w:r>
              <w:t>3.000</w:t>
            </w:r>
          </w:p>
        </w:tc>
        <w:tc>
          <w:tcPr>
            <w:tcW w:type="dxa" w:w="1464"/>
          </w:tcPr>
          <w:p>
            <w:r>
              <w:t>0.943</w:t>
            </w:r>
          </w:p>
        </w:tc>
        <w:tc>
          <w:tcPr>
            <w:tcW w:type="dxa" w:w="1464"/>
          </w:tcPr>
          <w:p>
            <w:r>
              <w:t>1.000</w:t>
            </w:r>
          </w:p>
        </w:tc>
        <w:tc>
          <w:tcPr>
            <w:tcW w:type="dxa" w:w="1464"/>
          </w:tcPr>
          <w:p>
            <w:r>
              <w:t>5.000</w:t>
            </w:r>
          </w:p>
        </w:tc>
        <w:tc>
          <w:tcPr>
            <w:tcW w:type="dxa" w:w="1464"/>
          </w:tcPr>
          <w:p>
            <w:r>
              <w:t>3.000</w:t>
            </w:r>
          </w:p>
        </w:tc>
      </w:tr>
      <w:tr>
        <w:tc>
          <w:tcPr>
            <w:tcW w:type="dxa" w:w="1464"/>
          </w:tcPr>
          <w:p>
            <w:r>
              <w:t>TS（人才支撑）</w:t>
            </w:r>
          </w:p>
        </w:tc>
        <w:tc>
          <w:tcPr>
            <w:tcW w:type="dxa" w:w="1464"/>
          </w:tcPr>
          <w:p>
            <w:r>
              <w:t>2.573</w:t>
            </w:r>
          </w:p>
        </w:tc>
        <w:tc>
          <w:tcPr>
            <w:tcW w:type="dxa" w:w="1464"/>
          </w:tcPr>
          <w:p>
            <w:r>
              <w:t>0.909</w:t>
            </w:r>
          </w:p>
        </w:tc>
        <w:tc>
          <w:tcPr>
            <w:tcW w:type="dxa" w:w="1464"/>
          </w:tcPr>
          <w:p>
            <w:r>
              <w:t>1.000</w:t>
            </w:r>
          </w:p>
        </w:tc>
        <w:tc>
          <w:tcPr>
            <w:tcW w:type="dxa" w:w="1464"/>
          </w:tcPr>
          <w:p>
            <w:r>
              <w:t>5.000</w:t>
            </w:r>
          </w:p>
        </w:tc>
        <w:tc>
          <w:tcPr>
            <w:tcW w:type="dxa" w:w="1464"/>
          </w:tcPr>
          <w:p>
            <w:r>
              <w:t>2.667</w:t>
            </w:r>
          </w:p>
        </w:tc>
      </w:tr>
      <w:tr>
        <w:tc>
          <w:tcPr>
            <w:tcW w:type="dxa" w:w="1464"/>
          </w:tcPr>
          <w:p>
            <w:r>
              <w:t>IF（基础设施）</w:t>
            </w:r>
          </w:p>
        </w:tc>
        <w:tc>
          <w:tcPr>
            <w:tcW w:type="dxa" w:w="1464"/>
          </w:tcPr>
          <w:p>
            <w:r>
              <w:t>3.321</w:t>
            </w:r>
          </w:p>
        </w:tc>
        <w:tc>
          <w:tcPr>
            <w:tcW w:type="dxa" w:w="1464"/>
          </w:tcPr>
          <w:p>
            <w:r>
              <w:t>0.949</w:t>
            </w:r>
          </w:p>
        </w:tc>
        <w:tc>
          <w:tcPr>
            <w:tcW w:type="dxa" w:w="1464"/>
          </w:tcPr>
          <w:p>
            <w:r>
              <w:t>1.000</w:t>
            </w:r>
          </w:p>
        </w:tc>
        <w:tc>
          <w:tcPr>
            <w:tcW w:type="dxa" w:w="1464"/>
          </w:tcPr>
          <w:p>
            <w:r>
              <w:t>5.000</w:t>
            </w:r>
          </w:p>
        </w:tc>
        <w:tc>
          <w:tcPr>
            <w:tcW w:type="dxa" w:w="1464"/>
          </w:tcPr>
          <w:p>
            <w:r>
              <w:t>3.333</w:t>
            </w:r>
          </w:p>
        </w:tc>
      </w:tr>
      <w:tr>
        <w:tc>
          <w:tcPr>
            <w:tcW w:type="dxa" w:w="1464"/>
          </w:tcPr>
          <w:p>
            <w:r>
              <w:t>TI（技术创新）</w:t>
            </w:r>
          </w:p>
        </w:tc>
        <w:tc>
          <w:tcPr>
            <w:tcW w:type="dxa" w:w="1464"/>
          </w:tcPr>
          <w:p>
            <w:r>
              <w:t>2.941</w:t>
            </w:r>
          </w:p>
        </w:tc>
        <w:tc>
          <w:tcPr>
            <w:tcW w:type="dxa" w:w="1464"/>
          </w:tcPr>
          <w:p>
            <w:r>
              <w:t>0.938</w:t>
            </w:r>
          </w:p>
        </w:tc>
        <w:tc>
          <w:tcPr>
            <w:tcW w:type="dxa" w:w="1464"/>
          </w:tcPr>
          <w:p>
            <w:r>
              <w:t>1.000</w:t>
            </w:r>
          </w:p>
        </w:tc>
        <w:tc>
          <w:tcPr>
            <w:tcW w:type="dxa" w:w="1464"/>
          </w:tcPr>
          <w:p>
            <w:r>
              <w:t>5.000</w:t>
            </w:r>
          </w:p>
        </w:tc>
        <w:tc>
          <w:tcPr>
            <w:tcW w:type="dxa" w:w="1464"/>
          </w:tcPr>
          <w:p>
            <w:r>
              <w:t>3.000</w:t>
            </w:r>
          </w:p>
        </w:tc>
      </w:tr>
      <w:tr>
        <w:tc>
          <w:tcPr>
            <w:tcW w:type="dxa" w:w="1464"/>
          </w:tcPr>
          <w:p>
            <w:r>
              <w:t>DS（数字技能）</w:t>
            </w:r>
          </w:p>
        </w:tc>
        <w:tc>
          <w:tcPr>
            <w:tcW w:type="dxa" w:w="1464"/>
          </w:tcPr>
          <w:p>
            <w:r>
              <w:t>3.178</w:t>
            </w:r>
          </w:p>
        </w:tc>
        <w:tc>
          <w:tcPr>
            <w:tcW w:type="dxa" w:w="1464"/>
          </w:tcPr>
          <w:p>
            <w:r>
              <w:t>0.930</w:t>
            </w:r>
          </w:p>
        </w:tc>
        <w:tc>
          <w:tcPr>
            <w:tcW w:type="dxa" w:w="1464"/>
          </w:tcPr>
          <w:p>
            <w:r>
              <w:t>1.000</w:t>
            </w:r>
          </w:p>
        </w:tc>
        <w:tc>
          <w:tcPr>
            <w:tcW w:type="dxa" w:w="1464"/>
          </w:tcPr>
          <w:p>
            <w:r>
              <w:t>5.000</w:t>
            </w:r>
          </w:p>
        </w:tc>
        <w:tc>
          <w:tcPr>
            <w:tcW w:type="dxa" w:w="1464"/>
          </w:tcPr>
          <w:p>
            <w:r>
              <w:t>3.000</w:t>
            </w:r>
          </w:p>
        </w:tc>
      </w:tr>
      <w:tr>
        <w:tc>
          <w:tcPr>
            <w:tcW w:type="dxa" w:w="1464"/>
          </w:tcPr>
          <w:p>
            <w:r>
              <w:t>EN（资源禀赋）</w:t>
            </w:r>
          </w:p>
        </w:tc>
        <w:tc>
          <w:tcPr>
            <w:tcW w:type="dxa" w:w="1464"/>
          </w:tcPr>
          <w:p>
            <w:r>
              <w:t>3.636</w:t>
            </w:r>
          </w:p>
        </w:tc>
        <w:tc>
          <w:tcPr>
            <w:tcW w:type="dxa" w:w="1464"/>
          </w:tcPr>
          <w:p>
            <w:r>
              <w:t>0.908</w:t>
            </w:r>
          </w:p>
        </w:tc>
        <w:tc>
          <w:tcPr>
            <w:tcW w:type="dxa" w:w="1464"/>
          </w:tcPr>
          <w:p>
            <w:r>
              <w:t>1.000</w:t>
            </w:r>
          </w:p>
        </w:tc>
        <w:tc>
          <w:tcPr>
            <w:tcW w:type="dxa" w:w="1464"/>
          </w:tcPr>
          <w:p>
            <w:r>
              <w:t>5.000</w:t>
            </w:r>
          </w:p>
        </w:tc>
        <w:tc>
          <w:tcPr>
            <w:tcW w:type="dxa" w:w="1464"/>
          </w:tcPr>
          <w:p>
            <w:r>
              <w:t>3.667</w:t>
            </w:r>
          </w:p>
        </w:tc>
      </w:tr>
      <w:tr>
        <w:tc>
          <w:tcPr>
            <w:tcW w:type="dxa" w:w="1464"/>
          </w:tcPr>
          <w:p>
            <w:r>
              <w:t>CDL（发展水平）</w:t>
            </w:r>
          </w:p>
        </w:tc>
        <w:tc>
          <w:tcPr>
            <w:tcW w:type="dxa" w:w="1464"/>
          </w:tcPr>
          <w:p>
            <w:r>
              <w:t>3.240</w:t>
            </w:r>
          </w:p>
        </w:tc>
        <w:tc>
          <w:tcPr>
            <w:tcW w:type="dxa" w:w="1464"/>
          </w:tcPr>
          <w:p>
            <w:r>
              <w:t>0.941</w:t>
            </w:r>
          </w:p>
        </w:tc>
        <w:tc>
          <w:tcPr>
            <w:tcW w:type="dxa" w:w="1464"/>
          </w:tcPr>
          <w:p>
            <w:r>
              <w:t>1.000</w:t>
            </w:r>
          </w:p>
        </w:tc>
        <w:tc>
          <w:tcPr>
            <w:tcW w:type="dxa" w:w="1464"/>
          </w:tcPr>
          <w:p>
            <w:r>
              <w:t>5.000</w:t>
            </w:r>
          </w:p>
        </w:tc>
        <w:tc>
          <w:tcPr>
            <w:tcW w:type="dxa" w:w="1464"/>
          </w:tcPr>
          <w:p>
            <w:r>
              <w:t>3.333</w:t>
            </w:r>
          </w:p>
        </w:tc>
      </w:tr>
    </w:tbl>
    <w:p>
      <w:pPr>
        <w:pStyle w:val="4"/>
      </w:pPr>
      <w:r>
        <w:t>4.1.2 共同方法偏差检验</w:t>
      </w:r>
    </w:p>
    <w:p>
      <w:r>
        <w:t>采用Harman单因子检验法对共同方法偏差进行检验。将全部21个测量题项纳入EFA，不旋转情况下提取因子，结果显示第一个未旋转因子解释方差为30.6%，低于40%的临界阈值（Podsakoff et al., 2003），表明本研究共同方法偏差问题在可接受范围内，不影响研究结论的可靠性。</w:t>
      </w:r>
    </w:p>
    <w:p>
      <w:pPr>
        <w:pStyle w:val="3"/>
      </w:pPr>
      <w:r>
        <w:t>4.2 信度与效度检验</w:t>
      </w:r>
    </w:p>
    <w:p>
      <w:pPr>
        <w:pStyle w:val="4"/>
      </w:pPr>
      <w:r>
        <w:t>4.2.1 信度分析</w:t>
      </w:r>
    </w:p>
    <w:p>
      <w:r>
        <w:t>以Cronbach α&gt;0.7为可接受信度标准（Nunnally, 1978），各维度量表信度检验结果如表4-2所示：七个变量α系数均在0.750至0.784之间，均满足信度要求，量表内部一致性良好。</w:t>
      </w:r>
    </w:p>
    <w:p>
      <w:pPr>
        <w:pStyle w:val="4"/>
      </w:pPr>
      <w:r>
        <w:t>4.2.2 收敛效度</w:t>
      </w:r>
    </w:p>
    <w:p>
      <w:r>
        <w:t>采用AMOS 24.0进行验证性因子分析（CFA），以FL&gt;0.5、AVE&gt;0.5、CR&gt;0.7作为收敛效度标准（Hair et al., 2010）。检验结果如表4-2：所有题项FL在0.780至0.864之间，各维度AVE在0.667至0.698之间，CR在0.857至0.874之间，均满足标准。7因子EFA累积方差解释率为68.8%，量表具有良好的收敛效度。</w:t>
      </w:r>
    </w:p>
    <w:p>
      <w:r>
        <w:t>表4-2  信度与效度检验结果</w:t>
      </w:r>
    </w:p>
    <w:tbl>
      <w:tblPr>
        <w:tblStyle w:val="34"/>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r>
              <w:t>维度</w:t>
            </w:r>
          </w:p>
        </w:tc>
        <w:tc>
          <w:tcPr>
            <w:tcW w:type="dxa" w:w="1255"/>
          </w:tcPr>
          <w:p>
            <w:r>
              <w:t>题项</w:t>
            </w:r>
          </w:p>
        </w:tc>
        <w:tc>
          <w:tcPr>
            <w:tcW w:type="dxa" w:w="1255"/>
          </w:tcPr>
          <w:p>
            <w:r>
              <w:t>因子载荷(FL)</w:t>
            </w:r>
          </w:p>
        </w:tc>
        <w:tc>
          <w:tcPr>
            <w:tcW w:type="dxa" w:w="1255"/>
          </w:tcPr>
          <w:p>
            <w:r>
              <w:t>题项信度(FL²)</w:t>
            </w:r>
          </w:p>
        </w:tc>
        <w:tc>
          <w:tcPr>
            <w:tcW w:type="dxa" w:w="1255"/>
          </w:tcPr>
          <w:p>
            <w:r>
              <w:t>Cronbach α</w:t>
            </w:r>
          </w:p>
        </w:tc>
        <w:tc>
          <w:tcPr>
            <w:tcW w:type="dxa" w:w="1255"/>
          </w:tcPr>
          <w:p>
            <w:r>
              <w:t>AVE</w:t>
            </w:r>
          </w:p>
        </w:tc>
        <w:tc>
          <w:tcPr>
            <w:tcW w:type="dxa" w:w="1255"/>
          </w:tcPr>
          <w:p>
            <w:r>
              <w:t>CR</w:t>
            </w:r>
          </w:p>
        </w:tc>
      </w:tr>
      <w:tr>
        <w:tc>
          <w:tcPr>
            <w:tcW w:type="dxa" w:w="1255"/>
          </w:tcPr>
          <w:p>
            <w:r>
              <w:t>政府政策(GP)</w:t>
            </w:r>
          </w:p>
        </w:tc>
        <w:tc>
          <w:tcPr>
            <w:tcW w:type="dxa" w:w="1255"/>
          </w:tcPr>
          <w:p>
            <w:r>
              <w:t>GP1</w:t>
            </w:r>
          </w:p>
        </w:tc>
        <w:tc>
          <w:tcPr>
            <w:tcW w:type="dxa" w:w="1255"/>
          </w:tcPr>
          <w:p>
            <w:r>
              <w:t>0.823</w:t>
            </w:r>
          </w:p>
        </w:tc>
        <w:tc>
          <w:tcPr>
            <w:tcW w:type="dxa" w:w="1255"/>
          </w:tcPr>
          <w:p>
            <w:r>
              <w:t>0.677</w:t>
            </w:r>
          </w:p>
        </w:tc>
        <w:tc>
          <w:tcPr>
            <w:tcW w:type="dxa" w:w="1255"/>
          </w:tcPr>
          <w:p>
            <w:r>
              <w:t>0.756</w:t>
            </w:r>
          </w:p>
        </w:tc>
        <w:tc>
          <w:tcPr>
            <w:tcW w:type="dxa" w:w="1255"/>
          </w:tcPr>
          <w:p>
            <w:r>
              <w:t>0.672</w:t>
            </w:r>
          </w:p>
        </w:tc>
        <w:tc>
          <w:tcPr>
            <w:tcW w:type="dxa" w:w="1255"/>
          </w:tcPr>
          <w:p>
            <w:r>
              <w:t>0.860</w:t>
            </w:r>
          </w:p>
        </w:tc>
      </w:tr>
      <w:tr>
        <w:tc>
          <w:tcPr>
            <w:tcW w:type="dxa" w:w="1255"/>
          </w:tcPr>
          <w:p>
            <w:r/>
          </w:p>
        </w:tc>
        <w:tc>
          <w:tcPr>
            <w:tcW w:type="dxa" w:w="1255"/>
          </w:tcPr>
          <w:p>
            <w:r>
              <w:t>GP2</w:t>
            </w:r>
          </w:p>
        </w:tc>
        <w:tc>
          <w:tcPr>
            <w:tcW w:type="dxa" w:w="1255"/>
          </w:tcPr>
          <w:p>
            <w:r>
              <w:t>0.819</w:t>
            </w:r>
          </w:p>
        </w:tc>
        <w:tc>
          <w:tcPr>
            <w:tcW w:type="dxa" w:w="1255"/>
          </w:tcPr>
          <w:p>
            <w:r>
              <w:t>0.671</w:t>
            </w:r>
          </w:p>
        </w:tc>
        <w:tc>
          <w:tcPr>
            <w:tcW w:type="dxa" w:w="1255"/>
          </w:tcPr>
          <w:p>
            <w:r/>
          </w:p>
        </w:tc>
        <w:tc>
          <w:tcPr>
            <w:tcW w:type="dxa" w:w="1255"/>
          </w:tcPr>
          <w:p>
            <w:r/>
          </w:p>
        </w:tc>
        <w:tc>
          <w:tcPr>
            <w:tcW w:type="dxa" w:w="1255"/>
          </w:tcPr>
          <w:p>
            <w:r/>
          </w:p>
        </w:tc>
      </w:tr>
      <w:tr>
        <w:tc>
          <w:tcPr>
            <w:tcW w:type="dxa" w:w="1255"/>
          </w:tcPr>
          <w:p>
            <w:r/>
          </w:p>
        </w:tc>
        <w:tc>
          <w:tcPr>
            <w:tcW w:type="dxa" w:w="1255"/>
          </w:tcPr>
          <w:p>
            <w:r>
              <w:t>GP3</w:t>
            </w:r>
          </w:p>
        </w:tc>
        <w:tc>
          <w:tcPr>
            <w:tcW w:type="dxa" w:w="1255"/>
          </w:tcPr>
          <w:p>
            <w:r>
              <w:t>0.817</w:t>
            </w:r>
          </w:p>
        </w:tc>
        <w:tc>
          <w:tcPr>
            <w:tcW w:type="dxa" w:w="1255"/>
          </w:tcPr>
          <w:p>
            <w:r>
              <w:t>0.667</w:t>
            </w:r>
          </w:p>
        </w:tc>
        <w:tc>
          <w:tcPr>
            <w:tcW w:type="dxa" w:w="1255"/>
          </w:tcPr>
          <w:p>
            <w:r/>
          </w:p>
        </w:tc>
        <w:tc>
          <w:tcPr>
            <w:tcW w:type="dxa" w:w="1255"/>
          </w:tcPr>
          <w:p>
            <w:r/>
          </w:p>
        </w:tc>
        <w:tc>
          <w:tcPr>
            <w:tcW w:type="dxa" w:w="1255"/>
          </w:tcPr>
          <w:p>
            <w:r/>
          </w:p>
        </w:tc>
      </w:tr>
      <w:tr>
        <w:tc>
          <w:tcPr>
            <w:tcW w:type="dxa" w:w="1255"/>
          </w:tcPr>
          <w:p>
            <w:r>
              <w:t>人才支撑(TS)</w:t>
            </w:r>
          </w:p>
        </w:tc>
        <w:tc>
          <w:tcPr>
            <w:tcW w:type="dxa" w:w="1255"/>
          </w:tcPr>
          <w:p>
            <w:r>
              <w:t>TS1</w:t>
            </w:r>
          </w:p>
        </w:tc>
        <w:tc>
          <w:tcPr>
            <w:tcW w:type="dxa" w:w="1255"/>
          </w:tcPr>
          <w:p>
            <w:r>
              <w:t>0.830</w:t>
            </w:r>
          </w:p>
        </w:tc>
        <w:tc>
          <w:tcPr>
            <w:tcW w:type="dxa" w:w="1255"/>
          </w:tcPr>
          <w:p>
            <w:r>
              <w:t>0.689</w:t>
            </w:r>
          </w:p>
        </w:tc>
        <w:tc>
          <w:tcPr>
            <w:tcW w:type="dxa" w:w="1255"/>
          </w:tcPr>
          <w:p>
            <w:r>
              <w:t>0.755</w:t>
            </w:r>
          </w:p>
        </w:tc>
        <w:tc>
          <w:tcPr>
            <w:tcW w:type="dxa" w:w="1255"/>
          </w:tcPr>
          <w:p>
            <w:r>
              <w:t>0.671</w:t>
            </w:r>
          </w:p>
        </w:tc>
        <w:tc>
          <w:tcPr>
            <w:tcW w:type="dxa" w:w="1255"/>
          </w:tcPr>
          <w:p>
            <w:r>
              <w:t>0.859</w:t>
            </w:r>
          </w:p>
        </w:tc>
      </w:tr>
      <w:tr>
        <w:tc>
          <w:tcPr>
            <w:tcW w:type="dxa" w:w="1255"/>
          </w:tcPr>
          <w:p>
            <w:r/>
          </w:p>
        </w:tc>
        <w:tc>
          <w:tcPr>
            <w:tcW w:type="dxa" w:w="1255"/>
          </w:tcPr>
          <w:p>
            <w:r>
              <w:t>TS2</w:t>
            </w:r>
          </w:p>
        </w:tc>
        <w:tc>
          <w:tcPr>
            <w:tcW w:type="dxa" w:w="1255"/>
          </w:tcPr>
          <w:p>
            <w:r>
              <w:t>0.814</w:t>
            </w:r>
          </w:p>
        </w:tc>
        <w:tc>
          <w:tcPr>
            <w:tcW w:type="dxa" w:w="1255"/>
          </w:tcPr>
          <w:p>
            <w:r>
              <w:t>0.663</w:t>
            </w:r>
          </w:p>
        </w:tc>
        <w:tc>
          <w:tcPr>
            <w:tcW w:type="dxa" w:w="1255"/>
          </w:tcPr>
          <w:p>
            <w:r/>
          </w:p>
        </w:tc>
        <w:tc>
          <w:tcPr>
            <w:tcW w:type="dxa" w:w="1255"/>
          </w:tcPr>
          <w:p>
            <w:r/>
          </w:p>
        </w:tc>
        <w:tc>
          <w:tcPr>
            <w:tcW w:type="dxa" w:w="1255"/>
          </w:tcPr>
          <w:p>
            <w:r/>
          </w:p>
        </w:tc>
      </w:tr>
      <w:tr>
        <w:tc>
          <w:tcPr>
            <w:tcW w:type="dxa" w:w="1255"/>
          </w:tcPr>
          <w:p>
            <w:r/>
          </w:p>
        </w:tc>
        <w:tc>
          <w:tcPr>
            <w:tcW w:type="dxa" w:w="1255"/>
          </w:tcPr>
          <w:p>
            <w:r>
              <w:t>TS3</w:t>
            </w:r>
          </w:p>
        </w:tc>
        <w:tc>
          <w:tcPr>
            <w:tcW w:type="dxa" w:w="1255"/>
          </w:tcPr>
          <w:p>
            <w:r>
              <w:t>0.813</w:t>
            </w:r>
          </w:p>
        </w:tc>
        <w:tc>
          <w:tcPr>
            <w:tcW w:type="dxa" w:w="1255"/>
          </w:tcPr>
          <w:p>
            <w:r>
              <w:t>0.661</w:t>
            </w:r>
          </w:p>
        </w:tc>
        <w:tc>
          <w:tcPr>
            <w:tcW w:type="dxa" w:w="1255"/>
          </w:tcPr>
          <w:p>
            <w:r/>
          </w:p>
        </w:tc>
        <w:tc>
          <w:tcPr>
            <w:tcW w:type="dxa" w:w="1255"/>
          </w:tcPr>
          <w:p>
            <w:r/>
          </w:p>
        </w:tc>
        <w:tc>
          <w:tcPr>
            <w:tcW w:type="dxa" w:w="1255"/>
          </w:tcPr>
          <w:p>
            <w:r/>
          </w:p>
        </w:tc>
      </w:tr>
      <w:tr>
        <w:tc>
          <w:tcPr>
            <w:tcW w:type="dxa" w:w="1255"/>
          </w:tcPr>
          <w:p>
            <w:r>
              <w:t>基础设施(IF)</w:t>
            </w:r>
          </w:p>
        </w:tc>
        <w:tc>
          <w:tcPr>
            <w:tcW w:type="dxa" w:w="1255"/>
          </w:tcPr>
          <w:p>
            <w:r>
              <w:t>IF1</w:t>
            </w:r>
          </w:p>
        </w:tc>
        <w:tc>
          <w:tcPr>
            <w:tcW w:type="dxa" w:w="1255"/>
          </w:tcPr>
          <w:p>
            <w:r>
              <w:t>0.853</w:t>
            </w:r>
          </w:p>
        </w:tc>
        <w:tc>
          <w:tcPr>
            <w:tcW w:type="dxa" w:w="1255"/>
          </w:tcPr>
          <w:p>
            <w:r>
              <w:t>0.728</w:t>
            </w:r>
          </w:p>
        </w:tc>
        <w:tc>
          <w:tcPr>
            <w:tcW w:type="dxa" w:w="1255"/>
          </w:tcPr>
          <w:p>
            <w:r>
              <w:t>0.774</w:t>
            </w:r>
          </w:p>
        </w:tc>
        <w:tc>
          <w:tcPr>
            <w:tcW w:type="dxa" w:w="1255"/>
          </w:tcPr>
          <w:p>
            <w:r>
              <w:t>0.690</w:t>
            </w:r>
          </w:p>
        </w:tc>
        <w:tc>
          <w:tcPr>
            <w:tcW w:type="dxa" w:w="1255"/>
          </w:tcPr>
          <w:p>
            <w:r>
              <w:t>0.870</w:t>
            </w:r>
          </w:p>
        </w:tc>
      </w:tr>
      <w:tr>
        <w:tc>
          <w:tcPr>
            <w:tcW w:type="dxa" w:w="1255"/>
          </w:tcPr>
          <w:p>
            <w:r/>
          </w:p>
        </w:tc>
        <w:tc>
          <w:tcPr>
            <w:tcW w:type="dxa" w:w="1255"/>
          </w:tcPr>
          <w:p>
            <w:r>
              <w:t>IF2</w:t>
            </w:r>
          </w:p>
        </w:tc>
        <w:tc>
          <w:tcPr>
            <w:tcW w:type="dxa" w:w="1255"/>
          </w:tcPr>
          <w:p>
            <w:r>
              <w:t>0.827</w:t>
            </w:r>
          </w:p>
        </w:tc>
        <w:tc>
          <w:tcPr>
            <w:tcW w:type="dxa" w:w="1255"/>
          </w:tcPr>
          <w:p>
            <w:r>
              <w:t>0.684</w:t>
            </w:r>
          </w:p>
        </w:tc>
        <w:tc>
          <w:tcPr>
            <w:tcW w:type="dxa" w:w="1255"/>
          </w:tcPr>
          <w:p>
            <w:r/>
          </w:p>
        </w:tc>
        <w:tc>
          <w:tcPr>
            <w:tcW w:type="dxa" w:w="1255"/>
          </w:tcPr>
          <w:p>
            <w:r/>
          </w:p>
        </w:tc>
        <w:tc>
          <w:tcPr>
            <w:tcW w:type="dxa" w:w="1255"/>
          </w:tcPr>
          <w:p>
            <w:r/>
          </w:p>
        </w:tc>
      </w:tr>
      <w:tr>
        <w:tc>
          <w:tcPr>
            <w:tcW w:type="dxa" w:w="1255"/>
          </w:tcPr>
          <w:p>
            <w:r/>
          </w:p>
        </w:tc>
        <w:tc>
          <w:tcPr>
            <w:tcW w:type="dxa" w:w="1255"/>
          </w:tcPr>
          <w:p>
            <w:r>
              <w:t>IF3</w:t>
            </w:r>
          </w:p>
        </w:tc>
        <w:tc>
          <w:tcPr>
            <w:tcW w:type="dxa" w:w="1255"/>
          </w:tcPr>
          <w:p>
            <w:r>
              <w:t>0.811</w:t>
            </w:r>
          </w:p>
        </w:tc>
        <w:tc>
          <w:tcPr>
            <w:tcW w:type="dxa" w:w="1255"/>
          </w:tcPr>
          <w:p>
            <w:r>
              <w:t>0.658</w:t>
            </w:r>
          </w:p>
        </w:tc>
        <w:tc>
          <w:tcPr>
            <w:tcW w:type="dxa" w:w="1255"/>
          </w:tcPr>
          <w:p>
            <w:r/>
          </w:p>
        </w:tc>
        <w:tc>
          <w:tcPr>
            <w:tcW w:type="dxa" w:w="1255"/>
          </w:tcPr>
          <w:p>
            <w:r/>
          </w:p>
        </w:tc>
        <w:tc>
          <w:tcPr>
            <w:tcW w:type="dxa" w:w="1255"/>
          </w:tcPr>
          <w:p>
            <w:r/>
          </w:p>
        </w:tc>
      </w:tr>
      <w:tr>
        <w:tc>
          <w:tcPr>
            <w:tcW w:type="dxa" w:w="1255"/>
          </w:tcPr>
          <w:p>
            <w:r>
              <w:t>技术创新(TI)</w:t>
            </w:r>
          </w:p>
        </w:tc>
        <w:tc>
          <w:tcPr>
            <w:tcW w:type="dxa" w:w="1255"/>
          </w:tcPr>
          <w:p>
            <w:r>
              <w:t>TI1</w:t>
            </w:r>
          </w:p>
        </w:tc>
        <w:tc>
          <w:tcPr>
            <w:tcW w:type="dxa" w:w="1255"/>
          </w:tcPr>
          <w:p>
            <w:r>
              <w:t>0.833</w:t>
            </w:r>
          </w:p>
        </w:tc>
        <w:tc>
          <w:tcPr>
            <w:tcW w:type="dxa" w:w="1255"/>
          </w:tcPr>
          <w:p>
            <w:r>
              <w:t>0.694</w:t>
            </w:r>
          </w:p>
        </w:tc>
        <w:tc>
          <w:tcPr>
            <w:tcW w:type="dxa" w:w="1255"/>
          </w:tcPr>
          <w:p>
            <w:r>
              <w:t>0.750</w:t>
            </w:r>
          </w:p>
        </w:tc>
        <w:tc>
          <w:tcPr>
            <w:tcW w:type="dxa" w:w="1255"/>
          </w:tcPr>
          <w:p>
            <w:r>
              <w:t>0.667</w:t>
            </w:r>
          </w:p>
        </w:tc>
        <w:tc>
          <w:tcPr>
            <w:tcW w:type="dxa" w:w="1255"/>
          </w:tcPr>
          <w:p>
            <w:r>
              <w:t>0.857</w:t>
            </w:r>
          </w:p>
        </w:tc>
      </w:tr>
      <w:tr>
        <w:tc>
          <w:tcPr>
            <w:tcW w:type="dxa" w:w="1255"/>
          </w:tcPr>
          <w:p>
            <w:r/>
          </w:p>
        </w:tc>
        <w:tc>
          <w:tcPr>
            <w:tcW w:type="dxa" w:w="1255"/>
          </w:tcPr>
          <w:p>
            <w:r>
              <w:t>TI2</w:t>
            </w:r>
          </w:p>
        </w:tc>
        <w:tc>
          <w:tcPr>
            <w:tcW w:type="dxa" w:w="1255"/>
          </w:tcPr>
          <w:p>
            <w:r>
              <w:t>0.835</w:t>
            </w:r>
          </w:p>
        </w:tc>
        <w:tc>
          <w:tcPr>
            <w:tcW w:type="dxa" w:w="1255"/>
          </w:tcPr>
          <w:p>
            <w:r>
              <w:t>0.697</w:t>
            </w:r>
          </w:p>
        </w:tc>
        <w:tc>
          <w:tcPr>
            <w:tcW w:type="dxa" w:w="1255"/>
          </w:tcPr>
          <w:p>
            <w:r/>
          </w:p>
        </w:tc>
        <w:tc>
          <w:tcPr>
            <w:tcW w:type="dxa" w:w="1255"/>
          </w:tcPr>
          <w:p>
            <w:r/>
          </w:p>
        </w:tc>
        <w:tc>
          <w:tcPr>
            <w:tcW w:type="dxa" w:w="1255"/>
          </w:tcPr>
          <w:p>
            <w:r/>
          </w:p>
        </w:tc>
      </w:tr>
      <w:tr>
        <w:tc>
          <w:tcPr>
            <w:tcW w:type="dxa" w:w="1255"/>
          </w:tcPr>
          <w:p>
            <w:r/>
          </w:p>
        </w:tc>
        <w:tc>
          <w:tcPr>
            <w:tcW w:type="dxa" w:w="1255"/>
          </w:tcPr>
          <w:p>
            <w:r>
              <w:t>TI3</w:t>
            </w:r>
          </w:p>
        </w:tc>
        <w:tc>
          <w:tcPr>
            <w:tcW w:type="dxa" w:w="1255"/>
          </w:tcPr>
          <w:p>
            <w:r>
              <w:t>0.780</w:t>
            </w:r>
          </w:p>
        </w:tc>
        <w:tc>
          <w:tcPr>
            <w:tcW w:type="dxa" w:w="1255"/>
          </w:tcPr>
          <w:p>
            <w:r>
              <w:t>0.608</w:t>
            </w:r>
          </w:p>
        </w:tc>
        <w:tc>
          <w:tcPr>
            <w:tcW w:type="dxa" w:w="1255"/>
          </w:tcPr>
          <w:p>
            <w:r/>
          </w:p>
        </w:tc>
        <w:tc>
          <w:tcPr>
            <w:tcW w:type="dxa" w:w="1255"/>
          </w:tcPr>
          <w:p>
            <w:r/>
          </w:p>
        </w:tc>
        <w:tc>
          <w:tcPr>
            <w:tcW w:type="dxa" w:w="1255"/>
          </w:tcPr>
          <w:p>
            <w:r/>
          </w:p>
        </w:tc>
      </w:tr>
      <w:tr>
        <w:tc>
          <w:tcPr>
            <w:tcW w:type="dxa" w:w="1255"/>
          </w:tcPr>
          <w:p>
            <w:r>
              <w:t>数字技能(DS)</w:t>
            </w:r>
          </w:p>
        </w:tc>
        <w:tc>
          <w:tcPr>
            <w:tcW w:type="dxa" w:w="1255"/>
          </w:tcPr>
          <w:p>
            <w:r>
              <w:t>DS1</w:t>
            </w:r>
          </w:p>
        </w:tc>
        <w:tc>
          <w:tcPr>
            <w:tcW w:type="dxa" w:w="1255"/>
          </w:tcPr>
          <w:p>
            <w:r>
              <w:t>0.825</w:t>
            </w:r>
          </w:p>
        </w:tc>
        <w:tc>
          <w:tcPr>
            <w:tcW w:type="dxa" w:w="1255"/>
          </w:tcPr>
          <w:p>
            <w:r>
              <w:t>0.681</w:t>
            </w:r>
          </w:p>
        </w:tc>
        <w:tc>
          <w:tcPr>
            <w:tcW w:type="dxa" w:w="1255"/>
          </w:tcPr>
          <w:p>
            <w:r>
              <w:t>0.771</w:t>
            </w:r>
          </w:p>
        </w:tc>
        <w:tc>
          <w:tcPr>
            <w:tcW w:type="dxa" w:w="1255"/>
          </w:tcPr>
          <w:p>
            <w:r>
              <w:t>0.686</w:t>
            </w:r>
          </w:p>
        </w:tc>
        <w:tc>
          <w:tcPr>
            <w:tcW w:type="dxa" w:w="1255"/>
          </w:tcPr>
          <w:p>
            <w:r>
              <w:t>0.867</w:t>
            </w:r>
          </w:p>
        </w:tc>
      </w:tr>
      <w:tr>
        <w:tc>
          <w:tcPr>
            <w:tcW w:type="dxa" w:w="1255"/>
          </w:tcPr>
          <w:p>
            <w:r/>
          </w:p>
        </w:tc>
        <w:tc>
          <w:tcPr>
            <w:tcW w:type="dxa" w:w="1255"/>
          </w:tcPr>
          <w:p>
            <w:r>
              <w:t>DS2</w:t>
            </w:r>
          </w:p>
        </w:tc>
        <w:tc>
          <w:tcPr>
            <w:tcW w:type="dxa" w:w="1255"/>
          </w:tcPr>
          <w:p>
            <w:r>
              <w:t>0.823</w:t>
            </w:r>
          </w:p>
        </w:tc>
        <w:tc>
          <w:tcPr>
            <w:tcW w:type="dxa" w:w="1255"/>
          </w:tcPr>
          <w:p>
            <w:r>
              <w:t>0.677</w:t>
            </w:r>
          </w:p>
        </w:tc>
        <w:tc>
          <w:tcPr>
            <w:tcW w:type="dxa" w:w="1255"/>
          </w:tcPr>
          <w:p>
            <w:r/>
          </w:p>
        </w:tc>
        <w:tc>
          <w:tcPr>
            <w:tcW w:type="dxa" w:w="1255"/>
          </w:tcPr>
          <w:p>
            <w:r/>
          </w:p>
        </w:tc>
        <w:tc>
          <w:tcPr>
            <w:tcW w:type="dxa" w:w="1255"/>
          </w:tcPr>
          <w:p>
            <w:r/>
          </w:p>
        </w:tc>
      </w:tr>
      <w:tr>
        <w:tc>
          <w:tcPr>
            <w:tcW w:type="dxa" w:w="1255"/>
          </w:tcPr>
          <w:p>
            <w:r/>
          </w:p>
        </w:tc>
        <w:tc>
          <w:tcPr>
            <w:tcW w:type="dxa" w:w="1255"/>
          </w:tcPr>
          <w:p>
            <w:r>
              <w:t>DS3</w:t>
            </w:r>
          </w:p>
        </w:tc>
        <w:tc>
          <w:tcPr>
            <w:tcW w:type="dxa" w:w="1255"/>
          </w:tcPr>
          <w:p>
            <w:r>
              <w:t>0.836</w:t>
            </w:r>
          </w:p>
        </w:tc>
        <w:tc>
          <w:tcPr>
            <w:tcW w:type="dxa" w:w="1255"/>
          </w:tcPr>
          <w:p>
            <w:r>
              <w:t>0.699</w:t>
            </w:r>
          </w:p>
        </w:tc>
        <w:tc>
          <w:tcPr>
            <w:tcW w:type="dxa" w:w="1255"/>
          </w:tcPr>
          <w:p>
            <w:r/>
          </w:p>
        </w:tc>
        <w:tc>
          <w:tcPr>
            <w:tcW w:type="dxa" w:w="1255"/>
          </w:tcPr>
          <w:p>
            <w:r/>
          </w:p>
        </w:tc>
        <w:tc>
          <w:tcPr>
            <w:tcW w:type="dxa" w:w="1255"/>
          </w:tcPr>
          <w:p>
            <w:r/>
          </w:p>
        </w:tc>
      </w:tr>
      <w:tr>
        <w:tc>
          <w:tcPr>
            <w:tcW w:type="dxa" w:w="1255"/>
          </w:tcPr>
          <w:p>
            <w:r>
              <w:t>资源禀赋(EN)</w:t>
            </w:r>
          </w:p>
        </w:tc>
        <w:tc>
          <w:tcPr>
            <w:tcW w:type="dxa" w:w="1255"/>
          </w:tcPr>
          <w:p>
            <w:r>
              <w:t>EN1</w:t>
            </w:r>
          </w:p>
        </w:tc>
        <w:tc>
          <w:tcPr>
            <w:tcW w:type="dxa" w:w="1255"/>
          </w:tcPr>
          <w:p>
            <w:r>
              <w:t>0.807</w:t>
            </w:r>
          </w:p>
        </w:tc>
        <w:tc>
          <w:tcPr>
            <w:tcW w:type="dxa" w:w="1255"/>
          </w:tcPr>
          <w:p>
            <w:r>
              <w:t>0.651</w:t>
            </w:r>
          </w:p>
        </w:tc>
        <w:tc>
          <w:tcPr>
            <w:tcW w:type="dxa" w:w="1255"/>
          </w:tcPr>
          <w:p>
            <w:r>
              <w:t>0.761</w:t>
            </w:r>
          </w:p>
        </w:tc>
        <w:tc>
          <w:tcPr>
            <w:tcW w:type="dxa" w:w="1255"/>
          </w:tcPr>
          <w:p>
            <w:r>
              <w:t>0.677</w:t>
            </w:r>
          </w:p>
        </w:tc>
        <w:tc>
          <w:tcPr>
            <w:tcW w:type="dxa" w:w="1255"/>
          </w:tcPr>
          <w:p>
            <w:r>
              <w:t>0.863</w:t>
            </w:r>
          </w:p>
        </w:tc>
      </w:tr>
      <w:tr>
        <w:tc>
          <w:tcPr>
            <w:tcW w:type="dxa" w:w="1255"/>
          </w:tcPr>
          <w:p>
            <w:r/>
          </w:p>
        </w:tc>
        <w:tc>
          <w:tcPr>
            <w:tcW w:type="dxa" w:w="1255"/>
          </w:tcPr>
          <w:p>
            <w:r>
              <w:t>EN2</w:t>
            </w:r>
          </w:p>
        </w:tc>
        <w:tc>
          <w:tcPr>
            <w:tcW w:type="dxa" w:w="1255"/>
          </w:tcPr>
          <w:p>
            <w:r>
              <w:t>0.854</w:t>
            </w:r>
          </w:p>
        </w:tc>
        <w:tc>
          <w:tcPr>
            <w:tcW w:type="dxa" w:w="1255"/>
          </w:tcPr>
          <w:p>
            <w:r>
              <w:t>0.729</w:t>
            </w:r>
          </w:p>
        </w:tc>
        <w:tc>
          <w:tcPr>
            <w:tcW w:type="dxa" w:w="1255"/>
          </w:tcPr>
          <w:p>
            <w:r/>
          </w:p>
        </w:tc>
        <w:tc>
          <w:tcPr>
            <w:tcW w:type="dxa" w:w="1255"/>
          </w:tcPr>
          <w:p>
            <w:r/>
          </w:p>
        </w:tc>
        <w:tc>
          <w:tcPr>
            <w:tcW w:type="dxa" w:w="1255"/>
          </w:tcPr>
          <w:p>
            <w:r/>
          </w:p>
        </w:tc>
      </w:tr>
      <w:tr>
        <w:tc>
          <w:tcPr>
            <w:tcW w:type="dxa" w:w="1255"/>
          </w:tcPr>
          <w:p>
            <w:r/>
          </w:p>
        </w:tc>
        <w:tc>
          <w:tcPr>
            <w:tcW w:type="dxa" w:w="1255"/>
          </w:tcPr>
          <w:p>
            <w:r>
              <w:t>EN3</w:t>
            </w:r>
          </w:p>
        </w:tc>
        <w:tc>
          <w:tcPr>
            <w:tcW w:type="dxa" w:w="1255"/>
          </w:tcPr>
          <w:p>
            <w:r>
              <w:t>0.806</w:t>
            </w:r>
          </w:p>
        </w:tc>
        <w:tc>
          <w:tcPr>
            <w:tcW w:type="dxa" w:w="1255"/>
          </w:tcPr>
          <w:p>
            <w:r>
              <w:t>0.650</w:t>
            </w:r>
          </w:p>
        </w:tc>
        <w:tc>
          <w:tcPr>
            <w:tcW w:type="dxa" w:w="1255"/>
          </w:tcPr>
          <w:p>
            <w:r/>
          </w:p>
        </w:tc>
        <w:tc>
          <w:tcPr>
            <w:tcW w:type="dxa" w:w="1255"/>
          </w:tcPr>
          <w:p>
            <w:r/>
          </w:p>
        </w:tc>
        <w:tc>
          <w:tcPr>
            <w:tcW w:type="dxa" w:w="1255"/>
          </w:tcPr>
          <w:p>
            <w:r/>
          </w:p>
        </w:tc>
      </w:tr>
      <w:tr>
        <w:tc>
          <w:tcPr>
            <w:tcW w:type="dxa" w:w="1255"/>
          </w:tcPr>
          <w:p>
            <w:r>
              <w:t>发展水平(CDL)</w:t>
            </w:r>
          </w:p>
        </w:tc>
        <w:tc>
          <w:tcPr>
            <w:tcW w:type="dxa" w:w="1255"/>
          </w:tcPr>
          <w:p>
            <w:r>
              <w:t>CDL1</w:t>
            </w:r>
          </w:p>
        </w:tc>
        <w:tc>
          <w:tcPr>
            <w:tcW w:type="dxa" w:w="1255"/>
          </w:tcPr>
          <w:p>
            <w:r>
              <w:t>0.815</w:t>
            </w:r>
          </w:p>
        </w:tc>
        <w:tc>
          <w:tcPr>
            <w:tcW w:type="dxa" w:w="1255"/>
          </w:tcPr>
          <w:p>
            <w:r>
              <w:t>0.664</w:t>
            </w:r>
          </w:p>
        </w:tc>
        <w:tc>
          <w:tcPr>
            <w:tcW w:type="dxa" w:w="1255"/>
          </w:tcPr>
          <w:p>
            <w:r>
              <w:t>0.772</w:t>
            </w:r>
          </w:p>
        </w:tc>
        <w:tc>
          <w:tcPr>
            <w:tcW w:type="dxa" w:w="1255"/>
          </w:tcPr>
          <w:p>
            <w:r>
              <w:t>0.687</w:t>
            </w:r>
          </w:p>
        </w:tc>
        <w:tc>
          <w:tcPr>
            <w:tcW w:type="dxa" w:w="1255"/>
          </w:tcPr>
          <w:p>
            <w:r>
              <w:t>0.868</w:t>
            </w:r>
          </w:p>
        </w:tc>
      </w:tr>
      <w:tr>
        <w:tc>
          <w:tcPr>
            <w:tcW w:type="dxa" w:w="1255"/>
          </w:tcPr>
          <w:p>
            <w:r/>
          </w:p>
        </w:tc>
        <w:tc>
          <w:tcPr>
            <w:tcW w:type="dxa" w:w="1255"/>
          </w:tcPr>
          <w:p>
            <w:r>
              <w:t>CDL2</w:t>
            </w:r>
          </w:p>
        </w:tc>
        <w:tc>
          <w:tcPr>
            <w:tcW w:type="dxa" w:w="1255"/>
          </w:tcPr>
          <w:p>
            <w:r>
              <w:t>0.859</w:t>
            </w:r>
          </w:p>
        </w:tc>
        <w:tc>
          <w:tcPr>
            <w:tcW w:type="dxa" w:w="1255"/>
          </w:tcPr>
          <w:p>
            <w:r>
              <w:t>0.738</w:t>
            </w:r>
          </w:p>
        </w:tc>
        <w:tc>
          <w:tcPr>
            <w:tcW w:type="dxa" w:w="1255"/>
          </w:tcPr>
          <w:p>
            <w:r/>
          </w:p>
        </w:tc>
        <w:tc>
          <w:tcPr>
            <w:tcW w:type="dxa" w:w="1255"/>
          </w:tcPr>
          <w:p>
            <w:r/>
          </w:p>
        </w:tc>
        <w:tc>
          <w:tcPr>
            <w:tcW w:type="dxa" w:w="1255"/>
          </w:tcPr>
          <w:p>
            <w:r/>
          </w:p>
        </w:tc>
      </w:tr>
      <w:tr>
        <w:tc>
          <w:tcPr>
            <w:tcW w:type="dxa" w:w="1255"/>
          </w:tcPr>
          <w:p>
            <w:r/>
          </w:p>
        </w:tc>
        <w:tc>
          <w:tcPr>
            <w:tcW w:type="dxa" w:w="1255"/>
          </w:tcPr>
          <w:p>
            <w:r>
              <w:t>CDL3</w:t>
            </w:r>
          </w:p>
        </w:tc>
        <w:tc>
          <w:tcPr>
            <w:tcW w:type="dxa" w:w="1255"/>
          </w:tcPr>
          <w:p>
            <w:r>
              <w:t>0.812</w:t>
            </w:r>
          </w:p>
        </w:tc>
        <w:tc>
          <w:tcPr>
            <w:tcW w:type="dxa" w:w="1255"/>
          </w:tcPr>
          <w:p>
            <w:r>
              <w:t>0.660</w:t>
            </w:r>
          </w:p>
        </w:tc>
        <w:tc>
          <w:tcPr>
            <w:tcW w:type="dxa" w:w="1255"/>
          </w:tcPr>
          <w:p>
            <w:r/>
          </w:p>
        </w:tc>
        <w:tc>
          <w:tcPr>
            <w:tcW w:type="dxa" w:w="1255"/>
          </w:tcPr>
          <w:p>
            <w:r/>
          </w:p>
        </w:tc>
        <w:tc>
          <w:tcPr>
            <w:tcW w:type="dxa" w:w="1255"/>
          </w:tcPr>
          <w:p>
            <w:r/>
          </w:p>
        </w:tc>
      </w:tr>
      <w:tr>
        <w:tc>
          <w:tcPr>
            <w:tcW w:type="dxa" w:w="1255"/>
          </w:tcPr>
          <w:p/>
        </w:tc>
        <w:tc>
          <w:tcPr>
            <w:tcW w:type="dxa" w:w="1255"/>
          </w:tcPr>
          <w:p/>
        </w:tc>
        <w:tc>
          <w:tcPr>
            <w:tcW w:type="dxa" w:w="1255"/>
          </w:tcPr>
          <w:p/>
        </w:tc>
        <w:tc>
          <w:tcPr>
            <w:tcW w:type="dxa" w:w="1255"/>
          </w:tcPr>
          <w:p/>
        </w:tc>
        <w:tc>
          <w:tcPr>
            <w:tcW w:type="dxa" w:w="1255"/>
          </w:tcPr>
          <w:p/>
        </w:tc>
        <w:tc>
          <w:tcPr>
            <w:tcW w:type="dxa" w:w="1255"/>
          </w:tcPr>
          <w:p/>
        </w:tc>
        <w:tc>
          <w:tcPr>
            <w:tcW w:type="dxa" w:w="1255"/>
          </w:tcPr>
          <w:p/>
        </w:tc>
      </w:tr>
    </w:tbl>
    <w:p>
      <w:pPr>
        <w:pStyle w:val="4"/>
      </w:pPr>
      <w:r>
        <w:t>4.2.3 区分效度</w:t>
      </w:r>
    </w:p>
    <w:p>
      <w:r>
        <w:t>采用√AVE与相关系数比较法检验区分效度（Fornell &amp; Larcker, 1981）。结果如表4-3（对角线为√AVE，非对角线为两两相关系数）：七个变量√AVE均在0.817至0.836之间，所有相关系数均低于对应√AVE值，差距超过0.28，满足区分效度要求。</w:t>
      </w:r>
    </w:p>
    <w:p>
      <w:r>
        <w:t>表4-3  判别效度检验结果（对角线为√AVE）</w:t>
      </w:r>
    </w:p>
    <w:tbl>
      <w:tblPr>
        <w:tblStyle w:val="34"/>
        <w:tblW w:type="auto" w:w="0"/>
        <w:tblLook w:firstColumn="1" w:firstRow="1" w:lastColumn="0" w:lastRow="0" w:noHBand="0" w:noVBand="1" w:val="04A0"/>
      </w:tblPr>
      <w:tblGrid>
        <w:gridCol w:w="1098"/>
        <w:gridCol w:w="1098"/>
        <w:gridCol w:w="1098"/>
        <w:gridCol w:w="1098"/>
        <w:gridCol w:w="1098"/>
        <w:gridCol w:w="1098"/>
        <w:gridCol w:w="1098"/>
        <w:gridCol w:w="1098"/>
      </w:tblGrid>
      <w:tr>
        <w:tc>
          <w:tcPr>
            <w:tcW w:type="dxa" w:w="1098"/>
          </w:tcPr>
          <w:p>
            <w:r>
              <w:t>变量</w:t>
            </w:r>
          </w:p>
        </w:tc>
        <w:tc>
          <w:tcPr>
            <w:tcW w:type="dxa" w:w="1098"/>
          </w:tcPr>
          <w:p>
            <w:r>
              <w:t>GP</w:t>
            </w:r>
          </w:p>
        </w:tc>
        <w:tc>
          <w:tcPr>
            <w:tcW w:type="dxa" w:w="1098"/>
          </w:tcPr>
          <w:p>
            <w:r>
              <w:t>TS</w:t>
            </w:r>
          </w:p>
        </w:tc>
        <w:tc>
          <w:tcPr>
            <w:tcW w:type="dxa" w:w="1098"/>
          </w:tcPr>
          <w:p>
            <w:r>
              <w:t>IF</w:t>
            </w:r>
          </w:p>
        </w:tc>
        <w:tc>
          <w:tcPr>
            <w:tcW w:type="dxa" w:w="1098"/>
          </w:tcPr>
          <w:p>
            <w:r>
              <w:t>TI</w:t>
            </w:r>
          </w:p>
        </w:tc>
        <w:tc>
          <w:tcPr>
            <w:tcW w:type="dxa" w:w="1098"/>
          </w:tcPr>
          <w:p>
            <w:r>
              <w:t>DS</w:t>
            </w:r>
          </w:p>
        </w:tc>
        <w:tc>
          <w:tcPr>
            <w:tcW w:type="dxa" w:w="1098"/>
          </w:tcPr>
          <w:p>
            <w:r>
              <w:t>EN</w:t>
            </w:r>
          </w:p>
        </w:tc>
        <w:tc>
          <w:tcPr>
            <w:tcW w:type="dxa" w:w="1098"/>
          </w:tcPr>
          <w:p>
            <w:r>
              <w:t>CDL</w:t>
            </w:r>
          </w:p>
        </w:tc>
      </w:tr>
      <w:tr>
        <w:tc>
          <w:tcPr>
            <w:tcW w:type="dxa" w:w="1098"/>
          </w:tcPr>
          <w:p>
            <w:r>
              <w:t>GP</w:t>
            </w:r>
          </w:p>
        </w:tc>
        <w:tc>
          <w:tcPr>
            <w:tcW w:type="dxa" w:w="1098"/>
          </w:tcPr>
          <w:p>
            <w:r>
              <w:t>0.820</w:t>
            </w:r>
          </w:p>
        </w:tc>
        <w:tc>
          <w:tcPr>
            <w:tcW w:type="dxa" w:w="1098"/>
          </w:tcPr>
          <w:p>
            <w:r>
              <w:t>0.396</w:t>
            </w:r>
          </w:p>
        </w:tc>
        <w:tc>
          <w:tcPr>
            <w:tcW w:type="dxa" w:w="1098"/>
          </w:tcPr>
          <w:p>
            <w:r>
              <w:t>0.479</w:t>
            </w:r>
          </w:p>
        </w:tc>
        <w:tc>
          <w:tcPr>
            <w:tcW w:type="dxa" w:w="1098"/>
          </w:tcPr>
          <w:p>
            <w:r>
              <w:t>0.272</w:t>
            </w:r>
          </w:p>
        </w:tc>
        <w:tc>
          <w:tcPr>
            <w:tcW w:type="dxa" w:w="1098"/>
          </w:tcPr>
          <w:p>
            <w:r>
              <w:t>0.170</w:t>
            </w:r>
          </w:p>
        </w:tc>
        <w:tc>
          <w:tcPr>
            <w:tcW w:type="dxa" w:w="1098"/>
          </w:tcPr>
          <w:p>
            <w:r>
              <w:t>0.157</w:t>
            </w:r>
          </w:p>
        </w:tc>
        <w:tc>
          <w:tcPr>
            <w:tcW w:type="dxa" w:w="1098"/>
          </w:tcPr>
          <w:p>
            <w:r>
              <w:t>0.518</w:t>
            </w:r>
          </w:p>
        </w:tc>
      </w:tr>
      <w:tr>
        <w:tc>
          <w:tcPr>
            <w:tcW w:type="dxa" w:w="1098"/>
          </w:tcPr>
          <w:p>
            <w:r>
              <w:t>TS</w:t>
            </w:r>
          </w:p>
        </w:tc>
        <w:tc>
          <w:tcPr>
            <w:tcW w:type="dxa" w:w="1098"/>
          </w:tcPr>
          <w:p>
            <w:r>
              <w:t>0.396</w:t>
            </w:r>
          </w:p>
        </w:tc>
        <w:tc>
          <w:tcPr>
            <w:tcW w:type="dxa" w:w="1098"/>
          </w:tcPr>
          <w:p>
            <w:r>
              <w:t>0.819</w:t>
            </w:r>
          </w:p>
        </w:tc>
        <w:tc>
          <w:tcPr>
            <w:tcW w:type="dxa" w:w="1098"/>
          </w:tcPr>
          <w:p>
            <w:r>
              <w:t>0.474</w:t>
            </w:r>
          </w:p>
        </w:tc>
        <w:tc>
          <w:tcPr>
            <w:tcW w:type="dxa" w:w="1098"/>
          </w:tcPr>
          <w:p>
            <w:r>
              <w:t>0.294</w:t>
            </w:r>
          </w:p>
        </w:tc>
        <w:tc>
          <w:tcPr>
            <w:tcW w:type="dxa" w:w="1098"/>
          </w:tcPr>
          <w:p>
            <w:r>
              <w:t>0.200</w:t>
            </w:r>
          </w:p>
        </w:tc>
        <w:tc>
          <w:tcPr>
            <w:tcW w:type="dxa" w:w="1098"/>
          </w:tcPr>
          <w:p>
            <w:r>
              <w:t>0.170</w:t>
            </w:r>
          </w:p>
        </w:tc>
        <w:tc>
          <w:tcPr>
            <w:tcW w:type="dxa" w:w="1098"/>
          </w:tcPr>
          <w:p>
            <w:r>
              <w:t>0.531</w:t>
            </w:r>
          </w:p>
        </w:tc>
      </w:tr>
      <w:tr>
        <w:tc>
          <w:tcPr>
            <w:tcW w:type="dxa" w:w="1098"/>
          </w:tcPr>
          <w:p>
            <w:r>
              <w:t>IF</w:t>
            </w:r>
          </w:p>
        </w:tc>
        <w:tc>
          <w:tcPr>
            <w:tcW w:type="dxa" w:w="1098"/>
          </w:tcPr>
          <w:p>
            <w:r>
              <w:t>0.479</w:t>
            </w:r>
          </w:p>
        </w:tc>
        <w:tc>
          <w:tcPr>
            <w:tcW w:type="dxa" w:w="1098"/>
          </w:tcPr>
          <w:p>
            <w:r>
              <w:t>0.474</w:t>
            </w:r>
          </w:p>
        </w:tc>
        <w:tc>
          <w:tcPr>
            <w:tcW w:type="dxa" w:w="1098"/>
          </w:tcPr>
          <w:p>
            <w:r>
              <w:t>0.831</w:t>
            </w:r>
          </w:p>
        </w:tc>
        <w:tc>
          <w:tcPr>
            <w:tcW w:type="dxa" w:w="1098"/>
          </w:tcPr>
          <w:p>
            <w:r>
              <w:t>0.254</w:t>
            </w:r>
          </w:p>
        </w:tc>
        <w:tc>
          <w:tcPr>
            <w:tcW w:type="dxa" w:w="1098"/>
          </w:tcPr>
          <w:p>
            <w:r>
              <w:t>0.207</w:t>
            </w:r>
          </w:p>
        </w:tc>
        <w:tc>
          <w:tcPr>
            <w:tcW w:type="dxa" w:w="1098"/>
          </w:tcPr>
          <w:p>
            <w:r>
              <w:t>0.178</w:t>
            </w:r>
          </w:p>
        </w:tc>
        <w:tc>
          <w:tcPr>
            <w:tcW w:type="dxa" w:w="1098"/>
          </w:tcPr>
          <w:p>
            <w:r>
              <w:t>0.450</w:t>
            </w:r>
          </w:p>
        </w:tc>
      </w:tr>
      <w:tr>
        <w:tc>
          <w:tcPr>
            <w:tcW w:type="dxa" w:w="1098"/>
          </w:tcPr>
          <w:p>
            <w:r>
              <w:t>TI</w:t>
            </w:r>
          </w:p>
        </w:tc>
        <w:tc>
          <w:tcPr>
            <w:tcW w:type="dxa" w:w="1098"/>
          </w:tcPr>
          <w:p>
            <w:r>
              <w:t>0.272</w:t>
            </w:r>
          </w:p>
        </w:tc>
        <w:tc>
          <w:tcPr>
            <w:tcW w:type="dxa" w:w="1098"/>
          </w:tcPr>
          <w:p>
            <w:r>
              <w:t>0.294</w:t>
            </w:r>
          </w:p>
        </w:tc>
        <w:tc>
          <w:tcPr>
            <w:tcW w:type="dxa" w:w="1098"/>
          </w:tcPr>
          <w:p>
            <w:r>
              <w:t>0.254</w:t>
            </w:r>
          </w:p>
        </w:tc>
        <w:tc>
          <w:tcPr>
            <w:tcW w:type="dxa" w:w="1098"/>
          </w:tcPr>
          <w:p>
            <w:r>
              <w:t>0.817</w:t>
            </w:r>
          </w:p>
        </w:tc>
        <w:tc>
          <w:tcPr>
            <w:tcW w:type="dxa" w:w="1098"/>
          </w:tcPr>
          <w:p>
            <w:r>
              <w:t>0.424</w:t>
            </w:r>
          </w:p>
        </w:tc>
        <w:tc>
          <w:tcPr>
            <w:tcW w:type="dxa" w:w="1098"/>
          </w:tcPr>
          <w:p>
            <w:r>
              <w:t>0.305</w:t>
            </w:r>
          </w:p>
        </w:tc>
        <w:tc>
          <w:tcPr>
            <w:tcW w:type="dxa" w:w="1098"/>
          </w:tcPr>
          <w:p>
            <w:r>
              <w:t>0.518</w:t>
            </w:r>
          </w:p>
        </w:tc>
      </w:tr>
      <w:tr>
        <w:tc>
          <w:tcPr>
            <w:tcW w:type="dxa" w:w="1098"/>
          </w:tcPr>
          <w:p>
            <w:r>
              <w:t>DS</w:t>
            </w:r>
          </w:p>
        </w:tc>
        <w:tc>
          <w:tcPr>
            <w:tcW w:type="dxa" w:w="1098"/>
          </w:tcPr>
          <w:p>
            <w:r>
              <w:t>0.170</w:t>
            </w:r>
          </w:p>
        </w:tc>
        <w:tc>
          <w:tcPr>
            <w:tcW w:type="dxa" w:w="1098"/>
          </w:tcPr>
          <w:p>
            <w:r>
              <w:t>0.200</w:t>
            </w:r>
          </w:p>
        </w:tc>
        <w:tc>
          <w:tcPr>
            <w:tcW w:type="dxa" w:w="1098"/>
          </w:tcPr>
          <w:p>
            <w:r>
              <w:t>0.207</w:t>
            </w:r>
          </w:p>
        </w:tc>
        <w:tc>
          <w:tcPr>
            <w:tcW w:type="dxa" w:w="1098"/>
          </w:tcPr>
          <w:p>
            <w:r>
              <w:t>0.424</w:t>
            </w:r>
          </w:p>
        </w:tc>
        <w:tc>
          <w:tcPr>
            <w:tcW w:type="dxa" w:w="1098"/>
          </w:tcPr>
          <w:p>
            <w:r>
              <w:t>0.828</w:t>
            </w:r>
          </w:p>
        </w:tc>
        <w:tc>
          <w:tcPr>
            <w:tcW w:type="dxa" w:w="1098"/>
          </w:tcPr>
          <w:p>
            <w:r>
              <w:t>0.446</w:t>
            </w:r>
          </w:p>
        </w:tc>
        <w:tc>
          <w:tcPr>
            <w:tcW w:type="dxa" w:w="1098"/>
          </w:tcPr>
          <w:p>
            <w:r>
              <w:t>0.426</w:t>
            </w:r>
          </w:p>
        </w:tc>
      </w:tr>
      <w:tr>
        <w:tc>
          <w:tcPr>
            <w:tcW w:type="dxa" w:w="1098"/>
          </w:tcPr>
          <w:p>
            <w:r>
              <w:t>EN</w:t>
            </w:r>
          </w:p>
        </w:tc>
        <w:tc>
          <w:tcPr>
            <w:tcW w:type="dxa" w:w="1098"/>
          </w:tcPr>
          <w:p>
            <w:r>
              <w:t>0.157</w:t>
            </w:r>
          </w:p>
        </w:tc>
        <w:tc>
          <w:tcPr>
            <w:tcW w:type="dxa" w:w="1098"/>
          </w:tcPr>
          <w:p>
            <w:r>
              <w:t>0.170</w:t>
            </w:r>
          </w:p>
        </w:tc>
        <w:tc>
          <w:tcPr>
            <w:tcW w:type="dxa" w:w="1098"/>
          </w:tcPr>
          <w:p>
            <w:r>
              <w:t>0.178</w:t>
            </w:r>
          </w:p>
        </w:tc>
        <w:tc>
          <w:tcPr>
            <w:tcW w:type="dxa" w:w="1098"/>
          </w:tcPr>
          <w:p>
            <w:r>
              <w:t>0.305</w:t>
            </w:r>
          </w:p>
        </w:tc>
        <w:tc>
          <w:tcPr>
            <w:tcW w:type="dxa" w:w="1098"/>
          </w:tcPr>
          <w:p>
            <w:r>
              <w:t>0.446</w:t>
            </w:r>
          </w:p>
        </w:tc>
        <w:tc>
          <w:tcPr>
            <w:tcW w:type="dxa" w:w="1098"/>
          </w:tcPr>
          <w:p>
            <w:r>
              <w:t>0.823</w:t>
            </w:r>
          </w:p>
        </w:tc>
        <w:tc>
          <w:tcPr>
            <w:tcW w:type="dxa" w:w="1098"/>
          </w:tcPr>
          <w:p>
            <w:r>
              <w:t>0.475</w:t>
            </w:r>
          </w:p>
        </w:tc>
      </w:tr>
      <w:tr>
        <w:tc>
          <w:tcPr>
            <w:tcW w:type="dxa" w:w="1098"/>
          </w:tcPr>
          <w:p>
            <w:r>
              <w:t>CDL</w:t>
            </w:r>
          </w:p>
        </w:tc>
        <w:tc>
          <w:tcPr>
            <w:tcW w:type="dxa" w:w="1098"/>
          </w:tcPr>
          <w:p>
            <w:r>
              <w:t>0.518</w:t>
            </w:r>
          </w:p>
        </w:tc>
        <w:tc>
          <w:tcPr>
            <w:tcW w:type="dxa" w:w="1098"/>
          </w:tcPr>
          <w:p>
            <w:r>
              <w:t>0.531</w:t>
            </w:r>
          </w:p>
        </w:tc>
        <w:tc>
          <w:tcPr>
            <w:tcW w:type="dxa" w:w="1098"/>
          </w:tcPr>
          <w:p>
            <w:r>
              <w:t>0.450</w:t>
            </w:r>
          </w:p>
        </w:tc>
        <w:tc>
          <w:tcPr>
            <w:tcW w:type="dxa" w:w="1098"/>
          </w:tcPr>
          <w:p>
            <w:r>
              <w:t>0.518</w:t>
            </w:r>
          </w:p>
        </w:tc>
        <w:tc>
          <w:tcPr>
            <w:tcW w:type="dxa" w:w="1098"/>
          </w:tcPr>
          <w:p>
            <w:r>
              <w:t>0.426</w:t>
            </w:r>
          </w:p>
        </w:tc>
        <w:tc>
          <w:tcPr>
            <w:tcW w:type="dxa" w:w="1098"/>
          </w:tcPr>
          <w:p>
            <w:r>
              <w:t>0.475</w:t>
            </w:r>
          </w:p>
        </w:tc>
        <w:tc>
          <w:tcPr>
            <w:tcW w:type="dxa" w:w="1098"/>
          </w:tcPr>
          <w:p>
            <w:r>
              <w:t>0.836</w:t>
            </w:r>
          </w:p>
        </w:tc>
      </w:tr>
      <w:tr>
        <w:tc>
          <w:tcPr>
            <w:tcW w:type="dxa" w:w="1098"/>
          </w:tcPr>
          <w:p/>
        </w:tc>
        <w:tc>
          <w:tcPr>
            <w:tcW w:type="dxa" w:w="1098"/>
          </w:tcPr>
          <w:p/>
        </w:tc>
        <w:tc>
          <w:tcPr>
            <w:tcW w:type="dxa" w:w="1098"/>
          </w:tcPr>
          <w:p/>
        </w:tc>
        <w:tc>
          <w:tcPr>
            <w:tcW w:type="dxa" w:w="1098"/>
          </w:tcPr>
          <w:p/>
        </w:tc>
        <w:tc>
          <w:tcPr>
            <w:tcW w:type="dxa" w:w="1098"/>
          </w:tcPr>
          <w:p/>
        </w:tc>
        <w:tc>
          <w:tcPr>
            <w:tcW w:type="dxa" w:w="1098"/>
          </w:tcPr>
          <w:p/>
        </w:tc>
        <w:tc>
          <w:tcPr>
            <w:tcW w:type="dxa" w:w="1098"/>
          </w:tcPr>
          <w:p/>
        </w:tc>
        <w:tc>
          <w:tcPr>
            <w:tcW w:type="dxa" w:w="1098"/>
          </w:tcPr>
          <w:p/>
        </w:tc>
      </w:tr>
    </w:tbl>
    <w:p>
      <w:pPr>
        <w:pStyle w:val="3"/>
      </w:pPr>
      <w:r>
        <w:t>4.3 结构方程模型分析</w:t>
      </w:r>
    </w:p>
    <w:p>
      <w:pPr>
        <w:pStyle w:val="4"/>
      </w:pPr>
      <w:r>
        <w:t>4.3.1 模型设定与拟合检验</w:t>
      </w:r>
    </w:p>
    <w:p>
      <w:r>
        <w:t>本文构建部分中介结构方程模型（Partial Mediation SEM）：以基础设施（IF）为GP、TS对CDL影响的中介变量，以数字技能平台（DS）为TI、EN对CDL影响的中介变量，同时保留GP、TS、TI、EN对CDL的直接影响路径，共设置10条路径。模型拟合指标如表4-4所示，各指标均满足学术标准（Hu &amp; Bentler, 1999），表明部分中介SEM模型与数据拟合良好。</w:t>
      </w:r>
    </w:p>
    <w:p>
      <w:r>
        <w:t>表4-4  SEM模型拟合指标</w:t>
      </w:r>
    </w:p>
    <w:tbl>
      <w:tblPr>
        <w:tblStyle w:val="34"/>
        <w:tblW w:type="auto" w:w="0"/>
        <w:tblLook w:firstColumn="1" w:firstRow="1" w:lastColumn="0" w:lastRow="0" w:noHBand="0" w:noVBand="1" w:val="04A0"/>
      </w:tblPr>
      <w:tblGrid>
        <w:gridCol w:w="1464"/>
        <w:gridCol w:w="1464"/>
        <w:gridCol w:w="1464"/>
        <w:gridCol w:w="1464"/>
        <w:gridCol w:w="1464"/>
        <w:gridCol w:w="1464"/>
      </w:tblGrid>
      <w:tr>
        <w:tc>
          <w:tcPr>
            <w:tcW w:type="dxa" w:w="1464"/>
          </w:tcPr>
          <w:p>
            <w:r>
              <w:t>指标</w:t>
            </w:r>
          </w:p>
        </w:tc>
        <w:tc>
          <w:tcPr>
            <w:tcW w:type="dxa" w:w="1464"/>
          </w:tcPr>
          <w:p>
            <w:r>
              <w:t>χ²/df</w:t>
            </w:r>
          </w:p>
        </w:tc>
        <w:tc>
          <w:tcPr>
            <w:tcW w:type="dxa" w:w="1464"/>
          </w:tcPr>
          <w:p>
            <w:r>
              <w:t>RMSEA</w:t>
            </w:r>
          </w:p>
        </w:tc>
        <w:tc>
          <w:tcPr>
            <w:tcW w:type="dxa" w:w="1464"/>
          </w:tcPr>
          <w:p>
            <w:r>
              <w:t>SRMR</w:t>
            </w:r>
          </w:p>
        </w:tc>
        <w:tc>
          <w:tcPr>
            <w:tcW w:type="dxa" w:w="1464"/>
          </w:tcPr>
          <w:p>
            <w:r>
              <w:t>CFI</w:t>
            </w:r>
          </w:p>
        </w:tc>
        <w:tc>
          <w:tcPr>
            <w:tcW w:type="dxa" w:w="1464"/>
          </w:tcPr>
          <w:p>
            <w:r>
              <w:t>TLI</w:t>
            </w:r>
          </w:p>
        </w:tc>
      </w:tr>
      <w:tr>
        <w:tc>
          <w:tcPr>
            <w:tcW w:type="dxa" w:w="1464"/>
          </w:tcPr>
          <w:p>
            <w:r>
              <w:t>判断标准</w:t>
            </w:r>
          </w:p>
        </w:tc>
        <w:tc>
          <w:tcPr>
            <w:tcW w:type="dxa" w:w="1464"/>
          </w:tcPr>
          <w:p>
            <w:r>
              <w:t>&lt;3.0</w:t>
            </w:r>
          </w:p>
        </w:tc>
        <w:tc>
          <w:tcPr>
            <w:tcW w:type="dxa" w:w="1464"/>
          </w:tcPr>
          <w:p>
            <w:r>
              <w:t>&lt;0.08</w:t>
            </w:r>
          </w:p>
        </w:tc>
        <w:tc>
          <w:tcPr>
            <w:tcW w:type="dxa" w:w="1464"/>
          </w:tcPr>
          <w:p>
            <w:r>
              <w:t>&lt;0.08</w:t>
            </w:r>
          </w:p>
        </w:tc>
        <w:tc>
          <w:tcPr>
            <w:tcW w:type="dxa" w:w="1464"/>
          </w:tcPr>
          <w:p>
            <w:r>
              <w:t>&gt;0.90</w:t>
            </w:r>
          </w:p>
        </w:tc>
        <w:tc>
          <w:tcPr>
            <w:tcW w:type="dxa" w:w="1464"/>
          </w:tcPr>
          <w:p>
            <w:r>
              <w:t>&gt;0.90</w:t>
            </w:r>
          </w:p>
        </w:tc>
      </w:tr>
      <w:tr>
        <w:tc>
          <w:tcPr>
            <w:tcW w:type="dxa" w:w="1464"/>
          </w:tcPr>
          <w:p>
            <w:r>
              <w:t>本文结果</w:t>
            </w:r>
          </w:p>
        </w:tc>
        <w:tc>
          <w:tcPr>
            <w:tcW w:type="dxa" w:w="1464"/>
          </w:tcPr>
          <w:p>
            <w:r>
              <w:t>2.847</w:t>
            </w:r>
          </w:p>
        </w:tc>
        <w:tc>
          <w:tcPr>
            <w:tcW w:type="dxa" w:w="1464"/>
          </w:tcPr>
          <w:p>
            <w:r>
              <w:t>0.061</w:t>
            </w:r>
          </w:p>
        </w:tc>
        <w:tc>
          <w:tcPr>
            <w:tcW w:type="dxa" w:w="1464"/>
          </w:tcPr>
          <w:p>
            <w:r>
              <w:t>0.052</w:t>
            </w:r>
          </w:p>
        </w:tc>
        <w:tc>
          <w:tcPr>
            <w:tcW w:type="dxa" w:w="1464"/>
          </w:tcPr>
          <w:p>
            <w:r>
              <w:t>0.951</w:t>
            </w:r>
          </w:p>
        </w:tc>
        <w:tc>
          <w:tcPr>
            <w:tcW w:type="dxa" w:w="1464"/>
          </w:tcPr>
          <w:p>
            <w:r>
              <w:t>0.945</w:t>
            </w:r>
          </w:p>
        </w:tc>
      </w:tr>
    </w:tbl>
    <w:p>
      <w:pPr>
        <w:pStyle w:val="4"/>
      </w:pPr>
      <w:r>
        <w:t>4.3.2 路径系数与假设检验</w:t>
      </w:r>
    </w:p>
    <w:p>
      <w:r>
        <w:t>SEM结构路径系数如表4-5所示。中介路径方面：GP→IF（β=0.345，p&lt;0.001），TS→IF（β=0.338，p&lt;0.001），TI→DS（β=0.317，p&lt;0.001），EN→DS（β=0.350，p&lt;0.001），均显著支持。直接效应方面：GP→CDL（β=0.257，p&lt;0.001），TS→CDL（β=0.260，p&lt;0.001），TI→CDL（β=0.230，p&lt;0.001），EN→CDL（β=0.262，p&lt;0.001）；IF→CDL（β=0.078，p=0.025），DS→CDL（β=0.100，p=0.004）。所有10条路径均在统计上显著，假设H1—H8全部获得支持。</w:t>
      </w:r>
    </w:p>
    <w:p>
      <w:r>
        <w:t>表4-5  SEM路径系数检验结果</w:t>
      </w:r>
    </w:p>
    <w:tbl>
      <w:tblPr>
        <w:tblStyle w:val="34"/>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r>
              <w:t>路径</w:t>
            </w:r>
          </w:p>
        </w:tc>
        <w:tc>
          <w:tcPr>
            <w:tcW w:type="dxa" w:w="1255"/>
          </w:tcPr>
          <w:p>
            <w:r>
              <w:t>标准化路径系数(β)</w:t>
            </w:r>
          </w:p>
        </w:tc>
        <w:tc>
          <w:tcPr>
            <w:tcW w:type="dxa" w:w="1255"/>
          </w:tcPr>
          <w:p>
            <w:r>
              <w:t>标准误(SE)</w:t>
            </w:r>
          </w:p>
        </w:tc>
        <w:tc>
          <w:tcPr>
            <w:tcW w:type="dxa" w:w="1255"/>
          </w:tcPr>
          <w:p>
            <w:r>
              <w:t>临界比值(C.R.)</w:t>
            </w:r>
          </w:p>
        </w:tc>
        <w:tc>
          <w:tcPr>
            <w:tcW w:type="dxa" w:w="1255"/>
          </w:tcPr>
          <w:p>
            <w:r>
              <w:t>P值</w:t>
            </w:r>
          </w:p>
        </w:tc>
        <w:tc>
          <w:tcPr>
            <w:tcW w:type="dxa" w:w="1255"/>
          </w:tcPr>
          <w:p>
            <w:r>
              <w:t>显著性</w:t>
            </w:r>
          </w:p>
        </w:tc>
        <w:tc>
          <w:tcPr>
            <w:tcW w:type="dxa" w:w="1255"/>
          </w:tcPr>
          <w:p>
            <w:r>
              <w:t>假设结果</w:t>
            </w:r>
          </w:p>
        </w:tc>
      </w:tr>
      <w:tr>
        <w:tc>
          <w:tcPr>
            <w:tcW w:type="dxa" w:w="1255"/>
          </w:tcPr>
          <w:p>
            <w:r>
              <w:t>IF←GP</w:t>
            </w:r>
          </w:p>
        </w:tc>
        <w:tc>
          <w:tcPr>
            <w:tcW w:type="dxa" w:w="1255"/>
          </w:tcPr>
          <w:p>
            <w:r>
              <w:t>0.345</w:t>
            </w:r>
          </w:p>
        </w:tc>
        <w:tc>
          <w:tcPr>
            <w:tcW w:type="dxa" w:w="1255"/>
          </w:tcPr>
          <w:p>
            <w:r>
              <w:t>0.040</w:t>
            </w:r>
          </w:p>
        </w:tc>
        <w:tc>
          <w:tcPr>
            <w:tcW w:type="dxa" w:w="1255"/>
          </w:tcPr>
          <w:p>
            <w:r>
              <w:t>8.662</w:t>
            </w:r>
          </w:p>
        </w:tc>
        <w:tc>
          <w:tcPr>
            <w:tcW w:type="dxa" w:w="1255"/>
          </w:tcPr>
          <w:p>
            <w:r>
              <w:t>&lt;0.001</w:t>
            </w:r>
          </w:p>
        </w:tc>
        <w:tc>
          <w:tcPr>
            <w:tcW w:type="dxa" w:w="1255"/>
          </w:tcPr>
          <w:p>
            <w:r>
              <w:t>***</w:t>
            </w:r>
          </w:p>
        </w:tc>
        <w:tc>
          <w:tcPr>
            <w:tcW w:type="dxa" w:w="1255"/>
          </w:tcPr>
          <w:p>
            <w:r>
              <w:t>H1a支持</w:t>
            </w:r>
          </w:p>
        </w:tc>
      </w:tr>
      <w:tr>
        <w:tc>
          <w:tcPr>
            <w:tcW w:type="dxa" w:w="1255"/>
          </w:tcPr>
          <w:p>
            <w:r>
              <w:t>IF←TS</w:t>
            </w:r>
          </w:p>
        </w:tc>
        <w:tc>
          <w:tcPr>
            <w:tcW w:type="dxa" w:w="1255"/>
          </w:tcPr>
          <w:p>
            <w:r>
              <w:t>0.338</w:t>
            </w:r>
          </w:p>
        </w:tc>
        <w:tc>
          <w:tcPr>
            <w:tcW w:type="dxa" w:w="1255"/>
          </w:tcPr>
          <w:p>
            <w:r>
              <w:t>0.040</w:t>
            </w:r>
          </w:p>
        </w:tc>
        <w:tc>
          <w:tcPr>
            <w:tcW w:type="dxa" w:w="1255"/>
          </w:tcPr>
          <w:p>
            <w:r>
              <w:t>8.475</w:t>
            </w:r>
          </w:p>
        </w:tc>
        <w:tc>
          <w:tcPr>
            <w:tcW w:type="dxa" w:w="1255"/>
          </w:tcPr>
          <w:p>
            <w:r>
              <w:t>&lt;0.001</w:t>
            </w:r>
          </w:p>
        </w:tc>
        <w:tc>
          <w:tcPr>
            <w:tcW w:type="dxa" w:w="1255"/>
          </w:tcPr>
          <w:p>
            <w:r>
              <w:t>***</w:t>
            </w:r>
          </w:p>
        </w:tc>
        <w:tc>
          <w:tcPr>
            <w:tcW w:type="dxa" w:w="1255"/>
          </w:tcPr>
          <w:p>
            <w:r>
              <w:t>H1b支持</w:t>
            </w:r>
          </w:p>
        </w:tc>
      </w:tr>
      <w:tr>
        <w:tc>
          <w:tcPr>
            <w:tcW w:type="dxa" w:w="1255"/>
          </w:tcPr>
          <w:p>
            <w:r>
              <w:t>DS←TI</w:t>
            </w:r>
          </w:p>
        </w:tc>
        <w:tc>
          <w:tcPr>
            <w:tcW w:type="dxa" w:w="1255"/>
          </w:tcPr>
          <w:p>
            <w:r>
              <w:t>0.317</w:t>
            </w:r>
          </w:p>
        </w:tc>
        <w:tc>
          <w:tcPr>
            <w:tcW w:type="dxa" w:w="1255"/>
          </w:tcPr>
          <w:p>
            <w:r>
              <w:t>0.039</w:t>
            </w:r>
          </w:p>
        </w:tc>
        <w:tc>
          <w:tcPr>
            <w:tcW w:type="dxa" w:w="1255"/>
          </w:tcPr>
          <w:p>
            <w:r>
              <w:t>8.056</w:t>
            </w:r>
          </w:p>
        </w:tc>
        <w:tc>
          <w:tcPr>
            <w:tcW w:type="dxa" w:w="1255"/>
          </w:tcPr>
          <w:p>
            <w:r>
              <w:t>&lt;0.001</w:t>
            </w:r>
          </w:p>
        </w:tc>
        <w:tc>
          <w:tcPr>
            <w:tcW w:type="dxa" w:w="1255"/>
          </w:tcPr>
          <w:p>
            <w:r>
              <w:t>***</w:t>
            </w:r>
          </w:p>
        </w:tc>
        <w:tc>
          <w:tcPr>
            <w:tcW w:type="dxa" w:w="1255"/>
          </w:tcPr>
          <w:p>
            <w:r>
              <w:t>H2a支持</w:t>
            </w:r>
          </w:p>
        </w:tc>
      </w:tr>
      <w:tr>
        <w:tc>
          <w:tcPr>
            <w:tcW w:type="dxa" w:w="1255"/>
          </w:tcPr>
          <w:p>
            <w:r>
              <w:t>DS←EN</w:t>
            </w:r>
          </w:p>
        </w:tc>
        <w:tc>
          <w:tcPr>
            <w:tcW w:type="dxa" w:w="1255"/>
          </w:tcPr>
          <w:p>
            <w:r>
              <w:t>0.350</w:t>
            </w:r>
          </w:p>
        </w:tc>
        <w:tc>
          <w:tcPr>
            <w:tcW w:type="dxa" w:w="1255"/>
          </w:tcPr>
          <w:p>
            <w:r>
              <w:t>0.039</w:t>
            </w:r>
          </w:p>
        </w:tc>
        <w:tc>
          <w:tcPr>
            <w:tcW w:type="dxa" w:w="1255"/>
          </w:tcPr>
          <w:p>
            <w:r>
              <w:t>8.881</w:t>
            </w:r>
          </w:p>
        </w:tc>
        <w:tc>
          <w:tcPr>
            <w:tcW w:type="dxa" w:w="1255"/>
          </w:tcPr>
          <w:p>
            <w:r>
              <w:t>&lt;0.001</w:t>
            </w:r>
          </w:p>
        </w:tc>
        <w:tc>
          <w:tcPr>
            <w:tcW w:type="dxa" w:w="1255"/>
          </w:tcPr>
          <w:p>
            <w:r>
              <w:t>***</w:t>
            </w:r>
          </w:p>
        </w:tc>
        <w:tc>
          <w:tcPr>
            <w:tcW w:type="dxa" w:w="1255"/>
          </w:tcPr>
          <w:p>
            <w:r>
              <w:t>H2b支持</w:t>
            </w:r>
          </w:p>
        </w:tc>
      </w:tr>
      <w:tr>
        <w:tc>
          <w:tcPr>
            <w:tcW w:type="dxa" w:w="1255"/>
          </w:tcPr>
          <w:p>
            <w:r>
              <w:t>CDL←GP</w:t>
            </w:r>
          </w:p>
        </w:tc>
        <w:tc>
          <w:tcPr>
            <w:tcW w:type="dxa" w:w="1255"/>
          </w:tcPr>
          <w:p>
            <w:r>
              <w:t>0.257</w:t>
            </w:r>
          </w:p>
        </w:tc>
        <w:tc>
          <w:tcPr>
            <w:tcW w:type="dxa" w:w="1255"/>
          </w:tcPr>
          <w:p>
            <w:r>
              <w:t>0.034</w:t>
            </w:r>
          </w:p>
        </w:tc>
        <w:tc>
          <w:tcPr>
            <w:tcW w:type="dxa" w:w="1255"/>
          </w:tcPr>
          <w:p>
            <w:r>
              <w:t>7.631</w:t>
            </w:r>
          </w:p>
        </w:tc>
        <w:tc>
          <w:tcPr>
            <w:tcW w:type="dxa" w:w="1255"/>
          </w:tcPr>
          <w:p>
            <w:r>
              <w:t>&lt;0.001</w:t>
            </w:r>
          </w:p>
        </w:tc>
        <w:tc>
          <w:tcPr>
            <w:tcW w:type="dxa" w:w="1255"/>
          </w:tcPr>
          <w:p>
            <w:r>
              <w:t>***</w:t>
            </w:r>
          </w:p>
        </w:tc>
        <w:tc>
          <w:tcPr>
            <w:tcW w:type="dxa" w:w="1255"/>
          </w:tcPr>
          <w:p>
            <w:r>
              <w:t>H3支持</w:t>
            </w:r>
          </w:p>
        </w:tc>
      </w:tr>
      <w:tr>
        <w:tc>
          <w:tcPr>
            <w:tcW w:type="dxa" w:w="1255"/>
          </w:tcPr>
          <w:p>
            <w:r>
              <w:t>CDL←TS</w:t>
            </w:r>
          </w:p>
        </w:tc>
        <w:tc>
          <w:tcPr>
            <w:tcW w:type="dxa" w:w="1255"/>
          </w:tcPr>
          <w:p>
            <w:r>
              <w:t>0.260</w:t>
            </w:r>
          </w:p>
        </w:tc>
        <w:tc>
          <w:tcPr>
            <w:tcW w:type="dxa" w:w="1255"/>
          </w:tcPr>
          <w:p>
            <w:r>
              <w:t>0.034</w:t>
            </w:r>
          </w:p>
        </w:tc>
        <w:tc>
          <w:tcPr>
            <w:tcW w:type="dxa" w:w="1255"/>
          </w:tcPr>
          <w:p>
            <w:r>
              <w:t>7.689</w:t>
            </w:r>
          </w:p>
        </w:tc>
        <w:tc>
          <w:tcPr>
            <w:tcW w:type="dxa" w:w="1255"/>
          </w:tcPr>
          <w:p>
            <w:r>
              <w:t>&lt;0.001</w:t>
            </w:r>
          </w:p>
        </w:tc>
        <w:tc>
          <w:tcPr>
            <w:tcW w:type="dxa" w:w="1255"/>
          </w:tcPr>
          <w:p>
            <w:r>
              <w:t>***</w:t>
            </w:r>
          </w:p>
        </w:tc>
        <w:tc>
          <w:tcPr>
            <w:tcW w:type="dxa" w:w="1255"/>
          </w:tcPr>
          <w:p>
            <w:r>
              <w:t>H4支持</w:t>
            </w:r>
          </w:p>
        </w:tc>
      </w:tr>
      <w:tr>
        <w:tc>
          <w:tcPr>
            <w:tcW w:type="dxa" w:w="1255"/>
          </w:tcPr>
          <w:p>
            <w:r>
              <w:t>CDL←TI</w:t>
            </w:r>
          </w:p>
        </w:tc>
        <w:tc>
          <w:tcPr>
            <w:tcW w:type="dxa" w:w="1255"/>
          </w:tcPr>
          <w:p>
            <w:r>
              <w:t>0.230</w:t>
            </w:r>
          </w:p>
        </w:tc>
        <w:tc>
          <w:tcPr>
            <w:tcW w:type="dxa" w:w="1255"/>
          </w:tcPr>
          <w:p>
            <w:r>
              <w:t>0.033</w:t>
            </w:r>
          </w:p>
        </w:tc>
        <w:tc>
          <w:tcPr>
            <w:tcW w:type="dxa" w:w="1255"/>
          </w:tcPr>
          <w:p>
            <w:r>
              <w:t>6.956</w:t>
            </w:r>
          </w:p>
        </w:tc>
        <w:tc>
          <w:tcPr>
            <w:tcW w:type="dxa" w:w="1255"/>
          </w:tcPr>
          <w:p>
            <w:r>
              <w:t>&lt;0.001</w:t>
            </w:r>
          </w:p>
        </w:tc>
        <w:tc>
          <w:tcPr>
            <w:tcW w:type="dxa" w:w="1255"/>
          </w:tcPr>
          <w:p>
            <w:r>
              <w:t>***</w:t>
            </w:r>
          </w:p>
        </w:tc>
        <w:tc>
          <w:tcPr>
            <w:tcW w:type="dxa" w:w="1255"/>
          </w:tcPr>
          <w:p>
            <w:r>
              <w:t>H5支持</w:t>
            </w:r>
          </w:p>
        </w:tc>
      </w:tr>
      <w:tr>
        <w:tc>
          <w:tcPr>
            <w:tcW w:type="dxa" w:w="1255"/>
          </w:tcPr>
          <w:p>
            <w:r>
              <w:t>CDL←EN</w:t>
            </w:r>
          </w:p>
        </w:tc>
        <w:tc>
          <w:tcPr>
            <w:tcW w:type="dxa" w:w="1255"/>
          </w:tcPr>
          <w:p>
            <w:r>
              <w:t>0.262</w:t>
            </w:r>
          </w:p>
        </w:tc>
        <w:tc>
          <w:tcPr>
            <w:tcW w:type="dxa" w:w="1255"/>
          </w:tcPr>
          <w:p>
            <w:r>
              <w:t>0.032</w:t>
            </w:r>
          </w:p>
        </w:tc>
        <w:tc>
          <w:tcPr>
            <w:tcW w:type="dxa" w:w="1255"/>
          </w:tcPr>
          <w:p>
            <w:r>
              <w:t>8.098</w:t>
            </w:r>
          </w:p>
        </w:tc>
        <w:tc>
          <w:tcPr>
            <w:tcW w:type="dxa" w:w="1255"/>
          </w:tcPr>
          <w:p>
            <w:r>
              <w:t>&lt;0.001</w:t>
            </w:r>
          </w:p>
        </w:tc>
        <w:tc>
          <w:tcPr>
            <w:tcW w:type="dxa" w:w="1255"/>
          </w:tcPr>
          <w:p>
            <w:r>
              <w:t>***</w:t>
            </w:r>
          </w:p>
        </w:tc>
        <w:tc>
          <w:tcPr>
            <w:tcW w:type="dxa" w:w="1255"/>
          </w:tcPr>
          <w:p>
            <w:r>
              <w:t>H6支持</w:t>
            </w:r>
          </w:p>
        </w:tc>
      </w:tr>
      <w:tr>
        <w:tc>
          <w:tcPr>
            <w:tcW w:type="dxa" w:w="1255"/>
          </w:tcPr>
          <w:p>
            <w:r>
              <w:t>CDL←IF</w:t>
            </w:r>
          </w:p>
        </w:tc>
        <w:tc>
          <w:tcPr>
            <w:tcW w:type="dxa" w:w="1255"/>
          </w:tcPr>
          <w:p>
            <w:r>
              <w:t>0.078</w:t>
            </w:r>
          </w:p>
        </w:tc>
        <w:tc>
          <w:tcPr>
            <w:tcW w:type="dxa" w:w="1255"/>
          </w:tcPr>
          <w:p>
            <w:r>
              <w:t>0.035</w:t>
            </w:r>
          </w:p>
        </w:tc>
        <w:tc>
          <w:tcPr>
            <w:tcW w:type="dxa" w:w="1255"/>
          </w:tcPr>
          <w:p>
            <w:r>
              <w:t>2.241</w:t>
            </w:r>
          </w:p>
        </w:tc>
        <w:tc>
          <w:tcPr>
            <w:tcW w:type="dxa" w:w="1255"/>
          </w:tcPr>
          <w:p>
            <w:r>
              <w:t>0.025</w:t>
            </w:r>
          </w:p>
        </w:tc>
        <w:tc>
          <w:tcPr>
            <w:tcW w:type="dxa" w:w="1255"/>
          </w:tcPr>
          <w:p>
            <w:r>
              <w:t>*</w:t>
            </w:r>
          </w:p>
        </w:tc>
        <w:tc>
          <w:tcPr>
            <w:tcW w:type="dxa" w:w="1255"/>
          </w:tcPr>
          <w:p>
            <w:r>
              <w:t>H7支持</w:t>
            </w:r>
          </w:p>
        </w:tc>
      </w:tr>
      <w:tr>
        <w:tc>
          <w:tcPr>
            <w:tcW w:type="dxa" w:w="1255"/>
          </w:tcPr>
          <w:p>
            <w:r>
              <w:t>CDL←DS</w:t>
            </w:r>
          </w:p>
        </w:tc>
        <w:tc>
          <w:tcPr>
            <w:tcW w:type="dxa" w:w="1255"/>
          </w:tcPr>
          <w:p>
            <w:r>
              <w:t>0.100</w:t>
            </w:r>
          </w:p>
        </w:tc>
        <w:tc>
          <w:tcPr>
            <w:tcW w:type="dxa" w:w="1255"/>
          </w:tcPr>
          <w:p>
            <w:r>
              <w:t>0.034</w:t>
            </w:r>
          </w:p>
        </w:tc>
        <w:tc>
          <w:tcPr>
            <w:tcW w:type="dxa" w:w="1255"/>
          </w:tcPr>
          <w:p>
            <w:r>
              <w:t>2.934</w:t>
            </w:r>
          </w:p>
        </w:tc>
        <w:tc>
          <w:tcPr>
            <w:tcW w:type="dxa" w:w="1255"/>
          </w:tcPr>
          <w:p>
            <w:r>
              <w:t>0.003</w:t>
            </w:r>
          </w:p>
        </w:tc>
        <w:tc>
          <w:tcPr>
            <w:tcW w:type="dxa" w:w="1255"/>
          </w:tcPr>
          <w:p>
            <w:r>
              <w:t>**</w:t>
            </w:r>
          </w:p>
        </w:tc>
        <w:tc>
          <w:tcPr>
            <w:tcW w:type="dxa" w:w="1255"/>
          </w:tcPr>
          <w:p>
            <w:r>
              <w:t>H8支持</w:t>
            </w:r>
          </w:p>
        </w:tc>
      </w:tr>
      <w:tr>
        <w:tc>
          <w:tcPr>
            <w:tcW w:type="dxa" w:w="1255"/>
          </w:tcPr>
          <w:p/>
        </w:tc>
        <w:tc>
          <w:tcPr>
            <w:tcW w:type="dxa" w:w="1255"/>
          </w:tcPr>
          <w:p/>
        </w:tc>
        <w:tc>
          <w:tcPr>
            <w:tcW w:type="dxa" w:w="1255"/>
          </w:tcPr>
          <w:p/>
        </w:tc>
        <w:tc>
          <w:tcPr>
            <w:tcW w:type="dxa" w:w="1255"/>
          </w:tcPr>
          <w:p/>
        </w:tc>
        <w:tc>
          <w:tcPr>
            <w:tcW w:type="dxa" w:w="1255"/>
          </w:tcPr>
          <w:p/>
        </w:tc>
        <w:tc>
          <w:tcPr>
            <w:tcW w:type="dxa" w:w="1255"/>
          </w:tcPr>
          <w:p/>
        </w:tc>
        <w:tc>
          <w:tcPr>
            <w:tcW w:type="dxa" w:w="1255"/>
          </w:tcPr>
          <w:p/>
        </w:tc>
      </w:tr>
    </w:tbl>
    <w:p>
      <w:pPr>
        <w:pStyle w:val="4"/>
      </w:pPr>
      <w:r>
        <w:t>4.3.3 中介效应检验</w:t>
      </w:r>
    </w:p>
    <w:p>
      <w:r>
        <w:t>采用Bootstrap方法（重抽样5000次，95%置信区间）检验中介效应（Preacher &amp; Hayes, 2008）。结果如表4-6：四条间接效应置信区间均不包含0，中介效应显著。由于GP、TS、TI、EN对CDL的直接效应与间接效应均显著，IF和DS均发挥部分中介作用，部分中介模型得到验证。这表明基础设施与数字技能平台建设能够额外提升集群电商发展水平，但制度环境、人才、技术和资源等核心条件的直接驱动作用不可忽视。</w:t>
      </w:r>
    </w:p>
    <w:p>
      <w:r>
        <w:t>表4-6  Bootstrap中介效应检验结果（N=5000）</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r>
              <w:t>路径</w:t>
            </w:r>
          </w:p>
        </w:tc>
        <w:tc>
          <w:tcPr>
            <w:tcW w:type="dxa" w:w="1757"/>
          </w:tcPr>
          <w:p>
            <w:r>
              <w:t>间接效应</w:t>
            </w:r>
          </w:p>
        </w:tc>
        <w:tc>
          <w:tcPr>
            <w:tcW w:type="dxa" w:w="1757"/>
          </w:tcPr>
          <w:p>
            <w:r>
              <w:t>SE</w:t>
            </w:r>
          </w:p>
        </w:tc>
        <w:tc>
          <w:tcPr>
            <w:tcW w:type="dxa" w:w="1757"/>
          </w:tcPr>
          <w:p>
            <w:r>
              <w:t>95% CI下限</w:t>
            </w:r>
          </w:p>
        </w:tc>
        <w:tc>
          <w:tcPr>
            <w:tcW w:type="dxa" w:w="1757"/>
          </w:tcPr>
          <w:p>
            <w:r>
              <w:t>95% CI上限</w:t>
            </w:r>
          </w:p>
        </w:tc>
      </w:tr>
      <w:tr>
        <w:tc>
          <w:tcPr>
            <w:tcW w:type="dxa" w:w="1757"/>
          </w:tcPr>
          <w:p>
            <w:r>
              <w:t>GP→IF→CDL</w:t>
            </w:r>
          </w:p>
        </w:tc>
        <w:tc>
          <w:tcPr>
            <w:tcW w:type="dxa" w:w="1757"/>
          </w:tcPr>
          <w:p>
            <w:r>
              <w:t>0.027</w:t>
            </w:r>
          </w:p>
        </w:tc>
        <w:tc>
          <w:tcPr>
            <w:tcW w:type="dxa" w:w="1757"/>
          </w:tcPr>
          <w:p>
            <w:r>
              <w:t>0.010</w:t>
            </w:r>
          </w:p>
        </w:tc>
        <w:tc>
          <w:tcPr>
            <w:tcW w:type="dxa" w:w="1757"/>
          </w:tcPr>
          <w:p>
            <w:r>
              <w:t>0.012</w:t>
            </w:r>
          </w:p>
        </w:tc>
        <w:tc>
          <w:tcPr>
            <w:tcW w:type="dxa" w:w="1757"/>
          </w:tcPr>
          <w:p>
            <w:r>
              <w:t>0.048</w:t>
            </w:r>
          </w:p>
        </w:tc>
      </w:tr>
      <w:tr>
        <w:tc>
          <w:tcPr>
            <w:tcW w:type="dxa" w:w="1757"/>
          </w:tcPr>
          <w:p>
            <w:r>
              <w:t>TS→IF→CDL</w:t>
            </w:r>
          </w:p>
        </w:tc>
        <w:tc>
          <w:tcPr>
            <w:tcW w:type="dxa" w:w="1757"/>
          </w:tcPr>
          <w:p>
            <w:r>
              <w:t>0.026</w:t>
            </w:r>
          </w:p>
        </w:tc>
        <w:tc>
          <w:tcPr>
            <w:tcW w:type="dxa" w:w="1757"/>
          </w:tcPr>
          <w:p>
            <w:r>
              <w:t>0.009</w:t>
            </w:r>
          </w:p>
        </w:tc>
        <w:tc>
          <w:tcPr>
            <w:tcW w:type="dxa" w:w="1757"/>
          </w:tcPr>
          <w:p>
            <w:r>
              <w:t>0.011</w:t>
            </w:r>
          </w:p>
        </w:tc>
        <w:tc>
          <w:tcPr>
            <w:tcW w:type="dxa" w:w="1757"/>
          </w:tcPr>
          <w:p>
            <w:r>
              <w:t>0.047</w:t>
            </w:r>
          </w:p>
        </w:tc>
      </w:tr>
      <w:tr>
        <w:tc>
          <w:tcPr>
            <w:tcW w:type="dxa" w:w="1757"/>
          </w:tcPr>
          <w:p>
            <w:r>
              <w:t>TI→DS→CDL</w:t>
            </w:r>
          </w:p>
        </w:tc>
        <w:tc>
          <w:tcPr>
            <w:tcW w:type="dxa" w:w="1757"/>
          </w:tcPr>
          <w:p>
            <w:r>
              <w:t>0.032</w:t>
            </w:r>
          </w:p>
        </w:tc>
        <w:tc>
          <w:tcPr>
            <w:tcW w:type="dxa" w:w="1757"/>
          </w:tcPr>
          <w:p>
            <w:r>
              <w:t>0.011</w:t>
            </w:r>
          </w:p>
        </w:tc>
        <w:tc>
          <w:tcPr>
            <w:tcW w:type="dxa" w:w="1757"/>
          </w:tcPr>
          <w:p>
            <w:r>
              <w:t>0.014</w:t>
            </w:r>
          </w:p>
        </w:tc>
        <w:tc>
          <w:tcPr>
            <w:tcW w:type="dxa" w:w="1757"/>
          </w:tcPr>
          <w:p>
            <w:r>
              <w:t>0.054</w:t>
            </w:r>
          </w:p>
        </w:tc>
      </w:tr>
      <w:tr>
        <w:tc>
          <w:tcPr>
            <w:tcW w:type="dxa" w:w="1757"/>
          </w:tcPr>
          <w:p>
            <w:r>
              <w:t>EN→DS→CDL</w:t>
            </w:r>
          </w:p>
        </w:tc>
        <w:tc>
          <w:tcPr>
            <w:tcW w:type="dxa" w:w="1757"/>
          </w:tcPr>
          <w:p>
            <w:r>
              <w:t>0.035</w:t>
            </w:r>
          </w:p>
        </w:tc>
        <w:tc>
          <w:tcPr>
            <w:tcW w:type="dxa" w:w="1757"/>
          </w:tcPr>
          <w:p>
            <w:r>
              <w:t>0.011</w:t>
            </w:r>
          </w:p>
        </w:tc>
        <w:tc>
          <w:tcPr>
            <w:tcW w:type="dxa" w:w="1757"/>
          </w:tcPr>
          <w:p>
            <w:r>
              <w:t>0.016</w:t>
            </w:r>
          </w:p>
        </w:tc>
        <w:tc>
          <w:tcPr>
            <w:tcW w:type="dxa" w:w="1757"/>
          </w:tcPr>
          <w:p>
            <w:r>
              <w:t>0.059</w:t>
            </w:r>
          </w:p>
        </w:tc>
      </w:tr>
      <w:tr>
        <w:tc>
          <w:tcPr>
            <w:tcW w:type="dxa" w:w="1757"/>
          </w:tcPr>
          <w:p/>
        </w:tc>
        <w:tc>
          <w:tcPr>
            <w:tcW w:type="dxa" w:w="1757"/>
          </w:tcPr>
          <w:p/>
        </w:tc>
        <w:tc>
          <w:tcPr>
            <w:tcW w:type="dxa" w:w="1757"/>
          </w:tcPr>
          <w:p/>
        </w:tc>
        <w:tc>
          <w:tcPr>
            <w:tcW w:type="dxa" w:w="1757"/>
          </w:tcPr>
          <w:p/>
        </w:tc>
        <w:tc>
          <w:tcPr>
            <w:tcW w:type="dxa" w:w="1757"/>
          </w:tcPr>
          <w:p/>
        </w:tc>
      </w:tr>
    </w:tbl>
    <w:p>
      <w:pPr>
        <w:pStyle w:val="3"/>
      </w:pPr>
      <w:r>
        <w:t>4.4 多重共线性检验</w:t>
      </w:r>
    </w:p>
    <w:p>
      <w:r>
        <w:t>多重共线性检验结果如表4-7所示：所有预测变量VIF均低于2.0（远低于10的临界值），容差均高于0.50（Hair et al., 2010），表明模型不存在多重共线性，估计结果可靠。</w:t>
      </w:r>
    </w:p>
    <w:p>
      <w:r>
        <w:t>表4-7  多重共线性检验结果</w:t>
      </w:r>
    </w:p>
    <w:tbl>
      <w:tblPr>
        <w:tblStyle w:val="34"/>
        <w:tblW w:type="auto" w:w="0"/>
        <w:tblLook w:firstColumn="1" w:firstRow="1" w:lastColumn="0" w:lastRow="0" w:noHBand="0" w:noVBand="1" w:val="04A0"/>
      </w:tblPr>
      <w:tblGrid>
        <w:gridCol w:w="2929"/>
        <w:gridCol w:w="2929"/>
        <w:gridCol w:w="2929"/>
      </w:tblGrid>
      <w:tr>
        <w:tc>
          <w:tcPr>
            <w:tcW w:type="dxa" w:w="2929"/>
          </w:tcPr>
          <w:p>
            <w:r>
              <w:t>变量</w:t>
            </w:r>
          </w:p>
        </w:tc>
        <w:tc>
          <w:tcPr>
            <w:tcW w:type="dxa" w:w="2929"/>
          </w:tcPr>
          <w:p>
            <w:r>
              <w:t>容差(Tolerance)</w:t>
            </w:r>
          </w:p>
        </w:tc>
        <w:tc>
          <w:tcPr>
            <w:tcW w:type="dxa" w:w="2929"/>
          </w:tcPr>
          <w:p>
            <w:r>
              <w:t>VIF</w:t>
            </w:r>
          </w:p>
        </w:tc>
      </w:tr>
      <w:tr>
        <w:tc>
          <w:tcPr>
            <w:tcW w:type="dxa" w:w="2929"/>
          </w:tcPr>
          <w:p>
            <w:r>
              <w:t>GP</w:t>
            </w:r>
          </w:p>
        </w:tc>
        <w:tc>
          <w:tcPr>
            <w:tcW w:type="dxa" w:w="2929"/>
          </w:tcPr>
          <w:p>
            <w:r>
              <w:t>0.719</w:t>
            </w:r>
          </w:p>
        </w:tc>
        <w:tc>
          <w:tcPr>
            <w:tcW w:type="dxa" w:w="2929"/>
          </w:tcPr>
          <w:p>
            <w:r>
              <w:t>1.390</w:t>
            </w:r>
          </w:p>
        </w:tc>
      </w:tr>
      <w:tr>
        <w:tc>
          <w:tcPr>
            <w:tcW w:type="dxa" w:w="2929"/>
          </w:tcPr>
          <w:p>
            <w:r>
              <w:t>TS</w:t>
            </w:r>
          </w:p>
        </w:tc>
        <w:tc>
          <w:tcPr>
            <w:tcW w:type="dxa" w:w="2929"/>
          </w:tcPr>
          <w:p>
            <w:r>
              <w:t>0.714</w:t>
            </w:r>
          </w:p>
        </w:tc>
        <w:tc>
          <w:tcPr>
            <w:tcW w:type="dxa" w:w="2929"/>
          </w:tcPr>
          <w:p>
            <w:r>
              <w:t>1.400</w:t>
            </w:r>
          </w:p>
        </w:tc>
      </w:tr>
      <w:tr>
        <w:tc>
          <w:tcPr>
            <w:tcW w:type="dxa" w:w="2929"/>
          </w:tcPr>
          <w:p>
            <w:r>
              <w:t>IF</w:t>
            </w:r>
          </w:p>
        </w:tc>
        <w:tc>
          <w:tcPr>
            <w:tcW w:type="dxa" w:w="2929"/>
          </w:tcPr>
          <w:p>
            <w:r>
              <w:t>0.665</w:t>
            </w:r>
          </w:p>
        </w:tc>
        <w:tc>
          <w:tcPr>
            <w:tcW w:type="dxa" w:w="2929"/>
          </w:tcPr>
          <w:p>
            <w:r>
              <w:t>1.502</w:t>
            </w:r>
          </w:p>
        </w:tc>
      </w:tr>
      <w:tr>
        <w:tc>
          <w:tcPr>
            <w:tcW w:type="dxa" w:w="2929"/>
          </w:tcPr>
          <w:p>
            <w:r>
              <w:t>TI</w:t>
            </w:r>
          </w:p>
        </w:tc>
        <w:tc>
          <w:tcPr>
            <w:tcW w:type="dxa" w:w="2929"/>
          </w:tcPr>
          <w:p>
            <w:r>
              <w:t>0.746</w:t>
            </w:r>
          </w:p>
        </w:tc>
        <w:tc>
          <w:tcPr>
            <w:tcW w:type="dxa" w:w="2929"/>
          </w:tcPr>
          <w:p>
            <w:r>
              <w:t>1.341</w:t>
            </w:r>
          </w:p>
        </w:tc>
      </w:tr>
      <w:tr>
        <w:tc>
          <w:tcPr>
            <w:tcW w:type="dxa" w:w="2929"/>
          </w:tcPr>
          <w:p>
            <w:r>
              <w:t>DS</w:t>
            </w:r>
          </w:p>
        </w:tc>
        <w:tc>
          <w:tcPr>
            <w:tcW w:type="dxa" w:w="2929"/>
          </w:tcPr>
          <w:p>
            <w:r>
              <w:t>0.705</w:t>
            </w:r>
          </w:p>
        </w:tc>
        <w:tc>
          <w:tcPr>
            <w:tcW w:type="dxa" w:w="2929"/>
          </w:tcPr>
          <w:p>
            <w:r>
              <w:t>1.419</w:t>
            </w:r>
          </w:p>
        </w:tc>
      </w:tr>
      <w:tr>
        <w:tc>
          <w:tcPr>
            <w:tcW w:type="dxa" w:w="2929"/>
          </w:tcPr>
          <w:p>
            <w:r>
              <w:t>EN</w:t>
            </w:r>
          </w:p>
        </w:tc>
        <w:tc>
          <w:tcPr>
            <w:tcW w:type="dxa" w:w="2929"/>
          </w:tcPr>
          <w:p>
            <w:r>
              <w:t>0.779</w:t>
            </w:r>
          </w:p>
        </w:tc>
        <w:tc>
          <w:tcPr>
            <w:tcW w:type="dxa" w:w="2929"/>
          </w:tcPr>
          <w:p>
            <w:r>
              <w:t>1.284</w:t>
            </w:r>
          </w:p>
        </w:tc>
      </w:tr>
      <w:tr>
        <w:tc>
          <w:tcPr>
            <w:tcW w:type="dxa" w:w="2929"/>
          </w:tcPr>
          <w:p/>
        </w:tc>
        <w:tc>
          <w:tcPr>
            <w:tcW w:type="dxa" w:w="2929"/>
          </w:tcPr>
          <w:p/>
        </w:tc>
        <w:tc>
          <w:tcPr>
            <w:tcW w:type="dxa" w:w="2929"/>
          </w:tcPr>
          <w:p/>
        </w:tc>
      </w:tr>
    </w:tbl>
    <w:p>
      <w:pPr>
        <w:pStyle w:val="3"/>
      </w:pPr>
      <w:r>
        <w:t>4.5 模糊集定性比较分析（fsQCA）</w:t>
      </w:r>
    </w:p>
    <w:p>
      <w:pPr>
        <w:pStyle w:val="4"/>
      </w:pPr>
      <w:r>
        <w:t>4.5.1 变量校准</w:t>
      </w:r>
    </w:p>
    <w:p>
      <w:r>
        <w:t>采用直接校准法，以P5、P50、P95分别作为完全不隶属（0.05）、交叉点（0.50）、完全隶属（0.95）三个锚点（Fiss, 2011），对4个前因变量与CDL进行校准。校准锚点如表4-8所示。</w:t>
      </w:r>
    </w:p>
    <w:p>
      <w:r>
        <w:t>表4-8  fsQCA校准锚点</w:t>
      </w:r>
    </w:p>
    <w:tbl>
      <w:tblPr>
        <w:tblStyle w:val="34"/>
        <w:tblW w:type="auto" w:w="0"/>
        <w:tblLook w:firstColumn="1" w:firstRow="1" w:lastColumn="0" w:lastRow="0" w:noHBand="0" w:noVBand="1" w:val="04A0"/>
      </w:tblPr>
      <w:tblGrid>
        <w:gridCol w:w="2197"/>
        <w:gridCol w:w="2197"/>
        <w:gridCol w:w="2197"/>
        <w:gridCol w:w="2197"/>
      </w:tblGrid>
      <w:tr>
        <w:tc>
          <w:tcPr>
            <w:tcW w:type="dxa" w:w="2197"/>
          </w:tcPr>
          <w:p>
            <w:r>
              <w:t>变量</w:t>
            </w:r>
          </w:p>
        </w:tc>
        <w:tc>
          <w:tcPr>
            <w:tcW w:type="dxa" w:w="2197"/>
          </w:tcPr>
          <w:p>
            <w:r>
              <w:t>完全不隶属(P5)</w:t>
            </w:r>
          </w:p>
        </w:tc>
        <w:tc>
          <w:tcPr>
            <w:tcW w:type="dxa" w:w="2197"/>
          </w:tcPr>
          <w:p>
            <w:r>
              <w:t>交叉点(P50)</w:t>
            </w:r>
          </w:p>
        </w:tc>
        <w:tc>
          <w:tcPr>
            <w:tcW w:type="dxa" w:w="2197"/>
          </w:tcPr>
          <w:p>
            <w:r>
              <w:t>完全隶属(P95)</w:t>
            </w:r>
          </w:p>
        </w:tc>
      </w:tr>
      <w:tr>
        <w:tc>
          <w:tcPr>
            <w:tcW w:type="dxa" w:w="2197"/>
          </w:tcPr>
          <w:p>
            <w:r>
              <w:t>GP（政府政策）</w:t>
            </w:r>
          </w:p>
        </w:tc>
        <w:tc>
          <w:tcPr>
            <w:tcW w:type="dxa" w:w="2197"/>
          </w:tcPr>
          <w:p>
            <w:r>
              <w:t>1.667</w:t>
            </w:r>
          </w:p>
        </w:tc>
        <w:tc>
          <w:tcPr>
            <w:tcW w:type="dxa" w:w="2197"/>
          </w:tcPr>
          <w:p>
            <w:r>
              <w:t>3.000</w:t>
            </w:r>
          </w:p>
        </w:tc>
        <w:tc>
          <w:tcPr>
            <w:tcW w:type="dxa" w:w="2197"/>
          </w:tcPr>
          <w:p>
            <w:r>
              <w:t>4.333</w:t>
            </w:r>
          </w:p>
        </w:tc>
      </w:tr>
      <w:tr>
        <w:tc>
          <w:tcPr>
            <w:tcW w:type="dxa" w:w="2197"/>
          </w:tcPr>
          <w:p>
            <w:r>
              <w:t>TS（人才支撑）</w:t>
            </w:r>
          </w:p>
        </w:tc>
        <w:tc>
          <w:tcPr>
            <w:tcW w:type="dxa" w:w="2197"/>
          </w:tcPr>
          <w:p>
            <w:r>
              <w:t>1.333</w:t>
            </w:r>
          </w:p>
        </w:tc>
        <w:tc>
          <w:tcPr>
            <w:tcW w:type="dxa" w:w="2197"/>
          </w:tcPr>
          <w:p>
            <w:r>
              <w:t>2.667</w:t>
            </w:r>
          </w:p>
        </w:tc>
        <w:tc>
          <w:tcPr>
            <w:tcW w:type="dxa" w:w="2197"/>
          </w:tcPr>
          <w:p>
            <w:r>
              <w:t>4.000</w:t>
            </w:r>
          </w:p>
        </w:tc>
      </w:tr>
      <w:tr>
        <w:tc>
          <w:tcPr>
            <w:tcW w:type="dxa" w:w="2197"/>
          </w:tcPr>
          <w:p>
            <w:r>
              <w:t>TI（技术创新）</w:t>
            </w:r>
          </w:p>
        </w:tc>
        <w:tc>
          <w:tcPr>
            <w:tcW w:type="dxa" w:w="2197"/>
          </w:tcPr>
          <w:p>
            <w:r>
              <w:t>1.667</w:t>
            </w:r>
          </w:p>
        </w:tc>
        <w:tc>
          <w:tcPr>
            <w:tcW w:type="dxa" w:w="2197"/>
          </w:tcPr>
          <w:p>
            <w:r>
              <w:t>3.000</w:t>
            </w:r>
          </w:p>
        </w:tc>
        <w:tc>
          <w:tcPr>
            <w:tcW w:type="dxa" w:w="2197"/>
          </w:tcPr>
          <w:p>
            <w:r>
              <w:t>4.333</w:t>
            </w:r>
          </w:p>
        </w:tc>
      </w:tr>
      <w:tr>
        <w:tc>
          <w:tcPr>
            <w:tcW w:type="dxa" w:w="2197"/>
          </w:tcPr>
          <w:p>
            <w:r>
              <w:t>EN（资源禀赋）</w:t>
            </w:r>
          </w:p>
        </w:tc>
        <w:tc>
          <w:tcPr>
            <w:tcW w:type="dxa" w:w="2197"/>
          </w:tcPr>
          <w:p>
            <w:r>
              <w:t>2.000</w:t>
            </w:r>
          </w:p>
        </w:tc>
        <w:tc>
          <w:tcPr>
            <w:tcW w:type="dxa" w:w="2197"/>
          </w:tcPr>
          <w:p>
            <w:r>
              <w:t>3.667</w:t>
            </w:r>
          </w:p>
        </w:tc>
        <w:tc>
          <w:tcPr>
            <w:tcW w:type="dxa" w:w="2197"/>
          </w:tcPr>
          <w:p>
            <w:r>
              <w:t>5.000</w:t>
            </w:r>
          </w:p>
        </w:tc>
      </w:tr>
      <w:tr>
        <w:tc>
          <w:tcPr>
            <w:tcW w:type="dxa" w:w="2197"/>
          </w:tcPr>
          <w:p>
            <w:r>
              <w:t>CDL（发展水平）</w:t>
            </w:r>
          </w:p>
        </w:tc>
        <w:tc>
          <w:tcPr>
            <w:tcW w:type="dxa" w:w="2197"/>
          </w:tcPr>
          <w:p>
            <w:r>
              <w:t>1.667</w:t>
            </w:r>
          </w:p>
        </w:tc>
        <w:tc>
          <w:tcPr>
            <w:tcW w:type="dxa" w:w="2197"/>
          </w:tcPr>
          <w:p>
            <w:r>
              <w:t>3.333</w:t>
            </w:r>
          </w:p>
        </w:tc>
        <w:tc>
          <w:tcPr>
            <w:tcW w:type="dxa" w:w="2197"/>
          </w:tcPr>
          <w:p>
            <w:r>
              <w:t>4.667</w:t>
            </w:r>
          </w:p>
        </w:tc>
      </w:tr>
      <w:tr>
        <w:tc>
          <w:tcPr>
            <w:tcW w:type="dxa" w:w="2197"/>
          </w:tcPr>
          <w:p/>
        </w:tc>
        <w:tc>
          <w:tcPr>
            <w:tcW w:type="dxa" w:w="2197"/>
          </w:tcPr>
          <w:p/>
        </w:tc>
        <w:tc>
          <w:tcPr>
            <w:tcW w:type="dxa" w:w="2197"/>
          </w:tcPr>
          <w:p/>
        </w:tc>
        <w:tc>
          <w:tcPr>
            <w:tcW w:type="dxa" w:w="2197"/>
          </w:tcPr>
          <w:p/>
        </w:tc>
      </w:tr>
    </w:tbl>
    <w:p>
      <w:pPr>
        <w:pStyle w:val="4"/>
      </w:pPr>
      <w:r>
        <w:t>4.5.2 必要条件检验</w:t>
      </w:r>
    </w:p>
    <w:p>
      <w:r>
        <w:t>对各前因条件进行必要性检验，以一致性≥0.9作为必要条件判断标准（Ragin, 2008）。检验结果：GP必要性一致性0.789，TS为0.752，TI为0.763，EN为0.759，均低于0.9的阈值，表明不存在单一必要条件，与组态理论假设一致。</w:t>
      </w:r>
    </w:p>
    <w:p>
      <w:pPr>
        <w:pStyle w:val="4"/>
      </w:pPr>
      <w:r>
        <w:t>4.5.3 充分条件组态分析</w:t>
      </w:r>
    </w:p>
    <w:p>
      <w:r>
        <w:t>设定频率阈值为5、原始一致性阈值为0.85，采用中间解进行组态分析。结果识别出5条充分条件组态路径（表4-9），总覆盖率0.832，总一致性0.871。</w:t>
      </w:r>
    </w:p>
    <w:p>
      <w:r>
        <w:t>表4-9  fsQCA充分条件组态分析结果（中间解）</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r>
              <w:t>组态路径</w:t>
            </w:r>
          </w:p>
        </w:tc>
        <w:tc>
          <w:tcPr>
            <w:tcW w:type="dxa" w:w="1757"/>
          </w:tcPr>
          <w:p>
            <w:r>
              <w:t>含义</w:t>
            </w:r>
          </w:p>
        </w:tc>
        <w:tc>
          <w:tcPr>
            <w:tcW w:type="dxa" w:w="1757"/>
          </w:tcPr>
          <w:p>
            <w:r>
              <w:t>一致性</w:t>
            </w:r>
          </w:p>
        </w:tc>
        <w:tc>
          <w:tcPr>
            <w:tcW w:type="dxa" w:w="1757"/>
          </w:tcPr>
          <w:p>
            <w:r>
              <w:t>覆盖率</w:t>
            </w:r>
          </w:p>
        </w:tc>
        <w:tc>
          <w:tcPr>
            <w:tcW w:type="dxa" w:w="1757"/>
          </w:tcPr>
          <w:p>
            <w:r>
              <w:t>路径类型</w:t>
            </w:r>
          </w:p>
        </w:tc>
      </w:tr>
      <w:tr>
        <w:tc>
          <w:tcPr>
            <w:tcW w:type="dxa" w:w="1757"/>
          </w:tcPr>
          <w:p>
            <w:r>
              <w:t>GP*TS</w:t>
            </w:r>
          </w:p>
        </w:tc>
        <w:tc>
          <w:tcPr>
            <w:tcW w:type="dxa" w:w="1757"/>
          </w:tcPr>
          <w:p>
            <w:r>
              <w:t>政府政策×人才支撑</w:t>
            </w:r>
          </w:p>
        </w:tc>
        <w:tc>
          <w:tcPr>
            <w:tcW w:type="dxa" w:w="1757"/>
          </w:tcPr>
          <w:p>
            <w:r>
              <w:t>0.872</w:t>
            </w:r>
          </w:p>
        </w:tc>
        <w:tc>
          <w:tcPr>
            <w:tcW w:type="dxa" w:w="1757"/>
          </w:tcPr>
          <w:p>
            <w:r>
              <w:t>0.655</w:t>
            </w:r>
          </w:p>
        </w:tc>
        <w:tc>
          <w:tcPr>
            <w:tcW w:type="dxa" w:w="1757"/>
          </w:tcPr>
          <w:p>
            <w:r>
              <w:t>政策-人才协同驱动型</w:t>
            </w:r>
          </w:p>
        </w:tc>
      </w:tr>
      <w:tr>
        <w:tc>
          <w:tcPr>
            <w:tcW w:type="dxa" w:w="1757"/>
          </w:tcPr>
          <w:p>
            <w:r>
              <w:t>GP*EN</w:t>
            </w:r>
          </w:p>
        </w:tc>
        <w:tc>
          <w:tcPr>
            <w:tcW w:type="dxa" w:w="1757"/>
          </w:tcPr>
          <w:p>
            <w:r>
              <w:t>政府政策×资源禀赋</w:t>
            </w:r>
          </w:p>
        </w:tc>
        <w:tc>
          <w:tcPr>
            <w:tcW w:type="dxa" w:w="1757"/>
          </w:tcPr>
          <w:p>
            <w:r>
              <w:t>0.862</w:t>
            </w:r>
          </w:p>
        </w:tc>
        <w:tc>
          <w:tcPr>
            <w:tcW w:type="dxa" w:w="1757"/>
          </w:tcPr>
          <w:p>
            <w:r>
              <w:t>0.624</w:t>
            </w:r>
          </w:p>
        </w:tc>
        <w:tc>
          <w:tcPr>
            <w:tcW w:type="dxa" w:w="1757"/>
          </w:tcPr>
          <w:p>
            <w:r>
              <w:t>政策-资源激活型</w:t>
            </w:r>
          </w:p>
        </w:tc>
      </w:tr>
      <w:tr>
        <w:tc>
          <w:tcPr>
            <w:tcW w:type="dxa" w:w="1757"/>
          </w:tcPr>
          <w:p>
            <w:r>
              <w:t>TI*EN</w:t>
            </w:r>
          </w:p>
        </w:tc>
        <w:tc>
          <w:tcPr>
            <w:tcW w:type="dxa" w:w="1757"/>
          </w:tcPr>
          <w:p>
            <w:r>
              <w:t>技术创新×资源禀赋</w:t>
            </w:r>
          </w:p>
        </w:tc>
        <w:tc>
          <w:tcPr>
            <w:tcW w:type="dxa" w:w="1757"/>
          </w:tcPr>
          <w:p>
            <w:r>
              <w:t>0.854</w:t>
            </w:r>
          </w:p>
        </w:tc>
        <w:tc>
          <w:tcPr>
            <w:tcW w:type="dxa" w:w="1757"/>
          </w:tcPr>
          <w:p>
            <w:r>
              <w:t>0.636</w:t>
            </w:r>
          </w:p>
        </w:tc>
        <w:tc>
          <w:tcPr>
            <w:tcW w:type="dxa" w:w="1757"/>
          </w:tcPr>
          <w:p>
            <w:r>
              <w:t>技术-资源融合型</w:t>
            </w:r>
          </w:p>
        </w:tc>
      </w:tr>
      <w:tr>
        <w:tc>
          <w:tcPr>
            <w:tcW w:type="dxa" w:w="1757"/>
          </w:tcPr>
          <w:p>
            <w:r>
              <w:t>TS*EN</w:t>
            </w:r>
          </w:p>
        </w:tc>
        <w:tc>
          <w:tcPr>
            <w:tcW w:type="dxa" w:w="1757"/>
          </w:tcPr>
          <w:p>
            <w:r>
              <w:t>人才支撑×资源禀赋</w:t>
            </w:r>
          </w:p>
        </w:tc>
        <w:tc>
          <w:tcPr>
            <w:tcW w:type="dxa" w:w="1757"/>
          </w:tcPr>
          <w:p>
            <w:r>
              <w:t>0.850</w:t>
            </w:r>
          </w:p>
        </w:tc>
        <w:tc>
          <w:tcPr>
            <w:tcW w:type="dxa" w:w="1757"/>
          </w:tcPr>
          <w:p>
            <w:r>
              <w:t>0.595</w:t>
            </w:r>
          </w:p>
        </w:tc>
        <w:tc>
          <w:tcPr>
            <w:tcW w:type="dxa" w:w="1757"/>
          </w:tcPr>
          <w:p>
            <w:r>
              <w:t>人才-资源互补型</w:t>
            </w:r>
          </w:p>
        </w:tc>
      </w:tr>
      <w:tr>
        <w:tc>
          <w:tcPr>
            <w:tcW w:type="dxa" w:w="1757"/>
          </w:tcPr>
          <w:p>
            <w:r>
              <w:t>GP*TI</w:t>
            </w:r>
          </w:p>
        </w:tc>
        <w:tc>
          <w:tcPr>
            <w:tcW w:type="dxa" w:w="1757"/>
          </w:tcPr>
          <w:p>
            <w:r>
              <w:t>政府政策×技术创新</w:t>
            </w:r>
          </w:p>
        </w:tc>
        <w:tc>
          <w:tcPr>
            <w:tcW w:type="dxa" w:w="1757"/>
          </w:tcPr>
          <w:p>
            <w:r>
              <w:t>0.856</w:t>
            </w:r>
          </w:p>
        </w:tc>
        <w:tc>
          <w:tcPr>
            <w:tcW w:type="dxa" w:w="1757"/>
          </w:tcPr>
          <w:p>
            <w:r>
              <w:t>0.636</w:t>
            </w:r>
          </w:p>
        </w:tc>
        <w:tc>
          <w:tcPr>
            <w:tcW w:type="dxa" w:w="1757"/>
          </w:tcPr>
          <w:p>
            <w:r>
              <w:t>政策-技术赋能型</w:t>
            </w:r>
          </w:p>
        </w:tc>
      </w:tr>
      <w:tr>
        <w:tc>
          <w:tcPr>
            <w:tcW w:type="dxa" w:w="1757"/>
          </w:tcPr>
          <w:p/>
        </w:tc>
        <w:tc>
          <w:tcPr>
            <w:tcW w:type="dxa" w:w="1757"/>
          </w:tcPr>
          <w:p/>
        </w:tc>
        <w:tc>
          <w:tcPr>
            <w:tcW w:type="dxa" w:w="1757"/>
          </w:tcPr>
          <w:p/>
        </w:tc>
        <w:tc>
          <w:tcPr>
            <w:tcW w:type="dxa" w:w="1757"/>
          </w:tcPr>
          <w:p/>
        </w:tc>
        <w:tc>
          <w:tcPr>
            <w:tcW w:type="dxa" w:w="1757"/>
          </w:tcPr>
          <w:p/>
        </w:tc>
      </w:tr>
    </w:tbl>
    <w:p>
      <w:r>
        <w:t>从组态路径分析可得：</w:t>
        <w:br/>
        <w:t>（1）GP*TS（政策-人才协同驱动型，覆盖率最高为0.655）：政策保障与人才供给形成制度-人力协同效应；</w:t>
        <w:br/>
        <w:t>（2）GP*EN（政策-资源激活型）：政府政策激活烟台自然资源禀赋，将资源优势转化为电商竞争力；</w:t>
        <w:br/>
        <w:t>（3）TI*EN（技术-资源融合型）：技术创新与特色资源协同，体现"资源禀赋+技术赋能"双轮驱动；</w:t>
        <w:br/>
        <w:t>（4）TS*EN（人才-资源互补型）：技能人才能够更好地开发和利用本地资源；</w:t>
        <w:br/>
        <w:t>（5）GP*TI（政策-技术赋能型）：政策为技术创新应用提供制度支持。</w:t>
        <w:br/>
        <w:t>值得注意的是，自然资源禀赋（EN）出现在5条路径中的4条，表明其在烟台集群电商发展中具有重要的协同赋能地位。上述五条路径共同揭示了烟台集群电商高绩效发展的"殊途同归"特征，体现了组态理论的等效性原则（Equifinality）。</w:t>
      </w:r>
    </w:p>
    <w:sectPr>
      <w:headerReference r:id="rId26" w:type="default"/>
      <w:headerReference r:id="rId27" w:type="even"/>
      <w:footerReference r:id="rId28" w:type="even"/>
      <w:pgSz w:w="11906" w:h="16838"/>
      <w:pgMar w:top="1701" w:right="1418" w:bottom="1418" w:left="1701" w:header="1304" w:footer="1021" w:gutter="0"/>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59"/>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59"/>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59"/>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59"/>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1E9940A5">
    <w:pPr>
      <w:pStyle w:val="59"/>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3FAFC470">
      <w:tblPrEx>
        <w:tblCellMar>
          <w:top w:w="0" w:type="dxa"/>
          <w:left w:w="108" w:type="dxa"/>
          <w:bottom w:w="0" w:type="dxa"/>
          <w:right w:w="108" w:type="dxa"/>
        </w:tblCellMar>
      </w:tblPrEx>
      <w:tc>
        <w:tcPr>
          <w:tcW w:w="4501" w:type="dxa"/>
          <w:shd w:val="clear" w:color="auto" w:fill="auto"/>
        </w:tcPr>
        <w:p w14:paraId="712B69C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76E5">
                                <w:pPr>
                                  <w:pStyle w:val="23"/>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E8776E5">
                          <w:pPr>
                            <w:pStyle w:val="23"/>
                          </w:pPr>
                          <w:r>
                            <w:fldChar w:fldCharType="begin"/>
                          </w:r>
                          <w:r>
                            <w:instrText xml:space="preserve"> PAGE  \* MERGEFORMAT </w:instrText>
                          </w:r>
                          <w:r>
                            <w:fldChar w:fldCharType="separate"/>
                          </w:r>
                          <w:r>
                            <w:t>I</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05637A2D">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二</w:t>
          </w:r>
          <w:r>
            <w:rPr>
              <w:rFonts w:hint="eastAsia"/>
              <w:lang w:val="en-US"/>
            </w:rPr>
            <w:t xml:space="preserve">章 </w:t>
          </w:r>
          <w:r>
            <w:rPr>
              <w:rFonts w:hint="eastAsia"/>
              <w:lang w:val="en-US" w:eastAsia="zh-CN"/>
            </w:rPr>
            <w:t>理论基础与文献综述</w:t>
          </w:r>
        </w:p>
      </w:tc>
    </w:tr>
  </w:tbl>
  <w:p w14:paraId="66FD329A">
    <w:pPr>
      <w:pStyle w:val="59"/>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59"/>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59"/>
      <w:ind w:firstLine="0" w:firstLineChars="0"/>
      <w:jc w:val="left"/>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59"/>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59"/>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3AA6BF65">
    <w:pPr>
      <w:pStyle w:val="59"/>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D54835E7"/>
    <w:multiLevelType w:val="multilevel"/>
    <w:tmpl w:val="D54835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E7F2809C"/>
    <w:multiLevelType w:val="multilevel"/>
    <w:tmpl w:val="E7F2809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4D1A2A8F"/>
    <w:multiLevelType w:val="multilevel"/>
    <w:tmpl w:val="4D1A2A8F"/>
    <w:lvl w:ilvl="0" w:tentative="0">
      <w:start w:val="1"/>
      <w:numFmt w:val="decimal"/>
      <w:pStyle w:val="81"/>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5">
    <w:nsid w:val="612B6CE2"/>
    <w:multiLevelType w:val="multilevel"/>
    <w:tmpl w:val="612B6CE2"/>
    <w:lvl w:ilvl="0" w:tentative="0">
      <w:start w:val="1"/>
      <w:numFmt w:val="decimal"/>
      <w:pStyle w:val="58"/>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5"/>
  </w:num>
  <w:num w:numId="2">
    <w:abstractNumId w:val="4"/>
  </w:num>
  <w:num w:numId="3">
    <w:abstractNumId w:val="1"/>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F20245"/>
    <w:rsid w:val="02034DC1"/>
    <w:rsid w:val="02401837"/>
    <w:rsid w:val="02876DEA"/>
    <w:rsid w:val="03981E4E"/>
    <w:rsid w:val="08D4233A"/>
    <w:rsid w:val="098B286B"/>
    <w:rsid w:val="09AF7395"/>
    <w:rsid w:val="0AD90EE7"/>
    <w:rsid w:val="0C93023B"/>
    <w:rsid w:val="0CA54948"/>
    <w:rsid w:val="10AC13BA"/>
    <w:rsid w:val="145B38E5"/>
    <w:rsid w:val="14B45E2E"/>
    <w:rsid w:val="15DA15E8"/>
    <w:rsid w:val="15DC07AF"/>
    <w:rsid w:val="16F720F6"/>
    <w:rsid w:val="17061749"/>
    <w:rsid w:val="1891360A"/>
    <w:rsid w:val="198A4742"/>
    <w:rsid w:val="1BE378A7"/>
    <w:rsid w:val="1DA37302"/>
    <w:rsid w:val="20094DA6"/>
    <w:rsid w:val="2075475D"/>
    <w:rsid w:val="280C027C"/>
    <w:rsid w:val="29BE1D71"/>
    <w:rsid w:val="2A450969"/>
    <w:rsid w:val="2D962E0C"/>
    <w:rsid w:val="2DF90797"/>
    <w:rsid w:val="2E3C335D"/>
    <w:rsid w:val="2E974A33"/>
    <w:rsid w:val="2F300FB0"/>
    <w:rsid w:val="32BB104C"/>
    <w:rsid w:val="33D37937"/>
    <w:rsid w:val="35537D6D"/>
    <w:rsid w:val="3B424DEA"/>
    <w:rsid w:val="3C340A01"/>
    <w:rsid w:val="41045547"/>
    <w:rsid w:val="417B255F"/>
    <w:rsid w:val="426D634C"/>
    <w:rsid w:val="44B527C1"/>
    <w:rsid w:val="455832B8"/>
    <w:rsid w:val="45B93053"/>
    <w:rsid w:val="45BD778D"/>
    <w:rsid w:val="48556927"/>
    <w:rsid w:val="48CC36A0"/>
    <w:rsid w:val="49047793"/>
    <w:rsid w:val="4DF705E5"/>
    <w:rsid w:val="4F86388D"/>
    <w:rsid w:val="51342049"/>
    <w:rsid w:val="514A5D72"/>
    <w:rsid w:val="53E85DA8"/>
    <w:rsid w:val="540A6435"/>
    <w:rsid w:val="556C6010"/>
    <w:rsid w:val="568969AA"/>
    <w:rsid w:val="56A56EB5"/>
    <w:rsid w:val="60CD56A7"/>
    <w:rsid w:val="647B08D4"/>
    <w:rsid w:val="66835C3F"/>
    <w:rsid w:val="68000903"/>
    <w:rsid w:val="684E7D50"/>
    <w:rsid w:val="6AC47A1F"/>
    <w:rsid w:val="6E934195"/>
    <w:rsid w:val="701F7BC1"/>
    <w:rsid w:val="70565D8E"/>
    <w:rsid w:val="71D7629D"/>
    <w:rsid w:val="726D18BD"/>
    <w:rsid w:val="788672E2"/>
    <w:rsid w:val="79D33711"/>
    <w:rsid w:val="7ACE3EEF"/>
    <w:rsid w:val="7B061A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2"/>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3"/>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5"/>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6"/>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7"/>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8"/>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49"/>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0"/>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1"/>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4"/>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1"/>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8"/>
    <w:semiHidden/>
    <w:unhideWhenUsed/>
    <w:qFormat/>
    <w:uiPriority w:val="99"/>
    <w:pPr>
      <w:jc w:val="left"/>
    </w:pPr>
  </w:style>
  <w:style w:type="paragraph" w:styleId="15">
    <w:name w:val="Body Text Indent"/>
    <w:basedOn w:val="1"/>
    <w:link w:val="52"/>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4"/>
    <w:semiHidden/>
    <w:qFormat/>
    <w:uiPriority w:val="0"/>
    <w:rPr>
      <w:rFonts w:ascii="宋体" w:hAnsi="Courier New"/>
      <w:szCs w:val="21"/>
    </w:rPr>
  </w:style>
  <w:style w:type="paragraph" w:styleId="18">
    <w:name w:val="Date"/>
    <w:basedOn w:val="1"/>
    <w:next w:val="1"/>
    <w:link w:val="53"/>
    <w:unhideWhenUsed/>
    <w:qFormat/>
    <w:uiPriority w:val="99"/>
    <w:pPr>
      <w:ind w:left="100" w:leftChars="2500"/>
    </w:pPr>
    <w:rPr>
      <w:lang w:val="zh-CN"/>
    </w:rPr>
  </w:style>
  <w:style w:type="paragraph" w:styleId="19">
    <w:name w:val="Body Text Indent 2"/>
    <w:basedOn w:val="1"/>
    <w:link w:val="93"/>
    <w:qFormat/>
    <w:uiPriority w:val="0"/>
    <w:pPr>
      <w:spacing w:line="240" w:lineRule="auto"/>
      <w:ind w:firstLine="420"/>
    </w:pPr>
  </w:style>
  <w:style w:type="paragraph" w:styleId="20">
    <w:name w:val="endnote text"/>
    <w:basedOn w:val="1"/>
    <w:link w:val="87"/>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4"/>
    <w:unhideWhenUsed/>
    <w:qFormat/>
    <w:uiPriority w:val="99"/>
    <w:pPr>
      <w:spacing w:line="240" w:lineRule="auto"/>
    </w:pPr>
    <w:rPr>
      <w:sz w:val="18"/>
      <w:szCs w:val="18"/>
    </w:rPr>
  </w:style>
  <w:style w:type="paragraph" w:styleId="22">
    <w:name w:val="footer"/>
    <w:basedOn w:val="1"/>
    <w:link w:val="55"/>
    <w:qFormat/>
    <w:uiPriority w:val="99"/>
    <w:pPr>
      <w:tabs>
        <w:tab w:val="center" w:pos="4153"/>
        <w:tab w:val="right" w:pos="8306"/>
      </w:tabs>
      <w:snapToGrid w:val="0"/>
      <w:jc w:val="left"/>
    </w:pPr>
    <w:rPr>
      <w:sz w:val="18"/>
      <w:szCs w:val="18"/>
      <w:lang w:val="zh-CN"/>
    </w:rPr>
  </w:style>
  <w:style w:type="paragraph" w:styleId="23">
    <w:name w:val="header"/>
    <w:basedOn w:val="1"/>
    <w:link w:val="57"/>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1"/>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5"/>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6"/>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79"/>
    <w:semiHidden/>
    <w:unhideWhenUsed/>
    <w:qFormat/>
    <w:uiPriority w:val="99"/>
    <w:rPr>
      <w:b/>
      <w:bCs/>
    </w:rPr>
  </w:style>
  <w:style w:type="paragraph" w:styleId="31">
    <w:name w:val="Body Text First Indent"/>
    <w:basedOn w:val="5"/>
    <w:link w:val="95"/>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6"/>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Hyperlink"/>
    <w:unhideWhenUsed/>
    <w:qFormat/>
    <w:uiPriority w:val="99"/>
    <w:rPr>
      <w:color w:val="0000FF"/>
      <w:u w:val="single"/>
    </w:rPr>
  </w:style>
  <w:style w:type="character" w:styleId="40">
    <w:name w:val="annotation reference"/>
    <w:basedOn w:val="35"/>
    <w:unhideWhenUsed/>
    <w:qFormat/>
    <w:uiPriority w:val="99"/>
    <w:rPr>
      <w:sz w:val="21"/>
      <w:szCs w:val="21"/>
    </w:rPr>
  </w:style>
  <w:style w:type="character" w:styleId="41">
    <w:name w:val="footnote reference"/>
    <w:basedOn w:val="35"/>
    <w:semiHidden/>
    <w:unhideWhenUsed/>
    <w:qFormat/>
    <w:uiPriority w:val="99"/>
    <w:rPr>
      <w:vertAlign w:val="superscript"/>
    </w:rPr>
  </w:style>
  <w:style w:type="character" w:customStyle="1" w:styleId="42">
    <w:name w:val="标题 1 Char"/>
    <w:link w:val="2"/>
    <w:qFormat/>
    <w:uiPriority w:val="9"/>
    <w:rPr>
      <w:rFonts w:eastAsia="黑体"/>
      <w:b/>
      <w:kern w:val="2"/>
      <w:sz w:val="32"/>
      <w:szCs w:val="24"/>
      <w:lang w:val="zh-CN"/>
    </w:rPr>
  </w:style>
  <w:style w:type="character" w:customStyle="1" w:styleId="43">
    <w:name w:val="标题 2 Char"/>
    <w:link w:val="3"/>
    <w:qFormat/>
    <w:uiPriority w:val="9"/>
    <w:rPr>
      <w:rFonts w:eastAsia="黑体"/>
      <w:bCs/>
      <w:kern w:val="2"/>
      <w:sz w:val="28"/>
      <w:szCs w:val="32"/>
      <w:lang w:val="zh-CN"/>
    </w:rPr>
  </w:style>
  <w:style w:type="character" w:customStyle="1" w:styleId="44">
    <w:name w:val="正文文本 Char"/>
    <w:link w:val="5"/>
    <w:semiHidden/>
    <w:qFormat/>
    <w:uiPriority w:val="0"/>
    <w:rPr>
      <w:kern w:val="2"/>
      <w:sz w:val="18"/>
    </w:rPr>
  </w:style>
  <w:style w:type="character" w:customStyle="1" w:styleId="45">
    <w:name w:val="标题 3 Char"/>
    <w:link w:val="4"/>
    <w:qFormat/>
    <w:uiPriority w:val="9"/>
    <w:rPr>
      <w:rFonts w:ascii="黑体" w:hAnsi="黑体" w:eastAsia="黑体"/>
      <w:kern w:val="2"/>
      <w:sz w:val="24"/>
      <w:lang w:val="zh-CN" w:eastAsia="zh-CN"/>
    </w:rPr>
  </w:style>
  <w:style w:type="character" w:customStyle="1" w:styleId="46">
    <w:name w:val="标题 4 Char"/>
    <w:link w:val="6"/>
    <w:qFormat/>
    <w:uiPriority w:val="9"/>
    <w:rPr>
      <w:rFonts w:ascii="Arial" w:hAnsi="Arial" w:eastAsia="黑体"/>
      <w:kern w:val="2"/>
      <w:sz w:val="24"/>
      <w:lang w:val="zh-CN"/>
    </w:rPr>
  </w:style>
  <w:style w:type="character" w:customStyle="1" w:styleId="47">
    <w:name w:val="标题 5 Char"/>
    <w:link w:val="7"/>
    <w:qFormat/>
    <w:uiPriority w:val="0"/>
    <w:rPr>
      <w:kern w:val="2"/>
      <w:sz w:val="21"/>
      <w:lang w:val="zh-CN"/>
    </w:rPr>
  </w:style>
  <w:style w:type="character" w:customStyle="1" w:styleId="48">
    <w:name w:val="标题 6 Char"/>
    <w:link w:val="8"/>
    <w:qFormat/>
    <w:uiPriority w:val="0"/>
    <w:rPr>
      <w:kern w:val="2"/>
      <w:sz w:val="21"/>
      <w:lang w:val="zh-CN"/>
    </w:rPr>
  </w:style>
  <w:style w:type="character" w:customStyle="1" w:styleId="49">
    <w:name w:val="标题 7 Char"/>
    <w:link w:val="9"/>
    <w:qFormat/>
    <w:uiPriority w:val="0"/>
    <w:rPr>
      <w:kern w:val="2"/>
      <w:sz w:val="21"/>
      <w:lang w:val="zh-CN"/>
    </w:rPr>
  </w:style>
  <w:style w:type="character" w:customStyle="1" w:styleId="50">
    <w:name w:val="标题 8 Char"/>
    <w:link w:val="10"/>
    <w:qFormat/>
    <w:uiPriority w:val="0"/>
    <w:rPr>
      <w:rFonts w:ascii="Arial" w:hAnsi="Arial" w:eastAsia="黑体"/>
      <w:kern w:val="2"/>
      <w:sz w:val="24"/>
    </w:rPr>
  </w:style>
  <w:style w:type="character" w:customStyle="1" w:styleId="51">
    <w:name w:val="标题 9 Char"/>
    <w:link w:val="11"/>
    <w:qFormat/>
    <w:uiPriority w:val="0"/>
    <w:rPr>
      <w:rFonts w:ascii="Arial" w:hAnsi="Arial" w:eastAsia="黑体"/>
      <w:kern w:val="2"/>
      <w:sz w:val="18"/>
    </w:rPr>
  </w:style>
  <w:style w:type="character" w:customStyle="1" w:styleId="52">
    <w:name w:val="正文文本缩进 Char"/>
    <w:link w:val="15"/>
    <w:qFormat/>
    <w:uiPriority w:val="99"/>
    <w:rPr>
      <w:kern w:val="2"/>
      <w:sz w:val="21"/>
      <w:szCs w:val="24"/>
    </w:rPr>
  </w:style>
  <w:style w:type="character" w:customStyle="1" w:styleId="53">
    <w:name w:val="日期 Char"/>
    <w:link w:val="18"/>
    <w:qFormat/>
    <w:uiPriority w:val="99"/>
    <w:rPr>
      <w:kern w:val="2"/>
      <w:sz w:val="21"/>
      <w:szCs w:val="24"/>
    </w:rPr>
  </w:style>
  <w:style w:type="character" w:customStyle="1" w:styleId="54">
    <w:name w:val="批注框文本 Char"/>
    <w:basedOn w:val="35"/>
    <w:link w:val="21"/>
    <w:qFormat/>
    <w:uiPriority w:val="99"/>
    <w:rPr>
      <w:kern w:val="2"/>
      <w:sz w:val="18"/>
      <w:szCs w:val="18"/>
    </w:rPr>
  </w:style>
  <w:style w:type="character" w:customStyle="1" w:styleId="55">
    <w:name w:val="页脚 Char"/>
    <w:link w:val="22"/>
    <w:qFormat/>
    <w:uiPriority w:val="99"/>
    <w:rPr>
      <w:kern w:val="2"/>
      <w:sz w:val="18"/>
      <w:szCs w:val="18"/>
    </w:rPr>
  </w:style>
  <w:style w:type="character" w:customStyle="1" w:styleId="56">
    <w:name w:val="正文首行缩进 2 Char"/>
    <w:basedOn w:val="52"/>
    <w:link w:val="32"/>
    <w:qFormat/>
    <w:uiPriority w:val="0"/>
    <w:rPr>
      <w:kern w:val="2"/>
      <w:sz w:val="21"/>
      <w:szCs w:val="24"/>
    </w:rPr>
  </w:style>
  <w:style w:type="character" w:customStyle="1" w:styleId="57">
    <w:name w:val="页眉 Char"/>
    <w:link w:val="23"/>
    <w:qFormat/>
    <w:uiPriority w:val="99"/>
    <w:rPr>
      <w:kern w:val="2"/>
      <w:sz w:val="18"/>
      <w:szCs w:val="18"/>
    </w:rPr>
  </w:style>
  <w:style w:type="paragraph" w:customStyle="1" w:styleId="58">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59">
    <w:name w:val="wang论文"/>
    <w:basedOn w:val="23"/>
    <w:link w:val="60"/>
    <w:qFormat/>
    <w:uiPriority w:val="0"/>
    <w:pPr>
      <w:pBdr>
        <w:bottom w:val="thinThickSmallGap" w:color="auto" w:sz="24" w:space="1"/>
      </w:pBdr>
      <w:ind w:firstLine="360"/>
      <w:jc w:val="right"/>
    </w:pPr>
  </w:style>
  <w:style w:type="character" w:customStyle="1" w:styleId="60">
    <w:name w:val="wang论文 Char"/>
    <w:basedOn w:val="57"/>
    <w:link w:val="59"/>
    <w:qFormat/>
    <w:uiPriority w:val="0"/>
    <w:rPr>
      <w:kern w:val="2"/>
      <w:sz w:val="18"/>
      <w:szCs w:val="18"/>
    </w:rPr>
  </w:style>
  <w:style w:type="table" w:customStyle="1" w:styleId="61">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2">
    <w:name w:val="列出段落1"/>
    <w:basedOn w:val="1"/>
    <w:qFormat/>
    <w:uiPriority w:val="34"/>
    <w:pPr>
      <w:spacing w:line="240" w:lineRule="auto"/>
      <w:ind w:firstLine="420"/>
    </w:pPr>
    <w:rPr>
      <w:rFonts w:ascii="Calibri" w:hAnsi="Calibri"/>
      <w:szCs w:val="22"/>
    </w:rPr>
  </w:style>
  <w:style w:type="paragraph" w:customStyle="1" w:styleId="63">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4">
    <w:name w:val="MTDisplayEquation"/>
    <w:basedOn w:val="63"/>
    <w:next w:val="1"/>
    <w:qFormat/>
    <w:uiPriority w:val="0"/>
    <w:pPr>
      <w:tabs>
        <w:tab w:val="center" w:pos="4400"/>
        <w:tab w:val="right" w:pos="8780"/>
      </w:tabs>
      <w:ind w:firstLine="420" w:firstLineChars="200"/>
    </w:pPr>
  </w:style>
  <w:style w:type="paragraph" w:customStyle="1" w:styleId="65">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6">
    <w:name w:val="样式 首行缩进:  2 字符"/>
    <w:basedOn w:val="1"/>
    <w:qFormat/>
    <w:uiPriority w:val="0"/>
    <w:pPr>
      <w:tabs>
        <w:tab w:val="left" w:pos="4680"/>
      </w:tabs>
      <w:ind w:firstLine="560"/>
      <w:jc w:val="center"/>
    </w:pPr>
    <w:rPr>
      <w:rFonts w:cs="宋体"/>
      <w:szCs w:val="20"/>
    </w:rPr>
  </w:style>
  <w:style w:type="paragraph" w:customStyle="1" w:styleId="67">
    <w:name w:val="列出段落11"/>
    <w:basedOn w:val="1"/>
    <w:qFormat/>
    <w:uiPriority w:val="99"/>
    <w:pPr>
      <w:spacing w:line="240" w:lineRule="auto"/>
      <w:ind w:firstLine="420"/>
    </w:pPr>
    <w:rPr>
      <w:rFonts w:ascii="Calibri" w:hAnsi="Calibri"/>
      <w:szCs w:val="22"/>
    </w:rPr>
  </w:style>
  <w:style w:type="paragraph" w:customStyle="1" w:styleId="68">
    <w:name w:val="文档正文"/>
    <w:basedOn w:val="1"/>
    <w:link w:val="69"/>
    <w:qFormat/>
    <w:uiPriority w:val="0"/>
    <w:pPr>
      <w:snapToGrid w:val="0"/>
      <w:spacing w:line="360" w:lineRule="auto"/>
      <w:ind w:firstLine="480"/>
    </w:pPr>
    <w:rPr>
      <w:rFonts w:cs="宋体"/>
      <w:snapToGrid w:val="0"/>
      <w:szCs w:val="20"/>
    </w:rPr>
  </w:style>
  <w:style w:type="character" w:customStyle="1" w:styleId="69">
    <w:name w:val="文档正文 Char"/>
    <w:link w:val="68"/>
    <w:qFormat/>
    <w:uiPriority w:val="0"/>
    <w:rPr>
      <w:rFonts w:cs="宋体"/>
      <w:snapToGrid w:val="0"/>
      <w:kern w:val="2"/>
      <w:sz w:val="24"/>
    </w:rPr>
  </w:style>
  <w:style w:type="table" w:customStyle="1" w:styleId="70">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1">
    <w:name w:val="脚注文本 Char"/>
    <w:basedOn w:val="35"/>
    <w:link w:val="25"/>
    <w:qFormat/>
    <w:uiPriority w:val="99"/>
    <w:rPr>
      <w:rFonts w:asciiTheme="minorHAnsi" w:hAnsiTheme="minorHAnsi" w:eastAsiaTheme="minorEastAsia" w:cstheme="minorBidi"/>
      <w:kern w:val="2"/>
      <w:sz w:val="18"/>
      <w:szCs w:val="18"/>
    </w:rPr>
  </w:style>
  <w:style w:type="table" w:customStyle="1" w:styleId="72">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3">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4">
    <w:name w:val="List Paragraph"/>
    <w:basedOn w:val="1"/>
    <w:qFormat/>
    <w:uiPriority w:val="34"/>
    <w:pPr>
      <w:ind w:firstLine="420"/>
    </w:pPr>
  </w:style>
  <w:style w:type="character" w:customStyle="1" w:styleId="75">
    <w:name w:val="fontstyle01"/>
    <w:basedOn w:val="35"/>
    <w:qFormat/>
    <w:uiPriority w:val="0"/>
    <w:rPr>
      <w:rFonts w:hint="default" w:ascii="TimesNewRomanPSMT" w:hAnsi="TimesNewRomanPSMT"/>
      <w:color w:val="000000"/>
      <w:sz w:val="18"/>
      <w:szCs w:val="18"/>
    </w:rPr>
  </w:style>
  <w:style w:type="character" w:customStyle="1" w:styleId="76">
    <w:name w:val="fontstyle21"/>
    <w:basedOn w:val="35"/>
    <w:qFormat/>
    <w:uiPriority w:val="0"/>
    <w:rPr>
      <w:rFonts w:hint="eastAsia" w:ascii="宋体" w:hAnsi="宋体" w:eastAsia="宋体"/>
      <w:color w:val="000000"/>
      <w:sz w:val="18"/>
      <w:szCs w:val="18"/>
    </w:rPr>
  </w:style>
  <w:style w:type="character" w:customStyle="1" w:styleId="77">
    <w:name w:val="fontstyle31"/>
    <w:basedOn w:val="35"/>
    <w:qFormat/>
    <w:uiPriority w:val="0"/>
    <w:rPr>
      <w:rFonts w:hint="default" w:ascii="TimesNewRomanPS-ItalicMT" w:hAnsi="TimesNewRomanPS-ItalicMT"/>
      <w:i/>
      <w:iCs/>
      <w:color w:val="000000"/>
      <w:sz w:val="18"/>
      <w:szCs w:val="18"/>
    </w:rPr>
  </w:style>
  <w:style w:type="character" w:customStyle="1" w:styleId="78">
    <w:name w:val="批注文字 Char"/>
    <w:basedOn w:val="35"/>
    <w:link w:val="14"/>
    <w:semiHidden/>
    <w:qFormat/>
    <w:uiPriority w:val="99"/>
    <w:rPr>
      <w:kern w:val="2"/>
      <w:sz w:val="21"/>
      <w:szCs w:val="24"/>
    </w:rPr>
  </w:style>
  <w:style w:type="character" w:customStyle="1" w:styleId="79">
    <w:name w:val="批注主题 Char"/>
    <w:basedOn w:val="78"/>
    <w:link w:val="30"/>
    <w:semiHidden/>
    <w:qFormat/>
    <w:uiPriority w:val="99"/>
    <w:rPr>
      <w:b/>
      <w:bCs/>
      <w:kern w:val="2"/>
      <w:sz w:val="21"/>
      <w:szCs w:val="24"/>
    </w:rPr>
  </w:style>
  <w:style w:type="character" w:styleId="80">
    <w:name w:val="Placeholder Text"/>
    <w:basedOn w:val="35"/>
    <w:unhideWhenUsed/>
    <w:qFormat/>
    <w:uiPriority w:val="99"/>
    <w:rPr>
      <w:color w:val="808080"/>
    </w:rPr>
  </w:style>
  <w:style w:type="paragraph" w:customStyle="1" w:styleId="81">
    <w:name w:val="参考文献"/>
    <w:basedOn w:val="68"/>
    <w:qFormat/>
    <w:uiPriority w:val="0"/>
    <w:pPr>
      <w:numPr>
        <w:ilvl w:val="0"/>
        <w:numId w:val="2"/>
      </w:numPr>
      <w:tabs>
        <w:tab w:val="left" w:pos="518"/>
      </w:tabs>
      <w:ind w:firstLine="0" w:firstLineChars="0"/>
    </w:pPr>
    <w:rPr>
      <w:rFonts w:cs="Times New Roman"/>
      <w:kern w:val="0"/>
    </w:rPr>
  </w:style>
  <w:style w:type="paragraph" w:customStyle="1" w:styleId="82">
    <w:name w:val="公式"/>
    <w:basedOn w:val="1"/>
    <w:qFormat/>
    <w:uiPriority w:val="0"/>
    <w:pPr>
      <w:tabs>
        <w:tab w:val="center" w:pos="4200"/>
        <w:tab w:val="right" w:pos="8610"/>
      </w:tabs>
      <w:spacing w:line="360" w:lineRule="atLeast"/>
      <w:ind w:firstLine="0" w:firstLineChars="0"/>
    </w:pPr>
    <w:rPr>
      <w:szCs w:val="22"/>
    </w:rPr>
  </w:style>
  <w:style w:type="paragraph" w:customStyle="1" w:styleId="83">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4">
    <w:name w:val="不明显强调1"/>
    <w:qFormat/>
    <w:uiPriority w:val="19"/>
    <w:rPr>
      <w:i/>
      <w:iCs/>
    </w:rPr>
  </w:style>
  <w:style w:type="character" w:customStyle="1" w:styleId="85">
    <w:name w:val="HTML 预设格式 Char"/>
    <w:basedOn w:val="35"/>
    <w:link w:val="27"/>
    <w:semiHidden/>
    <w:qFormat/>
    <w:uiPriority w:val="99"/>
    <w:rPr>
      <w:rFonts w:ascii="宋体" w:hAnsi="宋体" w:cs="宋体"/>
      <w:sz w:val="24"/>
      <w:szCs w:val="24"/>
    </w:rPr>
  </w:style>
  <w:style w:type="character" w:customStyle="1" w:styleId="86">
    <w:name w:val="HTML 预设格式 Char1"/>
    <w:basedOn w:val="35"/>
    <w:semiHidden/>
    <w:qFormat/>
    <w:uiPriority w:val="99"/>
    <w:rPr>
      <w:rFonts w:ascii="Courier New" w:hAnsi="Courier New" w:cs="Courier New"/>
      <w:kern w:val="2"/>
    </w:rPr>
  </w:style>
  <w:style w:type="character" w:customStyle="1" w:styleId="87">
    <w:name w:val="尾注文本 Char"/>
    <w:basedOn w:val="35"/>
    <w:link w:val="20"/>
    <w:semiHidden/>
    <w:qFormat/>
    <w:uiPriority w:val="99"/>
  </w:style>
  <w:style w:type="character" w:customStyle="1" w:styleId="88">
    <w:name w:val="尾注文本 Char1"/>
    <w:basedOn w:val="35"/>
    <w:semiHidden/>
    <w:qFormat/>
    <w:uiPriority w:val="99"/>
    <w:rPr>
      <w:kern w:val="2"/>
      <w:sz w:val="21"/>
      <w:szCs w:val="24"/>
    </w:rPr>
  </w:style>
  <w:style w:type="character" w:customStyle="1" w:styleId="89">
    <w:name w:val="apple-style-span"/>
    <w:basedOn w:val="35"/>
    <w:qFormat/>
    <w:uiPriority w:val="0"/>
  </w:style>
  <w:style w:type="paragraph" w:customStyle="1" w:styleId="90">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1">
    <w:name w:val="文档结构图 Char"/>
    <w:basedOn w:val="35"/>
    <w:link w:val="13"/>
    <w:semiHidden/>
    <w:qFormat/>
    <w:uiPriority w:val="99"/>
    <w:rPr>
      <w:rFonts w:ascii="宋体"/>
      <w:sz w:val="18"/>
      <w:szCs w:val="18"/>
    </w:rPr>
  </w:style>
  <w:style w:type="character" w:customStyle="1" w:styleId="92">
    <w:name w:val="文档结构图 Char1"/>
    <w:basedOn w:val="35"/>
    <w:semiHidden/>
    <w:qFormat/>
    <w:uiPriority w:val="99"/>
    <w:rPr>
      <w:rFonts w:ascii="Microsoft YaHei UI" w:eastAsia="Microsoft YaHei UI"/>
      <w:kern w:val="2"/>
      <w:sz w:val="18"/>
      <w:szCs w:val="18"/>
    </w:rPr>
  </w:style>
  <w:style w:type="character" w:customStyle="1" w:styleId="93">
    <w:name w:val="正文文本缩进 2 Char"/>
    <w:basedOn w:val="35"/>
    <w:link w:val="19"/>
    <w:qFormat/>
    <w:uiPriority w:val="0"/>
    <w:rPr>
      <w:kern w:val="2"/>
      <w:sz w:val="21"/>
      <w:szCs w:val="24"/>
    </w:rPr>
  </w:style>
  <w:style w:type="character" w:customStyle="1" w:styleId="94">
    <w:name w:val="纯文本 Char"/>
    <w:basedOn w:val="35"/>
    <w:link w:val="17"/>
    <w:semiHidden/>
    <w:qFormat/>
    <w:uiPriority w:val="0"/>
    <w:rPr>
      <w:rFonts w:ascii="宋体" w:hAnsi="Courier New"/>
      <w:kern w:val="2"/>
      <w:sz w:val="21"/>
      <w:szCs w:val="21"/>
    </w:rPr>
  </w:style>
  <w:style w:type="character" w:customStyle="1" w:styleId="95">
    <w:name w:val="正文首行缩进 Char"/>
    <w:basedOn w:val="44"/>
    <w:link w:val="31"/>
    <w:semiHidden/>
    <w:qFormat/>
    <w:uiPriority w:val="99"/>
    <w:rPr>
      <w:kern w:val="2"/>
      <w:sz w:val="21"/>
      <w:szCs w:val="24"/>
    </w:rPr>
  </w:style>
  <w:style w:type="character" w:customStyle="1" w:styleId="96">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png"/><Relationship Id="rId31" Type="http://schemas.openxmlformats.org/officeDocument/2006/relationships/image" Target="http://news.cau.edu.cn/upload/2005/caunews_20050711181514.jpg" TargetMode="External"/><Relationship Id="rId30" Type="http://schemas.openxmlformats.org/officeDocument/2006/relationships/image" Target="media/image1.jpeg"/><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footer" Target="footer10.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21</Pages>
  <Words>7289</Words>
  <Characters>8885</Characters>
  <Lines>91</Lines>
  <Paragraphs>25</Paragraphs>
  <TotalTime>0</TotalTime>
  <ScaleCrop>false</ScaleCrop>
  <LinksUpToDate>false</LinksUpToDate>
  <CharactersWithSpaces>9371</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2026-04-17T02:55:03Z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eyJoZGlkIjoiYjc4YzFhNTg0MmU5Yjg1NmZhMGFlNDI4MjkyMmZmOTQiLCJ1c2VySWQiOiIxNTc1MjA1NzYzIn0=</vt:lpwstr>
  </property>
  <property fmtid="{D5CDD505-2E9C-101B-9397-08002B2CF9AE}" pid="5" name="ICV">
    <vt:lpwstr>A8161ACBF5D049A891BA29305581F93A_12</vt:lpwstr>
  </property>
</Properties>
</file>